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28" w:rsidRPr="002D2B28" w:rsidRDefault="002D2B28" w:rsidP="002D2B28">
      <w:pPr>
        <w:pStyle w:val="Default"/>
        <w:rPr>
          <w:color w:val="auto"/>
        </w:rPr>
      </w:pPr>
    </w:p>
    <w:tbl>
      <w:tblPr>
        <w:tblStyle w:val="TabeladeGrade5Escura-nfase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4246"/>
      </w:tblGrid>
      <w:tr w:rsidR="002D2B28" w:rsidRPr="002D2B28" w:rsidTr="002D2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2D2B28" w:rsidRPr="002D2B28" w:rsidRDefault="002D2B28" w:rsidP="002D2B28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bCs w:val="0"/>
                <w:color w:val="auto"/>
                <w:sz w:val="20"/>
                <w:szCs w:val="20"/>
              </w:rPr>
              <w:t>PRESTAÇÃO DE CONTAS DO PERÍODO DE INTERSTÍCIO</w:t>
            </w:r>
          </w:p>
        </w:tc>
      </w:tr>
      <w:tr w:rsidR="002D2B28" w:rsidRPr="002D2B28" w:rsidTr="002D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:rsidR="002D2B28" w:rsidRPr="002D2B28" w:rsidRDefault="002D2B28" w:rsidP="002D2B28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bCs w:val="0"/>
                <w:color w:val="auto"/>
                <w:sz w:val="20"/>
                <w:szCs w:val="20"/>
              </w:rPr>
              <w:t>TODAS AS MODALIDADES</w:t>
            </w:r>
          </w:p>
        </w:tc>
        <w:tc>
          <w:tcPr>
            <w:tcW w:w="2693" w:type="dxa"/>
            <w:vAlign w:val="center"/>
          </w:tcPr>
          <w:p w:rsidR="002D2B28" w:rsidRPr="002D2B28" w:rsidRDefault="002D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DOCUMENTOS ESPECÍFICOS</w:t>
            </w:r>
          </w:p>
        </w:tc>
        <w:tc>
          <w:tcPr>
            <w:tcW w:w="4246" w:type="dxa"/>
          </w:tcPr>
          <w:p w:rsidR="002D2B28" w:rsidRPr="002D2B28" w:rsidRDefault="002D2B28" w:rsidP="002D2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OBSERVAÇÕES</w:t>
            </w:r>
          </w:p>
        </w:tc>
      </w:tr>
      <w:tr w:rsidR="002D2B28" w:rsidRPr="002D2B28" w:rsidTr="002D2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2D2B28" w:rsidRPr="002D2B28" w:rsidRDefault="002D2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D2B28" w:rsidRPr="002D2B28" w:rsidRDefault="002D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 PDF DO CURRÍCULO LATTES ATUALIZADO</w:t>
            </w:r>
          </w:p>
        </w:tc>
        <w:tc>
          <w:tcPr>
            <w:tcW w:w="4246" w:type="dxa"/>
          </w:tcPr>
          <w:p w:rsidR="002D2B28" w:rsidRPr="002D2B28" w:rsidRDefault="002D2B28" w:rsidP="002D2B2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Deve ser criado e atualizado em: </w:t>
            </w:r>
          </w:p>
          <w:p w:rsidR="002D2B28" w:rsidRPr="002D2B28" w:rsidRDefault="002D2B28" w:rsidP="002D2B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" w:history="1">
              <w:r w:rsidRPr="002D2B2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https://wwws.cnpq.br/cvlattesweb/pkg_cv_estr.inicio</w:t>
              </w:r>
            </w:hyperlink>
          </w:p>
          <w:p w:rsidR="002D2B28" w:rsidRPr="002D2B28" w:rsidRDefault="002D2B28" w:rsidP="002D2B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O Currículo Lattes deve ser atualizado e citar a Capes como a instituição de fomento da sua bolsa no exterior.</w:t>
            </w:r>
          </w:p>
        </w:tc>
      </w:tr>
      <w:tr w:rsidR="002D2B28" w:rsidRPr="002D2B28" w:rsidTr="002D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2D2B28" w:rsidRPr="002D2B28" w:rsidRDefault="002D2B28" w:rsidP="002D2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D2B28" w:rsidRPr="002D2B28" w:rsidRDefault="002D2B28" w:rsidP="002D2B2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2. PDF DOS COMPROVANTES DE PERMANÊNCIA NO BRASIL </w:t>
            </w:r>
          </w:p>
        </w:tc>
        <w:tc>
          <w:tcPr>
            <w:tcW w:w="4246" w:type="dxa"/>
          </w:tcPr>
          <w:p w:rsidR="002D2B28" w:rsidRPr="002D2B28" w:rsidRDefault="002D2B28" w:rsidP="002D2B2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Os comprovantes de permanência no Brasil devem referir-se a todos os meses do interstício. </w:t>
            </w:r>
          </w:p>
        </w:tc>
      </w:tr>
      <w:tr w:rsidR="002D2B28" w:rsidRPr="002D2B28" w:rsidTr="002D2B28">
        <w:trPr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2D2B28" w:rsidRPr="002D2B28" w:rsidRDefault="002D2B28" w:rsidP="002D2B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D2B28" w:rsidRPr="002D2B28" w:rsidRDefault="002D2B28" w:rsidP="002D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46" w:type="dxa"/>
          </w:tcPr>
          <w:p w:rsidR="002D2B28" w:rsidRPr="002D2B28" w:rsidRDefault="002D2B28" w:rsidP="002D2B2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São considerados documentos para 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comprova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ção do período de permanência obrigatória:</w:t>
            </w:r>
          </w:p>
          <w:p w:rsidR="002D2B28" w:rsidRPr="002D2B28" w:rsidRDefault="002D2B28" w:rsidP="002D2B2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D2B2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Para todas as modalidades, inclusive graduação sanduíche</w:t>
            </w:r>
            <w:r w:rsidRPr="002D2B2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: </w:t>
            </w:r>
          </w:p>
          <w:p w:rsidR="002D2B28" w:rsidRPr="002D2B28" w:rsidRDefault="002D2B28" w:rsidP="002D2B2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Certidão de Movimentos Migratórios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2D2B28">
              <w:rPr>
                <w:rFonts w:asciiTheme="majorHAnsi" w:hAnsiTheme="majorHAnsi" w:cstheme="majorHAnsi"/>
                <w:b/>
                <w:sz w:val="20"/>
                <w:szCs w:val="20"/>
              </w:rPr>
              <w:t>CMM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, emitida pela Polícia Federal, 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para todas as modalidades: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D2B28" w:rsidRPr="002D2B28" w:rsidRDefault="002D2B28" w:rsidP="002D2B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D2B28" w:rsidRPr="002D2B28" w:rsidRDefault="002D2B28" w:rsidP="002D2B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b/>
                <w:sz w:val="20"/>
                <w:szCs w:val="20"/>
              </w:rPr>
              <w:t>Para a graduação sanduíche, além da CMM</w:t>
            </w: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2D2B28" w:rsidRPr="002D2B28" w:rsidRDefault="002D2B28" w:rsidP="002D2B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2. Histórico escolar do período de estudo no Brasil, para a modalidade de graduação sanduíche.</w:t>
            </w:r>
          </w:p>
        </w:tc>
      </w:tr>
      <w:tr w:rsidR="002D2B28" w:rsidRPr="002D2B28" w:rsidTr="002D2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2D2B28" w:rsidRPr="002D2B28" w:rsidRDefault="002D2B28" w:rsidP="002D2B2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A falsa declaração de permanência, bem como o uso de documentos falsificados para fins de comprovação da permanência no Brasil, sujeita o responsável à</w:t>
            </w:r>
            <w:bookmarkStart w:id="0" w:name="_GoBack"/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bookmarkEnd w:id="0"/>
            <w:r w:rsidRPr="002D2B28">
              <w:rPr>
                <w:rFonts w:asciiTheme="majorHAnsi" w:hAnsiTheme="majorHAnsi" w:cstheme="majorHAnsi"/>
                <w:sz w:val="20"/>
                <w:szCs w:val="20"/>
              </w:rPr>
              <w:t xml:space="preserve"> sanções previstas nos artigos 299 e 304, do Código Penal.</w:t>
            </w:r>
          </w:p>
        </w:tc>
      </w:tr>
      <w:tr w:rsidR="002D2B28" w:rsidRPr="002D2B28" w:rsidTr="002D2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2D2B28" w:rsidRPr="002D2B28" w:rsidRDefault="002D2B28" w:rsidP="002D2B2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D2B28">
              <w:rPr>
                <w:rFonts w:asciiTheme="majorHAnsi" w:hAnsiTheme="majorHAnsi" w:cstheme="majorHAnsi"/>
                <w:sz w:val="20"/>
                <w:szCs w:val="20"/>
              </w:rPr>
              <w:t>Verificada, a qualquer tempo, falsificação de assinatura ou de autenticação de documento público ou particular, o órgão ou entidade considerará não satisfeita a exigência documental respectiva e, dentro do prazo máximo de cinco dias, dará conhecimento do fato à autoridade competente para adoção das providências administrativas, civis e penais cabíveis (Decreto 6932/2009, Art. 10º, §2º).</w:t>
            </w:r>
          </w:p>
        </w:tc>
      </w:tr>
    </w:tbl>
    <w:p w:rsidR="002D2B28" w:rsidRDefault="002D2B28"/>
    <w:sectPr w:rsidR="002D2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28"/>
    <w:rsid w:val="002D2B28"/>
    <w:rsid w:val="00E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0B3B-EF47-422C-BCAD-E976954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2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2B28"/>
    <w:rPr>
      <w:color w:val="0563C1" w:themeColor="hyperlink"/>
      <w:u w:val="single"/>
    </w:rPr>
  </w:style>
  <w:style w:type="table" w:styleId="TabeladeGrade5Escura-nfase3">
    <w:name w:val="Grid Table 5 Dark Accent 3"/>
    <w:basedOn w:val="Tabelanormal"/>
    <w:uiPriority w:val="50"/>
    <w:rsid w:val="002D2B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s.cnpq.br/cvlattesweb/pkg_cv_estr.inic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Idelazil Cristina do Nascimento Talhavini</dc:creator>
  <cp:keywords/>
  <dc:description/>
  <cp:lastModifiedBy>Idelazil Cristina do Nascimento Talhavini</cp:lastModifiedBy>
  <cp:revision>1</cp:revision>
  <dcterms:created xsi:type="dcterms:W3CDTF">2019-04-29T14:39:00Z</dcterms:created>
  <dcterms:modified xsi:type="dcterms:W3CDTF">2019-04-29T14:55:00Z</dcterms:modified>
</cp:coreProperties>
</file>