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35EF" w14:textId="77777777" w:rsidR="00564D8E" w:rsidRDefault="00A0738A" w:rsidP="00853529">
      <w:pPr>
        <w:jc w:val="both"/>
        <w:rPr>
          <w:b/>
          <w:bCs/>
        </w:rPr>
      </w:pPr>
      <w:r>
        <w:rPr>
          <w:b/>
          <w:bCs/>
        </w:rPr>
        <w:t>RELACIONAMENTO COM A SOCIEDADE</w:t>
      </w:r>
    </w:p>
    <w:p w14:paraId="25ADEFB6" w14:textId="77777777" w:rsidR="00A0738A" w:rsidRDefault="00A0738A" w:rsidP="00853529">
      <w:pPr>
        <w:jc w:val="both"/>
        <w:rPr>
          <w:b/>
          <w:bCs/>
        </w:rPr>
      </w:pPr>
    </w:p>
    <w:p w14:paraId="1CD1E373" w14:textId="77777777" w:rsidR="00A0738A" w:rsidRDefault="00A0738A" w:rsidP="00853529">
      <w:pPr>
        <w:pStyle w:val="PargrafodaLista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>Canais de Acesso do Cidadão</w:t>
      </w:r>
    </w:p>
    <w:p w14:paraId="3B0F6D72" w14:textId="77777777" w:rsidR="00D64068" w:rsidRDefault="00D64068" w:rsidP="00853529">
      <w:pPr>
        <w:pStyle w:val="PargrafodaLista"/>
        <w:ind w:left="720"/>
        <w:rPr>
          <w:b/>
          <w:bCs/>
        </w:rPr>
      </w:pPr>
    </w:p>
    <w:p w14:paraId="59E690DE" w14:textId="77777777" w:rsidR="00D64068" w:rsidRPr="00D64068" w:rsidRDefault="00D64068" w:rsidP="00853529">
      <w:pPr>
        <w:pStyle w:val="PargrafodaLista"/>
        <w:numPr>
          <w:ilvl w:val="1"/>
          <w:numId w:val="21"/>
        </w:numPr>
        <w:rPr>
          <w:b/>
          <w:bCs/>
        </w:rPr>
      </w:pPr>
      <w:r>
        <w:rPr>
          <w:b/>
          <w:bCs/>
        </w:rPr>
        <w:t xml:space="preserve"> Ouvidoria</w:t>
      </w:r>
    </w:p>
    <w:p w14:paraId="7D508869" w14:textId="77777777" w:rsidR="00D64068" w:rsidRPr="00A0738A" w:rsidRDefault="00D64068" w:rsidP="00853529">
      <w:pPr>
        <w:pStyle w:val="PargrafodaLista"/>
        <w:ind w:left="1080"/>
        <w:rPr>
          <w:b/>
          <w:bCs/>
        </w:rPr>
      </w:pPr>
    </w:p>
    <w:p w14:paraId="158E1657" w14:textId="77777777" w:rsidR="00AF7532" w:rsidRDefault="00AF7532" w:rsidP="00853529">
      <w:pPr>
        <w:jc w:val="both"/>
        <w:rPr>
          <w:b/>
          <w:bCs/>
        </w:rPr>
      </w:pPr>
    </w:p>
    <w:p w14:paraId="06FBB431" w14:textId="77777777" w:rsidR="00AF7532" w:rsidRDefault="00AF7532" w:rsidP="00853529">
      <w:pPr>
        <w:ind w:firstLine="708"/>
        <w:jc w:val="both"/>
        <w:rPr>
          <w:bCs/>
          <w:lang w:eastAsia="pt-BR"/>
        </w:rPr>
      </w:pPr>
      <w:r w:rsidRPr="003732D6">
        <w:rPr>
          <w:bCs/>
          <w:lang w:eastAsia="pt-BR"/>
        </w:rPr>
        <w:t>A Ouvidoria do Ministério do Turismo recebe</w:t>
      </w:r>
      <w:r w:rsidR="00A0738A">
        <w:rPr>
          <w:bCs/>
          <w:lang w:eastAsia="pt-BR"/>
        </w:rPr>
        <w:t xml:space="preserve">u, de janeiro a dezembro de </w:t>
      </w:r>
      <w:r w:rsidR="00762C46" w:rsidRPr="00762C46">
        <w:rPr>
          <w:bCs/>
          <w:lang w:eastAsia="pt-BR"/>
        </w:rPr>
        <w:t>2018</w:t>
      </w:r>
      <w:r w:rsidRPr="00E53819">
        <w:rPr>
          <w:bCs/>
          <w:lang w:eastAsia="pt-BR"/>
        </w:rPr>
        <w:t xml:space="preserve">, </w:t>
      </w:r>
      <w:r w:rsidR="000D3E7D">
        <w:rPr>
          <w:bCs/>
          <w:lang w:eastAsia="pt-BR"/>
        </w:rPr>
        <w:t>853</w:t>
      </w:r>
      <w:r w:rsidR="003E14DB">
        <w:rPr>
          <w:bCs/>
          <w:lang w:eastAsia="pt-BR"/>
        </w:rPr>
        <w:t xml:space="preserve"> </w:t>
      </w:r>
      <w:r w:rsidRPr="002152F6">
        <w:rPr>
          <w:bCs/>
          <w:lang w:eastAsia="pt-BR"/>
        </w:rPr>
        <w:t>demandas de cidadãos, encaminhadas p</w:t>
      </w:r>
      <w:r w:rsidR="00D64068" w:rsidRPr="002152F6">
        <w:rPr>
          <w:bCs/>
          <w:lang w:eastAsia="pt-BR"/>
        </w:rPr>
        <w:t xml:space="preserve">or meio do </w:t>
      </w:r>
      <w:r w:rsidR="00B83487">
        <w:rPr>
          <w:bCs/>
          <w:lang w:eastAsia="pt-BR"/>
        </w:rPr>
        <w:t>sistema E-OUV</w:t>
      </w:r>
      <w:r w:rsidR="002152F6" w:rsidRPr="002152F6">
        <w:rPr>
          <w:bCs/>
          <w:lang w:eastAsia="pt-BR"/>
        </w:rPr>
        <w:t xml:space="preserve"> e </w:t>
      </w:r>
      <w:r w:rsidR="003E14DB">
        <w:rPr>
          <w:bCs/>
          <w:lang w:eastAsia="pt-BR"/>
        </w:rPr>
        <w:t>42</w:t>
      </w:r>
      <w:r w:rsidR="002152F6">
        <w:rPr>
          <w:bCs/>
          <w:lang w:eastAsia="pt-BR"/>
        </w:rPr>
        <w:t xml:space="preserve"> demandas recebidas via e-mail. </w:t>
      </w:r>
      <w:r w:rsidRPr="003732D6">
        <w:rPr>
          <w:bCs/>
          <w:lang w:eastAsia="pt-BR"/>
        </w:rPr>
        <w:t>Desse total</w:t>
      </w:r>
      <w:r w:rsidRPr="00413088">
        <w:rPr>
          <w:bCs/>
          <w:lang w:eastAsia="pt-BR"/>
        </w:rPr>
        <w:t xml:space="preserve">, </w:t>
      </w:r>
      <w:r w:rsidR="00413088" w:rsidRPr="00413088">
        <w:rPr>
          <w:bCs/>
          <w:lang w:eastAsia="pt-BR"/>
        </w:rPr>
        <w:t>450</w:t>
      </w:r>
      <w:r w:rsidR="0074798C" w:rsidRPr="00413088">
        <w:rPr>
          <w:bCs/>
          <w:lang w:eastAsia="pt-BR"/>
        </w:rPr>
        <w:t xml:space="preserve"> </w:t>
      </w:r>
      <w:r w:rsidRPr="00413088">
        <w:rPr>
          <w:bCs/>
          <w:lang w:eastAsia="pt-BR"/>
        </w:rPr>
        <w:t>foram respondidas</w:t>
      </w:r>
      <w:r w:rsidRPr="00061112">
        <w:rPr>
          <w:bCs/>
          <w:lang w:eastAsia="pt-BR"/>
        </w:rPr>
        <w:t xml:space="preserve"> diretamente pela equipe, visto que os assuntos constavam em banco de dados da área, e </w:t>
      </w:r>
      <w:r w:rsidR="00413088">
        <w:rPr>
          <w:bCs/>
          <w:lang w:eastAsia="pt-BR"/>
        </w:rPr>
        <w:t>403</w:t>
      </w:r>
      <w:r w:rsidRPr="00061112">
        <w:rPr>
          <w:bCs/>
          <w:lang w:eastAsia="pt-BR"/>
        </w:rPr>
        <w:t xml:space="preserve"> e-mails</w:t>
      </w:r>
      <w:r w:rsidRPr="003732D6">
        <w:rPr>
          <w:bCs/>
          <w:lang w:eastAsia="pt-BR"/>
        </w:rPr>
        <w:t xml:space="preserve"> foram encaminhados às áreas responsáveis do Min</w:t>
      </w:r>
      <w:r w:rsidR="00A0738A">
        <w:rPr>
          <w:bCs/>
          <w:lang w:eastAsia="pt-BR"/>
        </w:rPr>
        <w:t xml:space="preserve">istério do Turismo (GM, SE, </w:t>
      </w:r>
      <w:proofErr w:type="spellStart"/>
      <w:r w:rsidR="00A0738A">
        <w:rPr>
          <w:bCs/>
          <w:lang w:eastAsia="pt-BR"/>
        </w:rPr>
        <w:t>SNETtur</w:t>
      </w:r>
      <w:proofErr w:type="spellEnd"/>
      <w:r w:rsidR="00A0738A">
        <w:rPr>
          <w:bCs/>
          <w:lang w:eastAsia="pt-BR"/>
        </w:rPr>
        <w:t xml:space="preserve">, </w:t>
      </w:r>
      <w:proofErr w:type="spellStart"/>
      <w:r w:rsidR="00A0738A">
        <w:rPr>
          <w:bCs/>
          <w:lang w:eastAsia="pt-BR"/>
        </w:rPr>
        <w:t>SNPT</w:t>
      </w:r>
      <w:r w:rsidRPr="003732D6">
        <w:rPr>
          <w:bCs/>
          <w:lang w:eastAsia="pt-BR"/>
        </w:rPr>
        <w:t>ur</w:t>
      </w:r>
      <w:proofErr w:type="spellEnd"/>
      <w:r w:rsidRPr="003732D6">
        <w:rPr>
          <w:bCs/>
          <w:lang w:eastAsia="pt-BR"/>
        </w:rPr>
        <w:t xml:space="preserve">), para que fossem dados </w:t>
      </w:r>
      <w:r>
        <w:rPr>
          <w:bCs/>
          <w:lang w:eastAsia="pt-BR"/>
        </w:rPr>
        <w:t xml:space="preserve">os </w:t>
      </w:r>
      <w:r w:rsidRPr="003732D6">
        <w:rPr>
          <w:bCs/>
          <w:lang w:eastAsia="pt-BR"/>
        </w:rPr>
        <w:t>esclarecimentos específicos. Assim, diretamente respondidas pela equipe ou descentralizadas para as áreas técnicas, a Ouvidoria deu o devido tratamento a todas as solicitações.</w:t>
      </w:r>
    </w:p>
    <w:p w14:paraId="013C7234" w14:textId="77777777" w:rsidR="00642B26" w:rsidRPr="003732D6" w:rsidRDefault="00642B26" w:rsidP="00853529">
      <w:pPr>
        <w:ind w:firstLine="708"/>
        <w:jc w:val="both"/>
        <w:rPr>
          <w:bCs/>
          <w:lang w:eastAsia="pt-BR"/>
        </w:rPr>
      </w:pPr>
      <w:r>
        <w:rPr>
          <w:bCs/>
          <w:lang w:eastAsia="pt-BR"/>
        </w:rPr>
        <w:t xml:space="preserve">Vale ressaltar que, </w:t>
      </w:r>
      <w:r w:rsidRPr="00061112">
        <w:rPr>
          <w:bCs/>
          <w:lang w:eastAsia="pt-BR"/>
        </w:rPr>
        <w:t>em 2015,</w:t>
      </w:r>
      <w:r>
        <w:rPr>
          <w:bCs/>
          <w:lang w:eastAsia="pt-BR"/>
        </w:rPr>
        <w:t xml:space="preserve"> com a implementação do sistema </w:t>
      </w:r>
      <w:r w:rsidR="00B83487">
        <w:rPr>
          <w:bCs/>
          <w:lang w:eastAsia="pt-BR"/>
        </w:rPr>
        <w:t>E-OUV</w:t>
      </w:r>
      <w:r w:rsidR="00B83487" w:rsidRPr="002152F6">
        <w:rPr>
          <w:bCs/>
          <w:lang w:eastAsia="pt-BR"/>
        </w:rPr>
        <w:t xml:space="preserve"> </w:t>
      </w:r>
      <w:r>
        <w:rPr>
          <w:bCs/>
          <w:lang w:eastAsia="pt-BR"/>
        </w:rPr>
        <w:t xml:space="preserve">pela CGU, os e-mails dos cidadãos recebidos pelo e-mail institucional foram respondidos e </w:t>
      </w:r>
      <w:proofErr w:type="gramStart"/>
      <w:r>
        <w:rPr>
          <w:bCs/>
          <w:lang w:eastAsia="pt-BR"/>
        </w:rPr>
        <w:t>os mesmos</w:t>
      </w:r>
      <w:proofErr w:type="gramEnd"/>
      <w:r>
        <w:rPr>
          <w:bCs/>
          <w:lang w:eastAsia="pt-BR"/>
        </w:rPr>
        <w:t xml:space="preserve"> foram orientados a utilizarem o novo sistema. Devido a facilidade de controle tanto por parte dos cidadãos, quanto por parte da ouvidoria em termos de tempo de resposta, bem como classificação de assuntos, o e-mail institu</w:t>
      </w:r>
      <w:r w:rsidR="00980487">
        <w:rPr>
          <w:bCs/>
          <w:lang w:eastAsia="pt-BR"/>
        </w:rPr>
        <w:t>cional foi dando lugar ao e-</w:t>
      </w:r>
      <w:proofErr w:type="spellStart"/>
      <w:r w:rsidR="00980487">
        <w:rPr>
          <w:bCs/>
          <w:lang w:eastAsia="pt-BR"/>
        </w:rPr>
        <w:t>ouv</w:t>
      </w:r>
      <w:proofErr w:type="spellEnd"/>
      <w:r w:rsidR="0019436D">
        <w:rPr>
          <w:bCs/>
          <w:lang w:eastAsia="pt-BR"/>
        </w:rPr>
        <w:t>,</w:t>
      </w:r>
      <w:r w:rsidR="00980487">
        <w:rPr>
          <w:bCs/>
          <w:lang w:eastAsia="pt-BR"/>
        </w:rPr>
        <w:t xml:space="preserve"> como sugeriu a própria Ouvidoria da CGU.</w:t>
      </w:r>
    </w:p>
    <w:p w14:paraId="06F5E36D" w14:textId="77777777" w:rsidR="00D64068" w:rsidRDefault="00AF7532" w:rsidP="00853529">
      <w:pPr>
        <w:jc w:val="both"/>
        <w:rPr>
          <w:bCs/>
        </w:rPr>
      </w:pPr>
      <w:r w:rsidRPr="003732D6">
        <w:rPr>
          <w:bCs/>
          <w:lang w:eastAsia="pt-BR"/>
        </w:rPr>
        <w:t>           </w:t>
      </w:r>
      <w:r w:rsidR="00B66E0E">
        <w:rPr>
          <w:bCs/>
        </w:rPr>
        <w:t>A</w:t>
      </w:r>
      <w:r w:rsidR="00475F67">
        <w:rPr>
          <w:bCs/>
        </w:rPr>
        <w:t xml:space="preserve"> seguir o quadro que está ordenado por quantidade de demandas e classificado segundo o sistema, representa os assuntos referentes </w:t>
      </w:r>
      <w:r w:rsidR="00475F67" w:rsidRPr="002438E5">
        <w:rPr>
          <w:bCs/>
        </w:rPr>
        <w:t xml:space="preserve">ao </w:t>
      </w:r>
      <w:r w:rsidR="002438E5" w:rsidRPr="002438E5">
        <w:rPr>
          <w:bCs/>
        </w:rPr>
        <w:t>ano de 2018</w:t>
      </w:r>
      <w:r w:rsidR="00475F67" w:rsidRPr="002438E5">
        <w:rPr>
          <w:bCs/>
        </w:rPr>
        <w:t>.</w:t>
      </w:r>
    </w:p>
    <w:p w14:paraId="2222785C" w14:textId="77777777" w:rsidR="004D449E" w:rsidRDefault="004D449E" w:rsidP="00853529">
      <w:pPr>
        <w:ind w:firstLine="708"/>
        <w:jc w:val="both"/>
        <w:rPr>
          <w:bCs/>
        </w:rPr>
      </w:pPr>
    </w:p>
    <w:p w14:paraId="1F702366" w14:textId="77777777" w:rsidR="004D449E" w:rsidRDefault="004D449E" w:rsidP="00853529">
      <w:pPr>
        <w:ind w:firstLine="708"/>
        <w:jc w:val="both"/>
        <w:rPr>
          <w:bCs/>
        </w:rPr>
      </w:pPr>
      <w:r>
        <w:rPr>
          <w:bCs/>
        </w:rPr>
        <w:t>Quadro 1.1.1- DEMANDAS E-OUV</w:t>
      </w:r>
    </w:p>
    <w:p w14:paraId="2C0AC434" w14:textId="77777777" w:rsidR="0074798C" w:rsidRDefault="00475F67" w:rsidP="00853529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415CD4E" w14:textId="77777777" w:rsidR="0074798C" w:rsidRDefault="0074798C" w:rsidP="00853529">
      <w:pPr>
        <w:jc w:val="both"/>
        <w:rPr>
          <w:noProof/>
          <w:lang w:eastAsia="pt-BR"/>
        </w:rPr>
      </w:pPr>
    </w:p>
    <w:p w14:paraId="4371F354" w14:textId="77777777" w:rsidR="00A96177" w:rsidRDefault="00A96177" w:rsidP="00AC1EF1">
      <w:pPr>
        <w:ind w:firstLine="142"/>
        <w:jc w:val="both"/>
        <w:rPr>
          <w:b/>
          <w:bCs/>
        </w:rPr>
      </w:pPr>
      <w:r>
        <w:rPr>
          <w:b/>
          <w:bCs/>
          <w:noProof/>
          <w:lang w:eastAsia="pt-BR"/>
        </w:rPr>
        <w:drawing>
          <wp:inline distT="0" distB="0" distL="0" distR="0" wp14:anchorId="2A87DBD0" wp14:editId="39087382">
            <wp:extent cx="5486400" cy="2352675"/>
            <wp:effectExtent l="0" t="0" r="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90B260" w14:textId="77777777" w:rsidR="0074798C" w:rsidRDefault="0074798C" w:rsidP="00853529">
      <w:pPr>
        <w:ind w:firstLine="708"/>
        <w:jc w:val="both"/>
        <w:rPr>
          <w:bCs/>
        </w:rPr>
      </w:pPr>
    </w:p>
    <w:p w14:paraId="1B17C85F" w14:textId="77777777" w:rsidR="00D64068" w:rsidRDefault="00D64068" w:rsidP="00853529">
      <w:pPr>
        <w:jc w:val="both"/>
        <w:rPr>
          <w:bCs/>
          <w:lang w:eastAsia="pt-BR"/>
        </w:rPr>
      </w:pPr>
    </w:p>
    <w:p w14:paraId="7A6EA087" w14:textId="77777777" w:rsidR="00233D8D" w:rsidRDefault="00E53819" w:rsidP="000D3E7D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Foram recebidas também 2 demandas através do sistema SIMPLIFIQUE.</w:t>
      </w:r>
    </w:p>
    <w:p w14:paraId="011147D8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0EFDD30F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3A9692A9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3D8522D1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37957DC0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7D05EFB6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67CA0576" w14:textId="77777777" w:rsidR="00CC4970" w:rsidRDefault="00CC4970" w:rsidP="000D3E7D">
      <w:pPr>
        <w:jc w:val="both"/>
        <w:rPr>
          <w:bCs/>
          <w:color w:val="000000" w:themeColor="text1"/>
        </w:rPr>
      </w:pPr>
    </w:p>
    <w:p w14:paraId="4C4072E2" w14:textId="77777777" w:rsidR="00702BBC" w:rsidRDefault="00702BBC" w:rsidP="00702BBC">
      <w:pPr>
        <w:ind w:firstLine="283"/>
        <w:jc w:val="both"/>
        <w:rPr>
          <w:bCs/>
        </w:rPr>
      </w:pPr>
      <w:r>
        <w:rPr>
          <w:bCs/>
        </w:rPr>
        <w:lastRenderedPageBreak/>
        <w:t>Quadro 1.1.2- QUANTIDADE DE PEDIDOS REGISTRADOS POR MÊS</w:t>
      </w:r>
    </w:p>
    <w:p w14:paraId="5F841AF8" w14:textId="77777777" w:rsidR="00702BBC" w:rsidRDefault="00702BBC" w:rsidP="00702BBC">
      <w:pPr>
        <w:ind w:firstLine="283"/>
        <w:jc w:val="both"/>
        <w:rPr>
          <w:bCs/>
        </w:rPr>
      </w:pPr>
    </w:p>
    <w:p w14:paraId="6A0B983F" w14:textId="77777777" w:rsidR="00702BBC" w:rsidRDefault="00702BBC" w:rsidP="00702BBC">
      <w:pPr>
        <w:ind w:firstLine="283"/>
        <w:jc w:val="both"/>
        <w:rPr>
          <w:bCs/>
        </w:rPr>
      </w:pPr>
      <w:r>
        <w:rPr>
          <w:b/>
          <w:bCs/>
          <w:noProof/>
          <w:lang w:eastAsia="pt-BR"/>
        </w:rPr>
        <w:drawing>
          <wp:inline distT="0" distB="0" distL="0" distR="0" wp14:anchorId="14441DDE" wp14:editId="143A86BF">
            <wp:extent cx="5579745" cy="2619375"/>
            <wp:effectExtent l="0" t="0" r="1905" b="952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DCA843" w14:textId="77777777" w:rsidR="00702BBC" w:rsidRDefault="00702BBC" w:rsidP="00702BBC">
      <w:pPr>
        <w:ind w:firstLine="283"/>
        <w:jc w:val="both"/>
        <w:rPr>
          <w:bCs/>
        </w:rPr>
      </w:pPr>
    </w:p>
    <w:p w14:paraId="01300A74" w14:textId="77777777" w:rsidR="00702BBC" w:rsidRDefault="00702BBC" w:rsidP="000D3E7D">
      <w:pPr>
        <w:jc w:val="both"/>
        <w:rPr>
          <w:bCs/>
        </w:rPr>
      </w:pPr>
    </w:p>
    <w:p w14:paraId="2B0DBE23" w14:textId="77777777" w:rsidR="00AB4719" w:rsidRDefault="00AB4719" w:rsidP="00853529">
      <w:pPr>
        <w:ind w:firstLine="708"/>
        <w:jc w:val="both"/>
        <w:rPr>
          <w:bCs/>
        </w:rPr>
      </w:pPr>
    </w:p>
    <w:p w14:paraId="49440ED2" w14:textId="77777777" w:rsidR="00AB4719" w:rsidRDefault="00AB4719" w:rsidP="00853529">
      <w:pPr>
        <w:ind w:firstLine="708"/>
        <w:jc w:val="both"/>
        <w:rPr>
          <w:bCs/>
        </w:rPr>
      </w:pPr>
    </w:p>
    <w:p w14:paraId="52F965EB" w14:textId="77777777" w:rsidR="00642B26" w:rsidRDefault="00642B26" w:rsidP="00853529">
      <w:pPr>
        <w:jc w:val="both"/>
      </w:pPr>
    </w:p>
    <w:p w14:paraId="44C7BF70" w14:textId="77777777" w:rsidR="00564D8E" w:rsidRPr="00D64068" w:rsidRDefault="00D64068" w:rsidP="00853529">
      <w:pPr>
        <w:pStyle w:val="PargrafodaLista"/>
        <w:numPr>
          <w:ilvl w:val="1"/>
          <w:numId w:val="21"/>
        </w:numPr>
        <w:rPr>
          <w:b/>
        </w:rPr>
      </w:pPr>
      <w:r>
        <w:rPr>
          <w:b/>
        </w:rPr>
        <w:t xml:space="preserve"> </w:t>
      </w:r>
      <w:r w:rsidR="008D7529" w:rsidRPr="00D64068">
        <w:rPr>
          <w:b/>
        </w:rPr>
        <w:t>SIC</w:t>
      </w:r>
    </w:p>
    <w:p w14:paraId="3E080813" w14:textId="77777777" w:rsidR="00642B26" w:rsidRDefault="00642B26" w:rsidP="00853529">
      <w:pPr>
        <w:ind w:firstLine="283"/>
        <w:jc w:val="both"/>
        <w:rPr>
          <w:bCs/>
        </w:rPr>
      </w:pPr>
    </w:p>
    <w:p w14:paraId="552A9951" w14:textId="77777777" w:rsidR="00672067" w:rsidRDefault="00642B26" w:rsidP="00853529">
      <w:pPr>
        <w:ind w:firstLine="283"/>
        <w:jc w:val="both"/>
        <w:rPr>
          <w:bCs/>
        </w:rPr>
      </w:pPr>
      <w:r>
        <w:rPr>
          <w:bCs/>
        </w:rPr>
        <w:t xml:space="preserve">          </w:t>
      </w:r>
      <w:r w:rsidR="008814EC">
        <w:rPr>
          <w:bCs/>
        </w:rPr>
        <w:t>C</w:t>
      </w:r>
      <w:r w:rsidR="00A82B61" w:rsidRPr="003732D6">
        <w:rPr>
          <w:bCs/>
        </w:rPr>
        <w:t xml:space="preserve">om a Lei n° 12.527/2011, que regula o acesso à informação pública, o Ministério do Turismo </w:t>
      </w:r>
      <w:r w:rsidR="00B83487">
        <w:rPr>
          <w:bCs/>
        </w:rPr>
        <w:t>registrou, por meio do Sistema E</w:t>
      </w:r>
      <w:r w:rsidR="00A82B61" w:rsidRPr="003732D6">
        <w:rPr>
          <w:bCs/>
        </w:rPr>
        <w:t>-SIC</w:t>
      </w:r>
      <w:r w:rsidR="00A82B61" w:rsidRPr="008814EC">
        <w:rPr>
          <w:bCs/>
          <w:color w:val="000000" w:themeColor="text1"/>
        </w:rPr>
        <w:t xml:space="preserve">, </w:t>
      </w:r>
      <w:r w:rsidR="00212A71" w:rsidRPr="00212A71">
        <w:rPr>
          <w:bCs/>
          <w:color w:val="000000" w:themeColor="text1"/>
        </w:rPr>
        <w:t>154</w:t>
      </w:r>
      <w:r w:rsidR="00A82B61" w:rsidRPr="008814EC">
        <w:rPr>
          <w:bCs/>
          <w:color w:val="000000" w:themeColor="text1"/>
        </w:rPr>
        <w:t xml:space="preserve"> pedidos </w:t>
      </w:r>
      <w:r w:rsidR="00A82B61" w:rsidRPr="003732D6">
        <w:rPr>
          <w:bCs/>
        </w:rPr>
        <w:t>de informaçõ</w:t>
      </w:r>
      <w:r w:rsidR="00E53819">
        <w:rPr>
          <w:bCs/>
        </w:rPr>
        <w:t>es de janeiro a dezembro de 2018</w:t>
      </w:r>
      <w:r w:rsidR="000354BC">
        <w:rPr>
          <w:bCs/>
        </w:rPr>
        <w:t xml:space="preserve"> através do sistema E-SIC, </w:t>
      </w:r>
      <w:r w:rsidR="000D3E7D">
        <w:rPr>
          <w:bCs/>
        </w:rPr>
        <w:t xml:space="preserve">e 38 demandas recebidas através do e-mail. </w:t>
      </w:r>
      <w:r w:rsidR="00AF7532">
        <w:rPr>
          <w:bCs/>
        </w:rPr>
        <w:t xml:space="preserve">Desse total, </w:t>
      </w:r>
      <w:proofErr w:type="gramStart"/>
      <w:r w:rsidR="00AF7532" w:rsidRPr="008814EC">
        <w:rPr>
          <w:bCs/>
          <w:color w:val="000000" w:themeColor="text1"/>
        </w:rPr>
        <w:t>houve</w:t>
      </w:r>
      <w:r w:rsidR="008814EC" w:rsidRPr="008814EC">
        <w:rPr>
          <w:bCs/>
          <w:color w:val="000000" w:themeColor="text1"/>
        </w:rPr>
        <w:t>ram</w:t>
      </w:r>
      <w:proofErr w:type="gramEnd"/>
      <w:r w:rsidR="00AF7532" w:rsidRPr="008814EC">
        <w:rPr>
          <w:bCs/>
          <w:color w:val="000000" w:themeColor="text1"/>
        </w:rPr>
        <w:t xml:space="preserve"> </w:t>
      </w:r>
      <w:r w:rsidR="00212A71" w:rsidRPr="003B0025">
        <w:rPr>
          <w:bCs/>
          <w:color w:val="000000" w:themeColor="text1"/>
        </w:rPr>
        <w:t>10</w:t>
      </w:r>
      <w:r w:rsidR="00A82B61" w:rsidRPr="003B0025">
        <w:rPr>
          <w:bCs/>
          <w:color w:val="000000" w:themeColor="text1"/>
        </w:rPr>
        <w:t xml:space="preserve"> recursos </w:t>
      </w:r>
      <w:r w:rsidR="00A82B61" w:rsidRPr="003B0025">
        <w:rPr>
          <w:bCs/>
        </w:rPr>
        <w:t xml:space="preserve">em primeira instância. </w:t>
      </w:r>
      <w:r w:rsidR="00F71FC3" w:rsidRPr="003B0025">
        <w:rPr>
          <w:bCs/>
        </w:rPr>
        <w:t>As áreas té</w:t>
      </w:r>
      <w:r w:rsidR="0019436D">
        <w:rPr>
          <w:bCs/>
        </w:rPr>
        <w:t xml:space="preserve">cnicas do </w:t>
      </w:r>
      <w:proofErr w:type="gramStart"/>
      <w:r w:rsidR="0019436D">
        <w:rPr>
          <w:bCs/>
        </w:rPr>
        <w:t xml:space="preserve">Ministério </w:t>
      </w:r>
      <w:r w:rsidR="00203599" w:rsidRPr="003B0025">
        <w:rPr>
          <w:bCs/>
        </w:rPr>
        <w:t xml:space="preserve"> </w:t>
      </w:r>
      <w:r w:rsidR="00203599" w:rsidRPr="003B0025">
        <w:rPr>
          <w:bCs/>
          <w:color w:val="000000" w:themeColor="text1"/>
        </w:rPr>
        <w:t>deferiram</w:t>
      </w:r>
      <w:proofErr w:type="gramEnd"/>
      <w:r w:rsidR="00203599" w:rsidRPr="003B0025">
        <w:rPr>
          <w:bCs/>
          <w:color w:val="000000" w:themeColor="text1"/>
        </w:rPr>
        <w:t xml:space="preserve"> </w:t>
      </w:r>
      <w:r w:rsidR="003B0025" w:rsidRPr="003B0025">
        <w:rPr>
          <w:bCs/>
          <w:color w:val="000000" w:themeColor="text1"/>
        </w:rPr>
        <w:t>10</w:t>
      </w:r>
      <w:r w:rsidR="00A82B61" w:rsidRPr="003B0025">
        <w:rPr>
          <w:bCs/>
          <w:color w:val="000000" w:themeColor="text1"/>
        </w:rPr>
        <w:t xml:space="preserve">. </w:t>
      </w:r>
      <w:proofErr w:type="gramStart"/>
      <w:r w:rsidR="00A82B61" w:rsidRPr="003B0025">
        <w:rPr>
          <w:bCs/>
          <w:color w:val="000000" w:themeColor="text1"/>
        </w:rPr>
        <w:t>Houve</w:t>
      </w:r>
      <w:r w:rsidR="008814EC" w:rsidRPr="003B0025">
        <w:rPr>
          <w:bCs/>
          <w:color w:val="000000" w:themeColor="text1"/>
        </w:rPr>
        <w:t>ram</w:t>
      </w:r>
      <w:proofErr w:type="gramEnd"/>
      <w:r w:rsidR="008814EC" w:rsidRPr="003B0025">
        <w:rPr>
          <w:bCs/>
          <w:color w:val="000000" w:themeColor="text1"/>
        </w:rPr>
        <w:t xml:space="preserve"> </w:t>
      </w:r>
      <w:r w:rsidR="003B0025" w:rsidRPr="003B0025">
        <w:rPr>
          <w:bCs/>
          <w:color w:val="000000" w:themeColor="text1"/>
        </w:rPr>
        <w:t>2</w:t>
      </w:r>
      <w:r w:rsidR="00A82B61" w:rsidRPr="003B0025">
        <w:rPr>
          <w:bCs/>
          <w:color w:val="000000" w:themeColor="text1"/>
        </w:rPr>
        <w:t xml:space="preserve"> recurso</w:t>
      </w:r>
      <w:r w:rsidR="00672067" w:rsidRPr="003B0025">
        <w:rPr>
          <w:bCs/>
          <w:color w:val="000000" w:themeColor="text1"/>
        </w:rPr>
        <w:t>s</w:t>
      </w:r>
      <w:r w:rsidR="00A82B61" w:rsidRPr="003B0025">
        <w:rPr>
          <w:bCs/>
          <w:color w:val="000000" w:themeColor="text1"/>
        </w:rPr>
        <w:t xml:space="preserve"> em segunda ins</w:t>
      </w:r>
      <w:r w:rsidR="00672067" w:rsidRPr="003B0025">
        <w:rPr>
          <w:bCs/>
          <w:color w:val="000000" w:themeColor="text1"/>
        </w:rPr>
        <w:t>tância</w:t>
      </w:r>
      <w:r w:rsidR="008814EC" w:rsidRPr="003B0025">
        <w:rPr>
          <w:bCs/>
          <w:color w:val="000000" w:themeColor="text1"/>
        </w:rPr>
        <w:t>; 2</w:t>
      </w:r>
      <w:r w:rsidR="00A82B61" w:rsidRPr="003B0025">
        <w:rPr>
          <w:bCs/>
          <w:color w:val="000000" w:themeColor="text1"/>
        </w:rPr>
        <w:t xml:space="preserve"> recurso</w:t>
      </w:r>
      <w:r w:rsidR="00672067" w:rsidRPr="003B0025">
        <w:rPr>
          <w:bCs/>
          <w:color w:val="000000" w:themeColor="text1"/>
        </w:rPr>
        <w:t>s foram direcionado</w:t>
      </w:r>
      <w:r w:rsidR="009F3615" w:rsidRPr="003B0025">
        <w:rPr>
          <w:bCs/>
          <w:color w:val="000000" w:themeColor="text1"/>
        </w:rPr>
        <w:t>s</w:t>
      </w:r>
      <w:r w:rsidR="00672067" w:rsidRPr="003B0025">
        <w:rPr>
          <w:bCs/>
          <w:color w:val="000000" w:themeColor="text1"/>
        </w:rPr>
        <w:t xml:space="preserve"> à CGU e, </w:t>
      </w:r>
      <w:r w:rsidR="005A2A81" w:rsidRPr="003B0025">
        <w:rPr>
          <w:bCs/>
          <w:color w:val="000000" w:themeColor="text1"/>
        </w:rPr>
        <w:t>nenhum</w:t>
      </w:r>
      <w:r w:rsidR="00A82B61" w:rsidRPr="003B0025">
        <w:rPr>
          <w:bCs/>
          <w:color w:val="000000" w:themeColor="text1"/>
        </w:rPr>
        <w:t xml:space="preserve"> </w:t>
      </w:r>
      <w:r w:rsidR="005A2A81" w:rsidRPr="003B0025">
        <w:rPr>
          <w:bCs/>
          <w:color w:val="000000" w:themeColor="text1"/>
        </w:rPr>
        <w:t>foi</w:t>
      </w:r>
      <w:r w:rsidR="00A82B61" w:rsidRPr="003B0025">
        <w:rPr>
          <w:bCs/>
          <w:color w:val="000000" w:themeColor="text1"/>
        </w:rPr>
        <w:t xml:space="preserve"> encaminhado à Comissão Mista de Reavaliação de </w:t>
      </w:r>
      <w:r w:rsidR="00A82B61" w:rsidRPr="003B0025">
        <w:rPr>
          <w:bCs/>
        </w:rPr>
        <w:t>Informações.</w:t>
      </w:r>
      <w:r w:rsidR="00A82B61" w:rsidRPr="003732D6">
        <w:rPr>
          <w:bCs/>
        </w:rPr>
        <w:t xml:space="preserve"> </w:t>
      </w:r>
    </w:p>
    <w:p w14:paraId="5E489F27" w14:textId="77777777" w:rsidR="004D449E" w:rsidRDefault="004D449E" w:rsidP="00853529">
      <w:pPr>
        <w:ind w:firstLine="283"/>
        <w:jc w:val="both"/>
        <w:rPr>
          <w:bCs/>
        </w:rPr>
      </w:pPr>
    </w:p>
    <w:p w14:paraId="230E7622" w14:textId="77777777" w:rsidR="004D449E" w:rsidRDefault="004D449E" w:rsidP="00853529">
      <w:pPr>
        <w:ind w:firstLine="283"/>
        <w:jc w:val="both"/>
        <w:rPr>
          <w:bCs/>
        </w:rPr>
      </w:pPr>
      <w:r>
        <w:rPr>
          <w:bCs/>
        </w:rPr>
        <w:t>Quadro 1.2.1- QUANTIDADE DE PEDIDOS REGISTRADOS POR MÊS</w:t>
      </w:r>
    </w:p>
    <w:p w14:paraId="7CD6BD75" w14:textId="77777777" w:rsidR="004D449E" w:rsidRDefault="004D449E" w:rsidP="00853529">
      <w:pPr>
        <w:ind w:firstLine="283"/>
        <w:jc w:val="both"/>
        <w:rPr>
          <w:bCs/>
        </w:rPr>
      </w:pPr>
    </w:p>
    <w:p w14:paraId="552F19CE" w14:textId="77777777" w:rsidR="00A82B61" w:rsidRPr="00672067" w:rsidRDefault="00AC1EF1" w:rsidP="00AC1EF1">
      <w:pPr>
        <w:jc w:val="both"/>
        <w:rPr>
          <w:bCs/>
          <w:color w:val="000000" w:themeColor="text1"/>
        </w:rPr>
      </w:pPr>
      <w:r>
        <w:rPr>
          <w:b/>
          <w:bCs/>
          <w:noProof/>
          <w:lang w:eastAsia="pt-BR"/>
        </w:rPr>
        <w:drawing>
          <wp:inline distT="0" distB="0" distL="0" distR="0" wp14:anchorId="24501099" wp14:editId="2E9994CD">
            <wp:extent cx="5667375" cy="2352675"/>
            <wp:effectExtent l="0" t="0" r="9525" b="952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FDC7AF" w14:textId="77777777" w:rsidR="00A82B61" w:rsidRDefault="00A82B61" w:rsidP="00853529">
      <w:pPr>
        <w:jc w:val="both"/>
        <w:rPr>
          <w:rFonts w:ascii="Calibri" w:hAnsi="Calibri"/>
          <w:color w:val="1F497D"/>
          <w:sz w:val="22"/>
          <w:szCs w:val="22"/>
        </w:rPr>
      </w:pPr>
    </w:p>
    <w:p w14:paraId="44E241DE" w14:textId="77777777" w:rsidR="00A82B61" w:rsidRDefault="00A82B61" w:rsidP="00853529">
      <w:pPr>
        <w:spacing w:before="120" w:after="12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1"/>
        <w:gridCol w:w="19"/>
        <w:gridCol w:w="6"/>
        <w:gridCol w:w="6"/>
        <w:gridCol w:w="6"/>
        <w:gridCol w:w="6"/>
        <w:gridCol w:w="6"/>
        <w:gridCol w:w="3000"/>
        <w:gridCol w:w="26"/>
        <w:gridCol w:w="532"/>
        <w:gridCol w:w="328"/>
        <w:gridCol w:w="303"/>
        <w:gridCol w:w="2644"/>
        <w:gridCol w:w="393"/>
        <w:gridCol w:w="752"/>
        <w:gridCol w:w="624"/>
      </w:tblGrid>
      <w:tr w:rsidR="00A82B61" w14:paraId="718F5833" w14:textId="77777777" w:rsidTr="00A82B61">
        <w:trPr>
          <w:trHeight w:val="375"/>
        </w:trPr>
        <w:tc>
          <w:tcPr>
            <w:tcW w:w="115" w:type="dxa"/>
          </w:tcPr>
          <w:p w14:paraId="3705AB74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" w:type="dxa"/>
          </w:tcPr>
          <w:p w14:paraId="6F8F57C1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" w:type="dxa"/>
          </w:tcPr>
          <w:p w14:paraId="6926866A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05FF81BA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362081A8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  <w:gridSpan w:val="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6"/>
            </w:tblGrid>
            <w:tr w:rsidR="00A82B61" w14:paraId="579C969A" w14:textId="77777777">
              <w:trPr>
                <w:trHeight w:val="297"/>
              </w:trPr>
              <w:tc>
                <w:tcPr>
                  <w:tcW w:w="365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1ACFA4" w14:textId="77777777" w:rsidR="00A82B61" w:rsidRDefault="00A82B61" w:rsidP="00853529">
                  <w:pPr>
                    <w:jc w:val="both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Quadro geral dos recursos</w:t>
                  </w:r>
                </w:p>
              </w:tc>
            </w:tr>
          </w:tbl>
          <w:p w14:paraId="2D4A6B7C" w14:textId="77777777" w:rsidR="00A82B61" w:rsidRDefault="00A82B61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6" w:type="dxa"/>
          </w:tcPr>
          <w:p w14:paraId="1B0A5036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15" w:type="dxa"/>
          </w:tcPr>
          <w:p w14:paraId="75B3EB20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421" w:type="dxa"/>
          </w:tcPr>
          <w:p w14:paraId="12501DB8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50" w:type="dxa"/>
          </w:tcPr>
          <w:p w14:paraId="2690CF52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46" w:type="dxa"/>
          </w:tcPr>
          <w:p w14:paraId="1C6E4E77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75" w:type="dxa"/>
          </w:tcPr>
          <w:p w14:paraId="4EC4DE42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</w:tr>
      <w:tr w:rsidR="00A82B61" w14:paraId="0C8EF986" w14:textId="77777777" w:rsidTr="00A82B61">
        <w:trPr>
          <w:trHeight w:val="145"/>
        </w:trPr>
        <w:tc>
          <w:tcPr>
            <w:tcW w:w="115" w:type="dxa"/>
          </w:tcPr>
          <w:p w14:paraId="23378EA5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" w:type="dxa"/>
          </w:tcPr>
          <w:p w14:paraId="25681BFF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" w:type="dxa"/>
          </w:tcPr>
          <w:p w14:paraId="2606C720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6D11E705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62D8A732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2C931716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21E96C61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12EF805C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056" w:type="dxa"/>
          </w:tcPr>
          <w:p w14:paraId="091C08F7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6" w:type="dxa"/>
          </w:tcPr>
          <w:p w14:paraId="1390A068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62" w:type="dxa"/>
          </w:tcPr>
          <w:p w14:paraId="2E6683DC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46" w:type="dxa"/>
          </w:tcPr>
          <w:p w14:paraId="2DDD4CBD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15" w:type="dxa"/>
          </w:tcPr>
          <w:p w14:paraId="1DD5C2E2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421" w:type="dxa"/>
          </w:tcPr>
          <w:p w14:paraId="2CA211DF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50" w:type="dxa"/>
          </w:tcPr>
          <w:p w14:paraId="60947393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46" w:type="dxa"/>
          </w:tcPr>
          <w:p w14:paraId="3A22A6E5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75" w:type="dxa"/>
          </w:tcPr>
          <w:p w14:paraId="5E696686" w14:textId="77777777" w:rsidR="00A82B61" w:rsidRDefault="00A82B61" w:rsidP="00853529">
            <w:pPr>
              <w:pStyle w:val="EmptyCellLayoutStyle"/>
              <w:spacing w:after="0" w:line="240" w:lineRule="auto"/>
              <w:jc w:val="both"/>
            </w:pPr>
          </w:p>
        </w:tc>
      </w:tr>
      <w:tr w:rsidR="00A82B61" w14:paraId="1AB5FE2C" w14:textId="77777777" w:rsidTr="00A82B61">
        <w:tc>
          <w:tcPr>
            <w:tcW w:w="115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"/>
              <w:gridCol w:w="973"/>
              <w:gridCol w:w="300"/>
              <w:gridCol w:w="41"/>
              <w:gridCol w:w="1625"/>
              <w:gridCol w:w="15"/>
              <w:gridCol w:w="300"/>
              <w:gridCol w:w="55"/>
              <w:gridCol w:w="1676"/>
              <w:gridCol w:w="300"/>
              <w:gridCol w:w="67"/>
              <w:gridCol w:w="1464"/>
              <w:gridCol w:w="300"/>
              <w:gridCol w:w="28"/>
              <w:gridCol w:w="1218"/>
              <w:gridCol w:w="303"/>
            </w:tblGrid>
            <w:tr w:rsidR="00A82B61" w14:paraId="0D40B35D" w14:textId="77777777">
              <w:trPr>
                <w:trHeight w:val="26"/>
              </w:trPr>
              <w:tc>
                <w:tcPr>
                  <w:tcW w:w="180" w:type="dxa"/>
                </w:tcPr>
                <w:p w14:paraId="6407512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050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3"/>
                  </w:tblGrid>
                  <w:tr w:rsidR="00A82B61" w14:paraId="23F28A17" w14:textId="77777777">
                    <w:trPr>
                      <w:trHeight w:val="583"/>
                    </w:trPr>
                    <w:tc>
                      <w:tcPr>
                        <w:tcW w:w="105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7C176AD" w14:textId="77777777" w:rsidR="00A82B61" w:rsidRDefault="00A82B6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Pedidos</w:t>
                        </w:r>
                      </w:p>
                    </w:tc>
                  </w:tr>
                  <w:tr w:rsidR="00A82B61" w14:paraId="1698F3E1" w14:textId="77777777">
                    <w:trPr>
                      <w:trHeight w:val="426"/>
                    </w:trPr>
                    <w:tc>
                      <w:tcPr>
                        <w:tcW w:w="1050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AA85386" w14:textId="77777777" w:rsidR="00A82B61" w:rsidRDefault="00212A7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154</w:t>
                        </w:r>
                      </w:p>
                    </w:tc>
                  </w:tr>
                </w:tbl>
                <w:p w14:paraId="04D0BB0F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56A4EA6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59" w:type="dxa"/>
                </w:tcPr>
                <w:p w14:paraId="0FC0E42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872" w:type="dxa"/>
                </w:tcPr>
                <w:p w14:paraId="75FDA69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0" w:type="dxa"/>
                </w:tcPr>
                <w:p w14:paraId="1EED342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0CF62CF6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80" w:type="dxa"/>
                </w:tcPr>
                <w:p w14:paraId="5B2791B6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970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6"/>
                  </w:tblGrid>
                  <w:tr w:rsidR="00A82B61" w14:paraId="67E67D5C" w14:textId="77777777">
                    <w:trPr>
                      <w:trHeight w:val="544"/>
                    </w:trPr>
                    <w:tc>
                      <w:tcPr>
                        <w:tcW w:w="197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180DE3BD" w14:textId="77777777" w:rsidR="00A82B61" w:rsidRDefault="00A82B6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autoridade máxima</w:t>
                        </w:r>
                      </w:p>
                    </w:tc>
                  </w:tr>
                  <w:tr w:rsidR="00A82B61" w14:paraId="6B1FE206" w14:textId="77777777">
                    <w:trPr>
                      <w:trHeight w:val="439"/>
                    </w:trPr>
                    <w:tc>
                      <w:tcPr>
                        <w:tcW w:w="1970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10641900" w14:textId="77777777" w:rsidR="00A82B61" w:rsidRDefault="00FC64F9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14:paraId="412EF5E4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419C137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99" w:type="dxa"/>
                </w:tcPr>
                <w:p w14:paraId="1BA32B00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748" w:type="dxa"/>
                </w:tcPr>
                <w:p w14:paraId="5DB55B0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1171954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0" w:type="dxa"/>
                </w:tcPr>
                <w:p w14:paraId="4D77883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374" w:type="dxa"/>
                </w:tcPr>
                <w:p w14:paraId="7DB0DF1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57" w:type="dxa"/>
                </w:tcPr>
                <w:p w14:paraId="056BA25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6142DDC9" w14:textId="77777777">
              <w:trPr>
                <w:trHeight w:val="13"/>
              </w:trPr>
              <w:tc>
                <w:tcPr>
                  <w:tcW w:w="180" w:type="dxa"/>
                </w:tcPr>
                <w:p w14:paraId="062DA7A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85028A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29BF384F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59" w:type="dxa"/>
                </w:tcPr>
                <w:p w14:paraId="27DFEFD0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872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5"/>
                  </w:tblGrid>
                  <w:tr w:rsidR="00A82B61" w14:paraId="753AA34E" w14:textId="77777777">
                    <w:trPr>
                      <w:trHeight w:val="570"/>
                    </w:trPr>
                    <w:tc>
                      <w:tcPr>
                        <w:tcW w:w="187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4FFD27B" w14:textId="77777777" w:rsidR="00A82B61" w:rsidRDefault="00A82B6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 ao chefe hierárquico</w:t>
                        </w:r>
                      </w:p>
                    </w:tc>
                  </w:tr>
                  <w:tr w:rsidR="00A82B61" w14:paraId="0C952DBF" w14:textId="77777777">
                    <w:trPr>
                      <w:trHeight w:val="413"/>
                    </w:trPr>
                    <w:tc>
                      <w:tcPr>
                        <w:tcW w:w="1872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6597D361" w14:textId="77777777" w:rsidR="00A82B61" w:rsidRDefault="00A11FA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</w:tr>
                </w:tbl>
                <w:p w14:paraId="5208B561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33231E8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65572E8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80" w:type="dxa"/>
                </w:tcPr>
                <w:p w14:paraId="5CA008AB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7960FD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058A8DB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99" w:type="dxa"/>
                </w:tcPr>
                <w:p w14:paraId="2F6BB47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748" w:type="dxa"/>
                </w:tcPr>
                <w:p w14:paraId="51F659C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72DE6F0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0" w:type="dxa"/>
                </w:tcPr>
                <w:p w14:paraId="5A57731B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374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8"/>
                  </w:tblGrid>
                  <w:tr w:rsidR="00A82B61" w14:paraId="3FAE98C4" w14:textId="77777777">
                    <w:trPr>
                      <w:trHeight w:val="544"/>
                    </w:trPr>
                    <w:tc>
                      <w:tcPr>
                        <w:tcW w:w="137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67E7B8EF" w14:textId="77777777" w:rsidR="00A82B61" w:rsidRDefault="00A82B6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CMRI</w:t>
                        </w:r>
                      </w:p>
                    </w:tc>
                  </w:tr>
                  <w:tr w:rsidR="00A82B61" w14:paraId="0E4AAC19" w14:textId="77777777">
                    <w:trPr>
                      <w:trHeight w:val="439"/>
                    </w:trPr>
                    <w:tc>
                      <w:tcPr>
                        <w:tcW w:w="1374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8277F48" w14:textId="77777777" w:rsidR="00A82B61" w:rsidRDefault="00D55A2B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0</w:t>
                        </w:r>
                      </w:p>
                    </w:tc>
                  </w:tr>
                </w:tbl>
                <w:p w14:paraId="61B904BC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11F78F5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6E11006D" w14:textId="77777777">
              <w:trPr>
                <w:trHeight w:val="500"/>
              </w:trPr>
              <w:tc>
                <w:tcPr>
                  <w:tcW w:w="180" w:type="dxa"/>
                </w:tcPr>
                <w:p w14:paraId="5D43586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A39FAA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4F312FB2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59" w:type="dxa"/>
                </w:tcPr>
                <w:p w14:paraId="2CFFB21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5F911D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354EFC4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3231C5A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80" w:type="dxa"/>
                </w:tcPr>
                <w:p w14:paraId="3A77790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6B86BF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7C1D0880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99" w:type="dxa"/>
                </w:tcPr>
                <w:p w14:paraId="00DC22C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748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4"/>
                  </w:tblGrid>
                  <w:tr w:rsidR="00A82B61" w14:paraId="4DF9DC99" w14:textId="77777777">
                    <w:trPr>
                      <w:trHeight w:val="544"/>
                    </w:trPr>
                    <w:tc>
                      <w:tcPr>
                        <w:tcW w:w="174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182E943E" w14:textId="77777777" w:rsidR="00A82B61" w:rsidRDefault="00A82B61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CGU</w:t>
                        </w:r>
                      </w:p>
                    </w:tc>
                  </w:tr>
                  <w:tr w:rsidR="00A82B61" w14:paraId="1E85F23F" w14:textId="77777777">
                    <w:trPr>
                      <w:trHeight w:val="439"/>
                    </w:trPr>
                    <w:tc>
                      <w:tcPr>
                        <w:tcW w:w="1748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590C944" w14:textId="77777777" w:rsidR="00A82B61" w:rsidRDefault="00D55A2B" w:rsidP="00853529">
                        <w:pPr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14:paraId="13AB2BBD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28B9A4C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0" w:type="dxa"/>
                </w:tcPr>
                <w:p w14:paraId="74F2A20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3EFAE7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5A2C3C4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5BBC99F6" w14:textId="77777777">
              <w:trPr>
                <w:trHeight w:val="26"/>
              </w:trPr>
              <w:tc>
                <w:tcPr>
                  <w:tcW w:w="180" w:type="dxa"/>
                </w:tcPr>
                <w:p w14:paraId="1D4A3BE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E7D7F7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3055058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59" w:type="dxa"/>
                </w:tcPr>
                <w:p w14:paraId="48C21456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931097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1CF0598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4BA786BB" w14:textId="77777777" w:rsidR="00A82B61" w:rsidRDefault="00A82B61" w:rsidP="00853529">
                  <w:pPr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54EE406F" wp14:editId="532AB27F">
                        <wp:extent cx="180975" cy="190500"/>
                        <wp:effectExtent l="0" t="0" r="9525" b="0"/>
                        <wp:docPr id="4" name="Imagem 4" descr="cid:image005.jpg@01D05C1C.63B106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5" descr="cid:image005.jpg@01D05C1C.63B106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" w:type="dxa"/>
                </w:tcPr>
                <w:p w14:paraId="74E882FB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F5C93A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6E357B3A" w14:textId="77777777" w:rsidR="00A82B61" w:rsidRDefault="00A82B61" w:rsidP="00853529">
                  <w:pPr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280E999D" wp14:editId="5327EFF4">
                        <wp:extent cx="180975" cy="190500"/>
                        <wp:effectExtent l="0" t="0" r="9525" b="0"/>
                        <wp:docPr id="3" name="Imagem 3" descr="cid:image005.jpg@01D05C1C.63B106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4" descr="cid:image005.jpg@01D05C1C.63B106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" w:type="dxa"/>
                </w:tcPr>
                <w:p w14:paraId="14C5530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0E6624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50715AEE" w14:textId="77777777" w:rsidR="00A82B61" w:rsidRDefault="00A82B61" w:rsidP="00853529">
                  <w:pPr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3E2D4E44" wp14:editId="6B204C62">
                        <wp:extent cx="180975" cy="190500"/>
                        <wp:effectExtent l="0" t="0" r="9525" b="0"/>
                        <wp:docPr id="2" name="Imagem 2" descr="cid:image005.jpg@01D05C1C.63B106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3" descr="cid:image005.jpg@01D05C1C.63B106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" w:type="dxa"/>
                </w:tcPr>
                <w:p w14:paraId="27BA2D0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5D89AF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1B77BDE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38A815F1" w14:textId="77777777">
              <w:trPr>
                <w:trHeight w:val="573"/>
              </w:trPr>
              <w:tc>
                <w:tcPr>
                  <w:tcW w:w="180" w:type="dxa"/>
                </w:tcPr>
                <w:p w14:paraId="6D6B4CC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6E5DE4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4D14D2C3" w14:textId="77777777" w:rsidR="00A82B61" w:rsidRDefault="00A82B61" w:rsidP="00853529">
                  <w:pPr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511F48F5" wp14:editId="383EB47F">
                        <wp:extent cx="180975" cy="190500"/>
                        <wp:effectExtent l="0" t="0" r="9525" b="0"/>
                        <wp:docPr id="1" name="Imagem 1" descr="cid:image005.jpg@01D05C1C.63B106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cid:image005.jpg@01D05C1C.63B106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" w:type="dxa"/>
                </w:tcPr>
                <w:p w14:paraId="32E66200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4A67B3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007925BB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A93965" w14:textId="77777777" w:rsidR="00A82B61" w:rsidRDefault="00A82B61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80" w:type="dxa"/>
                </w:tcPr>
                <w:p w14:paraId="710BB5F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5023E9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7E8C91" w14:textId="77777777" w:rsidR="00A82B61" w:rsidRDefault="00A82B61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99" w:type="dxa"/>
                </w:tcPr>
                <w:p w14:paraId="0BE3783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885C4E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49F340" w14:textId="77777777" w:rsidR="00A82B61" w:rsidRDefault="00A82B61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40" w:type="dxa"/>
                </w:tcPr>
                <w:p w14:paraId="0205D31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7EED8C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046BDA7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08F65EED" w14:textId="77777777">
              <w:trPr>
                <w:trHeight w:val="26"/>
              </w:trPr>
              <w:tc>
                <w:tcPr>
                  <w:tcW w:w="180" w:type="dxa"/>
                </w:tcPr>
                <w:p w14:paraId="235E7FD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5A306A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005B40" w14:textId="77777777" w:rsidR="00A82B61" w:rsidRDefault="00A82B61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59" w:type="dxa"/>
                </w:tcPr>
                <w:p w14:paraId="7EB9931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4DE32E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37112A2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288B478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80" w:type="dxa"/>
                </w:tcPr>
                <w:p w14:paraId="0244D23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970" w:type="dxa"/>
                </w:tcPr>
                <w:p w14:paraId="2540D08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428CE1BA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99" w:type="dxa"/>
                </w:tcPr>
                <w:p w14:paraId="31BC71C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6533D6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3682651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0" w:type="dxa"/>
                </w:tcPr>
                <w:p w14:paraId="436D271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81108B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6B647C03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55DF9DD3" w14:textId="77777777">
              <w:trPr>
                <w:trHeight w:val="13"/>
              </w:trPr>
              <w:tc>
                <w:tcPr>
                  <w:tcW w:w="180" w:type="dxa"/>
                </w:tcPr>
                <w:p w14:paraId="6EA469D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050" w:type="dxa"/>
                </w:tcPr>
                <w:p w14:paraId="347E0CD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62C06282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59" w:type="dxa"/>
                </w:tcPr>
                <w:p w14:paraId="0990087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872" w:type="dxa"/>
                </w:tcPr>
                <w:p w14:paraId="75A1A50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0" w:type="dxa"/>
                </w:tcPr>
                <w:p w14:paraId="5544072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2DD363A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80" w:type="dxa"/>
                </w:tcPr>
                <w:p w14:paraId="21A384AB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970" w:type="dxa"/>
                </w:tcPr>
                <w:p w14:paraId="19255D07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496EA54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99" w:type="dxa"/>
                </w:tcPr>
                <w:p w14:paraId="34C705B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33C394" w14:textId="77777777" w:rsidR="00A82B61" w:rsidRDefault="00A82B61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26E2ED2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0" w:type="dxa"/>
                </w:tcPr>
                <w:p w14:paraId="6AB058E4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374" w:type="dxa"/>
                </w:tcPr>
                <w:p w14:paraId="0A4F025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57" w:type="dxa"/>
                </w:tcPr>
                <w:p w14:paraId="141A73F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  <w:tr w:rsidR="00A82B61" w14:paraId="461CDC4F" w14:textId="77777777">
              <w:trPr>
                <w:trHeight w:val="220"/>
              </w:trPr>
              <w:tc>
                <w:tcPr>
                  <w:tcW w:w="180" w:type="dxa"/>
                </w:tcPr>
                <w:p w14:paraId="7EB6925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050" w:type="dxa"/>
                </w:tcPr>
                <w:p w14:paraId="3D195359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0F9F5048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59" w:type="dxa"/>
                </w:tcPr>
                <w:p w14:paraId="6DD7908D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872" w:type="dxa"/>
                </w:tcPr>
                <w:p w14:paraId="01D16C7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0" w:type="dxa"/>
                </w:tcPr>
                <w:p w14:paraId="5A3B7CE1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3732A78C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80" w:type="dxa"/>
                </w:tcPr>
                <w:p w14:paraId="2D526E3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970" w:type="dxa"/>
                </w:tcPr>
                <w:p w14:paraId="4E5C05D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3B5896E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99" w:type="dxa"/>
                </w:tcPr>
                <w:p w14:paraId="50A192DA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748" w:type="dxa"/>
                </w:tcPr>
                <w:p w14:paraId="618B8FDB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279" w:type="dxa"/>
                </w:tcPr>
                <w:p w14:paraId="421ABC85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0" w:type="dxa"/>
                </w:tcPr>
                <w:p w14:paraId="16BF0CBE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1374" w:type="dxa"/>
                </w:tcPr>
                <w:p w14:paraId="3A588102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  <w:tc>
                <w:tcPr>
                  <w:tcW w:w="457" w:type="dxa"/>
                </w:tcPr>
                <w:p w14:paraId="7059F51A" w14:textId="77777777" w:rsidR="00A82B61" w:rsidRDefault="00A82B61" w:rsidP="00853529">
                  <w:pPr>
                    <w:pStyle w:val="EmptyCellLayoutStyle"/>
                    <w:spacing w:after="0" w:line="240" w:lineRule="auto"/>
                    <w:jc w:val="both"/>
                  </w:pPr>
                </w:p>
              </w:tc>
            </w:tr>
          </w:tbl>
          <w:p w14:paraId="5C3C91E6" w14:textId="77777777" w:rsidR="00A82B61" w:rsidRDefault="00A82B61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990226" w14:paraId="32B03013" w14:textId="77777777" w:rsidTr="00A82B61">
        <w:tc>
          <w:tcPr>
            <w:tcW w:w="115" w:type="dxa"/>
            <w:gridSpan w:val="17"/>
          </w:tcPr>
          <w:p w14:paraId="52E49AC0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</w:pPr>
          </w:p>
          <w:p w14:paraId="27119D81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</w:pPr>
          </w:p>
          <w:p w14:paraId="69D42AF6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</w:pPr>
          </w:p>
          <w:p w14:paraId="0B811C0D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</w:pPr>
          </w:p>
          <w:p w14:paraId="731DDBC9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</w:pPr>
          </w:p>
          <w:p w14:paraId="5B85AFA5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</w:pPr>
          </w:p>
        </w:tc>
      </w:tr>
    </w:tbl>
    <w:p w14:paraId="2C31084B" w14:textId="77777777" w:rsidR="00990226" w:rsidRPr="00990226" w:rsidRDefault="00990226" w:rsidP="00853529">
      <w:pPr>
        <w:jc w:val="both"/>
        <w:rPr>
          <w:bCs/>
        </w:rPr>
      </w:pPr>
      <w:r w:rsidRPr="00990226">
        <w:rPr>
          <w:bCs/>
        </w:rPr>
        <w:t>Quanto ao Sic, houve uma diminuição no número de</w:t>
      </w:r>
      <w:r w:rsidR="00D9601A">
        <w:rPr>
          <w:bCs/>
        </w:rPr>
        <w:t xml:space="preserve"> pedidos de acesso à informação o que </w:t>
      </w:r>
      <w:r w:rsidR="00AB4719">
        <w:rPr>
          <w:bCs/>
        </w:rPr>
        <w:t>evidencia uma melhora efetiva na</w:t>
      </w:r>
      <w:r w:rsidR="00D9601A">
        <w:rPr>
          <w:bCs/>
        </w:rPr>
        <w:t xml:space="preserve"> transparência do Ministério do Turismo.</w:t>
      </w:r>
    </w:p>
    <w:p w14:paraId="7017F258" w14:textId="77777777" w:rsidR="00990226" w:rsidRPr="00990226" w:rsidRDefault="00990226" w:rsidP="00853529">
      <w:pPr>
        <w:jc w:val="both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25"/>
        <w:gridCol w:w="25"/>
        <w:gridCol w:w="6478"/>
        <w:gridCol w:w="68"/>
        <w:gridCol w:w="1202"/>
        <w:gridCol w:w="52"/>
        <w:gridCol w:w="49"/>
        <w:gridCol w:w="477"/>
        <w:gridCol w:w="67"/>
        <w:gridCol w:w="136"/>
        <w:gridCol w:w="112"/>
        <w:gridCol w:w="70"/>
      </w:tblGrid>
      <w:tr w:rsidR="00990226" w14:paraId="3E2C799E" w14:textId="77777777" w:rsidTr="00990226">
        <w:trPr>
          <w:trHeight w:val="375"/>
        </w:trPr>
        <w:tc>
          <w:tcPr>
            <w:tcW w:w="6" w:type="dxa"/>
            <w:gridSpan w:val="6"/>
            <w:hideMark/>
          </w:tcPr>
          <w:p w14:paraId="61B916A6" w14:textId="77777777" w:rsidR="00BA6DBB" w:rsidRDefault="00BA6DBB"/>
          <w:p w14:paraId="14A6C1BD" w14:textId="77777777" w:rsidR="00BA6DBB" w:rsidRDefault="00BA6DBB"/>
          <w:p w14:paraId="5C63248F" w14:textId="77777777" w:rsidR="00BA6DBB" w:rsidRDefault="00BA6DBB"/>
          <w:tbl>
            <w:tblPr>
              <w:tblW w:w="78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4"/>
            </w:tblGrid>
            <w:tr w:rsidR="00990226" w14:paraId="25F2D647" w14:textId="77777777" w:rsidTr="00853529">
              <w:trPr>
                <w:trHeight w:val="215"/>
              </w:trPr>
              <w:tc>
                <w:tcPr>
                  <w:tcW w:w="782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7E64ED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Quadro geral dos Pedidos   </w:t>
                  </w:r>
                  <w:r w:rsidR="00CC536F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de   Acesso à Informação em 2017</w:t>
                  </w:r>
                </w:p>
              </w:tc>
            </w:tr>
          </w:tbl>
          <w:p w14:paraId="70133722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6" w:type="dxa"/>
          </w:tcPr>
          <w:p w14:paraId="2C370F49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15" w:type="dxa"/>
          </w:tcPr>
          <w:p w14:paraId="575227C7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421" w:type="dxa"/>
          </w:tcPr>
          <w:p w14:paraId="05CCE958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450" w:type="dxa"/>
          </w:tcPr>
          <w:p w14:paraId="21208599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946" w:type="dxa"/>
          </w:tcPr>
          <w:p w14:paraId="77B213FF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775" w:type="dxa"/>
          </w:tcPr>
          <w:p w14:paraId="05B6208A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132" w:type="dxa"/>
            <w:vAlign w:val="center"/>
            <w:hideMark/>
          </w:tcPr>
          <w:p w14:paraId="370B0E33" w14:textId="77777777" w:rsidR="00990226" w:rsidRDefault="00990226" w:rsidP="00853529">
            <w:pPr>
              <w:jc w:val="both"/>
            </w:pPr>
            <w:r>
              <w:t> </w:t>
            </w:r>
          </w:p>
        </w:tc>
      </w:tr>
      <w:tr w:rsidR="00990226" w14:paraId="25A12CFB" w14:textId="77777777" w:rsidTr="00990226">
        <w:trPr>
          <w:trHeight w:val="145"/>
        </w:trPr>
        <w:tc>
          <w:tcPr>
            <w:tcW w:w="6" w:type="dxa"/>
          </w:tcPr>
          <w:p w14:paraId="4B4279FD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6" w:type="dxa"/>
          </w:tcPr>
          <w:p w14:paraId="504EC5B6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6" w:type="dxa"/>
          </w:tcPr>
          <w:p w14:paraId="7903B90C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056" w:type="dxa"/>
          </w:tcPr>
          <w:p w14:paraId="1EDEEAB6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26" w:type="dxa"/>
          </w:tcPr>
          <w:p w14:paraId="68DF0A94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562" w:type="dxa"/>
          </w:tcPr>
          <w:p w14:paraId="4FA5AE06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46" w:type="dxa"/>
          </w:tcPr>
          <w:p w14:paraId="2212095A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15" w:type="dxa"/>
          </w:tcPr>
          <w:p w14:paraId="28FD8E20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421" w:type="dxa"/>
          </w:tcPr>
          <w:p w14:paraId="22421F98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450" w:type="dxa"/>
          </w:tcPr>
          <w:p w14:paraId="5DC2C603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946" w:type="dxa"/>
          </w:tcPr>
          <w:p w14:paraId="143338FC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775" w:type="dxa"/>
          </w:tcPr>
          <w:p w14:paraId="0C1DD180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132" w:type="dxa"/>
            <w:vAlign w:val="center"/>
            <w:hideMark/>
          </w:tcPr>
          <w:p w14:paraId="6EFAC695" w14:textId="77777777" w:rsidR="00990226" w:rsidRDefault="00990226" w:rsidP="00853529">
            <w:pPr>
              <w:jc w:val="both"/>
            </w:pPr>
            <w:r>
              <w:t> </w:t>
            </w:r>
          </w:p>
        </w:tc>
      </w:tr>
      <w:tr w:rsidR="00990226" w14:paraId="69C0A192" w14:textId="77777777" w:rsidTr="00990226">
        <w:tc>
          <w:tcPr>
            <w:tcW w:w="11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"/>
              <w:gridCol w:w="973"/>
              <w:gridCol w:w="300"/>
              <w:gridCol w:w="41"/>
              <w:gridCol w:w="1625"/>
              <w:gridCol w:w="15"/>
              <w:gridCol w:w="300"/>
              <w:gridCol w:w="55"/>
              <w:gridCol w:w="1676"/>
              <w:gridCol w:w="300"/>
              <w:gridCol w:w="67"/>
              <w:gridCol w:w="1464"/>
              <w:gridCol w:w="300"/>
              <w:gridCol w:w="28"/>
              <w:gridCol w:w="1218"/>
              <w:gridCol w:w="303"/>
            </w:tblGrid>
            <w:tr w:rsidR="00990226" w14:paraId="2C85B28B" w14:textId="77777777">
              <w:trPr>
                <w:trHeight w:val="26"/>
              </w:trPr>
              <w:tc>
                <w:tcPr>
                  <w:tcW w:w="180" w:type="dxa"/>
                </w:tcPr>
                <w:p w14:paraId="33474D8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50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3"/>
                  </w:tblGrid>
                  <w:tr w:rsidR="00990226" w14:paraId="66CC7940" w14:textId="77777777">
                    <w:trPr>
                      <w:trHeight w:val="583"/>
                    </w:trPr>
                    <w:tc>
                      <w:tcPr>
                        <w:tcW w:w="105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1773F84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Pedidos</w:t>
                        </w:r>
                      </w:p>
                    </w:tc>
                  </w:tr>
                  <w:tr w:rsidR="00990226" w14:paraId="3E8BFC19" w14:textId="77777777">
                    <w:trPr>
                      <w:trHeight w:val="426"/>
                    </w:trPr>
                    <w:tc>
                      <w:tcPr>
                        <w:tcW w:w="1050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4D548555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210</w:t>
                        </w:r>
                      </w:p>
                    </w:tc>
                  </w:tr>
                </w:tbl>
                <w:p w14:paraId="1B532C57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60D8D69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79ADB95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</w:tcPr>
                <w:p w14:paraId="18AC584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14:paraId="26C3B0F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3C69331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2ADA1C7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6"/>
                  </w:tblGrid>
                  <w:tr w:rsidR="00990226" w14:paraId="2115D234" w14:textId="77777777">
                    <w:trPr>
                      <w:trHeight w:val="544"/>
                    </w:trPr>
                    <w:tc>
                      <w:tcPr>
                        <w:tcW w:w="197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C83385C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autoridade máxima</w:t>
                        </w:r>
                      </w:p>
                    </w:tc>
                  </w:tr>
                  <w:tr w:rsidR="00990226" w14:paraId="41D99F65" w14:textId="77777777">
                    <w:trPr>
                      <w:trHeight w:val="439"/>
                    </w:trPr>
                    <w:tc>
                      <w:tcPr>
                        <w:tcW w:w="1970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D2DD1E1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14:paraId="54C4CCCB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1CF15F3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72DD8D4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</w:tcPr>
                <w:p w14:paraId="3882AD2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08394D1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1950483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</w:tcPr>
                <w:p w14:paraId="37EF81C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57" w:type="dxa"/>
                </w:tcPr>
                <w:p w14:paraId="7A51BB2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5E219A86" w14:textId="77777777">
              <w:trPr>
                <w:trHeight w:val="13"/>
              </w:trPr>
              <w:tc>
                <w:tcPr>
                  <w:tcW w:w="180" w:type="dxa"/>
                </w:tcPr>
                <w:p w14:paraId="201F3D3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7C1BBA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5940A9F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20C5BBE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5"/>
                  </w:tblGrid>
                  <w:tr w:rsidR="00990226" w14:paraId="1F19487E" w14:textId="77777777">
                    <w:trPr>
                      <w:trHeight w:val="570"/>
                    </w:trPr>
                    <w:tc>
                      <w:tcPr>
                        <w:tcW w:w="187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CC57B55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 ao chefe hierárquico</w:t>
                        </w:r>
                      </w:p>
                    </w:tc>
                  </w:tr>
                  <w:tr w:rsidR="00990226" w14:paraId="759A704B" w14:textId="77777777">
                    <w:trPr>
                      <w:trHeight w:val="413"/>
                    </w:trPr>
                    <w:tc>
                      <w:tcPr>
                        <w:tcW w:w="1872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7FED0BB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</w:tr>
                </w:tbl>
                <w:p w14:paraId="40D2EFB2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774262A4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48CF2BC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4ECE86D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16FBDB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60C8EB0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16ED700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</w:tcPr>
                <w:p w14:paraId="2DEF28B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4AF8BC9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436869E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8"/>
                  </w:tblGrid>
                  <w:tr w:rsidR="00990226" w14:paraId="4BDFDE7F" w14:textId="77777777">
                    <w:trPr>
                      <w:trHeight w:val="544"/>
                    </w:trPr>
                    <w:tc>
                      <w:tcPr>
                        <w:tcW w:w="137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17B312AB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CMRI</w:t>
                        </w:r>
                      </w:p>
                    </w:tc>
                  </w:tr>
                  <w:tr w:rsidR="00990226" w14:paraId="2CA775B1" w14:textId="77777777">
                    <w:trPr>
                      <w:trHeight w:val="439"/>
                    </w:trPr>
                    <w:tc>
                      <w:tcPr>
                        <w:tcW w:w="1374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666786B3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0</w:t>
                        </w:r>
                      </w:p>
                    </w:tc>
                  </w:tr>
                </w:tbl>
                <w:p w14:paraId="2F5ADA06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4B6AE00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2565AFD7" w14:textId="77777777">
              <w:trPr>
                <w:trHeight w:val="500"/>
              </w:trPr>
              <w:tc>
                <w:tcPr>
                  <w:tcW w:w="180" w:type="dxa"/>
                </w:tcPr>
                <w:p w14:paraId="4A31FE0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EBAD08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3E59FF3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1DA0F62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107589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6979DF2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0373124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70919E6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761F52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579C613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254B097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4"/>
                  </w:tblGrid>
                  <w:tr w:rsidR="00990226" w14:paraId="71A57625" w14:textId="77777777">
                    <w:trPr>
                      <w:trHeight w:val="544"/>
                    </w:trPr>
                    <w:tc>
                      <w:tcPr>
                        <w:tcW w:w="174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4AB73628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CGU</w:t>
                        </w:r>
                      </w:p>
                    </w:tc>
                  </w:tr>
                  <w:tr w:rsidR="00990226" w14:paraId="1A3062DF" w14:textId="77777777">
                    <w:trPr>
                      <w:trHeight w:val="439"/>
                    </w:trPr>
                    <w:tc>
                      <w:tcPr>
                        <w:tcW w:w="1748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73B24C92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14:paraId="4D4DB2CB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38D0EEE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426A4054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32AEA3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106247B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6AD5B74B" w14:textId="77777777">
              <w:trPr>
                <w:trHeight w:val="26"/>
              </w:trPr>
              <w:tc>
                <w:tcPr>
                  <w:tcW w:w="180" w:type="dxa"/>
                </w:tcPr>
                <w:p w14:paraId="49179C3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D0C8A7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49AE889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47BA94C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EA1ED5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3FADC65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089EE634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589F4FA4" wp14:editId="72BF28CE">
                        <wp:extent cx="180975" cy="190500"/>
                        <wp:effectExtent l="0" t="0" r="9525" b="0"/>
                        <wp:docPr id="14" name="Imagem 14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" w:type="dxa"/>
                </w:tcPr>
                <w:p w14:paraId="52F2104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66BD19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1F712AFF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2A8D6C0F" wp14:editId="0E7753CB">
                        <wp:extent cx="180975" cy="190500"/>
                        <wp:effectExtent l="0" t="0" r="9525" b="0"/>
                        <wp:docPr id="13" name="Imagem 13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" w:type="dxa"/>
                </w:tcPr>
                <w:p w14:paraId="538B33F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E55F8A1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63300729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12D64C25" wp14:editId="4233E02A">
                        <wp:extent cx="180975" cy="190500"/>
                        <wp:effectExtent l="0" t="0" r="9525" b="0"/>
                        <wp:docPr id="12" name="Imagem 12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" w:type="dxa"/>
                </w:tcPr>
                <w:p w14:paraId="448FA57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CB531E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7440890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0A2625F1" w14:textId="77777777">
              <w:trPr>
                <w:trHeight w:val="573"/>
              </w:trPr>
              <w:tc>
                <w:tcPr>
                  <w:tcW w:w="180" w:type="dxa"/>
                </w:tcPr>
                <w:p w14:paraId="23E5ABD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FEFB40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1CF9A869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5B2B71FD" wp14:editId="2CC0E2BC">
                        <wp:extent cx="180975" cy="190500"/>
                        <wp:effectExtent l="0" t="0" r="9525" b="0"/>
                        <wp:docPr id="11" name="Imagem 11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" w:type="dxa"/>
                </w:tcPr>
                <w:p w14:paraId="30BE75A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B523CD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612B1A8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A6A46F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80" w:type="dxa"/>
                </w:tcPr>
                <w:p w14:paraId="0CFF10E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38ABA3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1D62C3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99" w:type="dxa"/>
                </w:tcPr>
                <w:p w14:paraId="47627E7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99D0AE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E760F4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40" w:type="dxa"/>
                </w:tcPr>
                <w:p w14:paraId="5A7F3DE4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763815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785258D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2B8F4C8D" w14:textId="77777777">
              <w:trPr>
                <w:trHeight w:val="26"/>
              </w:trPr>
              <w:tc>
                <w:tcPr>
                  <w:tcW w:w="180" w:type="dxa"/>
                </w:tcPr>
                <w:p w14:paraId="748A441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645497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0E2475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59" w:type="dxa"/>
                </w:tcPr>
                <w:p w14:paraId="3C99833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4C4965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51A8952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4B6F2E3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034C080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</w:tcPr>
                <w:p w14:paraId="16DC186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14A0316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6094506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4DD4F4B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2937BBD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5A2E583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FBDEEC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5FA3D78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578C15C4" w14:textId="77777777">
              <w:trPr>
                <w:trHeight w:val="13"/>
              </w:trPr>
              <w:tc>
                <w:tcPr>
                  <w:tcW w:w="180" w:type="dxa"/>
                </w:tcPr>
                <w:p w14:paraId="33788B2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50" w:type="dxa"/>
                </w:tcPr>
                <w:p w14:paraId="327F070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4E3E33D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4356DEA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</w:tcPr>
                <w:p w14:paraId="76A94F1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14:paraId="584C00B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76C3705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42B8FAD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</w:tcPr>
                <w:p w14:paraId="4D7AF5A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012FA7D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1C46D39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2F7A87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0C7C875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2061D5C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</w:tcPr>
                <w:p w14:paraId="6451EDD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57" w:type="dxa"/>
                </w:tcPr>
                <w:p w14:paraId="361ED2D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653C5A11" w14:textId="77777777">
              <w:trPr>
                <w:trHeight w:val="220"/>
              </w:trPr>
              <w:tc>
                <w:tcPr>
                  <w:tcW w:w="180" w:type="dxa"/>
                </w:tcPr>
                <w:p w14:paraId="342BE3D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50" w:type="dxa"/>
                </w:tcPr>
                <w:p w14:paraId="12D138B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7F7A0E2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087F206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</w:tcPr>
                <w:p w14:paraId="1009F41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14:paraId="68E601C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5AE0017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5EA4427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</w:tcPr>
                <w:p w14:paraId="5E959C3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2C97393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407B764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</w:tcPr>
                <w:p w14:paraId="5B76816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6C500C6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55F9F65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</w:tcPr>
                <w:p w14:paraId="716D00F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57" w:type="dxa"/>
                </w:tcPr>
                <w:p w14:paraId="7DCAB98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14:paraId="575818EA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990226" w14:paraId="2F5DFC1E" w14:textId="77777777" w:rsidTr="00990226">
        <w:tc>
          <w:tcPr>
            <w:tcW w:w="6" w:type="dxa"/>
            <w:vAlign w:val="center"/>
            <w:hideMark/>
          </w:tcPr>
          <w:p w14:paraId="1E0352B4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" w:type="dxa"/>
            <w:vAlign w:val="center"/>
            <w:hideMark/>
          </w:tcPr>
          <w:p w14:paraId="0088961E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" w:type="dxa"/>
            <w:vAlign w:val="center"/>
            <w:hideMark/>
          </w:tcPr>
          <w:p w14:paraId="12F39E65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448" w:type="dxa"/>
            <w:vAlign w:val="center"/>
            <w:hideMark/>
          </w:tcPr>
          <w:p w14:paraId="27104397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vAlign w:val="center"/>
            <w:hideMark/>
          </w:tcPr>
          <w:p w14:paraId="35FDADFE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dxa"/>
            <w:vAlign w:val="center"/>
            <w:hideMark/>
          </w:tcPr>
          <w:p w14:paraId="6008B8F5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dxa"/>
            <w:vAlign w:val="center"/>
            <w:hideMark/>
          </w:tcPr>
          <w:p w14:paraId="49AC82B1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vAlign w:val="center"/>
            <w:hideMark/>
          </w:tcPr>
          <w:p w14:paraId="7A1EAB85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vAlign w:val="center"/>
            <w:hideMark/>
          </w:tcPr>
          <w:p w14:paraId="05A70AC0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vAlign w:val="center"/>
            <w:hideMark/>
          </w:tcPr>
          <w:p w14:paraId="74541DEC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56" w:type="dxa"/>
            <w:vAlign w:val="center"/>
            <w:hideMark/>
          </w:tcPr>
          <w:p w14:paraId="5A0CCD16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4" w:type="dxa"/>
            <w:vAlign w:val="center"/>
            <w:hideMark/>
          </w:tcPr>
          <w:p w14:paraId="3824A3A1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2" w:type="dxa"/>
            <w:vAlign w:val="center"/>
            <w:hideMark/>
          </w:tcPr>
          <w:p w14:paraId="70A61AC5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439DCAD0" w14:textId="77777777" w:rsidR="00990226" w:rsidRDefault="00990226" w:rsidP="00853529">
      <w:pPr>
        <w:jc w:val="both"/>
        <w:rPr>
          <w:color w:val="4472C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7"/>
        <w:gridCol w:w="27"/>
        <w:gridCol w:w="6977"/>
        <w:gridCol w:w="73"/>
        <w:gridCol w:w="1294"/>
        <w:gridCol w:w="20"/>
        <w:gridCol w:w="19"/>
        <w:gridCol w:w="150"/>
        <w:gridCol w:w="25"/>
        <w:gridCol w:w="46"/>
        <w:gridCol w:w="38"/>
        <w:gridCol w:w="63"/>
      </w:tblGrid>
      <w:tr w:rsidR="00990226" w14:paraId="5BD4A597" w14:textId="77777777" w:rsidTr="00990226">
        <w:trPr>
          <w:trHeight w:val="375"/>
        </w:trPr>
        <w:tc>
          <w:tcPr>
            <w:tcW w:w="6" w:type="dxa"/>
            <w:gridSpan w:val="6"/>
            <w:hideMark/>
          </w:tcPr>
          <w:p w14:paraId="177A6515" w14:textId="77777777" w:rsidR="00853529" w:rsidRDefault="00853529"/>
          <w:p w14:paraId="4D849019" w14:textId="77777777" w:rsidR="00853529" w:rsidRDefault="00853529"/>
          <w:p w14:paraId="7198F522" w14:textId="77777777" w:rsidR="00853529" w:rsidRDefault="00853529"/>
          <w:tbl>
            <w:tblPr>
              <w:tblW w:w="84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990226" w14:paraId="05C3166D" w14:textId="77777777" w:rsidTr="00853529">
              <w:trPr>
                <w:trHeight w:val="73"/>
              </w:trPr>
              <w:tc>
                <w:tcPr>
                  <w:tcW w:w="84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4010254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Quadro geral dos Pedidos   </w:t>
                  </w:r>
                  <w:r w:rsidR="00D01E4E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de   </w:t>
                  </w:r>
                  <w:r w:rsidR="00CC536F">
                    <w:rPr>
                      <w:rFonts w:ascii="Calibri" w:hAnsi="Calibri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Acesso à Informação em 2018</w:t>
                  </w:r>
                </w:p>
              </w:tc>
            </w:tr>
          </w:tbl>
          <w:p w14:paraId="28401922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6" w:type="dxa"/>
          </w:tcPr>
          <w:p w14:paraId="3E10F668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  <w:p w14:paraId="2BC9D171" w14:textId="77777777" w:rsidR="00990226" w:rsidRDefault="00990226" w:rsidP="00853529">
            <w:pPr>
              <w:jc w:val="both"/>
              <w:rPr>
                <w:rFonts w:ascii="Calibri" w:hAnsi="Calibri"/>
                <w:color w:val="1F497D"/>
                <w:sz w:val="22"/>
                <w:szCs w:val="22"/>
              </w:rPr>
            </w:pPr>
          </w:p>
          <w:p w14:paraId="7874B7D6" w14:textId="77777777" w:rsidR="00990226" w:rsidRDefault="00990226" w:rsidP="00853529">
            <w:pPr>
              <w:jc w:val="both"/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315" w:type="dxa"/>
          </w:tcPr>
          <w:p w14:paraId="30BD7A24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421" w:type="dxa"/>
          </w:tcPr>
          <w:p w14:paraId="7003720B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450" w:type="dxa"/>
          </w:tcPr>
          <w:p w14:paraId="4F3B0E53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946" w:type="dxa"/>
          </w:tcPr>
          <w:p w14:paraId="27A16996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775" w:type="dxa"/>
          </w:tcPr>
          <w:p w14:paraId="765C5463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132" w:type="dxa"/>
            <w:vAlign w:val="center"/>
            <w:hideMark/>
          </w:tcPr>
          <w:p w14:paraId="4F1E634F" w14:textId="77777777" w:rsidR="00990226" w:rsidRDefault="00990226" w:rsidP="00853529">
            <w:pPr>
              <w:jc w:val="both"/>
            </w:pPr>
            <w:r>
              <w:t> </w:t>
            </w:r>
          </w:p>
        </w:tc>
      </w:tr>
      <w:tr w:rsidR="00990226" w14:paraId="6620206F" w14:textId="77777777" w:rsidTr="00990226">
        <w:trPr>
          <w:trHeight w:val="145"/>
        </w:trPr>
        <w:tc>
          <w:tcPr>
            <w:tcW w:w="6" w:type="dxa"/>
          </w:tcPr>
          <w:p w14:paraId="07E16E2C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6" w:type="dxa"/>
          </w:tcPr>
          <w:p w14:paraId="6E4C3911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6" w:type="dxa"/>
          </w:tcPr>
          <w:p w14:paraId="7D362C05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056" w:type="dxa"/>
          </w:tcPr>
          <w:p w14:paraId="2243BCEC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26" w:type="dxa"/>
          </w:tcPr>
          <w:p w14:paraId="1BB35C04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562" w:type="dxa"/>
          </w:tcPr>
          <w:p w14:paraId="4ADDB45C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46" w:type="dxa"/>
          </w:tcPr>
          <w:p w14:paraId="365CFC06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15" w:type="dxa"/>
          </w:tcPr>
          <w:p w14:paraId="283D3A6A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3421" w:type="dxa"/>
          </w:tcPr>
          <w:p w14:paraId="4FF6ABE1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450" w:type="dxa"/>
          </w:tcPr>
          <w:p w14:paraId="452CB97E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946" w:type="dxa"/>
          </w:tcPr>
          <w:p w14:paraId="5FD5000C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775" w:type="dxa"/>
          </w:tcPr>
          <w:p w14:paraId="096FAE12" w14:textId="77777777" w:rsidR="00990226" w:rsidRDefault="00990226" w:rsidP="00853529">
            <w:pPr>
              <w:pStyle w:val="EmptyCellLayoutStyle"/>
              <w:spacing w:after="0" w:line="240" w:lineRule="auto"/>
              <w:jc w:val="both"/>
              <w:rPr>
                <w:lang w:eastAsia="en-US"/>
              </w:rPr>
            </w:pPr>
          </w:p>
        </w:tc>
        <w:tc>
          <w:tcPr>
            <w:tcW w:w="132" w:type="dxa"/>
            <w:vAlign w:val="center"/>
            <w:hideMark/>
          </w:tcPr>
          <w:p w14:paraId="1C75969F" w14:textId="77777777" w:rsidR="00990226" w:rsidRDefault="00990226" w:rsidP="00853529">
            <w:pPr>
              <w:jc w:val="both"/>
            </w:pPr>
            <w:r>
              <w:t> </w:t>
            </w:r>
          </w:p>
        </w:tc>
      </w:tr>
      <w:tr w:rsidR="00990226" w14:paraId="4F8F14F5" w14:textId="77777777" w:rsidTr="00990226">
        <w:tc>
          <w:tcPr>
            <w:tcW w:w="11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"/>
              <w:gridCol w:w="973"/>
              <w:gridCol w:w="300"/>
              <w:gridCol w:w="41"/>
              <w:gridCol w:w="1625"/>
              <w:gridCol w:w="15"/>
              <w:gridCol w:w="300"/>
              <w:gridCol w:w="55"/>
              <w:gridCol w:w="1676"/>
              <w:gridCol w:w="300"/>
              <w:gridCol w:w="67"/>
              <w:gridCol w:w="1464"/>
              <w:gridCol w:w="300"/>
              <w:gridCol w:w="28"/>
              <w:gridCol w:w="1218"/>
              <w:gridCol w:w="303"/>
            </w:tblGrid>
            <w:tr w:rsidR="00990226" w14:paraId="46F59462" w14:textId="77777777">
              <w:trPr>
                <w:trHeight w:val="26"/>
              </w:trPr>
              <w:tc>
                <w:tcPr>
                  <w:tcW w:w="180" w:type="dxa"/>
                </w:tcPr>
                <w:p w14:paraId="798937E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50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3"/>
                  </w:tblGrid>
                  <w:tr w:rsidR="00990226" w14:paraId="3361B766" w14:textId="77777777">
                    <w:trPr>
                      <w:trHeight w:val="583"/>
                    </w:trPr>
                    <w:tc>
                      <w:tcPr>
                        <w:tcW w:w="105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2031D915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Pedidos</w:t>
                        </w:r>
                      </w:p>
                    </w:tc>
                  </w:tr>
                  <w:tr w:rsidR="00990226" w14:paraId="22507984" w14:textId="77777777">
                    <w:trPr>
                      <w:trHeight w:val="426"/>
                    </w:trPr>
                    <w:tc>
                      <w:tcPr>
                        <w:tcW w:w="1050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46C58372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154</w:t>
                        </w:r>
                      </w:p>
                    </w:tc>
                  </w:tr>
                </w:tbl>
                <w:p w14:paraId="04529346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6EE8A17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6D88606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</w:tcPr>
                <w:p w14:paraId="23E70C3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14:paraId="71CB4CE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1F520DF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29EF754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6"/>
                  </w:tblGrid>
                  <w:tr w:rsidR="00990226" w14:paraId="51B5E28F" w14:textId="77777777">
                    <w:trPr>
                      <w:trHeight w:val="544"/>
                    </w:trPr>
                    <w:tc>
                      <w:tcPr>
                        <w:tcW w:w="1970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6272305A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autoridade máxima</w:t>
                        </w:r>
                      </w:p>
                    </w:tc>
                  </w:tr>
                  <w:tr w:rsidR="00990226" w14:paraId="1936468D" w14:textId="77777777">
                    <w:trPr>
                      <w:trHeight w:val="439"/>
                    </w:trPr>
                    <w:tc>
                      <w:tcPr>
                        <w:tcW w:w="1970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49C15713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14:paraId="523D501C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1537278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7FF51CD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</w:tcPr>
                <w:p w14:paraId="7960756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04845EF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653BD0E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</w:tcPr>
                <w:p w14:paraId="42CAA12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57" w:type="dxa"/>
                </w:tcPr>
                <w:p w14:paraId="7294866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6B6B26C4" w14:textId="77777777">
              <w:trPr>
                <w:trHeight w:val="13"/>
              </w:trPr>
              <w:tc>
                <w:tcPr>
                  <w:tcW w:w="180" w:type="dxa"/>
                </w:tcPr>
                <w:p w14:paraId="564A417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BDCE69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01A4991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2291E67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5"/>
                  </w:tblGrid>
                  <w:tr w:rsidR="00990226" w14:paraId="532F46FB" w14:textId="77777777">
                    <w:trPr>
                      <w:trHeight w:val="570"/>
                    </w:trPr>
                    <w:tc>
                      <w:tcPr>
                        <w:tcW w:w="1872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24243C9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 ao chefe hierárquico</w:t>
                        </w:r>
                      </w:p>
                    </w:tc>
                  </w:tr>
                  <w:tr w:rsidR="00990226" w14:paraId="697D187F" w14:textId="77777777">
                    <w:trPr>
                      <w:trHeight w:val="413"/>
                    </w:trPr>
                    <w:tc>
                      <w:tcPr>
                        <w:tcW w:w="1872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7C2DBF5" w14:textId="77777777" w:rsidR="00990226" w:rsidRDefault="00CC536F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</w:tr>
                </w:tbl>
                <w:p w14:paraId="7F21BFD0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4CC87C2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4250E706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34BBA3C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85DD09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337D656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6CA8170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</w:tcPr>
                <w:p w14:paraId="078855F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14579AD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7FDCBC7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8"/>
                  </w:tblGrid>
                  <w:tr w:rsidR="00990226" w14:paraId="4B8018A9" w14:textId="77777777">
                    <w:trPr>
                      <w:trHeight w:val="544"/>
                    </w:trPr>
                    <w:tc>
                      <w:tcPr>
                        <w:tcW w:w="137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52380E0E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CMRI</w:t>
                        </w:r>
                      </w:p>
                    </w:tc>
                  </w:tr>
                  <w:tr w:rsidR="00990226" w14:paraId="638864FE" w14:textId="77777777">
                    <w:trPr>
                      <w:trHeight w:val="439"/>
                    </w:trPr>
                    <w:tc>
                      <w:tcPr>
                        <w:tcW w:w="1374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C3EE29D" w14:textId="77777777" w:rsidR="00990226" w:rsidRDefault="00D55A2B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0</w:t>
                        </w:r>
                      </w:p>
                    </w:tc>
                  </w:tr>
                </w:tbl>
                <w:p w14:paraId="02975AD0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03839EA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19A4D427" w14:textId="77777777">
              <w:trPr>
                <w:trHeight w:val="500"/>
              </w:trPr>
              <w:tc>
                <w:tcPr>
                  <w:tcW w:w="180" w:type="dxa"/>
                </w:tcPr>
                <w:p w14:paraId="08BB2ED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000223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6B5EB60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2B79348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3E11C19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4DFFCAF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691B38E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5463E75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ADD4A3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02C32C4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1485BEE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4"/>
                  </w:tblGrid>
                  <w:tr w:rsidR="00990226" w14:paraId="2FA5F68A" w14:textId="77777777">
                    <w:trPr>
                      <w:trHeight w:val="544"/>
                    </w:trPr>
                    <w:tc>
                      <w:tcPr>
                        <w:tcW w:w="174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000000"/>
                          <w:right w:val="single" w:sz="8" w:space="0" w:color="D3D3D3"/>
                        </w:tcBorders>
                        <w:shd w:val="clear" w:color="auto" w:fill="B0C4DE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69F9CFCE" w14:textId="77777777" w:rsidR="00990226" w:rsidRDefault="00990226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Recursos à CGU</w:t>
                        </w:r>
                      </w:p>
                    </w:tc>
                  </w:tr>
                  <w:tr w:rsidR="00990226" w14:paraId="6B0E4ADA" w14:textId="77777777">
                    <w:trPr>
                      <w:trHeight w:val="439"/>
                    </w:trPr>
                    <w:tc>
                      <w:tcPr>
                        <w:tcW w:w="1748" w:type="dxa"/>
                        <w:tcBorders>
                          <w:top w:val="nil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CEFEAC5" w14:textId="77777777" w:rsidR="00990226" w:rsidRDefault="00D55A2B" w:rsidP="00853529">
                        <w:pPr>
                          <w:spacing w:line="252" w:lineRule="auto"/>
                          <w:jc w:val="both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14:paraId="1E5A6B62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0DD64E8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718EF57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6BDC6E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08F427B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12025836" w14:textId="77777777">
              <w:trPr>
                <w:trHeight w:val="26"/>
              </w:trPr>
              <w:tc>
                <w:tcPr>
                  <w:tcW w:w="180" w:type="dxa"/>
                </w:tcPr>
                <w:p w14:paraId="636B9DE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94A60B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0BB2BDA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6322785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6FCF84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2878C4F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3C29BCB5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7EC70861" wp14:editId="34997962">
                        <wp:extent cx="180975" cy="190500"/>
                        <wp:effectExtent l="0" t="0" r="9525" b="0"/>
                        <wp:docPr id="10" name="Imagem 10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" w:type="dxa"/>
                </w:tcPr>
                <w:p w14:paraId="2839385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632E0C8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58E63292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7ED28016" wp14:editId="6C88C3E0">
                        <wp:extent cx="180975" cy="190500"/>
                        <wp:effectExtent l="0" t="0" r="9525" b="0"/>
                        <wp:docPr id="9" name="Imagem 9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" w:type="dxa"/>
                </w:tcPr>
                <w:p w14:paraId="122EE3A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E15F7B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0018C04A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55CF5A31" wp14:editId="0EC3E059">
                        <wp:extent cx="180975" cy="190500"/>
                        <wp:effectExtent l="0" t="0" r="9525" b="0"/>
                        <wp:docPr id="8" name="Imagem 8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" w:type="dxa"/>
                </w:tcPr>
                <w:p w14:paraId="509578C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463B7D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4E64F47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75F40EF1" w14:textId="77777777">
              <w:trPr>
                <w:trHeight w:val="573"/>
              </w:trPr>
              <w:tc>
                <w:tcPr>
                  <w:tcW w:w="180" w:type="dxa"/>
                </w:tcPr>
                <w:p w14:paraId="7EFEDC3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523612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  <w:vMerge w:val="restart"/>
                  <w:hideMark/>
                </w:tcPr>
                <w:p w14:paraId="76F10429" w14:textId="77777777" w:rsidR="00990226" w:rsidRDefault="00990226" w:rsidP="00853529">
                  <w:pPr>
                    <w:spacing w:line="252" w:lineRule="auto"/>
                    <w:jc w:val="both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0B8261F2" wp14:editId="23F42974">
                        <wp:extent cx="180975" cy="190500"/>
                        <wp:effectExtent l="0" t="0" r="9525" b="0"/>
                        <wp:docPr id="5" name="Imagem 5" descr="cid:image004.jpg@01D060A6.185E5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id:image004.jpg@01D060A6.185E5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" w:type="dxa"/>
                </w:tcPr>
                <w:p w14:paraId="17399ED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907BCC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79EA101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77E0B4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80" w:type="dxa"/>
                </w:tcPr>
                <w:p w14:paraId="48F4229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E00CD1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588179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99" w:type="dxa"/>
                </w:tcPr>
                <w:p w14:paraId="2C6BC6B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B41AF3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7AB165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40" w:type="dxa"/>
                </w:tcPr>
                <w:p w14:paraId="1AF456B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AFA152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2ECC7D6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07AD9AC2" w14:textId="77777777">
              <w:trPr>
                <w:trHeight w:val="26"/>
              </w:trPr>
              <w:tc>
                <w:tcPr>
                  <w:tcW w:w="180" w:type="dxa"/>
                </w:tcPr>
                <w:p w14:paraId="2EEE1FA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41E786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5BB194" w14:textId="77777777" w:rsidR="00990226" w:rsidRDefault="00990226" w:rsidP="008535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59" w:type="dxa"/>
                </w:tcPr>
                <w:p w14:paraId="07B879E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2A1E09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0" w:type="dxa"/>
                </w:tcPr>
                <w:p w14:paraId="29CF2E2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0C2AD48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62272B2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</w:tcPr>
                <w:p w14:paraId="13AEA22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2D8E793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4DCE34A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AC62761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1EE1B01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532D6C4C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A088D0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457" w:type="dxa"/>
                </w:tcPr>
                <w:p w14:paraId="79AD47E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04DB30CE" w14:textId="77777777">
              <w:trPr>
                <w:trHeight w:val="13"/>
              </w:trPr>
              <w:tc>
                <w:tcPr>
                  <w:tcW w:w="180" w:type="dxa"/>
                </w:tcPr>
                <w:p w14:paraId="2A16AC9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50" w:type="dxa"/>
                </w:tcPr>
                <w:p w14:paraId="42E6F0F8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30B7401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0121D48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</w:tcPr>
                <w:p w14:paraId="09E3C8D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14:paraId="029BB81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2AF33319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4EFC204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</w:tcPr>
                <w:p w14:paraId="396E78D4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5E1E2DF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46D5309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B714D5" w14:textId="77777777" w:rsidR="00990226" w:rsidRDefault="00990226" w:rsidP="00853529">
                  <w:pPr>
                    <w:autoSpaceDE/>
                    <w:autoSpaceDN/>
                    <w:jc w:val="both"/>
                    <w:rPr>
                      <w:rFonts w:eastAsia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" w:type="dxa"/>
                </w:tcPr>
                <w:p w14:paraId="39A71DC0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5B2D17A7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</w:tcPr>
                <w:p w14:paraId="6BF157C1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57" w:type="dxa"/>
                </w:tcPr>
                <w:p w14:paraId="24C06B2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990226" w14:paraId="62CD1D51" w14:textId="77777777">
              <w:trPr>
                <w:trHeight w:val="220"/>
              </w:trPr>
              <w:tc>
                <w:tcPr>
                  <w:tcW w:w="180" w:type="dxa"/>
                </w:tcPr>
                <w:p w14:paraId="67EBF173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50" w:type="dxa"/>
                </w:tcPr>
                <w:p w14:paraId="619AC5D5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09A45C4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" w:type="dxa"/>
                </w:tcPr>
                <w:p w14:paraId="0175498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872" w:type="dxa"/>
                </w:tcPr>
                <w:p w14:paraId="0B9317FD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14:paraId="250C0B1F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5A136ACE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80" w:type="dxa"/>
                </w:tcPr>
                <w:p w14:paraId="35F54E6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970" w:type="dxa"/>
                </w:tcPr>
                <w:p w14:paraId="1ECE3E7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693FC5D4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" w:type="dxa"/>
                </w:tcPr>
                <w:p w14:paraId="4E954B5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748" w:type="dxa"/>
                </w:tcPr>
                <w:p w14:paraId="5078A6C4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79" w:type="dxa"/>
                </w:tcPr>
                <w:p w14:paraId="3FA29CB2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0" w:type="dxa"/>
                </w:tcPr>
                <w:p w14:paraId="5C623D4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74" w:type="dxa"/>
                </w:tcPr>
                <w:p w14:paraId="3FD63DEA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57" w:type="dxa"/>
                </w:tcPr>
                <w:p w14:paraId="1912016B" w14:textId="77777777" w:rsidR="00990226" w:rsidRDefault="00990226" w:rsidP="00853529">
                  <w:pPr>
                    <w:pStyle w:val="EmptyCellLayoutStyle"/>
                    <w:spacing w:after="0" w:line="240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14:paraId="71EA9626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990226" w14:paraId="33A9ACF2" w14:textId="77777777" w:rsidTr="00990226">
        <w:tc>
          <w:tcPr>
            <w:tcW w:w="6" w:type="dxa"/>
            <w:vAlign w:val="center"/>
            <w:hideMark/>
          </w:tcPr>
          <w:p w14:paraId="3F23DD3C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" w:type="dxa"/>
            <w:vAlign w:val="center"/>
            <w:hideMark/>
          </w:tcPr>
          <w:p w14:paraId="5DEB25A8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" w:type="dxa"/>
            <w:vAlign w:val="center"/>
            <w:hideMark/>
          </w:tcPr>
          <w:p w14:paraId="21107639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448" w:type="dxa"/>
            <w:vAlign w:val="center"/>
            <w:hideMark/>
          </w:tcPr>
          <w:p w14:paraId="0F943A88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vAlign w:val="center"/>
            <w:hideMark/>
          </w:tcPr>
          <w:p w14:paraId="4496345E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44" w:type="dxa"/>
            <w:vAlign w:val="center"/>
            <w:hideMark/>
          </w:tcPr>
          <w:p w14:paraId="5163E67E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6" w:type="dxa"/>
            <w:vAlign w:val="center"/>
            <w:hideMark/>
          </w:tcPr>
          <w:p w14:paraId="008E62A5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vAlign w:val="center"/>
            <w:hideMark/>
          </w:tcPr>
          <w:p w14:paraId="716AF282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736" w:type="dxa"/>
            <w:vAlign w:val="center"/>
            <w:hideMark/>
          </w:tcPr>
          <w:p w14:paraId="2EE669A1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60" w:type="dxa"/>
            <w:vAlign w:val="center"/>
            <w:hideMark/>
          </w:tcPr>
          <w:p w14:paraId="586F0301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56" w:type="dxa"/>
            <w:vAlign w:val="center"/>
            <w:hideMark/>
          </w:tcPr>
          <w:p w14:paraId="35D31C13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24" w:type="dxa"/>
            <w:vAlign w:val="center"/>
            <w:hideMark/>
          </w:tcPr>
          <w:p w14:paraId="7EE8CF27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2" w:type="dxa"/>
            <w:vAlign w:val="center"/>
            <w:hideMark/>
          </w:tcPr>
          <w:p w14:paraId="44600B98" w14:textId="77777777" w:rsidR="00990226" w:rsidRDefault="00990226" w:rsidP="00853529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0F5C9AE1" w14:textId="77777777" w:rsidR="00A2672D" w:rsidRPr="0079436B" w:rsidRDefault="00A2672D" w:rsidP="0079436B">
      <w:pPr>
        <w:rPr>
          <w:bCs/>
        </w:rPr>
      </w:pPr>
    </w:p>
    <w:p w14:paraId="6EAE70D8" w14:textId="77777777" w:rsidR="00EF0D3B" w:rsidRPr="00853529" w:rsidRDefault="00853529" w:rsidP="00853529">
      <w:pPr>
        <w:jc w:val="both"/>
        <w:rPr>
          <w:b/>
          <w:bCs/>
        </w:rPr>
      </w:pPr>
      <w:r w:rsidRPr="00853529">
        <w:rPr>
          <w:b/>
          <w:bCs/>
        </w:rPr>
        <w:t>AFERIÇÃO DO GRAU DE SATISFAÇÃO DOS CIDADÃOS-USUÁRIOS</w:t>
      </w:r>
    </w:p>
    <w:p w14:paraId="352BF6C5" w14:textId="77777777" w:rsidR="00EF0D3B" w:rsidRDefault="00EF0D3B" w:rsidP="00853529">
      <w:pPr>
        <w:jc w:val="both"/>
        <w:rPr>
          <w:bCs/>
          <w:sz w:val="28"/>
          <w:szCs w:val="28"/>
        </w:rPr>
      </w:pPr>
    </w:p>
    <w:p w14:paraId="72A6B769" w14:textId="77777777" w:rsidR="00F71FC3" w:rsidRDefault="00F71FC3" w:rsidP="00853529">
      <w:pPr>
        <w:jc w:val="both"/>
        <w:rPr>
          <w:bCs/>
          <w:sz w:val="28"/>
          <w:szCs w:val="28"/>
        </w:rPr>
      </w:pPr>
    </w:p>
    <w:p w14:paraId="00D71ACE" w14:textId="77777777" w:rsidR="00F71FC3" w:rsidRDefault="00B83487" w:rsidP="00853529">
      <w:pPr>
        <w:jc w:val="both"/>
        <w:rPr>
          <w:bCs/>
        </w:rPr>
      </w:pPr>
      <w:r>
        <w:rPr>
          <w:bCs/>
        </w:rPr>
        <w:t>O sistema E-OUV</w:t>
      </w:r>
      <w:r w:rsidR="00F71FC3">
        <w:rPr>
          <w:bCs/>
        </w:rPr>
        <w:t>, possibilita o grau de aferição dos cidadãos-usuários</w:t>
      </w:r>
      <w:r w:rsidR="00CA1C0F">
        <w:rPr>
          <w:bCs/>
        </w:rPr>
        <w:t>, porém ne</w:t>
      </w:r>
      <w:r w:rsidR="00867B60">
        <w:rPr>
          <w:bCs/>
        </w:rPr>
        <w:t>m todos respondem, o que impossibilita uma avaliação geral da satisfação. O</w:t>
      </w:r>
      <w:r>
        <w:rPr>
          <w:bCs/>
        </w:rPr>
        <w:t xml:space="preserve"> E-SIC</w:t>
      </w:r>
      <w:r w:rsidR="00F71FC3">
        <w:rPr>
          <w:bCs/>
        </w:rPr>
        <w:t xml:space="preserve"> </w:t>
      </w:r>
      <w:r w:rsidR="00867B60">
        <w:rPr>
          <w:bCs/>
        </w:rPr>
        <w:t xml:space="preserve">também </w:t>
      </w:r>
      <w:r w:rsidR="00F71FC3">
        <w:rPr>
          <w:bCs/>
        </w:rPr>
        <w:t>disponibiliza ao final do tratamento da demand</w:t>
      </w:r>
      <w:r w:rsidR="009C38D0">
        <w:rPr>
          <w:bCs/>
        </w:rPr>
        <w:t>a, um questionário de avaliação e satisfação.</w:t>
      </w:r>
      <w:r w:rsidR="00F71FC3">
        <w:rPr>
          <w:bCs/>
        </w:rPr>
        <w:t xml:space="preserve"> </w:t>
      </w:r>
      <w:r w:rsidR="009C38D0">
        <w:rPr>
          <w:bCs/>
        </w:rPr>
        <w:t>Ressalta-se,</w:t>
      </w:r>
      <w:r w:rsidR="00F71FC3">
        <w:rPr>
          <w:bCs/>
        </w:rPr>
        <w:t xml:space="preserve"> porém, que </w:t>
      </w:r>
      <w:r w:rsidR="00867B60">
        <w:rPr>
          <w:bCs/>
        </w:rPr>
        <w:t>o question</w:t>
      </w:r>
      <w:r w:rsidR="0019436D">
        <w:rPr>
          <w:bCs/>
        </w:rPr>
        <w:t>ário também como ocorre no E-OUV</w:t>
      </w:r>
      <w:r w:rsidR="00867B60">
        <w:rPr>
          <w:bCs/>
        </w:rPr>
        <w:t>, não é respondido por todos.</w:t>
      </w:r>
    </w:p>
    <w:p w14:paraId="572BF46D" w14:textId="77777777" w:rsidR="00F71FC3" w:rsidRDefault="00F71FC3" w:rsidP="00853529">
      <w:pPr>
        <w:jc w:val="both"/>
        <w:rPr>
          <w:bCs/>
        </w:rPr>
      </w:pPr>
      <w:r>
        <w:rPr>
          <w:bCs/>
        </w:rPr>
        <w:t>O quadro a seguir</w:t>
      </w:r>
      <w:r w:rsidR="009C38D0">
        <w:rPr>
          <w:bCs/>
        </w:rPr>
        <w:t>,</w:t>
      </w:r>
      <w:r>
        <w:rPr>
          <w:bCs/>
        </w:rPr>
        <w:t xml:space="preserve"> mostra o resultado dos questionários respondidos, refer</w:t>
      </w:r>
      <w:r w:rsidR="00ED0EEC">
        <w:rPr>
          <w:bCs/>
        </w:rPr>
        <w:t>entes ao ano de 2018</w:t>
      </w:r>
      <w:r>
        <w:rPr>
          <w:bCs/>
        </w:rPr>
        <w:t>.</w:t>
      </w:r>
    </w:p>
    <w:p w14:paraId="4C4CDE27" w14:textId="77777777" w:rsidR="00C72C6F" w:rsidRDefault="00C72C6F" w:rsidP="00853529">
      <w:pPr>
        <w:jc w:val="both"/>
        <w:rPr>
          <w:bCs/>
        </w:rPr>
      </w:pPr>
    </w:p>
    <w:p w14:paraId="3BF35A55" w14:textId="77777777" w:rsidR="00C72C6F" w:rsidRDefault="00C72C6F" w:rsidP="00853529">
      <w:pPr>
        <w:jc w:val="both"/>
        <w:rPr>
          <w:bCs/>
        </w:rPr>
      </w:pPr>
      <w:r>
        <w:rPr>
          <w:bCs/>
        </w:rPr>
        <w:t>Quadra 2.1-Grau de satisfação da resposta fornecida</w:t>
      </w:r>
      <w:r w:rsidR="00867B60">
        <w:rPr>
          <w:bCs/>
        </w:rPr>
        <w:t xml:space="preserve"> pelo E-OUV</w:t>
      </w:r>
    </w:p>
    <w:p w14:paraId="01DD3265" w14:textId="77777777" w:rsidR="00BF1D84" w:rsidRDefault="00BF1D84" w:rsidP="00853529">
      <w:pPr>
        <w:jc w:val="both"/>
        <w:rPr>
          <w:bCs/>
        </w:rPr>
      </w:pPr>
    </w:p>
    <w:p w14:paraId="1DE2F30F" w14:textId="77777777" w:rsidR="00C72C6F" w:rsidRDefault="00BF1D84" w:rsidP="00853529">
      <w:pPr>
        <w:jc w:val="both"/>
        <w:rPr>
          <w:bCs/>
        </w:rPr>
      </w:pPr>
      <w:r>
        <w:rPr>
          <w:b/>
          <w:bCs/>
          <w:noProof/>
          <w:lang w:eastAsia="pt-BR"/>
        </w:rPr>
        <w:drawing>
          <wp:inline distT="0" distB="0" distL="0" distR="0" wp14:anchorId="68E704E1" wp14:editId="01B31F5B">
            <wp:extent cx="5657850" cy="2505075"/>
            <wp:effectExtent l="0" t="0" r="0" b="952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9339EE" w14:textId="77777777" w:rsidR="00CC4970" w:rsidRDefault="00CC4970" w:rsidP="00853529">
      <w:pPr>
        <w:jc w:val="both"/>
        <w:rPr>
          <w:bCs/>
        </w:rPr>
      </w:pPr>
    </w:p>
    <w:p w14:paraId="792221C5" w14:textId="77777777" w:rsidR="00BF1D84" w:rsidRDefault="00BF1D84" w:rsidP="00853529">
      <w:pPr>
        <w:jc w:val="both"/>
        <w:rPr>
          <w:bCs/>
        </w:rPr>
      </w:pPr>
    </w:p>
    <w:p w14:paraId="2D767941" w14:textId="77777777" w:rsidR="00853529" w:rsidRDefault="002132DB" w:rsidP="00853529">
      <w:pPr>
        <w:jc w:val="both"/>
        <w:rPr>
          <w:bCs/>
        </w:rPr>
      </w:pPr>
      <w:r>
        <w:rPr>
          <w:noProof/>
          <w:lang w:eastAsia="pt-BR"/>
        </w:rPr>
        <w:drawing>
          <wp:inline distT="0" distB="0" distL="0" distR="0" wp14:anchorId="4FC6A3F3" wp14:editId="128C7C78">
            <wp:extent cx="5514975" cy="2743200"/>
            <wp:effectExtent l="0" t="0" r="9525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51681AA" w14:textId="77777777" w:rsidR="00853529" w:rsidRDefault="00853529" w:rsidP="00853529">
      <w:pPr>
        <w:jc w:val="both"/>
        <w:rPr>
          <w:b/>
          <w:bCs/>
        </w:rPr>
      </w:pPr>
    </w:p>
    <w:p w14:paraId="3B792270" w14:textId="77777777" w:rsidR="00853529" w:rsidRDefault="00853529" w:rsidP="00853529">
      <w:pPr>
        <w:jc w:val="both"/>
        <w:rPr>
          <w:b/>
          <w:bCs/>
        </w:rPr>
      </w:pPr>
    </w:p>
    <w:p w14:paraId="312AE7B3" w14:textId="77777777" w:rsidR="00873673" w:rsidRDefault="00873673" w:rsidP="00853529">
      <w:pPr>
        <w:jc w:val="both"/>
        <w:rPr>
          <w:b/>
          <w:bCs/>
        </w:rPr>
      </w:pPr>
    </w:p>
    <w:p w14:paraId="56077CAB" w14:textId="77777777" w:rsidR="00873673" w:rsidRDefault="00873673" w:rsidP="00853529">
      <w:pPr>
        <w:jc w:val="both"/>
        <w:rPr>
          <w:b/>
          <w:bCs/>
        </w:rPr>
      </w:pPr>
    </w:p>
    <w:p w14:paraId="78468043" w14:textId="77777777" w:rsidR="006C445D" w:rsidRPr="00853529" w:rsidRDefault="00853529" w:rsidP="00853529">
      <w:pPr>
        <w:jc w:val="both"/>
        <w:rPr>
          <w:bCs/>
        </w:rPr>
      </w:pPr>
      <w:r w:rsidRPr="00853529">
        <w:rPr>
          <w:b/>
          <w:bCs/>
        </w:rPr>
        <w:t>MECANISMOS DE TRANSPARÊNCIA DAS INFORMAÇÕES RELEVANTES SOBRE A ATUAÇÃO DA UNIDADE</w:t>
      </w:r>
    </w:p>
    <w:p w14:paraId="43B389DE" w14:textId="77777777" w:rsidR="006C445D" w:rsidRDefault="006C445D" w:rsidP="00853529">
      <w:pPr>
        <w:jc w:val="both"/>
        <w:rPr>
          <w:bCs/>
        </w:rPr>
      </w:pPr>
    </w:p>
    <w:p w14:paraId="59BCE97B" w14:textId="77777777" w:rsidR="006C445D" w:rsidRDefault="006C445D" w:rsidP="00853529">
      <w:pPr>
        <w:jc w:val="both"/>
        <w:rPr>
          <w:bCs/>
        </w:rPr>
      </w:pPr>
    </w:p>
    <w:p w14:paraId="3F55F9BC" w14:textId="77777777" w:rsidR="006C445D" w:rsidRDefault="006C445D" w:rsidP="00853529">
      <w:pPr>
        <w:pStyle w:val="PargrafodaLista"/>
        <w:numPr>
          <w:ilvl w:val="0"/>
          <w:numId w:val="22"/>
        </w:numPr>
        <w:rPr>
          <w:bCs/>
        </w:rPr>
      </w:pPr>
      <w:r>
        <w:rPr>
          <w:bCs/>
        </w:rPr>
        <w:t>Divulgação das principais ações e atividades por meio da mídia impressa e mídias sociais (interna e externa) e portal do MTur.</w:t>
      </w:r>
    </w:p>
    <w:p w14:paraId="605A8A45" w14:textId="77777777" w:rsidR="006C445D" w:rsidRDefault="006C445D" w:rsidP="00853529">
      <w:pPr>
        <w:pStyle w:val="PargrafodaLista"/>
        <w:numPr>
          <w:ilvl w:val="0"/>
          <w:numId w:val="22"/>
        </w:numPr>
        <w:rPr>
          <w:bCs/>
        </w:rPr>
      </w:pPr>
      <w:r>
        <w:rPr>
          <w:bCs/>
        </w:rPr>
        <w:t>Divulgação de pagamentos das agências no site conforme Lei nº 12.232/10. Além de prestação de contas mensal à SECOM.</w:t>
      </w:r>
    </w:p>
    <w:p w14:paraId="0C776544" w14:textId="77777777" w:rsidR="008773F1" w:rsidRDefault="008773F1" w:rsidP="00853529">
      <w:pPr>
        <w:pStyle w:val="PargrafodaLista"/>
        <w:numPr>
          <w:ilvl w:val="0"/>
          <w:numId w:val="22"/>
        </w:numPr>
        <w:rPr>
          <w:bCs/>
        </w:rPr>
      </w:pPr>
      <w:r>
        <w:rPr>
          <w:bCs/>
        </w:rPr>
        <w:t>Divulgação dos relatórios de pesquisa pelo portal do Turismo- Canal Dados e Fatos e mídias impressas sociais (interna e externa), por meio de releases elaborados e distribuídos pela ASCOM.</w:t>
      </w:r>
    </w:p>
    <w:p w14:paraId="5B74A044" w14:textId="77777777" w:rsidR="008773F1" w:rsidRDefault="008773F1" w:rsidP="00853529">
      <w:pPr>
        <w:pStyle w:val="PargrafodaLista"/>
        <w:numPr>
          <w:ilvl w:val="0"/>
          <w:numId w:val="22"/>
        </w:numPr>
        <w:rPr>
          <w:bCs/>
        </w:rPr>
      </w:pPr>
      <w:r>
        <w:rPr>
          <w:bCs/>
        </w:rPr>
        <w:t xml:space="preserve">Divulgação ativa dos relatórios de gestão das unidades componentes do Ministério do Turismo, bem como dos resultados de auditoria anual de contas provenientes da </w:t>
      </w:r>
      <w:r>
        <w:rPr>
          <w:bCs/>
        </w:rPr>
        <w:lastRenderedPageBreak/>
        <w:t xml:space="preserve">CGU, efetuados por meio de relatórios, certificados e pareceres anuais de contas. Adicionalmente o site do </w:t>
      </w:r>
      <w:proofErr w:type="spellStart"/>
      <w:r>
        <w:rPr>
          <w:bCs/>
        </w:rPr>
        <w:t>Mtur</w:t>
      </w:r>
      <w:proofErr w:type="spellEnd"/>
      <w:r>
        <w:rPr>
          <w:bCs/>
        </w:rPr>
        <w:t xml:space="preserve"> apresenta a situação do julgamento de cada uma das contas anuais analisadas, inclusive evidenciam os Acórdãos do TCU concernentes.</w:t>
      </w:r>
    </w:p>
    <w:p w14:paraId="2435443F" w14:textId="77777777" w:rsidR="008773F1" w:rsidRPr="006C445D" w:rsidRDefault="008773F1" w:rsidP="00853529">
      <w:pPr>
        <w:pStyle w:val="PargrafodaLista"/>
        <w:numPr>
          <w:ilvl w:val="0"/>
          <w:numId w:val="22"/>
        </w:numPr>
        <w:rPr>
          <w:bCs/>
        </w:rPr>
      </w:pPr>
      <w:r>
        <w:rPr>
          <w:bCs/>
        </w:rPr>
        <w:t xml:space="preserve">Divulgação dos principais normativos que regulam o funcionamento do </w:t>
      </w:r>
      <w:proofErr w:type="spellStart"/>
      <w:r>
        <w:rPr>
          <w:bCs/>
        </w:rPr>
        <w:t>Mtur</w:t>
      </w:r>
      <w:proofErr w:type="spellEnd"/>
      <w:r>
        <w:rPr>
          <w:bCs/>
        </w:rPr>
        <w:t>.</w:t>
      </w:r>
    </w:p>
    <w:sectPr w:rsidR="008773F1" w:rsidRPr="006C445D" w:rsidSect="00853529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F261" w14:textId="77777777" w:rsidR="000354BC" w:rsidRDefault="000354BC" w:rsidP="00564D8E">
      <w:r>
        <w:separator/>
      </w:r>
    </w:p>
  </w:endnote>
  <w:endnote w:type="continuationSeparator" w:id="0">
    <w:p w14:paraId="777400C5" w14:textId="77777777" w:rsidR="000354BC" w:rsidRDefault="000354BC" w:rsidP="0056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D43F" w14:textId="77777777" w:rsidR="000354BC" w:rsidRDefault="000354BC" w:rsidP="00564D8E">
      <w:r>
        <w:separator/>
      </w:r>
    </w:p>
  </w:footnote>
  <w:footnote w:type="continuationSeparator" w:id="0">
    <w:p w14:paraId="4EA3B345" w14:textId="77777777" w:rsidR="000354BC" w:rsidRDefault="000354BC" w:rsidP="0056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CD8"/>
    <w:multiLevelType w:val="hybridMultilevel"/>
    <w:tmpl w:val="56E62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926"/>
    <w:multiLevelType w:val="hybridMultilevel"/>
    <w:tmpl w:val="46106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0E05"/>
    <w:multiLevelType w:val="hybridMultilevel"/>
    <w:tmpl w:val="24263AEA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9D6740"/>
    <w:multiLevelType w:val="hybridMultilevel"/>
    <w:tmpl w:val="8B666E86"/>
    <w:lvl w:ilvl="0" w:tplc="CC5C9138">
      <w:start w:val="2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8917B4"/>
    <w:multiLevelType w:val="hybridMultilevel"/>
    <w:tmpl w:val="D89C59FE"/>
    <w:lvl w:ilvl="0" w:tplc="60DE82C2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color w:val="1F497D"/>
        <w:sz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B4DA4"/>
    <w:multiLevelType w:val="hybridMultilevel"/>
    <w:tmpl w:val="E50A51BE"/>
    <w:lvl w:ilvl="0" w:tplc="6A20D7C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0325D"/>
    <w:multiLevelType w:val="hybridMultilevel"/>
    <w:tmpl w:val="073CDE3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B0F46BB"/>
    <w:multiLevelType w:val="hybridMultilevel"/>
    <w:tmpl w:val="587E4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3574"/>
    <w:multiLevelType w:val="hybridMultilevel"/>
    <w:tmpl w:val="AE4E8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3DF"/>
    <w:multiLevelType w:val="hybridMultilevel"/>
    <w:tmpl w:val="786E9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629"/>
    <w:multiLevelType w:val="hybridMultilevel"/>
    <w:tmpl w:val="F74A6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0901"/>
    <w:multiLevelType w:val="hybridMultilevel"/>
    <w:tmpl w:val="363A973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12C19F0"/>
    <w:multiLevelType w:val="hybridMultilevel"/>
    <w:tmpl w:val="6E38CFA4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32F178A4"/>
    <w:multiLevelType w:val="hybridMultilevel"/>
    <w:tmpl w:val="25663F1A"/>
    <w:lvl w:ilvl="0" w:tplc="20D84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43B2C"/>
    <w:multiLevelType w:val="hybridMultilevel"/>
    <w:tmpl w:val="DBF4A36C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DF6A7E02">
      <w:numFmt w:val="bullet"/>
      <w:lvlText w:val="·"/>
      <w:lvlJc w:val="left"/>
      <w:pPr>
        <w:ind w:left="2250" w:hanging="630"/>
      </w:pPr>
      <w:rPr>
        <w:rFonts w:ascii="Times New Roman" w:eastAsia="Calibri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5F474A6"/>
    <w:multiLevelType w:val="multilevel"/>
    <w:tmpl w:val="41441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DD4878"/>
    <w:multiLevelType w:val="hybridMultilevel"/>
    <w:tmpl w:val="77683AAA"/>
    <w:lvl w:ilvl="0" w:tplc="3A728D12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B26AC6"/>
    <w:multiLevelType w:val="hybridMultilevel"/>
    <w:tmpl w:val="45122422"/>
    <w:lvl w:ilvl="0" w:tplc="7B9C6ADA">
      <w:start w:val="2"/>
      <w:numFmt w:val="decimal"/>
      <w:lvlText w:val="%1-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B521E3"/>
    <w:multiLevelType w:val="hybridMultilevel"/>
    <w:tmpl w:val="8D94E638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E904CFC"/>
    <w:multiLevelType w:val="hybridMultilevel"/>
    <w:tmpl w:val="4A1C6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202F8"/>
    <w:multiLevelType w:val="hybridMultilevel"/>
    <w:tmpl w:val="0AEC6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309C0"/>
    <w:multiLevelType w:val="hybridMultilevel"/>
    <w:tmpl w:val="AE3834AC"/>
    <w:lvl w:ilvl="0" w:tplc="FF945EE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8053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44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467877">
    <w:abstractNumId w:val="14"/>
  </w:num>
  <w:num w:numId="4" w16cid:durableId="1879854350">
    <w:abstractNumId w:val="2"/>
  </w:num>
  <w:num w:numId="5" w16cid:durableId="396437820">
    <w:abstractNumId w:val="6"/>
  </w:num>
  <w:num w:numId="6" w16cid:durableId="328873565">
    <w:abstractNumId w:val="5"/>
  </w:num>
  <w:num w:numId="7" w16cid:durableId="316763467">
    <w:abstractNumId w:val="11"/>
  </w:num>
  <w:num w:numId="8" w16cid:durableId="826475261">
    <w:abstractNumId w:val="3"/>
  </w:num>
  <w:num w:numId="9" w16cid:durableId="1700817277">
    <w:abstractNumId w:val="21"/>
  </w:num>
  <w:num w:numId="10" w16cid:durableId="1163861127">
    <w:abstractNumId w:val="17"/>
  </w:num>
  <w:num w:numId="11" w16cid:durableId="455221119">
    <w:abstractNumId w:val="18"/>
  </w:num>
  <w:num w:numId="12" w16cid:durableId="724765963">
    <w:abstractNumId w:val="13"/>
  </w:num>
  <w:num w:numId="13" w16cid:durableId="694890723">
    <w:abstractNumId w:val="12"/>
  </w:num>
  <w:num w:numId="14" w16cid:durableId="532227241">
    <w:abstractNumId w:val="1"/>
  </w:num>
  <w:num w:numId="15" w16cid:durableId="633489024">
    <w:abstractNumId w:val="19"/>
  </w:num>
  <w:num w:numId="16" w16cid:durableId="1855261588">
    <w:abstractNumId w:val="7"/>
  </w:num>
  <w:num w:numId="17" w16cid:durableId="944580375">
    <w:abstractNumId w:val="20"/>
  </w:num>
  <w:num w:numId="18" w16cid:durableId="39133450">
    <w:abstractNumId w:val="0"/>
  </w:num>
  <w:num w:numId="19" w16cid:durableId="2053144208">
    <w:abstractNumId w:val="9"/>
  </w:num>
  <w:num w:numId="20" w16cid:durableId="2055503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8803934">
    <w:abstractNumId w:val="15"/>
  </w:num>
  <w:num w:numId="22" w16cid:durableId="1365714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61"/>
    <w:rsid w:val="00020D92"/>
    <w:rsid w:val="000354BC"/>
    <w:rsid w:val="0005219A"/>
    <w:rsid w:val="0005671C"/>
    <w:rsid w:val="00061112"/>
    <w:rsid w:val="000A309B"/>
    <w:rsid w:val="000D3E7D"/>
    <w:rsid w:val="000D788F"/>
    <w:rsid w:val="000E1425"/>
    <w:rsid w:val="00133B0D"/>
    <w:rsid w:val="00161845"/>
    <w:rsid w:val="0019436D"/>
    <w:rsid w:val="00194BDE"/>
    <w:rsid w:val="00195893"/>
    <w:rsid w:val="001D33E4"/>
    <w:rsid w:val="001D56D2"/>
    <w:rsid w:val="002013F4"/>
    <w:rsid w:val="00203599"/>
    <w:rsid w:val="002122DB"/>
    <w:rsid w:val="00212A71"/>
    <w:rsid w:val="002132DB"/>
    <w:rsid w:val="002152F6"/>
    <w:rsid w:val="00225BA5"/>
    <w:rsid w:val="00233D8D"/>
    <w:rsid w:val="002438E5"/>
    <w:rsid w:val="0027538F"/>
    <w:rsid w:val="0028164D"/>
    <w:rsid w:val="002B79FC"/>
    <w:rsid w:val="002D02EA"/>
    <w:rsid w:val="002D58C0"/>
    <w:rsid w:val="002F773E"/>
    <w:rsid w:val="0030723D"/>
    <w:rsid w:val="00314B44"/>
    <w:rsid w:val="00333025"/>
    <w:rsid w:val="003416C2"/>
    <w:rsid w:val="0035719F"/>
    <w:rsid w:val="00360840"/>
    <w:rsid w:val="003732D6"/>
    <w:rsid w:val="003A7E93"/>
    <w:rsid w:val="003B0025"/>
    <w:rsid w:val="003E14DB"/>
    <w:rsid w:val="00413088"/>
    <w:rsid w:val="0043063A"/>
    <w:rsid w:val="00431A6E"/>
    <w:rsid w:val="004408AA"/>
    <w:rsid w:val="00460866"/>
    <w:rsid w:val="00467373"/>
    <w:rsid w:val="00475F67"/>
    <w:rsid w:val="004B4FF6"/>
    <w:rsid w:val="004D449E"/>
    <w:rsid w:val="004E2923"/>
    <w:rsid w:val="004E507D"/>
    <w:rsid w:val="00516AED"/>
    <w:rsid w:val="00516F71"/>
    <w:rsid w:val="00564D8E"/>
    <w:rsid w:val="005A2A81"/>
    <w:rsid w:val="005C627E"/>
    <w:rsid w:val="005E03D3"/>
    <w:rsid w:val="005E40C9"/>
    <w:rsid w:val="00606A52"/>
    <w:rsid w:val="00616173"/>
    <w:rsid w:val="0062171A"/>
    <w:rsid w:val="00642B26"/>
    <w:rsid w:val="00672067"/>
    <w:rsid w:val="006756A7"/>
    <w:rsid w:val="00692993"/>
    <w:rsid w:val="006C445D"/>
    <w:rsid w:val="00702BBC"/>
    <w:rsid w:val="007341CE"/>
    <w:rsid w:val="00743AF5"/>
    <w:rsid w:val="0074798C"/>
    <w:rsid w:val="00747E3A"/>
    <w:rsid w:val="00762C46"/>
    <w:rsid w:val="00776DF0"/>
    <w:rsid w:val="0079436B"/>
    <w:rsid w:val="007A5409"/>
    <w:rsid w:val="007E108C"/>
    <w:rsid w:val="0080731D"/>
    <w:rsid w:val="00832C42"/>
    <w:rsid w:val="00837A29"/>
    <w:rsid w:val="00841259"/>
    <w:rsid w:val="008462C0"/>
    <w:rsid w:val="00853529"/>
    <w:rsid w:val="00867B60"/>
    <w:rsid w:val="00873673"/>
    <w:rsid w:val="008773F1"/>
    <w:rsid w:val="008814EC"/>
    <w:rsid w:val="008A7220"/>
    <w:rsid w:val="008D33E4"/>
    <w:rsid w:val="008D7529"/>
    <w:rsid w:val="008E0508"/>
    <w:rsid w:val="008E4EF3"/>
    <w:rsid w:val="008E7BD8"/>
    <w:rsid w:val="009117FB"/>
    <w:rsid w:val="00924A3A"/>
    <w:rsid w:val="00935A4C"/>
    <w:rsid w:val="00953069"/>
    <w:rsid w:val="00956F71"/>
    <w:rsid w:val="00965146"/>
    <w:rsid w:val="00980487"/>
    <w:rsid w:val="00990226"/>
    <w:rsid w:val="009C38D0"/>
    <w:rsid w:val="009F3615"/>
    <w:rsid w:val="00A0738A"/>
    <w:rsid w:val="00A11FA1"/>
    <w:rsid w:val="00A2672D"/>
    <w:rsid w:val="00A75F6A"/>
    <w:rsid w:val="00A82B61"/>
    <w:rsid w:val="00A96177"/>
    <w:rsid w:val="00AB4719"/>
    <w:rsid w:val="00AC1EF1"/>
    <w:rsid w:val="00AE1911"/>
    <w:rsid w:val="00AF1462"/>
    <w:rsid w:val="00AF7532"/>
    <w:rsid w:val="00B66E0E"/>
    <w:rsid w:val="00B83487"/>
    <w:rsid w:val="00BA6DAE"/>
    <w:rsid w:val="00BA6DBB"/>
    <w:rsid w:val="00BF1D84"/>
    <w:rsid w:val="00BF734C"/>
    <w:rsid w:val="00C134F5"/>
    <w:rsid w:val="00C4522D"/>
    <w:rsid w:val="00C72C6F"/>
    <w:rsid w:val="00C77262"/>
    <w:rsid w:val="00C80F6D"/>
    <w:rsid w:val="00CA122E"/>
    <w:rsid w:val="00CA1C0F"/>
    <w:rsid w:val="00CC4970"/>
    <w:rsid w:val="00CC536F"/>
    <w:rsid w:val="00CD7A0A"/>
    <w:rsid w:val="00D01E4E"/>
    <w:rsid w:val="00D11CA3"/>
    <w:rsid w:val="00D242B3"/>
    <w:rsid w:val="00D526E5"/>
    <w:rsid w:val="00D55A2B"/>
    <w:rsid w:val="00D56C2B"/>
    <w:rsid w:val="00D64068"/>
    <w:rsid w:val="00D911BC"/>
    <w:rsid w:val="00D9601A"/>
    <w:rsid w:val="00DE120D"/>
    <w:rsid w:val="00E14523"/>
    <w:rsid w:val="00E53819"/>
    <w:rsid w:val="00E56C48"/>
    <w:rsid w:val="00EC3B73"/>
    <w:rsid w:val="00ED0EEC"/>
    <w:rsid w:val="00ED58C5"/>
    <w:rsid w:val="00EF0D3B"/>
    <w:rsid w:val="00EF68DB"/>
    <w:rsid w:val="00F45DBA"/>
    <w:rsid w:val="00F578FB"/>
    <w:rsid w:val="00F71FC3"/>
    <w:rsid w:val="00F73176"/>
    <w:rsid w:val="00FB40BE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1CA1"/>
  <w15:chartTrackingRefBased/>
  <w15:docId w15:val="{87580054-2498-4E16-A290-BD064DC8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6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LayoutStyle">
    <w:name w:val="EmptyCellLayoutStyle"/>
    <w:basedOn w:val="Normal"/>
    <w:rsid w:val="00A82B61"/>
    <w:pPr>
      <w:autoSpaceDE/>
      <w:autoSpaceDN/>
      <w:spacing w:after="160" w:line="252" w:lineRule="auto"/>
    </w:pPr>
    <w:rPr>
      <w:sz w:val="2"/>
      <w:szCs w:val="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4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4D8E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4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D8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64D8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564D8E"/>
    <w:pPr>
      <w:autoSpaceDE/>
      <w:autoSpaceDN/>
      <w:ind w:left="708"/>
      <w:jc w:val="both"/>
    </w:pPr>
    <w:rPr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564D8E"/>
    <w:rPr>
      <w:i/>
      <w:iCs/>
    </w:rPr>
  </w:style>
  <w:style w:type="table" w:styleId="Tabelacomgrade">
    <w:name w:val="Table Grid"/>
    <w:basedOn w:val="Tabelanormal"/>
    <w:uiPriority w:val="39"/>
    <w:rsid w:val="004E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33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cid:image004.jpg@01D060A6.185E5F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5.jpg@01D05C1C.63B106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Demandas  E-OUV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4.2437781360066642E-17"/>
                  <c:y val="-8.636977058029689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92-4ABB-BD6B-82C205AEA644}"/>
                </c:ext>
              </c:extLst>
            </c:dLbl>
            <c:dLbl>
              <c:idx val="2"/>
              <c:layout>
                <c:manualLayout>
                  <c:x val="-4.2437781360066642E-17"/>
                  <c:y val="-0.2591093117408907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92-4ABB-BD6B-82C205AEA644}"/>
                </c:ext>
              </c:extLst>
            </c:dLbl>
            <c:dLbl>
              <c:idx val="3"/>
              <c:layout>
                <c:manualLayout>
                  <c:x val="-2.3148148148148997E-3"/>
                  <c:y val="-0.3238866396761134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92-4ABB-BD6B-82C205AEA644}"/>
                </c:ext>
              </c:extLst>
            </c:dLbl>
            <c:dLbl>
              <c:idx val="4"/>
              <c:layout>
                <c:manualLayout>
                  <c:x val="-8.4875562720133283E-17"/>
                  <c:y val="-5.39811066126856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92-4ABB-BD6B-82C205AEA644}"/>
                </c:ext>
              </c:extLst>
            </c:dLbl>
            <c:dLbl>
              <c:idx val="5"/>
              <c:layout>
                <c:manualLayout>
                  <c:x val="-2.3148148148148997E-3"/>
                  <c:y val="-0.1187584345479082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92-4ABB-BD6B-82C205AEA644}"/>
                </c:ext>
              </c:extLst>
            </c:dLbl>
            <c:dLbl>
              <c:idx val="6"/>
              <c:layout>
                <c:manualLayout>
                  <c:x val="0"/>
                  <c:y val="-6.4777327935222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92-4ABB-BD6B-82C205AEA6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Plan1!$A$2:$A$8</c:f>
              <c:strCache>
                <c:ptCount val="7"/>
                <c:pt idx="0">
                  <c:v>Denúncia</c:v>
                </c:pt>
                <c:pt idx="1">
                  <c:v>Comunicação</c:v>
                </c:pt>
                <c:pt idx="2">
                  <c:v>Reclamação </c:v>
                </c:pt>
                <c:pt idx="3">
                  <c:v>Solicitação</c:v>
                </c:pt>
                <c:pt idx="4">
                  <c:v>Não classificado</c:v>
                </c:pt>
                <c:pt idx="5">
                  <c:v>Elogios</c:v>
                </c:pt>
                <c:pt idx="6">
                  <c:v>Sugestão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217</c:v>
                </c:pt>
                <c:pt idx="1">
                  <c:v>34</c:v>
                </c:pt>
                <c:pt idx="2">
                  <c:v>213</c:v>
                </c:pt>
                <c:pt idx="3">
                  <c:v>282</c:v>
                </c:pt>
                <c:pt idx="4">
                  <c:v>9</c:v>
                </c:pt>
                <c:pt idx="5">
                  <c:v>79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92-4ABB-BD6B-82C205AEA644}"/>
            </c:ext>
          </c:extLst>
        </c:ser>
        <c:ser>
          <c:idx val="3"/>
          <c:order val="1"/>
          <c:tx>
            <c:strRef>
              <c:f>Plan1!$E$1</c:f>
              <c:strCache>
                <c:ptCount val="1"/>
                <c:pt idx="0">
                  <c:v>Colunas5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Plan1!$A$2:$A$8</c:f>
              <c:strCache>
                <c:ptCount val="7"/>
                <c:pt idx="0">
                  <c:v>Denúncia</c:v>
                </c:pt>
                <c:pt idx="1">
                  <c:v>Comunicação</c:v>
                </c:pt>
                <c:pt idx="2">
                  <c:v>Reclamação </c:v>
                </c:pt>
                <c:pt idx="3">
                  <c:v>Solicitação</c:v>
                </c:pt>
                <c:pt idx="4">
                  <c:v>Não classificado</c:v>
                </c:pt>
                <c:pt idx="5">
                  <c:v>Elogios</c:v>
                </c:pt>
                <c:pt idx="6">
                  <c:v>Sugestão</c:v>
                </c:pt>
              </c:strCache>
            </c:strRef>
          </c:cat>
          <c:val>
            <c:numRef>
              <c:f>Plan1!$E$2:$E$8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7-CC92-4ABB-BD6B-82C205AEA644}"/>
            </c:ext>
          </c:extLst>
        </c:ser>
        <c:ser>
          <c:idx val="4"/>
          <c:order val="2"/>
          <c:tx>
            <c:strRef>
              <c:f>Plan1!$F$1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Plan1!$A$2:$A$8</c:f>
              <c:strCache>
                <c:ptCount val="7"/>
                <c:pt idx="0">
                  <c:v>Denúncia</c:v>
                </c:pt>
                <c:pt idx="1">
                  <c:v>Comunicação</c:v>
                </c:pt>
                <c:pt idx="2">
                  <c:v>Reclamação </c:v>
                </c:pt>
                <c:pt idx="3">
                  <c:v>Solicitação</c:v>
                </c:pt>
                <c:pt idx="4">
                  <c:v>Não classificado</c:v>
                </c:pt>
                <c:pt idx="5">
                  <c:v>Elogios</c:v>
                </c:pt>
                <c:pt idx="6">
                  <c:v>Sugestão</c:v>
                </c:pt>
              </c:strCache>
            </c:strRef>
          </c:cat>
          <c:val>
            <c:numRef>
              <c:f>Plan1!$F$2:$F$8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8-CC92-4ABB-BD6B-82C205AEA644}"/>
            </c:ext>
          </c:extLst>
        </c:ser>
        <c:ser>
          <c:idx val="5"/>
          <c:order val="3"/>
          <c:tx>
            <c:strRef>
              <c:f>Plan1!$G$1</c:f>
              <c:strCache>
                <c:ptCount val="1"/>
                <c:pt idx="0">
                  <c:v>Colunas6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Plan1!$A$2:$A$8</c:f>
              <c:strCache>
                <c:ptCount val="7"/>
                <c:pt idx="0">
                  <c:v>Denúncia</c:v>
                </c:pt>
                <c:pt idx="1">
                  <c:v>Comunicação</c:v>
                </c:pt>
                <c:pt idx="2">
                  <c:v>Reclamação </c:v>
                </c:pt>
                <c:pt idx="3">
                  <c:v>Solicitação</c:v>
                </c:pt>
                <c:pt idx="4">
                  <c:v>Não classificado</c:v>
                </c:pt>
                <c:pt idx="5">
                  <c:v>Elogios</c:v>
                </c:pt>
                <c:pt idx="6">
                  <c:v>Sugestão</c:v>
                </c:pt>
              </c:strCache>
            </c:strRef>
          </c:cat>
          <c:val>
            <c:numRef>
              <c:f>Plan1!$G$2:$G$8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9-CC92-4ABB-BD6B-82C205AEA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71613584"/>
        <c:axId val="-171620112"/>
      </c:barChart>
      <c:catAx>
        <c:axId val="-17161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20112"/>
        <c:crosses val="autoZero"/>
        <c:auto val="1"/>
        <c:lblAlgn val="ctr"/>
        <c:lblOffset val="100"/>
        <c:noMultiLvlLbl val="0"/>
      </c:catAx>
      <c:valAx>
        <c:axId val="-171620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3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Demandas  E-OUV/e-mail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2927000727596190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60-4BC3-A85B-106C85D1DF8E}"/>
                </c:ext>
              </c:extLst>
            </c:dLbl>
            <c:dLbl>
              <c:idx val="1"/>
              <c:layout>
                <c:manualLayout>
                  <c:x val="-2.0863914359336282E-17"/>
                  <c:y val="-0.227665063939944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60-4BC3-A85B-106C85D1DF8E}"/>
                </c:ext>
              </c:extLst>
            </c:dLbl>
            <c:dLbl>
              <c:idx val="2"/>
              <c:layout>
                <c:manualLayout>
                  <c:x val="2.2760896779333104E-3"/>
                  <c:y val="-0.2980981024204987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60-4BC3-A85B-106C85D1DF8E}"/>
                </c:ext>
              </c:extLst>
            </c:dLbl>
            <c:dLbl>
              <c:idx val="3"/>
              <c:layout>
                <c:manualLayout>
                  <c:x val="0"/>
                  <c:y val="-0.292614143001798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60-4BC3-A85B-106C85D1DF8E}"/>
                </c:ext>
              </c:extLst>
            </c:dLbl>
            <c:dLbl>
              <c:idx val="4"/>
              <c:layout>
                <c:manualLayout>
                  <c:x val="2.2760896779333104E-3"/>
                  <c:y val="-0.2763336924535104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60-4BC3-A85B-106C85D1DF8E}"/>
                </c:ext>
              </c:extLst>
            </c:dLbl>
            <c:dLbl>
              <c:idx val="5"/>
              <c:layout>
                <c:manualLayout>
                  <c:x val="-3.8711446490834257E-5"/>
                  <c:y val="-0.25465564405217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960-4BC3-A85B-106C85D1DF8E}"/>
                </c:ext>
              </c:extLst>
            </c:dLbl>
            <c:dLbl>
              <c:idx val="6"/>
              <c:layout>
                <c:manualLayout>
                  <c:x val="-2.2760896779333104E-3"/>
                  <c:y val="-0.222267034279064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960-4BC3-A85B-106C85D1DF8E}"/>
                </c:ext>
              </c:extLst>
            </c:dLbl>
            <c:dLbl>
              <c:idx val="7"/>
              <c:layout>
                <c:manualLayout>
                  <c:x val="-8.3455657437345127E-17"/>
                  <c:y val="-0.1788245759107366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960-4BC3-A85B-106C85D1DF8E}"/>
                </c:ext>
              </c:extLst>
            </c:dLbl>
            <c:dLbl>
              <c:idx val="8"/>
              <c:layout>
                <c:manualLayout>
                  <c:x val="-2.2760896779333941E-3"/>
                  <c:y val="-0.1569746679937561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960-4BC3-A85B-106C85D1DF8E}"/>
                </c:ext>
              </c:extLst>
            </c:dLbl>
            <c:dLbl>
              <c:idx val="9"/>
              <c:layout>
                <c:manualLayout>
                  <c:x val="0"/>
                  <c:y val="-0.145577100367252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960-4BC3-A85B-106C85D1DF8E}"/>
                </c:ext>
              </c:extLst>
            </c:dLbl>
            <c:dLbl>
              <c:idx val="10"/>
              <c:layout>
                <c:manualLayout>
                  <c:x val="-3.871144649100117E-5"/>
                  <c:y val="-0.3095005487950369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960-4BC3-A85B-106C85D1DF8E}"/>
                </c:ext>
              </c:extLst>
            </c:dLbl>
            <c:dLbl>
              <c:idx val="11"/>
              <c:layout>
                <c:manualLayout>
                  <c:x val="-2.3535125709149792E-3"/>
                  <c:y val="-0.1838793183481623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960-4BC3-A85B-106C85D1DF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0">
                  <c:v>90</c:v>
                </c:pt>
                <c:pt idx="1">
                  <c:v>67</c:v>
                </c:pt>
                <c:pt idx="2">
                  <c:v>94</c:v>
                </c:pt>
                <c:pt idx="3">
                  <c:v>92</c:v>
                </c:pt>
                <c:pt idx="4">
                  <c:v>86</c:v>
                </c:pt>
                <c:pt idx="5">
                  <c:v>79</c:v>
                </c:pt>
                <c:pt idx="6">
                  <c:v>64</c:v>
                </c:pt>
                <c:pt idx="7">
                  <c:v>51</c:v>
                </c:pt>
                <c:pt idx="8">
                  <c:v>42</c:v>
                </c:pt>
                <c:pt idx="9">
                  <c:v>41</c:v>
                </c:pt>
                <c:pt idx="10">
                  <c:v>92</c:v>
                </c:pt>
                <c:pt idx="1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960-4BC3-A85B-106C85D1DF8E}"/>
            </c:ext>
          </c:extLst>
        </c:ser>
        <c:ser>
          <c:idx val="3"/>
          <c:order val="1"/>
          <c:tx>
            <c:strRef>
              <c:f>Plan1!$E$1</c:f>
              <c:strCache>
                <c:ptCount val="1"/>
                <c:pt idx="0">
                  <c:v>Colunas5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Plan1!$E$2:$E$13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D-4960-4BC3-A85B-106C85D1DF8E}"/>
            </c:ext>
          </c:extLst>
        </c:ser>
        <c:ser>
          <c:idx val="4"/>
          <c:order val="2"/>
          <c:tx>
            <c:strRef>
              <c:f>Plan1!$F$1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Plan1!$F$2:$F$13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E-4960-4BC3-A85B-106C85D1DF8E}"/>
            </c:ext>
          </c:extLst>
        </c:ser>
        <c:ser>
          <c:idx val="5"/>
          <c:order val="3"/>
          <c:tx>
            <c:strRef>
              <c:f>Plan1!$G$1</c:f>
              <c:strCache>
                <c:ptCount val="1"/>
                <c:pt idx="0">
                  <c:v>Colunas6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Plan1!$G$2:$G$13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F-4960-4BC3-A85B-106C85D1DF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71610864"/>
        <c:axId val="-171619568"/>
      </c:barChart>
      <c:catAx>
        <c:axId val="-17161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9568"/>
        <c:crosses val="autoZero"/>
        <c:auto val="1"/>
        <c:lblAlgn val="ctr"/>
        <c:lblOffset val="100"/>
        <c:noMultiLvlLbl val="0"/>
      </c:catAx>
      <c:valAx>
        <c:axId val="-17161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Demandas  E-SIC/Email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2159244264507422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03-4404-8B4F-8B1A37D6C345}"/>
                </c:ext>
              </c:extLst>
            </c:dLbl>
            <c:dLbl>
              <c:idx val="1"/>
              <c:layout>
                <c:manualLayout>
                  <c:x val="0"/>
                  <c:y val="-0.2483130904183535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03-4404-8B4F-8B1A37D6C345}"/>
                </c:ext>
              </c:extLst>
            </c:dLbl>
            <c:dLbl>
              <c:idx val="2"/>
              <c:layout>
                <c:manualLayout>
                  <c:x val="-4.2437781360066642E-17"/>
                  <c:y val="-0.2213225371120108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03-4404-8B4F-8B1A37D6C345}"/>
                </c:ext>
              </c:extLst>
            </c:dLbl>
            <c:dLbl>
              <c:idx val="3"/>
              <c:layout>
                <c:manualLayout>
                  <c:x val="-4.2437781360066642E-17"/>
                  <c:y val="-0.221322537112010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03-4404-8B4F-8B1A37D6C345}"/>
                </c:ext>
              </c:extLst>
            </c:dLbl>
            <c:dLbl>
              <c:idx val="4"/>
              <c:layout>
                <c:manualLayout>
                  <c:x val="0"/>
                  <c:y val="-0.2105263157894737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03-4404-8B4F-8B1A37D6C345}"/>
                </c:ext>
              </c:extLst>
            </c:dLbl>
            <c:dLbl>
              <c:idx val="5"/>
              <c:layout>
                <c:manualLayout>
                  <c:x val="-2.3148148148148147E-3"/>
                  <c:y val="-0.1943319838056680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03-4404-8B4F-8B1A37D6C345}"/>
                </c:ext>
              </c:extLst>
            </c:dLbl>
            <c:dLbl>
              <c:idx val="6"/>
              <c:layout>
                <c:manualLayout>
                  <c:x val="0"/>
                  <c:y val="-0.2105263157894737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03-4404-8B4F-8B1A37D6C345}"/>
                </c:ext>
              </c:extLst>
            </c:dLbl>
            <c:dLbl>
              <c:idx val="7"/>
              <c:layout>
                <c:manualLayout>
                  <c:x val="-8.2165250633271889E-17"/>
                  <c:y val="-0.2213225371120108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03-4404-8B4F-8B1A37D6C345}"/>
                </c:ext>
              </c:extLst>
            </c:dLbl>
            <c:dLbl>
              <c:idx val="8"/>
              <c:layout>
                <c:manualLayout>
                  <c:x val="0"/>
                  <c:y val="-0.1295546558704453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03-4404-8B4F-8B1A37D6C345}"/>
                </c:ext>
              </c:extLst>
            </c:dLbl>
            <c:dLbl>
              <c:idx val="9"/>
              <c:layout>
                <c:manualLayout>
                  <c:x val="0"/>
                  <c:y val="-0.2699055330634277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03-4404-8B4F-8B1A37D6C345}"/>
                </c:ext>
              </c:extLst>
            </c:dLbl>
            <c:dLbl>
              <c:idx val="10"/>
              <c:layout>
                <c:manualLayout>
                  <c:x val="-2.3148282935221334E-3"/>
                  <c:y val="-0.2968960863697706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503-4404-8B4F-8B1A37D6C345}"/>
                </c:ext>
              </c:extLst>
            </c:dLbl>
            <c:dLbl>
              <c:idx val="11"/>
              <c:layout>
                <c:manualLayout>
                  <c:x val="-4.6296565870442667E-3"/>
                  <c:y val="-0.1511470985155196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03-4404-8B4F-8B1A37D6C3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0">
                  <c:v>16</c:v>
                </c:pt>
                <c:pt idx="1">
                  <c:v>19</c:v>
                </c:pt>
                <c:pt idx="2">
                  <c:v>16</c:v>
                </c:pt>
                <c:pt idx="3">
                  <c:v>16</c:v>
                </c:pt>
                <c:pt idx="4">
                  <c:v>14</c:v>
                </c:pt>
                <c:pt idx="5">
                  <c:v>15</c:v>
                </c:pt>
                <c:pt idx="6">
                  <c:v>15</c:v>
                </c:pt>
                <c:pt idx="7">
                  <c:v>17</c:v>
                </c:pt>
                <c:pt idx="8">
                  <c:v>9</c:v>
                </c:pt>
                <c:pt idx="9">
                  <c:v>21</c:v>
                </c:pt>
                <c:pt idx="10">
                  <c:v>23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503-4404-8B4F-8B1A37D6C345}"/>
            </c:ext>
          </c:extLst>
        </c:ser>
        <c:ser>
          <c:idx val="3"/>
          <c:order val="1"/>
          <c:tx>
            <c:strRef>
              <c:f>Plan1!$E$1</c:f>
              <c:strCache>
                <c:ptCount val="1"/>
                <c:pt idx="0">
                  <c:v>Colunas5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Plan1!$E$2:$E$13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D-F503-4404-8B4F-8B1A37D6C345}"/>
            </c:ext>
          </c:extLst>
        </c:ser>
        <c:ser>
          <c:idx val="4"/>
          <c:order val="2"/>
          <c:tx>
            <c:strRef>
              <c:f>Plan1!$F$1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Plan1!$F$2:$F$13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E-F503-4404-8B4F-8B1A37D6C345}"/>
            </c:ext>
          </c:extLst>
        </c:ser>
        <c:ser>
          <c:idx val="5"/>
          <c:order val="3"/>
          <c:tx>
            <c:strRef>
              <c:f>Plan1!$G$1</c:f>
              <c:strCache>
                <c:ptCount val="1"/>
                <c:pt idx="0">
                  <c:v>Colunas6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Plan1!$G$2:$G$13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F-F503-4404-8B4F-8B1A37D6C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71610320"/>
        <c:axId val="-171614128"/>
      </c:barChart>
      <c:catAx>
        <c:axId val="-17161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4128"/>
        <c:crosses val="autoZero"/>
        <c:auto val="1"/>
        <c:lblAlgn val="ctr"/>
        <c:lblOffset val="100"/>
        <c:noMultiLvlLbl val="0"/>
      </c:catAx>
      <c:valAx>
        <c:axId val="-17161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 b="0" i="0" baseline="0">
                <a:effectLst/>
              </a:rPr>
              <a:t>Grau de satisfação da resposta fornecida</a:t>
            </a:r>
            <a:r>
              <a:rPr lang="pt-BR" sz="1200"/>
              <a:t> e-ouv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5.3532403926896073E-2"/>
          <c:y val="0.18661635220125786"/>
          <c:w val="0.94222487340597572"/>
          <c:h val="0.6413921656019412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111663902708474E-3"/>
                  <c:y val="-0.311949685534591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57-427E-ABC3-C0DF9DFAC062}"/>
                </c:ext>
              </c:extLst>
            </c:dLbl>
            <c:dLbl>
              <c:idx val="1"/>
              <c:layout>
                <c:manualLayout>
                  <c:x val="0"/>
                  <c:y val="-0.3069182389937106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57-427E-ABC3-C0DF9DFAC062}"/>
                </c:ext>
              </c:extLst>
            </c:dLbl>
            <c:dLbl>
              <c:idx val="2"/>
              <c:layout>
                <c:manualLayout>
                  <c:x val="0"/>
                  <c:y val="-0.181132075471698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57-427E-ABC3-C0DF9DFAC062}"/>
                </c:ext>
              </c:extLst>
            </c:dLbl>
            <c:dLbl>
              <c:idx val="3"/>
              <c:layout>
                <c:manualLayout>
                  <c:x val="0"/>
                  <c:y val="-0.1710691823899370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57-427E-ABC3-C0DF9DFAC062}"/>
                </c:ext>
              </c:extLst>
            </c:dLbl>
            <c:dLbl>
              <c:idx val="4"/>
              <c:layout>
                <c:manualLayout>
                  <c:x val="-4.4223512464983926E-3"/>
                  <c:y val="-0.3378337973912956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57-427E-ABC3-C0DF9DFAC0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Plan1!$A$2:$A$8</c:f>
              <c:strCache>
                <c:ptCount val="5"/>
                <c:pt idx="0">
                  <c:v>Muito Satisfeito</c:v>
                </c:pt>
                <c:pt idx="1">
                  <c:v>Satisfeito</c:v>
                </c:pt>
                <c:pt idx="2">
                  <c:v>Regular</c:v>
                </c:pt>
                <c:pt idx="3">
                  <c:v>Insatisfeito</c:v>
                </c:pt>
                <c:pt idx="4">
                  <c:v>Muito Insatisfeito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6</c:v>
                </c:pt>
                <c:pt idx="3">
                  <c:v>6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57-427E-ABC3-C0DF9DFAC062}"/>
            </c:ext>
          </c:extLst>
        </c:ser>
        <c:ser>
          <c:idx val="3"/>
          <c:order val="1"/>
          <c:tx>
            <c:strRef>
              <c:f>Plan1!$E$1</c:f>
              <c:strCache>
                <c:ptCount val="1"/>
                <c:pt idx="0">
                  <c:v>Colunas5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Plan1!$A$2:$A$8</c:f>
              <c:strCache>
                <c:ptCount val="5"/>
                <c:pt idx="0">
                  <c:v>Muito Satisfeito</c:v>
                </c:pt>
                <c:pt idx="1">
                  <c:v>Satisfeito</c:v>
                </c:pt>
                <c:pt idx="2">
                  <c:v>Regular</c:v>
                </c:pt>
                <c:pt idx="3">
                  <c:v>Insatisfeito</c:v>
                </c:pt>
                <c:pt idx="4">
                  <c:v>Muito Insatisfeito</c:v>
                </c:pt>
              </c:strCache>
            </c:strRef>
          </c:cat>
          <c:val>
            <c:numRef>
              <c:f>Plan1!$E$2:$E$8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6-4957-427E-ABC3-C0DF9DFAC062}"/>
            </c:ext>
          </c:extLst>
        </c:ser>
        <c:ser>
          <c:idx val="4"/>
          <c:order val="2"/>
          <c:tx>
            <c:strRef>
              <c:f>Plan1!$F$1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Plan1!$A$2:$A$8</c:f>
              <c:strCache>
                <c:ptCount val="5"/>
                <c:pt idx="0">
                  <c:v>Muito Satisfeito</c:v>
                </c:pt>
                <c:pt idx="1">
                  <c:v>Satisfeito</c:v>
                </c:pt>
                <c:pt idx="2">
                  <c:v>Regular</c:v>
                </c:pt>
                <c:pt idx="3">
                  <c:v>Insatisfeito</c:v>
                </c:pt>
                <c:pt idx="4">
                  <c:v>Muito Insatisfeito</c:v>
                </c:pt>
              </c:strCache>
            </c:strRef>
          </c:cat>
          <c:val>
            <c:numRef>
              <c:f>Plan1!$F$2:$F$8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4957-427E-ABC3-C0DF9DFAC062}"/>
            </c:ext>
          </c:extLst>
        </c:ser>
        <c:ser>
          <c:idx val="5"/>
          <c:order val="3"/>
          <c:tx>
            <c:strRef>
              <c:f>Plan1!$G$1</c:f>
              <c:strCache>
                <c:ptCount val="1"/>
                <c:pt idx="0">
                  <c:v>Colunas6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Plan1!$A$2:$A$8</c:f>
              <c:strCache>
                <c:ptCount val="5"/>
                <c:pt idx="0">
                  <c:v>Muito Satisfeito</c:v>
                </c:pt>
                <c:pt idx="1">
                  <c:v>Satisfeito</c:v>
                </c:pt>
                <c:pt idx="2">
                  <c:v>Regular</c:v>
                </c:pt>
                <c:pt idx="3">
                  <c:v>Insatisfeito</c:v>
                </c:pt>
                <c:pt idx="4">
                  <c:v>Muito Insatisfeito</c:v>
                </c:pt>
              </c:strCache>
            </c:strRef>
          </c:cat>
          <c:val>
            <c:numRef>
              <c:f>Plan1!$G$2:$G$8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8-4957-427E-ABC3-C0DF9DFAC0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71618480"/>
        <c:axId val="-171608144"/>
      </c:barChart>
      <c:catAx>
        <c:axId val="-171618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08144"/>
        <c:crosses val="autoZero"/>
        <c:auto val="1"/>
        <c:lblAlgn val="ctr"/>
        <c:lblOffset val="100"/>
        <c:noMultiLvlLbl val="0"/>
      </c:catAx>
      <c:valAx>
        <c:axId val="-17160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Grau de satisfação da resposta fornecida-  E-Sic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203-42FD-AF2B-7FFFA45B12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203-42FD-AF2B-7FFFA45B12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Plan1!$A$1:$A$2</c:f>
              <c:strCache>
                <c:ptCount val="2"/>
                <c:pt idx="0">
                  <c:v>atendeu plenamente</c:v>
                </c:pt>
                <c:pt idx="1">
                  <c:v>não atendeu</c:v>
                </c:pt>
              </c:strCache>
            </c:strRef>
          </c:cat>
          <c:val>
            <c:numRef>
              <c:f>Plan1!$D$1:$D$2</c:f>
              <c:numCache>
                <c:formatCode>General</c:formatCode>
                <c:ptCount val="2"/>
                <c:pt idx="0">
                  <c:v>31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03-42FD-AF2B-7FFFA45B1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71617392"/>
        <c:axId val="-17161576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Plan1!$A$1:$A$2</c15:sqref>
                        </c15:formulaRef>
                      </c:ext>
                    </c:extLst>
                    <c:strCache>
                      <c:ptCount val="2"/>
                      <c:pt idx="0">
                        <c:v>atendeu plenamente</c:v>
                      </c:pt>
                      <c:pt idx="1">
                        <c:v>não atendeu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Plan1!$B$1:$B$2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203-42FD-AF2B-7FFFA45B12D4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Plan1!$A$1:$A$2</c15:sqref>
                        </c15:formulaRef>
                      </c:ext>
                    </c:extLst>
                    <c:strCache>
                      <c:ptCount val="2"/>
                      <c:pt idx="0">
                        <c:v>atendeu plenamente</c:v>
                      </c:pt>
                      <c:pt idx="1">
                        <c:v>não atendeu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Plan1!$C$1:$C$2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3203-42FD-AF2B-7FFFA45B12D4}"/>
                  </c:ext>
                </c:extLst>
              </c15:ser>
            </c15:filteredBarSeries>
          </c:ext>
        </c:extLst>
      </c:barChart>
      <c:catAx>
        <c:axId val="-171617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5760"/>
        <c:crosses val="autoZero"/>
        <c:auto val="1"/>
        <c:lblAlgn val="ctr"/>
        <c:lblOffset val="100"/>
        <c:noMultiLvlLbl val="0"/>
      </c:catAx>
      <c:valAx>
        <c:axId val="-171615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71617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Alynne Godois Brito</dc:creator>
  <cp:keywords/>
  <dc:description/>
  <cp:lastModifiedBy>Alynne Godois Brito</cp:lastModifiedBy>
  <cp:revision>2</cp:revision>
  <cp:lastPrinted>2016-01-26T16:45:00Z</cp:lastPrinted>
  <dcterms:created xsi:type="dcterms:W3CDTF">2023-11-07T14:33:00Z</dcterms:created>
  <dcterms:modified xsi:type="dcterms:W3CDTF">2023-11-07T14:33:00Z</dcterms:modified>
</cp:coreProperties>
</file>