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6F77B" w14:textId="7732FC9A" w:rsidR="00DE6860" w:rsidRDefault="00DE6860" w:rsidP="00DE6860">
      <w:pPr>
        <w:jc w:val="center"/>
      </w:pPr>
    </w:p>
    <w:p w14:paraId="44508FA0" w14:textId="77777777" w:rsidR="00F31980" w:rsidRPr="00F31980" w:rsidRDefault="00F31980" w:rsidP="00F31980">
      <w:pPr>
        <w:pStyle w:val="textocentralizadomaiusculas"/>
        <w:spacing w:before="0" w:beforeAutospacing="0" w:after="120" w:afterAutospacing="0"/>
        <w:jc w:val="center"/>
        <w:rPr>
          <w:rFonts w:ascii="Calibri" w:hAnsi="Calibri" w:cs="Calibri"/>
          <w:caps/>
          <w:color w:val="000000"/>
        </w:rPr>
      </w:pPr>
      <w:r w:rsidRPr="00F31980">
        <w:rPr>
          <w:rFonts w:ascii="Calibri" w:hAnsi="Calibri" w:cs="Calibri"/>
          <w:caps/>
          <w:color w:val="000000"/>
        </w:rPr>
        <w:t>anexo V</w:t>
      </w:r>
    </w:p>
    <w:p w14:paraId="61A2C7A3" w14:textId="77777777" w:rsidR="00F31980" w:rsidRPr="00F31980" w:rsidRDefault="00F31980" w:rsidP="00F31980">
      <w:pPr>
        <w:pStyle w:val="textocentralizadomaiusculas"/>
        <w:spacing w:before="0" w:beforeAutospacing="0" w:after="120" w:afterAutospacing="0"/>
        <w:jc w:val="center"/>
        <w:rPr>
          <w:rFonts w:ascii="Calibri" w:hAnsi="Calibri" w:cs="Calibri"/>
          <w:caps/>
          <w:color w:val="000000"/>
        </w:rPr>
      </w:pPr>
      <w:r w:rsidRPr="00F31980">
        <w:rPr>
          <w:rStyle w:val="Forte"/>
          <w:rFonts w:ascii="Calibri" w:eastAsiaTheme="majorEastAsia" w:hAnsi="Calibri" w:cs="Calibri"/>
          <w:caps/>
          <w:color w:val="000000"/>
        </w:rPr>
        <w:t>anexo iV do contrato de prestação de serviços (CPS) - da metodologia do preço</w:t>
      </w:r>
    </w:p>
    <w:p w14:paraId="6CA0CF65" w14:textId="77777777" w:rsidR="00C01FC8" w:rsidRPr="00342A2B" w:rsidRDefault="00C01FC8" w:rsidP="00342A2B">
      <w:pPr>
        <w:spacing w:after="120" w:line="240" w:lineRule="auto"/>
        <w:jc w:val="both"/>
        <w:rPr>
          <w:rFonts w:ascii="Calibri" w:eastAsia="Times New Roman" w:hAnsi="Calibri" w:cs="Calibri"/>
          <w:color w:val="000000"/>
          <w:kern w:val="0"/>
          <w:lang w:eastAsia="pt-BR"/>
          <w14:ligatures w14:val="none"/>
        </w:rPr>
      </w:pPr>
    </w:p>
    <w:p w14:paraId="4EAE02A2"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b/>
          <w:bCs/>
          <w:color w:val="000000"/>
          <w:kern w:val="0"/>
          <w:lang w:eastAsia="pt-BR"/>
          <w14:ligatures w14:val="none"/>
        </w:rPr>
        <w:t>1. INTRODUÇÃO</w:t>
      </w:r>
    </w:p>
    <w:p w14:paraId="04A7EA81"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1.1. O presente documento, que integra o Contrato de Prestação de Serviços (CPS), descreve, detalhadamente os preços que serão praticados pela CONTRATADA nos processos e atividades do ciclo de gestão de projetos e contratos de repasse ou termos de compromisso, a depender do caso, firmados entre a União, por meio do Ministério XXXXX, e entidades públicas da administração direta e indireta dos estados, municípios e do Distrito Federal, ou com entidades privadas sem fins lucrativos nos casos de que tratam o § 1º do art. 199 da Constituição Federal, o inciso IV do art. 3º da Lei nº 13.019, de 31 de julho de 2014, e os incisos VI e VII do art. 13 da Portaria Conjunta MGI/MF/CGU nº 33, de 30 de agosto de 2023.</w:t>
      </w:r>
    </w:p>
    <w:p w14:paraId="38DC0EB0"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w:t>
      </w:r>
    </w:p>
    <w:p w14:paraId="6D2C35C6"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b/>
          <w:bCs/>
          <w:color w:val="000000"/>
          <w:kern w:val="0"/>
          <w:lang w:eastAsia="pt-BR"/>
          <w14:ligatures w14:val="none"/>
        </w:rPr>
        <w:t>2. FORMA DE REMUNERAÇÃO</w:t>
      </w:r>
    </w:p>
    <w:p w14:paraId="5417E3D7"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xml:space="preserve">2.1. Os serviços serão pagos por Eventos Geradores de Tarifa – </w:t>
      </w:r>
      <w:proofErr w:type="spellStart"/>
      <w:r w:rsidRPr="00C957A7">
        <w:rPr>
          <w:rFonts w:ascii="Calibri" w:eastAsia="Times New Roman" w:hAnsi="Calibri" w:cs="Calibri"/>
          <w:color w:val="000000"/>
          <w:kern w:val="0"/>
          <w:lang w:eastAsia="pt-BR"/>
          <w14:ligatures w14:val="none"/>
        </w:rPr>
        <w:t>EGTs</w:t>
      </w:r>
      <w:proofErr w:type="spellEnd"/>
      <w:r w:rsidRPr="00C957A7">
        <w:rPr>
          <w:rFonts w:ascii="Calibri" w:eastAsia="Times New Roman" w:hAnsi="Calibri" w:cs="Calibri"/>
          <w:color w:val="000000"/>
          <w:kern w:val="0"/>
          <w:lang w:eastAsia="pt-BR"/>
          <w14:ligatures w14:val="none"/>
        </w:rPr>
        <w:t>, conjunto de atividades realizadas pela CONTRATADA.</w:t>
      </w:r>
    </w:p>
    <w:p w14:paraId="338C9323"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2.2. Cada EGT terá um marco que caracterizará a sua conclusão e possibilitará a cobrança pela CONTRATADA.</w:t>
      </w:r>
    </w:p>
    <w:p w14:paraId="32F56C00"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xml:space="preserve">2.3. Os valores dos </w:t>
      </w:r>
      <w:proofErr w:type="spellStart"/>
      <w:r w:rsidRPr="00C957A7">
        <w:rPr>
          <w:rFonts w:ascii="Calibri" w:eastAsia="Times New Roman" w:hAnsi="Calibri" w:cs="Calibri"/>
          <w:color w:val="000000"/>
          <w:kern w:val="0"/>
          <w:lang w:eastAsia="pt-BR"/>
          <w14:ligatures w14:val="none"/>
        </w:rPr>
        <w:t>EGTs</w:t>
      </w:r>
      <w:proofErr w:type="spellEnd"/>
      <w:r w:rsidRPr="00C957A7">
        <w:rPr>
          <w:rFonts w:ascii="Calibri" w:eastAsia="Times New Roman" w:hAnsi="Calibri" w:cs="Calibri"/>
          <w:color w:val="000000"/>
          <w:kern w:val="0"/>
          <w:lang w:eastAsia="pt-BR"/>
          <w14:ligatures w14:val="none"/>
        </w:rPr>
        <w:t xml:space="preserve"> são compostos por:</w:t>
      </w:r>
    </w:p>
    <w:p w14:paraId="0C3CFE04" w14:textId="77777777" w:rsidR="00C957A7" w:rsidRPr="00C957A7" w:rsidRDefault="00C957A7" w:rsidP="00A71C63">
      <w:pPr>
        <w:spacing w:after="120" w:line="240" w:lineRule="auto"/>
        <w:ind w:left="709"/>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I - Parcelas Fixas: parcela da tarifa, por EGTE e por Nível, que representa os custos dedicados à atividade, que independem da complexidade e, portanto, do valor de repasse do instrumento; ou</w:t>
      </w:r>
    </w:p>
    <w:p w14:paraId="1AE993E8" w14:textId="77777777" w:rsidR="00C957A7" w:rsidRPr="00C957A7" w:rsidRDefault="00C957A7" w:rsidP="00A71C63">
      <w:pPr>
        <w:spacing w:after="120" w:line="240" w:lineRule="auto"/>
        <w:ind w:left="709"/>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II - Parcelas Variáveis: parcela da tarifa, por EGT ordinário e por Nível, que representa os custos dedicados às atividades, que variam conforme a complexidade dos instrumentos, sendo calculada por um percentual sobre o valor de repasse do instrumento.</w:t>
      </w:r>
    </w:p>
    <w:p w14:paraId="0DDBE474"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2.4. O preço engloba todas as despesas diretas e indiretas suportadas pela mandatária para prestação dos serviços ordinários e extras.</w:t>
      </w:r>
    </w:p>
    <w:p w14:paraId="47D80052"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2.5. Os níveis serão aqueles estabelecidos no art. 7º da Portaria Conjunta MGI/MF/CGU n º 33, de 2023, na Portaria Conjunta MGI/MF/CGU nº 28, de 2024, ou no art. 6º da Portaria Conjunta MGI/MF/CGU nº 32, de 2024.</w:t>
      </w:r>
    </w:p>
    <w:p w14:paraId="44911CE2"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w:t>
      </w:r>
    </w:p>
    <w:p w14:paraId="0E0DF4CE"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b/>
          <w:bCs/>
          <w:color w:val="000000"/>
          <w:kern w:val="0"/>
          <w:lang w:eastAsia="pt-BR"/>
          <w14:ligatures w14:val="none"/>
        </w:rPr>
        <w:t>3. TIPOS DE EGT</w:t>
      </w:r>
    </w:p>
    <w:p w14:paraId="48752920"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xml:space="preserve">3.1. Os </w:t>
      </w:r>
      <w:proofErr w:type="spellStart"/>
      <w:r w:rsidRPr="00C957A7">
        <w:rPr>
          <w:rFonts w:ascii="Calibri" w:eastAsia="Times New Roman" w:hAnsi="Calibri" w:cs="Calibri"/>
          <w:color w:val="000000"/>
          <w:kern w:val="0"/>
          <w:lang w:eastAsia="pt-BR"/>
          <w14:ligatures w14:val="none"/>
        </w:rPr>
        <w:t>EGTs</w:t>
      </w:r>
      <w:proofErr w:type="spellEnd"/>
      <w:r w:rsidRPr="00C957A7">
        <w:rPr>
          <w:rFonts w:ascii="Calibri" w:eastAsia="Times New Roman" w:hAnsi="Calibri" w:cs="Calibri"/>
          <w:color w:val="000000"/>
          <w:kern w:val="0"/>
          <w:lang w:eastAsia="pt-BR"/>
          <w14:ligatures w14:val="none"/>
        </w:rPr>
        <w:t xml:space="preserve"> são classificados da seguinte forma:</w:t>
      </w:r>
    </w:p>
    <w:p w14:paraId="51B7837F" w14:textId="77777777" w:rsidR="00C957A7" w:rsidRPr="00C957A7" w:rsidRDefault="00C957A7" w:rsidP="00A71C63">
      <w:pPr>
        <w:spacing w:after="120" w:line="240" w:lineRule="auto"/>
        <w:ind w:left="709"/>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xml:space="preserve">I - </w:t>
      </w:r>
      <w:proofErr w:type="spellStart"/>
      <w:r w:rsidRPr="00C957A7">
        <w:rPr>
          <w:rFonts w:ascii="Calibri" w:eastAsia="Times New Roman" w:hAnsi="Calibri" w:cs="Calibri"/>
          <w:color w:val="000000"/>
          <w:kern w:val="0"/>
          <w:lang w:eastAsia="pt-BR"/>
          <w14:ligatures w14:val="none"/>
        </w:rPr>
        <w:t>EGTs</w:t>
      </w:r>
      <w:proofErr w:type="spellEnd"/>
      <w:r w:rsidRPr="00C957A7">
        <w:rPr>
          <w:rFonts w:ascii="Calibri" w:eastAsia="Times New Roman" w:hAnsi="Calibri" w:cs="Calibri"/>
          <w:color w:val="000000"/>
          <w:kern w:val="0"/>
          <w:lang w:eastAsia="pt-BR"/>
          <w14:ligatures w14:val="none"/>
        </w:rPr>
        <w:t xml:space="preserve"> ordinários: serviços correspondentes às atividades descritas no Anexo I do CPS – Detalhamento dos Serviços, a serem custeados pela CONTRATANTE, compreendendo os serviços contratados para o pacote de gestão operacional dos Contratos de Repasse ou Termos de compromisso, a depender do caso, que deverão ser desempenhados pela mandatária; e</w:t>
      </w:r>
    </w:p>
    <w:p w14:paraId="083C74EF" w14:textId="77777777" w:rsidR="00C957A7" w:rsidRPr="00C957A7" w:rsidRDefault="00C957A7" w:rsidP="00A71C63">
      <w:pPr>
        <w:spacing w:after="120" w:line="240" w:lineRule="auto"/>
        <w:ind w:left="709"/>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xml:space="preserve">II - </w:t>
      </w:r>
      <w:proofErr w:type="spellStart"/>
      <w:r w:rsidRPr="00C957A7">
        <w:rPr>
          <w:rFonts w:ascii="Calibri" w:eastAsia="Times New Roman" w:hAnsi="Calibri" w:cs="Calibri"/>
          <w:color w:val="000000"/>
          <w:kern w:val="0"/>
          <w:lang w:eastAsia="pt-BR"/>
          <w14:ligatures w14:val="none"/>
        </w:rPr>
        <w:t>EGTEs</w:t>
      </w:r>
      <w:proofErr w:type="spellEnd"/>
      <w:r w:rsidRPr="00C957A7">
        <w:rPr>
          <w:rFonts w:ascii="Calibri" w:eastAsia="Times New Roman" w:hAnsi="Calibri" w:cs="Calibri"/>
          <w:color w:val="000000"/>
          <w:kern w:val="0"/>
          <w:lang w:eastAsia="pt-BR"/>
          <w14:ligatures w14:val="none"/>
        </w:rPr>
        <w:t xml:space="preserve"> - Extras: serviços previstos no Anexo I do CPS - Detalhamento dos Serviços, não incluídos na previsão inicial de serviços ordinários, executados em decorrência de demandas supervenientes.</w:t>
      </w:r>
    </w:p>
    <w:p w14:paraId="125EA77B"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xml:space="preserve">3.2. A CONTRATANTE remunerará a CONTRATADA pelos </w:t>
      </w:r>
      <w:proofErr w:type="spellStart"/>
      <w:r w:rsidRPr="00C957A7">
        <w:rPr>
          <w:rFonts w:ascii="Calibri" w:eastAsia="Times New Roman" w:hAnsi="Calibri" w:cs="Calibri"/>
          <w:color w:val="000000"/>
          <w:kern w:val="0"/>
          <w:lang w:eastAsia="pt-BR"/>
          <w14:ligatures w14:val="none"/>
        </w:rPr>
        <w:t>EGTs</w:t>
      </w:r>
      <w:proofErr w:type="spellEnd"/>
      <w:r w:rsidRPr="00C957A7">
        <w:rPr>
          <w:rFonts w:ascii="Calibri" w:eastAsia="Times New Roman" w:hAnsi="Calibri" w:cs="Calibri"/>
          <w:color w:val="000000"/>
          <w:kern w:val="0"/>
          <w:lang w:eastAsia="pt-BR"/>
          <w14:ligatures w14:val="none"/>
        </w:rPr>
        <w:t xml:space="preserve"> utilizados.</w:t>
      </w:r>
    </w:p>
    <w:p w14:paraId="544BC511"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xml:space="preserve">3.3. Não haverá subdivisão dos </w:t>
      </w:r>
      <w:proofErr w:type="spellStart"/>
      <w:r w:rsidRPr="00C957A7">
        <w:rPr>
          <w:rFonts w:ascii="Calibri" w:eastAsia="Times New Roman" w:hAnsi="Calibri" w:cs="Calibri"/>
          <w:color w:val="000000"/>
          <w:kern w:val="0"/>
          <w:lang w:eastAsia="pt-BR"/>
          <w14:ligatures w14:val="none"/>
        </w:rPr>
        <w:t>EGTs</w:t>
      </w:r>
      <w:proofErr w:type="spellEnd"/>
      <w:r w:rsidRPr="00C957A7">
        <w:rPr>
          <w:rFonts w:ascii="Calibri" w:eastAsia="Times New Roman" w:hAnsi="Calibri" w:cs="Calibri"/>
          <w:color w:val="000000"/>
          <w:kern w:val="0"/>
          <w:lang w:eastAsia="pt-BR"/>
          <w14:ligatures w14:val="none"/>
        </w:rPr>
        <w:t>, e a CONTRATANTE arcará com a tarifa na sua integralidade caso opte pela execução de parte do EGT.</w:t>
      </w:r>
    </w:p>
    <w:p w14:paraId="79D3FD88"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3.4. Os serviços extras, que não compõem os serviços ordinários, deverão ser custeados pelo causador da demanda, fora do âmbito do Contrato de Prestação de Serviços em questão, observando-se os meios e procedimentos legais previstos para tanto.</w:t>
      </w:r>
    </w:p>
    <w:p w14:paraId="54B23ADF"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lastRenderedPageBreak/>
        <w:t>3.5. Se incompleto o EGT 5, referente ao Acompanhamento, ou seja, se iniciado o acompanhamento mas não alcançado o marco de 60%, a CONTRATADA não será remunerada pelo valor total do EGT 5, mas terá a(s) sua(s) vistoria(s) remunerada(s) somente pelo valor do EGT Extra de vistoria, desde que a CONTRATADA não tenha dado causa.</w:t>
      </w:r>
    </w:p>
    <w:p w14:paraId="54896F93"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3.6. Nos casos em que a CONTRATADA depender de manifestação da CONTRATANTE, e esta não se manifestar no prazo de 180 (cento e oitenta) dias, a CONTRATADA fará jus ao EGTE de manutenção da vigência.</w:t>
      </w:r>
    </w:p>
    <w:p w14:paraId="378A5031"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3.6.1. A CONTRATADA deverá comunicar à CONTRATANTE 30 (trinta) dias antes de findo o prazo do item 3.6. sobre a possível cobrança.</w:t>
      </w:r>
    </w:p>
    <w:p w14:paraId="50332FF5"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3.6.2. O EGTE de manutenção da vigência será cobrado mensalmente e encerra-se quando da manifestação da CONTRATANTE.</w:t>
      </w:r>
    </w:p>
    <w:p w14:paraId="56C3A0C5"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3.7. Os serviços serão pagos por Eventos Geradores de Tarifa – EGT, conjunto de atividades e respectivos marcos, realizados pela CONTRATADA, praticados no âmbito deste CPS, a saber:</w:t>
      </w:r>
    </w:p>
    <w:p w14:paraId="29FB8C72" w14:textId="08033B5D" w:rsidR="00C957A7" w:rsidRPr="00C957A7" w:rsidRDefault="00C957A7" w:rsidP="002A3346">
      <w:pPr>
        <w:spacing w:after="120" w:line="240" w:lineRule="auto"/>
        <w:jc w:val="center"/>
        <w:rPr>
          <w:rFonts w:ascii="Calibri" w:eastAsia="Times New Roman" w:hAnsi="Calibri" w:cs="Calibri"/>
          <w:color w:val="000000"/>
          <w:kern w:val="0"/>
          <w:lang w:eastAsia="pt-BR"/>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701"/>
        <w:gridCol w:w="2618"/>
        <w:gridCol w:w="3035"/>
        <w:gridCol w:w="4539"/>
      </w:tblGrid>
      <w:tr w:rsidR="00C957A7" w:rsidRPr="00C957A7" w14:paraId="793C8CCE" w14:textId="77777777" w:rsidTr="002A3346">
        <w:trPr>
          <w:trHeight w:val="585"/>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247B3F4"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Código e Descrição</w:t>
            </w:r>
          </w:p>
        </w:tc>
        <w:tc>
          <w:tcPr>
            <w:tcW w:w="0" w:type="auto"/>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03CF5682"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Atividades conforme Anexo I - Detalhamento dos serviços</w:t>
            </w:r>
          </w:p>
        </w:tc>
        <w:tc>
          <w:tcPr>
            <w:tcW w:w="0" w:type="auto"/>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44367BEA"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Marco</w:t>
            </w:r>
          </w:p>
        </w:tc>
      </w:tr>
      <w:tr w:rsidR="002A3346" w:rsidRPr="00C957A7" w14:paraId="106E452F" w14:textId="77777777" w:rsidTr="002A3346">
        <w:trPr>
          <w:trHeight w:val="645"/>
        </w:trPr>
        <w:tc>
          <w:tcPr>
            <w:tcW w:w="7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2F2C202"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 1</w:t>
            </w:r>
          </w:p>
        </w:tc>
        <w:tc>
          <w:tcPr>
            <w:tcW w:w="2618"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09944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Análise do Plano de Trabalho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88A418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3.1 - Análise do Plano de Trabalho</w:t>
            </w:r>
            <w:r w:rsidRPr="00C957A7">
              <w:rPr>
                <w:rFonts w:ascii="Calibri" w:eastAsia="Times New Roman" w:hAnsi="Calibri" w:cs="Calibri"/>
                <w:color w:val="000000"/>
                <w:kern w:val="0"/>
                <w:sz w:val="16"/>
                <w:szCs w:val="16"/>
                <w:lang w:eastAsia="pt-BR"/>
                <w14:ligatures w14:val="none"/>
              </w:rPr>
              <w:br/>
              <w:t>Item 3.21 - Regime Simplificado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01D5A6"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Parecer técnico e análise Conclusiva (aprovação ou rejeição) registrados no Transferegov.br</w:t>
            </w:r>
          </w:p>
        </w:tc>
      </w:tr>
      <w:tr w:rsidR="002A3346" w:rsidRPr="00C957A7" w14:paraId="4C05B48E" w14:textId="77777777" w:rsidTr="002A3346">
        <w:trPr>
          <w:trHeight w:val="585"/>
        </w:trPr>
        <w:tc>
          <w:tcPr>
            <w:tcW w:w="7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160C38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 2</w:t>
            </w:r>
          </w:p>
        </w:tc>
        <w:tc>
          <w:tcPr>
            <w:tcW w:w="2618"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3B3A9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Contratação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436D3B"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3.3 - Análise Pré-Contratual e Formalização do contrato de repasse ou termo de compromisso</w:t>
            </w:r>
            <w:r w:rsidRPr="00C957A7">
              <w:rPr>
                <w:rFonts w:ascii="Calibri" w:eastAsia="Times New Roman" w:hAnsi="Calibri" w:cs="Calibri"/>
                <w:color w:val="000000"/>
                <w:kern w:val="0"/>
                <w:sz w:val="16"/>
                <w:szCs w:val="16"/>
                <w:lang w:eastAsia="pt-BR"/>
                <w14:ligatures w14:val="none"/>
              </w:rPr>
              <w:br/>
              <w:t>Item 3.21 - Regime Simplificado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C210A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Contrato de repasse ou termo de compromisso publicado no DOU ou registro do indeferimento da Contratação no Transferegov.br</w:t>
            </w:r>
          </w:p>
        </w:tc>
      </w:tr>
      <w:tr w:rsidR="002A3346" w:rsidRPr="00C957A7" w14:paraId="1F103897" w14:textId="77777777" w:rsidTr="002A3346">
        <w:trPr>
          <w:trHeight w:val="420"/>
        </w:trPr>
        <w:tc>
          <w:tcPr>
            <w:tcW w:w="7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1EC8CEC"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 3</w:t>
            </w:r>
          </w:p>
        </w:tc>
        <w:tc>
          <w:tcPr>
            <w:tcW w:w="2618"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E6EB56"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Técnica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DF2586"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3.4 - Assistência técnica</w:t>
            </w:r>
            <w:r w:rsidRPr="00C957A7">
              <w:rPr>
                <w:rFonts w:ascii="Calibri" w:eastAsia="Times New Roman" w:hAnsi="Calibri" w:cs="Calibri"/>
                <w:color w:val="000000"/>
                <w:kern w:val="0"/>
                <w:sz w:val="16"/>
                <w:szCs w:val="16"/>
                <w:lang w:eastAsia="pt-BR"/>
                <w14:ligatures w14:val="none"/>
              </w:rPr>
              <w:br/>
              <w:t>Item 3.5 - Verificação Técnica Documental</w:t>
            </w:r>
            <w:r w:rsidRPr="00C957A7">
              <w:rPr>
                <w:rFonts w:ascii="Calibri" w:eastAsia="Times New Roman" w:hAnsi="Calibri" w:cs="Calibri"/>
                <w:color w:val="000000"/>
                <w:kern w:val="0"/>
                <w:sz w:val="16"/>
                <w:szCs w:val="16"/>
                <w:lang w:eastAsia="pt-BR"/>
                <w14:ligatures w14:val="none"/>
              </w:rPr>
              <w:br/>
              <w:t>Item 3.6 - Verificação Técnica do Objeto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AF5301"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Aceite ou rejeição do objeto proposto com a emissão de Laudo de Verificação Técnica (LVT) no Transferegov.br</w:t>
            </w:r>
          </w:p>
        </w:tc>
      </w:tr>
      <w:tr w:rsidR="002A3346" w:rsidRPr="00C957A7" w14:paraId="721F1270" w14:textId="77777777" w:rsidTr="002A3346">
        <w:trPr>
          <w:trHeight w:val="660"/>
        </w:trPr>
        <w:tc>
          <w:tcPr>
            <w:tcW w:w="7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C57A98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 4</w:t>
            </w:r>
          </w:p>
        </w:tc>
        <w:tc>
          <w:tcPr>
            <w:tcW w:w="2618"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10AF56"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da Realização do Processo Licitatório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234EA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3.4 - Assistência técnica</w:t>
            </w:r>
            <w:r w:rsidRPr="00C957A7">
              <w:rPr>
                <w:rFonts w:ascii="Calibri" w:eastAsia="Times New Roman" w:hAnsi="Calibri" w:cs="Calibri"/>
                <w:color w:val="000000"/>
                <w:kern w:val="0"/>
                <w:sz w:val="16"/>
                <w:szCs w:val="16"/>
                <w:lang w:eastAsia="pt-BR"/>
                <w14:ligatures w14:val="none"/>
              </w:rPr>
              <w:br/>
              <w:t>Item 3.7 - Verificação da Realização do Processo Licitatório</w:t>
            </w:r>
            <w:r w:rsidRPr="00C957A7">
              <w:rPr>
                <w:rFonts w:ascii="Calibri" w:eastAsia="Times New Roman" w:hAnsi="Calibri" w:cs="Calibri"/>
                <w:color w:val="000000"/>
                <w:kern w:val="0"/>
                <w:sz w:val="16"/>
                <w:szCs w:val="16"/>
                <w:lang w:eastAsia="pt-BR"/>
                <w14:ligatures w14:val="none"/>
              </w:rPr>
              <w:br/>
              <w:t>Item 3.9 - Habilitação ao Repasse Financeiro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8D69C2"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Aceite ou rejeição do processo licitatório e emissão da primeira VRPL no Transferegov.br</w:t>
            </w:r>
          </w:p>
        </w:tc>
      </w:tr>
      <w:tr w:rsidR="002A3346" w:rsidRPr="00C957A7" w14:paraId="6C2EB4CA" w14:textId="77777777" w:rsidTr="002A3346">
        <w:trPr>
          <w:trHeight w:val="1620"/>
        </w:trPr>
        <w:tc>
          <w:tcPr>
            <w:tcW w:w="701"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D13402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 5</w:t>
            </w:r>
          </w:p>
        </w:tc>
        <w:tc>
          <w:tcPr>
            <w:tcW w:w="2618"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9126E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Acompanhamento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8E6D19" w14:textId="26363138"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3.4 - Assistência técnica</w:t>
            </w:r>
            <w:r w:rsidRPr="00C957A7">
              <w:rPr>
                <w:rFonts w:ascii="Calibri" w:eastAsia="Times New Roman" w:hAnsi="Calibri" w:cs="Calibri"/>
                <w:color w:val="000000"/>
                <w:kern w:val="0"/>
                <w:sz w:val="16"/>
                <w:szCs w:val="16"/>
                <w:lang w:eastAsia="pt-BR"/>
                <w14:ligatures w14:val="none"/>
              </w:rPr>
              <w:br/>
              <w:t>Item 3.10 - Liberação de Recursos Financeiros</w:t>
            </w:r>
            <w:r w:rsidRPr="00C957A7">
              <w:rPr>
                <w:rFonts w:ascii="Calibri" w:eastAsia="Times New Roman" w:hAnsi="Calibri" w:cs="Calibri"/>
                <w:color w:val="000000"/>
                <w:kern w:val="0"/>
                <w:sz w:val="16"/>
                <w:szCs w:val="16"/>
                <w:lang w:eastAsia="pt-BR"/>
                <w14:ligatures w14:val="none"/>
              </w:rPr>
              <w:br/>
              <w:t xml:space="preserve">Item 3.11 - </w:t>
            </w:r>
            <w:r w:rsidR="006217F6" w:rsidRPr="006217F6">
              <w:rPr>
                <w:rFonts w:ascii="Calibri" w:eastAsia="Times New Roman" w:hAnsi="Calibri" w:cs="Calibri"/>
                <w:color w:val="000000"/>
                <w:kern w:val="0"/>
                <w:sz w:val="16"/>
                <w:szCs w:val="16"/>
                <w:lang w:eastAsia="pt-BR"/>
                <w14:ligatures w14:val="none"/>
              </w:rPr>
              <w:t>Autorização de Início de Obras/Autorização de Início de Objeto</w:t>
            </w:r>
            <w:r w:rsidR="00027A31">
              <w:rPr>
                <w:rFonts w:ascii="Calibri" w:eastAsia="Times New Roman" w:hAnsi="Calibri" w:cs="Calibri"/>
                <w:color w:val="000000"/>
                <w:kern w:val="0"/>
                <w:sz w:val="16"/>
                <w:szCs w:val="16"/>
                <w:lang w:eastAsia="pt-BR"/>
                <w14:ligatures w14:val="none"/>
              </w:rPr>
              <w:t xml:space="preserve"> </w:t>
            </w:r>
            <w:r w:rsidR="00027A31" w:rsidRPr="00027A31">
              <w:rPr>
                <w:rFonts w:ascii="Calibri" w:eastAsia="Times New Roman" w:hAnsi="Calibri" w:cs="Calibri"/>
                <w:color w:val="000000"/>
                <w:kern w:val="0"/>
                <w:sz w:val="16"/>
                <w:szCs w:val="16"/>
                <w:lang w:eastAsia="pt-BR"/>
                <w14:ligatures w14:val="none"/>
              </w:rPr>
              <w:t xml:space="preserve">(Alterado pela Portaria SEGES/MGI </w:t>
            </w:r>
            <w:r w:rsidR="004F2408" w:rsidRPr="004F2408">
              <w:rPr>
                <w:rFonts w:ascii="Calibri" w:eastAsia="Times New Roman" w:hAnsi="Calibri" w:cs="Calibri"/>
                <w:color w:val="000000"/>
                <w:kern w:val="0"/>
                <w:sz w:val="16"/>
                <w:szCs w:val="16"/>
                <w:lang w:eastAsia="pt-BR"/>
                <w14:ligatures w14:val="none"/>
              </w:rPr>
              <w:t>4.758, de 13 de junho de 2025</w:t>
            </w:r>
            <w:r w:rsidR="00027A31" w:rsidRPr="00027A31">
              <w:rPr>
                <w:rFonts w:ascii="Calibri" w:eastAsia="Times New Roman" w:hAnsi="Calibri" w:cs="Calibri"/>
                <w:color w:val="000000"/>
                <w:kern w:val="0"/>
                <w:sz w:val="16"/>
                <w:szCs w:val="16"/>
                <w:lang w:eastAsia="pt-BR"/>
                <w14:ligatures w14:val="none"/>
              </w:rPr>
              <w:t>)</w:t>
            </w:r>
            <w:r w:rsidRPr="00C957A7">
              <w:rPr>
                <w:rFonts w:ascii="Calibri" w:eastAsia="Times New Roman" w:hAnsi="Calibri" w:cs="Calibri"/>
                <w:color w:val="000000"/>
                <w:kern w:val="0"/>
                <w:sz w:val="16"/>
                <w:szCs w:val="16"/>
                <w:lang w:eastAsia="pt-BR"/>
                <w14:ligatures w14:val="none"/>
              </w:rPr>
              <w:br/>
              <w:t>Item 3.12 - Acompanhamento da Execução do Objeto</w:t>
            </w:r>
            <w:r w:rsidRPr="00C957A7">
              <w:rPr>
                <w:rFonts w:ascii="Calibri" w:eastAsia="Times New Roman" w:hAnsi="Calibri" w:cs="Calibri"/>
                <w:color w:val="000000"/>
                <w:kern w:val="0"/>
                <w:sz w:val="16"/>
                <w:szCs w:val="16"/>
                <w:lang w:eastAsia="pt-BR"/>
                <w14:ligatures w14:val="none"/>
              </w:rPr>
              <w:br/>
              <w:t>Item 3.13 - Pagamentos a Fornecedores</w:t>
            </w:r>
            <w:r w:rsidRPr="00C957A7">
              <w:rPr>
                <w:rFonts w:ascii="Calibri" w:eastAsia="Times New Roman" w:hAnsi="Calibri" w:cs="Calibri"/>
                <w:color w:val="000000"/>
                <w:kern w:val="0"/>
                <w:sz w:val="16"/>
                <w:szCs w:val="16"/>
                <w:lang w:eastAsia="pt-BR"/>
                <w14:ligatures w14:val="none"/>
              </w:rPr>
              <w:br/>
              <w:t>Item 3.16 - Da vigência do contrato de repasse ou termo de compromisso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FC1142"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Percentual físico de 60% informado pelo Convenente/Recebedor no Transferegov.br em relação ao Valor de Investimento do QCI vigente</w:t>
            </w:r>
          </w:p>
        </w:tc>
      </w:tr>
      <w:tr w:rsidR="002A3346" w:rsidRPr="00C957A7" w14:paraId="46F66ED0" w14:textId="77777777" w:rsidTr="002A3346">
        <w:trPr>
          <w:trHeight w:val="1620"/>
        </w:trPr>
        <w:tc>
          <w:tcPr>
            <w:tcW w:w="701" w:type="dxa"/>
            <w:vMerge/>
            <w:tcBorders>
              <w:top w:val="nil"/>
              <w:left w:val="single" w:sz="6" w:space="0" w:color="000000"/>
              <w:bottom w:val="single" w:sz="6" w:space="0" w:color="000000"/>
              <w:right w:val="single" w:sz="6" w:space="0" w:color="000000"/>
            </w:tcBorders>
            <w:vAlign w:val="center"/>
            <w:hideMark/>
          </w:tcPr>
          <w:p w14:paraId="56DAA2D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2618"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A5FCE1"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Assessoramento Técnico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E3175C"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3.4 - Assistência técnica</w:t>
            </w:r>
          </w:p>
          <w:p w14:paraId="7103F32B"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3.21 - Regime Simplificado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94B527" w14:textId="2506A0F5"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 xml:space="preserve">Inserção do Relatório de Reunião de Contratação </w:t>
            </w:r>
            <w:r w:rsidR="00B07999">
              <w:rPr>
                <w:rFonts w:ascii="Calibri" w:eastAsia="Times New Roman" w:hAnsi="Calibri" w:cs="Calibri"/>
                <w:color w:val="000000"/>
                <w:kern w:val="0"/>
                <w:sz w:val="16"/>
                <w:szCs w:val="16"/>
                <w:lang w:eastAsia="pt-BR"/>
                <w14:ligatures w14:val="none"/>
              </w:rPr>
              <w:t xml:space="preserve">ou de migração para o </w:t>
            </w:r>
            <w:r w:rsidR="0082037C">
              <w:rPr>
                <w:rFonts w:ascii="Calibri" w:eastAsia="Times New Roman" w:hAnsi="Calibri" w:cs="Calibri"/>
                <w:color w:val="000000"/>
                <w:kern w:val="0"/>
                <w:sz w:val="16"/>
                <w:szCs w:val="16"/>
                <w:lang w:eastAsia="pt-BR"/>
                <w14:ligatures w14:val="none"/>
              </w:rPr>
              <w:t xml:space="preserve">Regime Simplificado </w:t>
            </w:r>
            <w:r w:rsidR="004B79E1" w:rsidRPr="004B79E1">
              <w:rPr>
                <w:rFonts w:ascii="Calibri" w:eastAsia="Times New Roman" w:hAnsi="Calibri" w:cs="Calibri"/>
                <w:color w:val="000000"/>
                <w:kern w:val="0"/>
                <w:sz w:val="16"/>
                <w:szCs w:val="16"/>
                <w:lang w:eastAsia="pt-BR"/>
                <w14:ligatures w14:val="none"/>
              </w:rPr>
              <w:t xml:space="preserve">(Alterado pela Portaria SEGES/MGI nº </w:t>
            </w:r>
            <w:r w:rsidR="003549B2" w:rsidRPr="003549B2">
              <w:rPr>
                <w:rFonts w:ascii="Calibri" w:eastAsia="Times New Roman" w:hAnsi="Calibri" w:cs="Calibri"/>
                <w:color w:val="000000"/>
                <w:kern w:val="0"/>
                <w:sz w:val="16"/>
                <w:szCs w:val="16"/>
                <w:lang w:eastAsia="pt-BR"/>
                <w14:ligatures w14:val="none"/>
              </w:rPr>
              <w:t>4.758, de 13 de junho de 2025</w:t>
            </w:r>
            <w:r w:rsidR="004B79E1" w:rsidRPr="004B79E1">
              <w:rPr>
                <w:rFonts w:ascii="Calibri" w:eastAsia="Times New Roman" w:hAnsi="Calibri" w:cs="Calibri"/>
                <w:color w:val="000000"/>
                <w:kern w:val="0"/>
                <w:sz w:val="16"/>
                <w:szCs w:val="16"/>
                <w:lang w:eastAsia="pt-BR"/>
                <w14:ligatures w14:val="none"/>
              </w:rPr>
              <w:t>)</w:t>
            </w:r>
          </w:p>
        </w:tc>
      </w:tr>
      <w:tr w:rsidR="002A3346" w:rsidRPr="00C957A7" w14:paraId="46222AFE" w14:textId="77777777" w:rsidTr="002A3346">
        <w:trPr>
          <w:trHeight w:val="1170"/>
        </w:trPr>
        <w:tc>
          <w:tcPr>
            <w:tcW w:w="7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705ECA3"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 6</w:t>
            </w:r>
          </w:p>
        </w:tc>
        <w:tc>
          <w:tcPr>
            <w:tcW w:w="2618"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542991"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do cumprimento do objeto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CB7F5B"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3.4 - Assistência técnica</w:t>
            </w:r>
          </w:p>
          <w:p w14:paraId="55E1C48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3.10 - Liberação de Recursos Financeiros</w:t>
            </w:r>
            <w:r w:rsidRPr="00C957A7">
              <w:rPr>
                <w:rFonts w:ascii="Calibri" w:eastAsia="Times New Roman" w:hAnsi="Calibri" w:cs="Calibri"/>
                <w:color w:val="000000"/>
                <w:kern w:val="0"/>
                <w:sz w:val="16"/>
                <w:szCs w:val="16"/>
                <w:lang w:eastAsia="pt-BR"/>
                <w14:ligatures w14:val="none"/>
              </w:rPr>
              <w:br/>
              <w:t>Item 3.12 - Acompanhamento da Execução do Objeto</w:t>
            </w:r>
            <w:r w:rsidRPr="00C957A7">
              <w:rPr>
                <w:rFonts w:ascii="Calibri" w:eastAsia="Times New Roman" w:hAnsi="Calibri" w:cs="Calibri"/>
                <w:color w:val="000000"/>
                <w:kern w:val="0"/>
                <w:sz w:val="16"/>
                <w:szCs w:val="16"/>
                <w:lang w:eastAsia="pt-BR"/>
                <w14:ligatures w14:val="none"/>
              </w:rPr>
              <w:br/>
              <w:t>Item 3.13 - Pagamentos a Fornecedores</w:t>
            </w:r>
            <w:r w:rsidRPr="00C957A7">
              <w:rPr>
                <w:rFonts w:ascii="Calibri" w:eastAsia="Times New Roman" w:hAnsi="Calibri" w:cs="Calibri"/>
                <w:color w:val="000000"/>
                <w:kern w:val="0"/>
                <w:sz w:val="16"/>
                <w:szCs w:val="16"/>
                <w:lang w:eastAsia="pt-BR"/>
                <w14:ligatures w14:val="none"/>
              </w:rPr>
              <w:br/>
              <w:t>Item 3.16 - Da vigência do contrato de repasse ou termo de compromisso</w:t>
            </w:r>
            <w:r w:rsidRPr="00C957A7">
              <w:rPr>
                <w:rFonts w:ascii="Calibri" w:eastAsia="Times New Roman" w:hAnsi="Calibri" w:cs="Calibri"/>
                <w:color w:val="000000"/>
                <w:kern w:val="0"/>
                <w:sz w:val="16"/>
                <w:szCs w:val="16"/>
                <w:lang w:eastAsia="pt-BR"/>
                <w14:ligatures w14:val="none"/>
              </w:rPr>
              <w:br/>
              <w:t>Item 3.17 - Verificação do cumprimento do objeto</w:t>
            </w:r>
            <w:r w:rsidRPr="00C957A7">
              <w:rPr>
                <w:rFonts w:ascii="Calibri" w:eastAsia="Times New Roman" w:hAnsi="Calibri" w:cs="Calibri"/>
                <w:color w:val="000000"/>
                <w:kern w:val="0"/>
                <w:sz w:val="16"/>
                <w:szCs w:val="16"/>
                <w:lang w:eastAsia="pt-BR"/>
                <w14:ligatures w14:val="none"/>
              </w:rPr>
              <w:br/>
              <w:t>Item 3.21 - Regime Simplificado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3DACFC"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Cumprimento do objeto informado pelo Convenente/Recebedor no Transferegov.br e verificado pela mandatária com base nas documentações disponíveis e na vistoria final </w:t>
            </w:r>
            <w:r w:rsidRPr="00C957A7">
              <w:rPr>
                <w:rFonts w:ascii="Calibri" w:eastAsia="Times New Roman" w:hAnsi="Calibri" w:cs="Calibri"/>
                <w:i/>
                <w:iCs/>
                <w:color w:val="000000"/>
                <w:kern w:val="0"/>
                <w:sz w:val="16"/>
                <w:szCs w:val="16"/>
                <w:lang w:eastAsia="pt-BR"/>
                <w14:ligatures w14:val="none"/>
              </w:rPr>
              <w:t>in loco</w:t>
            </w:r>
            <w:r w:rsidRPr="00C957A7">
              <w:rPr>
                <w:rFonts w:ascii="Calibri" w:eastAsia="Times New Roman" w:hAnsi="Calibri" w:cs="Calibri"/>
                <w:color w:val="000000"/>
                <w:kern w:val="0"/>
                <w:sz w:val="16"/>
                <w:szCs w:val="16"/>
                <w:lang w:eastAsia="pt-BR"/>
                <w14:ligatures w14:val="none"/>
              </w:rPr>
              <w:t>, quando da execução de obras e serviços de engenharia</w:t>
            </w:r>
          </w:p>
        </w:tc>
      </w:tr>
      <w:tr w:rsidR="002A3346" w:rsidRPr="00C957A7" w14:paraId="2FBB94D2" w14:textId="77777777" w:rsidTr="002A3346">
        <w:trPr>
          <w:trHeight w:val="1455"/>
        </w:trPr>
        <w:tc>
          <w:tcPr>
            <w:tcW w:w="7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7D83E3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lastRenderedPageBreak/>
              <w:t>EGT 7</w:t>
            </w:r>
          </w:p>
        </w:tc>
        <w:tc>
          <w:tcPr>
            <w:tcW w:w="2618"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DD8C6E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Encerramento Contratual (PCF/TCE/Cancelamento/Distrato)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53B22E"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3.18 - Devolução de Recursos</w:t>
            </w:r>
            <w:r w:rsidRPr="00C957A7">
              <w:rPr>
                <w:rFonts w:ascii="Calibri" w:eastAsia="Times New Roman" w:hAnsi="Calibri" w:cs="Calibri"/>
                <w:color w:val="000000"/>
                <w:kern w:val="0"/>
                <w:sz w:val="16"/>
                <w:szCs w:val="16"/>
                <w:lang w:eastAsia="pt-BR"/>
                <w14:ligatures w14:val="none"/>
              </w:rPr>
              <w:br/>
              <w:t>Item 3.19 - Prestação de Contas</w:t>
            </w:r>
            <w:r w:rsidRPr="00C957A7">
              <w:rPr>
                <w:rFonts w:ascii="Calibri" w:eastAsia="Times New Roman" w:hAnsi="Calibri" w:cs="Calibri"/>
                <w:color w:val="000000"/>
                <w:kern w:val="0"/>
                <w:sz w:val="16"/>
                <w:szCs w:val="16"/>
                <w:lang w:eastAsia="pt-BR"/>
                <w14:ligatures w14:val="none"/>
              </w:rPr>
              <w:br/>
              <w:t>Item 3.20 - Instrução para Instauração de Tomada de Contas Especial</w:t>
            </w:r>
            <w:r w:rsidRPr="00C957A7">
              <w:rPr>
                <w:rFonts w:ascii="Calibri" w:eastAsia="Times New Roman" w:hAnsi="Calibri" w:cs="Calibri"/>
                <w:color w:val="000000"/>
                <w:kern w:val="0"/>
                <w:sz w:val="16"/>
                <w:szCs w:val="16"/>
                <w:lang w:eastAsia="pt-BR"/>
                <w14:ligatures w14:val="none"/>
              </w:rPr>
              <w:br/>
              <w:t>Item 3.21 - Regime Simplificado</w:t>
            </w:r>
            <w:r w:rsidRPr="00C957A7">
              <w:rPr>
                <w:rFonts w:ascii="Calibri" w:eastAsia="Times New Roman" w:hAnsi="Calibri" w:cs="Calibri"/>
                <w:color w:val="000000"/>
                <w:kern w:val="0"/>
                <w:sz w:val="16"/>
                <w:szCs w:val="16"/>
                <w:lang w:eastAsia="pt-BR"/>
                <w14:ligatures w14:val="none"/>
              </w:rPr>
              <w:br/>
              <w:t>Item 3.22 - Conclusão do Contrato de Repasse ou Termo de Compromisso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E7913C"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Aprovação ou rejeição da PCF no Transferegov.br, registro de Instauração da TCE, ou registro do cancelamento/distrato do Contrato de Repasse ou Termo de Compromisso.</w:t>
            </w:r>
          </w:p>
        </w:tc>
      </w:tr>
    </w:tbl>
    <w:p w14:paraId="4A4916F4"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w:t>
      </w:r>
    </w:p>
    <w:p w14:paraId="7102603C"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b/>
          <w:bCs/>
          <w:color w:val="000000"/>
          <w:kern w:val="0"/>
          <w:lang w:eastAsia="pt-BR"/>
          <w14:ligatures w14:val="none"/>
        </w:rPr>
        <w:t xml:space="preserve">3.7.1. Para os instrumentos enquadrados no Regime Simplificado não se aplicam os </w:t>
      </w:r>
      <w:proofErr w:type="spellStart"/>
      <w:r w:rsidRPr="00C957A7">
        <w:rPr>
          <w:rFonts w:ascii="Calibri" w:eastAsia="Times New Roman" w:hAnsi="Calibri" w:cs="Calibri"/>
          <w:b/>
          <w:bCs/>
          <w:color w:val="000000"/>
          <w:kern w:val="0"/>
          <w:lang w:eastAsia="pt-BR"/>
          <w14:ligatures w14:val="none"/>
        </w:rPr>
        <w:t>EGTs</w:t>
      </w:r>
      <w:proofErr w:type="spellEnd"/>
      <w:r w:rsidRPr="00C957A7">
        <w:rPr>
          <w:rFonts w:ascii="Calibri" w:eastAsia="Times New Roman" w:hAnsi="Calibri" w:cs="Calibri"/>
          <w:b/>
          <w:bCs/>
          <w:color w:val="000000"/>
          <w:kern w:val="0"/>
          <w:lang w:eastAsia="pt-BR"/>
          <w14:ligatures w14:val="none"/>
        </w:rPr>
        <w:t xml:space="preserve"> 3 e 4.</w:t>
      </w:r>
    </w:p>
    <w:p w14:paraId="0332D696"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w:t>
      </w:r>
    </w:p>
    <w:p w14:paraId="505EE479"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xml:space="preserve">3.8. Os Eventos Geradores de Tarifas Extras – </w:t>
      </w:r>
      <w:proofErr w:type="spellStart"/>
      <w:r w:rsidRPr="00C957A7">
        <w:rPr>
          <w:rFonts w:ascii="Calibri" w:eastAsia="Times New Roman" w:hAnsi="Calibri" w:cs="Calibri"/>
          <w:color w:val="000000"/>
          <w:kern w:val="0"/>
          <w:lang w:eastAsia="pt-BR"/>
          <w14:ligatures w14:val="none"/>
        </w:rPr>
        <w:t>EGTEs</w:t>
      </w:r>
      <w:proofErr w:type="spellEnd"/>
      <w:r w:rsidRPr="00C957A7">
        <w:rPr>
          <w:rFonts w:ascii="Calibri" w:eastAsia="Times New Roman" w:hAnsi="Calibri" w:cs="Calibri"/>
          <w:color w:val="000000"/>
          <w:kern w:val="0"/>
          <w:lang w:eastAsia="pt-BR"/>
          <w14:ligatures w14:val="none"/>
        </w:rPr>
        <w:t xml:space="preserve"> serão remunerados conforme atividades e marcos, a seguir:</w:t>
      </w:r>
    </w:p>
    <w:tbl>
      <w:tblPr>
        <w:tblW w:w="0" w:type="auto"/>
        <w:tblCellMar>
          <w:top w:w="15" w:type="dxa"/>
          <w:left w:w="15" w:type="dxa"/>
          <w:bottom w:w="15" w:type="dxa"/>
          <w:right w:w="15" w:type="dxa"/>
        </w:tblCellMar>
        <w:tblLook w:val="04A0" w:firstRow="1" w:lastRow="0" w:firstColumn="1" w:lastColumn="0" w:noHBand="0" w:noVBand="1"/>
      </w:tblPr>
      <w:tblGrid>
        <w:gridCol w:w="843"/>
        <w:gridCol w:w="1724"/>
        <w:gridCol w:w="4919"/>
        <w:gridCol w:w="3407"/>
      </w:tblGrid>
      <w:tr w:rsidR="00C957A7" w:rsidRPr="00C957A7" w14:paraId="5718A487" w14:textId="77777777" w:rsidTr="00E509FC">
        <w:trPr>
          <w:trHeight w:val="85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36FE7B3"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Serviços Extras</w:t>
            </w:r>
          </w:p>
        </w:tc>
      </w:tr>
      <w:tr w:rsidR="00C957A7" w:rsidRPr="00C957A7" w14:paraId="3B70CA4D" w14:textId="77777777" w:rsidTr="00E509FC">
        <w:trPr>
          <w:trHeight w:val="585"/>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76CBB76"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Eventos Geradores de Tarifa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6097B3"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Detalhamento (pacote de serviços)</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A89535"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Marcos</w:t>
            </w:r>
          </w:p>
        </w:tc>
      </w:tr>
      <w:tr w:rsidR="00C957A7" w:rsidRPr="00C957A7" w14:paraId="3D52A155" w14:textId="77777777" w:rsidTr="008256FB">
        <w:trPr>
          <w:trHeight w:val="600"/>
        </w:trPr>
        <w:tc>
          <w:tcPr>
            <w:tcW w:w="84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10DC0B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w:t>
            </w:r>
          </w:p>
        </w:tc>
        <w:tc>
          <w:tcPr>
            <w:tcW w:w="172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A7227E"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Análise de Plano de Trabalho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E318E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3.1 - Análise do Plano de Trabalho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3F7405"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Parecer Técnico e análise Conclusiva (aprovação ou rejeição) no Transferegov.br, realizada após a análise ordinária.</w:t>
            </w:r>
          </w:p>
        </w:tc>
      </w:tr>
      <w:tr w:rsidR="00C957A7" w:rsidRPr="00C957A7" w14:paraId="0F6E1EFB" w14:textId="77777777" w:rsidTr="008256FB">
        <w:trPr>
          <w:trHeight w:val="960"/>
        </w:trPr>
        <w:tc>
          <w:tcPr>
            <w:tcW w:w="84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604189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2</w:t>
            </w:r>
          </w:p>
        </w:tc>
        <w:tc>
          <w:tcPr>
            <w:tcW w:w="172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630231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da Realização do Processo Licitatório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BFC33B"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3.7 - Verificação da Realização do Processo Licitatório</w:t>
            </w:r>
            <w:r w:rsidRPr="00C957A7">
              <w:rPr>
                <w:rFonts w:ascii="Calibri" w:eastAsia="Times New Roman" w:hAnsi="Calibri" w:cs="Calibri"/>
                <w:color w:val="000000"/>
                <w:kern w:val="0"/>
                <w:sz w:val="16"/>
                <w:szCs w:val="16"/>
                <w:lang w:eastAsia="pt-BR"/>
                <w14:ligatures w14:val="none"/>
              </w:rPr>
              <w:br/>
              <w:t>Item 3.9 - Habilitação ao Repasse Financeiro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B1BB5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Aceite do processo licitatório de certame já analisado no Transferegov.br</w:t>
            </w:r>
          </w:p>
        </w:tc>
      </w:tr>
      <w:tr w:rsidR="00C957A7" w:rsidRPr="00C957A7" w14:paraId="2E8F3AB3" w14:textId="77777777" w:rsidTr="008256FB">
        <w:trPr>
          <w:trHeight w:val="915"/>
        </w:trPr>
        <w:tc>
          <w:tcPr>
            <w:tcW w:w="84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EA7333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3</w:t>
            </w:r>
          </w:p>
        </w:tc>
        <w:tc>
          <w:tcPr>
            <w:tcW w:w="172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64890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Manutenção da vigência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E9359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3.16 - Da vigência do contrato de repasse ou termo de compromisso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3B9EB93"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180 (cento e oitenta) dias após a oficialização à CONTRATANTE</w:t>
            </w:r>
          </w:p>
        </w:tc>
      </w:tr>
      <w:tr w:rsidR="00C957A7" w:rsidRPr="00C957A7" w14:paraId="25BC9F54" w14:textId="77777777" w:rsidTr="008256FB">
        <w:trPr>
          <w:trHeight w:val="585"/>
        </w:trPr>
        <w:tc>
          <w:tcPr>
            <w:tcW w:w="84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7CBA5C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4</w:t>
            </w:r>
          </w:p>
        </w:tc>
        <w:tc>
          <w:tcPr>
            <w:tcW w:w="172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A327A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de critérios de compatibilidade</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34BDC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de critérios de compatibilidade entre o Anteprojeto e o Projeto de Engenharia oriundo da contratação integrada de obras e serviços de engenharia, conforme item 3.6.12</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627202"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Emissão de laudo de verificação técnica pela mandatária no Transferegov.br</w:t>
            </w:r>
          </w:p>
        </w:tc>
      </w:tr>
      <w:tr w:rsidR="00C957A7" w:rsidRPr="00C957A7" w14:paraId="1157C3D1" w14:textId="77777777" w:rsidTr="008256FB">
        <w:trPr>
          <w:trHeight w:val="585"/>
        </w:trPr>
        <w:tc>
          <w:tcPr>
            <w:tcW w:w="84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03922D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5</w:t>
            </w:r>
          </w:p>
        </w:tc>
        <w:tc>
          <w:tcPr>
            <w:tcW w:w="172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FB982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Alteração contratual - Alteração de cronograma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0A0E60"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3.15.1 – Alteração de cronograma; ou</w:t>
            </w:r>
            <w:r w:rsidRPr="00C957A7">
              <w:rPr>
                <w:rFonts w:ascii="Calibri" w:eastAsia="Times New Roman" w:hAnsi="Calibri" w:cs="Calibri"/>
                <w:color w:val="000000"/>
                <w:kern w:val="0"/>
                <w:sz w:val="16"/>
                <w:szCs w:val="16"/>
                <w:lang w:eastAsia="pt-BR"/>
                <w14:ligatures w14:val="none"/>
              </w:rPr>
              <w:br/>
              <w:t xml:space="preserve">Item 3.15.2 - Alteração de </w:t>
            </w:r>
            <w:proofErr w:type="spellStart"/>
            <w:r w:rsidRPr="00C957A7">
              <w:rPr>
                <w:rFonts w:ascii="Calibri" w:eastAsia="Times New Roman" w:hAnsi="Calibri" w:cs="Calibri"/>
                <w:color w:val="000000"/>
                <w:kern w:val="0"/>
                <w:sz w:val="16"/>
                <w:szCs w:val="16"/>
                <w:lang w:eastAsia="pt-BR"/>
                <w14:ligatures w14:val="none"/>
              </w:rPr>
              <w:t>eventograma</w:t>
            </w:r>
            <w:proofErr w:type="spellEnd"/>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D667C5"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Conclusão da verificação e emissão de laudo de verificação técnica pela mandatária no Transferegov.br</w:t>
            </w:r>
          </w:p>
        </w:tc>
      </w:tr>
      <w:tr w:rsidR="00C957A7" w:rsidRPr="00C957A7" w14:paraId="6A162168" w14:textId="77777777" w:rsidTr="008256FB">
        <w:trPr>
          <w:trHeight w:val="585"/>
        </w:trPr>
        <w:tc>
          <w:tcPr>
            <w:tcW w:w="84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EFFD4D5"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6</w:t>
            </w:r>
          </w:p>
        </w:tc>
        <w:tc>
          <w:tcPr>
            <w:tcW w:w="172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94DA26"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Alteração contratual – Ajustes de orçamento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481DDD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3.15.3 – Atualização de orçamento por alteração de data-base; ou</w:t>
            </w:r>
            <w:r w:rsidRPr="00C957A7">
              <w:rPr>
                <w:rFonts w:ascii="Calibri" w:eastAsia="Times New Roman" w:hAnsi="Calibri" w:cs="Calibri"/>
                <w:color w:val="000000"/>
                <w:kern w:val="0"/>
                <w:sz w:val="16"/>
                <w:szCs w:val="16"/>
                <w:lang w:eastAsia="pt-BR"/>
                <w14:ligatures w14:val="none"/>
              </w:rPr>
              <w:br/>
              <w:t>Item 3.15.4 – Atualização de orçamento por reequilíbrio econômico-financeiro; ou</w:t>
            </w:r>
            <w:r w:rsidRPr="00C957A7">
              <w:rPr>
                <w:rFonts w:ascii="Calibri" w:eastAsia="Times New Roman" w:hAnsi="Calibri" w:cs="Calibri"/>
                <w:color w:val="000000"/>
                <w:kern w:val="0"/>
                <w:sz w:val="16"/>
                <w:szCs w:val="16"/>
                <w:lang w:eastAsia="pt-BR"/>
                <w14:ligatures w14:val="none"/>
              </w:rPr>
              <w:br/>
              <w:t>Item 3.15.5 - Atualização do orçamento por reajustes de preços</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293D02"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Conclusão da verificação e emissão de laudo de verificação técnica pela mandatária no Transferegov.br</w:t>
            </w:r>
          </w:p>
        </w:tc>
      </w:tr>
      <w:tr w:rsidR="00C957A7" w:rsidRPr="00C957A7" w14:paraId="143865A4" w14:textId="77777777" w:rsidTr="008256FB">
        <w:trPr>
          <w:trHeight w:val="585"/>
        </w:trPr>
        <w:tc>
          <w:tcPr>
            <w:tcW w:w="84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E0C8F03"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7</w:t>
            </w:r>
          </w:p>
        </w:tc>
        <w:tc>
          <w:tcPr>
            <w:tcW w:w="172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D74612"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Alteração contratual – Ajustes de projeto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A8149A"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3.15.6 – Ajustes no projeto; ou</w:t>
            </w:r>
            <w:r w:rsidRPr="00C957A7">
              <w:rPr>
                <w:rFonts w:ascii="Calibri" w:eastAsia="Times New Roman" w:hAnsi="Calibri" w:cs="Calibri"/>
                <w:color w:val="000000"/>
                <w:kern w:val="0"/>
                <w:sz w:val="16"/>
                <w:szCs w:val="16"/>
                <w:lang w:eastAsia="pt-BR"/>
                <w14:ligatures w14:val="none"/>
              </w:rPr>
              <w:br/>
              <w:t>Item 3.15.9 - Remanescente de obra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2B3FB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Conclusão da verificação e emissão de laudo de verificação técnica pela mandatária no Transferegov.br</w:t>
            </w:r>
          </w:p>
        </w:tc>
      </w:tr>
      <w:tr w:rsidR="00C957A7" w:rsidRPr="00C957A7" w14:paraId="64FED19A" w14:textId="77777777" w:rsidTr="008256FB">
        <w:trPr>
          <w:trHeight w:val="585"/>
        </w:trPr>
        <w:tc>
          <w:tcPr>
            <w:tcW w:w="84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29FF85A"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8</w:t>
            </w:r>
          </w:p>
        </w:tc>
        <w:tc>
          <w:tcPr>
            <w:tcW w:w="172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07823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Alteração contratual – Exclusão de meta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1C4D6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3.15.7 – Exclusão de meta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D344B0"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Conclusão da verificação e emissão de laudo de verificação técnica pela mandatária no Transferegov.br</w:t>
            </w:r>
          </w:p>
        </w:tc>
      </w:tr>
      <w:tr w:rsidR="00C957A7" w:rsidRPr="00C957A7" w14:paraId="620BF57D" w14:textId="77777777" w:rsidTr="008256FB">
        <w:trPr>
          <w:trHeight w:val="585"/>
        </w:trPr>
        <w:tc>
          <w:tcPr>
            <w:tcW w:w="84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EBBED9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9</w:t>
            </w:r>
          </w:p>
        </w:tc>
        <w:tc>
          <w:tcPr>
            <w:tcW w:w="172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96A23B"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Alteração contratual – Inclusão de meta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DA8C3E"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3.15.8 – Inclusão de metas</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E432C6C"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Conclusão da verificação e emissão de laudo de verificação técnica pela mandatária no Transferegov.br</w:t>
            </w:r>
          </w:p>
        </w:tc>
      </w:tr>
      <w:tr w:rsidR="00C957A7" w:rsidRPr="00C957A7" w14:paraId="5750A8F2" w14:textId="77777777" w:rsidTr="008256FB">
        <w:trPr>
          <w:trHeight w:val="585"/>
        </w:trPr>
        <w:tc>
          <w:tcPr>
            <w:tcW w:w="84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FD5967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10</w:t>
            </w:r>
          </w:p>
        </w:tc>
        <w:tc>
          <w:tcPr>
            <w:tcW w:w="172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FA868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Alteração contratual – Saldo de Obra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90802E0"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3.15.10 – Saldo de Obra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62FB55"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Conclusão da verificação e emissão de laudo de verificação técnica pela mandatária no Transferegov.br</w:t>
            </w:r>
          </w:p>
        </w:tc>
      </w:tr>
      <w:tr w:rsidR="00C957A7" w:rsidRPr="00C957A7" w14:paraId="0CD39BE8" w14:textId="77777777" w:rsidTr="008256FB">
        <w:trPr>
          <w:trHeight w:val="300"/>
        </w:trPr>
        <w:tc>
          <w:tcPr>
            <w:tcW w:w="84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C6E272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11</w:t>
            </w:r>
          </w:p>
        </w:tc>
        <w:tc>
          <w:tcPr>
            <w:tcW w:w="172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8E1CC5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Visita de campo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688A55"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3.12. Acompanhamento da Execução do Objeto</w:t>
            </w:r>
          </w:p>
          <w:p w14:paraId="4A8FB43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3.21 - Regime Simplificado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601C44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Inserção do Relatório de Vistoria no Transferegov.br</w:t>
            </w:r>
          </w:p>
        </w:tc>
      </w:tr>
      <w:tr w:rsidR="00C957A7" w:rsidRPr="00C957A7" w14:paraId="4CF25C75" w14:textId="77777777" w:rsidTr="008256FB">
        <w:trPr>
          <w:trHeight w:val="499"/>
        </w:trPr>
        <w:tc>
          <w:tcPr>
            <w:tcW w:w="843"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D10CB0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12</w:t>
            </w:r>
          </w:p>
        </w:tc>
        <w:tc>
          <w:tcPr>
            <w:tcW w:w="1724" w:type="dxa"/>
            <w:vMerge w:val="restart"/>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49AAC6"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Reabertura de PCF/TCE</w:t>
            </w:r>
          </w:p>
        </w:tc>
        <w:tc>
          <w:tcPr>
            <w:tcW w:w="0" w:type="auto"/>
            <w:vMerge w:val="restart"/>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2968F6"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3.18 - Devolução de Recursos</w:t>
            </w:r>
          </w:p>
          <w:p w14:paraId="78AC891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3.19 - Prestação de Contas</w:t>
            </w:r>
          </w:p>
          <w:p w14:paraId="0E1454DC"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3.20 – Instrução para Instauração de Tomada de Contas Especial</w:t>
            </w:r>
          </w:p>
          <w:p w14:paraId="3D08283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Item 3.21 - Regime Simplificado</w:t>
            </w:r>
          </w:p>
        </w:tc>
        <w:tc>
          <w:tcPr>
            <w:tcW w:w="0" w:type="auto"/>
            <w:vMerge w:val="restart"/>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FB3A23"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Aprovação ou rejeição da PCF no Transferegov.br, ou registro de Instauração da TCE</w:t>
            </w:r>
          </w:p>
        </w:tc>
      </w:tr>
      <w:tr w:rsidR="00C957A7" w:rsidRPr="00C957A7" w14:paraId="4BFF6965" w14:textId="77777777" w:rsidTr="008256FB">
        <w:trPr>
          <w:trHeight w:val="499"/>
        </w:trPr>
        <w:tc>
          <w:tcPr>
            <w:tcW w:w="843" w:type="dxa"/>
            <w:vMerge/>
            <w:tcBorders>
              <w:top w:val="nil"/>
              <w:left w:val="single" w:sz="6" w:space="0" w:color="000000"/>
              <w:bottom w:val="single" w:sz="6" w:space="0" w:color="000000"/>
              <w:right w:val="single" w:sz="6" w:space="0" w:color="000000"/>
            </w:tcBorders>
            <w:vAlign w:val="center"/>
            <w:hideMark/>
          </w:tcPr>
          <w:p w14:paraId="08D1C535"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1724" w:type="dxa"/>
            <w:vMerge/>
            <w:tcBorders>
              <w:top w:val="nil"/>
              <w:left w:val="nil"/>
              <w:bottom w:val="single" w:sz="6" w:space="0" w:color="000000"/>
              <w:right w:val="single" w:sz="6" w:space="0" w:color="000000"/>
            </w:tcBorders>
            <w:vAlign w:val="center"/>
            <w:hideMark/>
          </w:tcPr>
          <w:p w14:paraId="7287276A"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nil"/>
              <w:bottom w:val="single" w:sz="6" w:space="0" w:color="000000"/>
              <w:right w:val="single" w:sz="6" w:space="0" w:color="000000"/>
            </w:tcBorders>
            <w:vAlign w:val="center"/>
            <w:hideMark/>
          </w:tcPr>
          <w:p w14:paraId="4600114E"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nil"/>
              <w:bottom w:val="single" w:sz="6" w:space="0" w:color="000000"/>
              <w:right w:val="single" w:sz="6" w:space="0" w:color="000000"/>
            </w:tcBorders>
            <w:vAlign w:val="center"/>
            <w:hideMark/>
          </w:tcPr>
          <w:p w14:paraId="0BA4CAA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bl>
    <w:p w14:paraId="2F186C33" w14:textId="7BE04353"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w:t>
      </w:r>
      <w:r w:rsidRPr="00C957A7">
        <w:rPr>
          <w:rFonts w:ascii="Calibri" w:eastAsia="Times New Roman" w:hAnsi="Calibri" w:cs="Calibri"/>
          <w:b/>
          <w:bCs/>
          <w:color w:val="000000"/>
          <w:kern w:val="0"/>
          <w:lang w:eastAsia="pt-BR"/>
          <w14:ligatures w14:val="none"/>
        </w:rPr>
        <w:t xml:space="preserve">3.8.1. Para os instrumentos enquadrados no Regime Simplificado somente se aplicam os </w:t>
      </w:r>
      <w:proofErr w:type="spellStart"/>
      <w:r w:rsidRPr="00C957A7">
        <w:rPr>
          <w:rFonts w:ascii="Calibri" w:eastAsia="Times New Roman" w:hAnsi="Calibri" w:cs="Calibri"/>
          <w:b/>
          <w:bCs/>
          <w:color w:val="000000"/>
          <w:kern w:val="0"/>
          <w:lang w:eastAsia="pt-BR"/>
          <w14:ligatures w14:val="none"/>
        </w:rPr>
        <w:t>EGTEs</w:t>
      </w:r>
      <w:proofErr w:type="spellEnd"/>
      <w:r w:rsidRPr="00C957A7">
        <w:rPr>
          <w:rFonts w:ascii="Calibri" w:eastAsia="Times New Roman" w:hAnsi="Calibri" w:cs="Calibri"/>
          <w:b/>
          <w:bCs/>
          <w:color w:val="000000"/>
          <w:kern w:val="0"/>
          <w:lang w:eastAsia="pt-BR"/>
          <w14:ligatures w14:val="none"/>
        </w:rPr>
        <w:t xml:space="preserve"> 11 e 12.</w:t>
      </w:r>
    </w:p>
    <w:p w14:paraId="089581A3" w14:textId="77777777" w:rsidR="008256FB" w:rsidRDefault="008256FB" w:rsidP="00C957A7">
      <w:pPr>
        <w:spacing w:after="120" w:line="240" w:lineRule="auto"/>
        <w:jc w:val="both"/>
        <w:rPr>
          <w:rFonts w:ascii="Calibri" w:eastAsia="Times New Roman" w:hAnsi="Calibri" w:cs="Calibri"/>
          <w:color w:val="000000"/>
          <w:kern w:val="0"/>
          <w:lang w:eastAsia="pt-BR"/>
          <w14:ligatures w14:val="none"/>
        </w:rPr>
      </w:pPr>
    </w:p>
    <w:p w14:paraId="56FBB160" w14:textId="6583B3CC"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lastRenderedPageBreak/>
        <w:t>3.9 – Tabelas de valores para gestão e operacionalização de instrumentos:</w:t>
      </w:r>
    </w:p>
    <w:p w14:paraId="05A5314F" w14:textId="77777777" w:rsidR="005B6A4F" w:rsidRDefault="005B6A4F" w:rsidP="00C957A7">
      <w:pPr>
        <w:spacing w:after="120" w:line="240" w:lineRule="auto"/>
        <w:jc w:val="both"/>
        <w:rPr>
          <w:rFonts w:ascii="Calibri" w:eastAsia="Times New Roman" w:hAnsi="Calibri" w:cs="Calibri"/>
          <w:color w:val="000000"/>
          <w:kern w:val="0"/>
          <w:lang w:eastAsia="pt-BR"/>
          <w14:ligatures w14:val="none"/>
        </w:rPr>
      </w:pPr>
    </w:p>
    <w:p w14:paraId="10D08958" w14:textId="2FDE7E6F"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3.9.1 - Contratos de Repasse</w:t>
      </w:r>
    </w:p>
    <w:tbl>
      <w:tblPr>
        <w:tblW w:w="0" w:type="auto"/>
        <w:tblCellMar>
          <w:top w:w="15" w:type="dxa"/>
          <w:left w:w="15" w:type="dxa"/>
          <w:bottom w:w="15" w:type="dxa"/>
          <w:right w:w="15" w:type="dxa"/>
        </w:tblCellMar>
        <w:tblLook w:val="04A0" w:firstRow="1" w:lastRow="0" w:firstColumn="1" w:lastColumn="0" w:noHBand="0" w:noVBand="1"/>
      </w:tblPr>
      <w:tblGrid>
        <w:gridCol w:w="2685"/>
        <w:gridCol w:w="678"/>
        <w:gridCol w:w="3674"/>
        <w:gridCol w:w="764"/>
        <w:gridCol w:w="764"/>
        <w:gridCol w:w="764"/>
        <w:gridCol w:w="764"/>
        <w:gridCol w:w="764"/>
        <w:gridCol w:w="36"/>
      </w:tblGrid>
      <w:tr w:rsidR="00C957A7" w:rsidRPr="00C957A7" w14:paraId="5B392941" w14:textId="77777777" w:rsidTr="008256FB">
        <w:trPr>
          <w:gridAfter w:val="1"/>
        </w:trPr>
        <w:tc>
          <w:tcPr>
            <w:tcW w:w="0" w:type="auto"/>
            <w:gridSpan w:val="2"/>
            <w:vMerge w:val="restart"/>
            <w:tcBorders>
              <w:top w:val="single" w:sz="6" w:space="0" w:color="000000"/>
              <w:left w:val="single" w:sz="6" w:space="0" w:color="000000"/>
              <w:bottom w:val="single" w:sz="6" w:space="0" w:color="000000"/>
              <w:right w:val="nil"/>
            </w:tcBorders>
            <w:vAlign w:val="center"/>
            <w:hideMark/>
          </w:tcPr>
          <w:p w14:paraId="2A65B71B" w14:textId="4F802453"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Evento Gerador de Tarifa (Ordinário)</w:t>
            </w:r>
          </w:p>
        </w:tc>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14:paraId="1B2E532A"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Valores</w:t>
            </w:r>
          </w:p>
        </w:tc>
      </w:tr>
      <w:tr w:rsidR="00C957A7" w:rsidRPr="00C957A7" w14:paraId="603C5028" w14:textId="77777777" w:rsidTr="008256FB">
        <w:trPr>
          <w:gridAfter w:val="1"/>
          <w:trHeight w:val="499"/>
        </w:trPr>
        <w:tc>
          <w:tcPr>
            <w:tcW w:w="0" w:type="auto"/>
            <w:gridSpan w:val="2"/>
            <w:vMerge/>
            <w:tcBorders>
              <w:top w:val="single" w:sz="6" w:space="0" w:color="000000"/>
              <w:left w:val="single" w:sz="6" w:space="0" w:color="000000"/>
              <w:bottom w:val="single" w:sz="6" w:space="0" w:color="000000"/>
              <w:right w:val="nil"/>
            </w:tcBorders>
            <w:vAlign w:val="center"/>
            <w:hideMark/>
          </w:tcPr>
          <w:p w14:paraId="3AF088E4"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p>
        </w:tc>
        <w:tc>
          <w:tcPr>
            <w:tcW w:w="0" w:type="auto"/>
            <w:vMerge w:val="restart"/>
            <w:tcBorders>
              <w:top w:val="nil"/>
              <w:left w:val="single" w:sz="6" w:space="0" w:color="000000"/>
              <w:bottom w:val="single" w:sz="6" w:space="0" w:color="000000"/>
              <w:right w:val="single" w:sz="6" w:space="0" w:color="000000"/>
            </w:tcBorders>
            <w:vAlign w:val="center"/>
            <w:hideMark/>
          </w:tcPr>
          <w:p w14:paraId="38C06A58"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Regime Simplificado (Portaria Conjunta MGI/MF/CGU nº 28, de 2024)</w:t>
            </w:r>
          </w:p>
        </w:tc>
        <w:tc>
          <w:tcPr>
            <w:tcW w:w="0" w:type="auto"/>
            <w:vMerge w:val="restart"/>
            <w:tcBorders>
              <w:top w:val="nil"/>
              <w:left w:val="single" w:sz="6" w:space="0" w:color="000000"/>
              <w:bottom w:val="single" w:sz="6" w:space="0" w:color="000000"/>
              <w:right w:val="single" w:sz="6" w:space="0" w:color="000000"/>
            </w:tcBorders>
            <w:vAlign w:val="center"/>
            <w:hideMark/>
          </w:tcPr>
          <w:p w14:paraId="48BC91CD"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w:t>
            </w:r>
          </w:p>
        </w:tc>
        <w:tc>
          <w:tcPr>
            <w:tcW w:w="0" w:type="auto"/>
            <w:vMerge w:val="restart"/>
            <w:tcBorders>
              <w:top w:val="nil"/>
              <w:left w:val="single" w:sz="6" w:space="0" w:color="000000"/>
              <w:bottom w:val="single" w:sz="6" w:space="0" w:color="000000"/>
              <w:right w:val="single" w:sz="6" w:space="0" w:color="000000"/>
            </w:tcBorders>
            <w:vAlign w:val="center"/>
            <w:hideMark/>
          </w:tcPr>
          <w:p w14:paraId="05324B87"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II</w:t>
            </w:r>
          </w:p>
        </w:tc>
        <w:tc>
          <w:tcPr>
            <w:tcW w:w="0" w:type="auto"/>
            <w:vMerge w:val="restart"/>
            <w:tcBorders>
              <w:top w:val="nil"/>
              <w:left w:val="single" w:sz="6" w:space="0" w:color="000000"/>
              <w:bottom w:val="single" w:sz="6" w:space="0" w:color="000000"/>
              <w:right w:val="single" w:sz="6" w:space="0" w:color="000000"/>
            </w:tcBorders>
            <w:vAlign w:val="center"/>
            <w:hideMark/>
          </w:tcPr>
          <w:p w14:paraId="75883CA7"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III</w:t>
            </w:r>
          </w:p>
        </w:tc>
        <w:tc>
          <w:tcPr>
            <w:tcW w:w="0" w:type="auto"/>
            <w:vMerge w:val="restart"/>
            <w:tcBorders>
              <w:top w:val="nil"/>
              <w:left w:val="single" w:sz="6" w:space="0" w:color="000000"/>
              <w:bottom w:val="single" w:sz="6" w:space="0" w:color="000000"/>
              <w:right w:val="single" w:sz="6" w:space="0" w:color="000000"/>
            </w:tcBorders>
            <w:vAlign w:val="center"/>
            <w:hideMark/>
          </w:tcPr>
          <w:p w14:paraId="068BBEDE"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IV</w:t>
            </w:r>
          </w:p>
        </w:tc>
        <w:tc>
          <w:tcPr>
            <w:tcW w:w="0" w:type="auto"/>
            <w:vMerge w:val="restart"/>
            <w:tcBorders>
              <w:top w:val="nil"/>
              <w:left w:val="single" w:sz="6" w:space="0" w:color="000000"/>
              <w:bottom w:val="single" w:sz="6" w:space="0" w:color="000000"/>
              <w:right w:val="single" w:sz="6" w:space="0" w:color="000000"/>
            </w:tcBorders>
            <w:vAlign w:val="center"/>
            <w:hideMark/>
          </w:tcPr>
          <w:p w14:paraId="3A260937"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V</w:t>
            </w:r>
          </w:p>
        </w:tc>
      </w:tr>
      <w:tr w:rsidR="00C957A7" w:rsidRPr="00C957A7" w14:paraId="33233ABE" w14:textId="77777777" w:rsidTr="008256FB">
        <w:tc>
          <w:tcPr>
            <w:tcW w:w="0" w:type="auto"/>
            <w:gridSpan w:val="2"/>
            <w:vMerge/>
            <w:tcBorders>
              <w:top w:val="single" w:sz="6" w:space="0" w:color="000000"/>
              <w:left w:val="single" w:sz="6" w:space="0" w:color="000000"/>
              <w:bottom w:val="single" w:sz="6" w:space="0" w:color="000000"/>
              <w:right w:val="nil"/>
            </w:tcBorders>
            <w:vAlign w:val="center"/>
            <w:hideMark/>
          </w:tcPr>
          <w:p w14:paraId="04DBEBD2"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03F2903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0B942970"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4E0666C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66A1F03A"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6D89DEA6"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5D2F70A0"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Align w:val="center"/>
            <w:hideMark/>
          </w:tcPr>
          <w:p w14:paraId="0000A0BE"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135C15E7" w14:textId="77777777" w:rsidTr="00EE5115">
        <w:trPr>
          <w:trHeight w:val="487"/>
        </w:trPr>
        <w:tc>
          <w:tcPr>
            <w:tcW w:w="2685" w:type="dxa"/>
            <w:tcBorders>
              <w:top w:val="nil"/>
              <w:left w:val="single" w:sz="6" w:space="0" w:color="000000"/>
              <w:bottom w:val="single" w:sz="6" w:space="0" w:color="000000"/>
              <w:right w:val="single" w:sz="6" w:space="0" w:color="000000"/>
            </w:tcBorders>
            <w:vAlign w:val="center"/>
            <w:hideMark/>
          </w:tcPr>
          <w:p w14:paraId="69915AD2"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Análise do Plano de Trabalho</w:t>
            </w:r>
          </w:p>
        </w:tc>
        <w:tc>
          <w:tcPr>
            <w:tcW w:w="678" w:type="dxa"/>
            <w:tcBorders>
              <w:top w:val="nil"/>
              <w:left w:val="nil"/>
              <w:bottom w:val="single" w:sz="6" w:space="0" w:color="000000"/>
              <w:right w:val="single" w:sz="6" w:space="0" w:color="000000"/>
            </w:tcBorders>
            <w:vAlign w:val="center"/>
            <w:hideMark/>
          </w:tcPr>
          <w:p w14:paraId="08562314"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EGT1</w:t>
            </w:r>
          </w:p>
        </w:tc>
        <w:tc>
          <w:tcPr>
            <w:tcW w:w="0" w:type="auto"/>
            <w:tcBorders>
              <w:top w:val="nil"/>
              <w:left w:val="nil"/>
              <w:bottom w:val="single" w:sz="6" w:space="0" w:color="000000"/>
              <w:right w:val="single" w:sz="6" w:space="0" w:color="000000"/>
            </w:tcBorders>
            <w:vAlign w:val="center"/>
            <w:hideMark/>
          </w:tcPr>
          <w:p w14:paraId="6B8C623F"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03A1FCA2"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78657C22"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685827C6"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8FAC7D9"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67D19F67"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6FDD2ED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23EEA57F" w14:textId="77777777" w:rsidTr="00EE5115">
        <w:trPr>
          <w:trHeight w:val="395"/>
        </w:trPr>
        <w:tc>
          <w:tcPr>
            <w:tcW w:w="2685" w:type="dxa"/>
            <w:tcBorders>
              <w:top w:val="nil"/>
              <w:left w:val="single" w:sz="6" w:space="0" w:color="000000"/>
              <w:bottom w:val="single" w:sz="6" w:space="0" w:color="000000"/>
              <w:right w:val="single" w:sz="6" w:space="0" w:color="000000"/>
            </w:tcBorders>
            <w:vAlign w:val="center"/>
            <w:hideMark/>
          </w:tcPr>
          <w:p w14:paraId="4EC1002E"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Contratação</w:t>
            </w:r>
          </w:p>
        </w:tc>
        <w:tc>
          <w:tcPr>
            <w:tcW w:w="678" w:type="dxa"/>
            <w:tcBorders>
              <w:top w:val="nil"/>
              <w:left w:val="nil"/>
              <w:bottom w:val="single" w:sz="6" w:space="0" w:color="000000"/>
              <w:right w:val="single" w:sz="6" w:space="0" w:color="000000"/>
            </w:tcBorders>
            <w:vAlign w:val="center"/>
            <w:hideMark/>
          </w:tcPr>
          <w:p w14:paraId="5D30C691"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EGT2</w:t>
            </w:r>
          </w:p>
        </w:tc>
        <w:tc>
          <w:tcPr>
            <w:tcW w:w="0" w:type="auto"/>
            <w:tcBorders>
              <w:top w:val="nil"/>
              <w:left w:val="nil"/>
              <w:bottom w:val="single" w:sz="6" w:space="0" w:color="000000"/>
              <w:right w:val="single" w:sz="6" w:space="0" w:color="000000"/>
            </w:tcBorders>
            <w:vAlign w:val="center"/>
            <w:hideMark/>
          </w:tcPr>
          <w:p w14:paraId="333E8B0F"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016984E3"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481BA20D"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67249F4B"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02FFEBFF"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2F0D50C2"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2CDFE205"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6F312678" w14:textId="77777777" w:rsidTr="00C557BE">
        <w:trPr>
          <w:trHeight w:val="341"/>
        </w:trPr>
        <w:tc>
          <w:tcPr>
            <w:tcW w:w="2685" w:type="dxa"/>
            <w:tcBorders>
              <w:top w:val="nil"/>
              <w:left w:val="single" w:sz="6" w:space="0" w:color="000000"/>
              <w:bottom w:val="single" w:sz="6" w:space="0" w:color="000000"/>
              <w:right w:val="single" w:sz="6" w:space="0" w:color="000000"/>
            </w:tcBorders>
            <w:vAlign w:val="center"/>
            <w:hideMark/>
          </w:tcPr>
          <w:p w14:paraId="154FBE26"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Técnica</w:t>
            </w:r>
          </w:p>
        </w:tc>
        <w:tc>
          <w:tcPr>
            <w:tcW w:w="678" w:type="dxa"/>
            <w:tcBorders>
              <w:top w:val="nil"/>
              <w:left w:val="nil"/>
              <w:bottom w:val="single" w:sz="6" w:space="0" w:color="000000"/>
              <w:right w:val="single" w:sz="6" w:space="0" w:color="000000"/>
            </w:tcBorders>
            <w:vAlign w:val="center"/>
            <w:hideMark/>
          </w:tcPr>
          <w:p w14:paraId="2F3E7672"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EGT3</w:t>
            </w:r>
          </w:p>
        </w:tc>
        <w:tc>
          <w:tcPr>
            <w:tcW w:w="0" w:type="auto"/>
            <w:tcBorders>
              <w:top w:val="nil"/>
              <w:left w:val="nil"/>
              <w:bottom w:val="single" w:sz="6" w:space="0" w:color="000000"/>
              <w:right w:val="single" w:sz="6" w:space="0" w:color="000000"/>
            </w:tcBorders>
            <w:vAlign w:val="center"/>
            <w:hideMark/>
          </w:tcPr>
          <w:p w14:paraId="0A52C790"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24BE921E"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3DF84238"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78113675"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476317B8"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3F91D95E"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594CB7B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6205F8CE" w14:textId="77777777" w:rsidTr="00C557BE">
        <w:trPr>
          <w:trHeight w:val="531"/>
        </w:trPr>
        <w:tc>
          <w:tcPr>
            <w:tcW w:w="2685" w:type="dxa"/>
            <w:tcBorders>
              <w:top w:val="nil"/>
              <w:left w:val="single" w:sz="6" w:space="0" w:color="000000"/>
              <w:bottom w:val="single" w:sz="6" w:space="0" w:color="000000"/>
              <w:right w:val="single" w:sz="6" w:space="0" w:color="000000"/>
            </w:tcBorders>
            <w:vAlign w:val="center"/>
            <w:hideMark/>
          </w:tcPr>
          <w:p w14:paraId="4B9DC9D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da Realização do Processo Licitatório - VRPL</w:t>
            </w:r>
          </w:p>
        </w:tc>
        <w:tc>
          <w:tcPr>
            <w:tcW w:w="678" w:type="dxa"/>
            <w:tcBorders>
              <w:top w:val="nil"/>
              <w:left w:val="nil"/>
              <w:bottom w:val="single" w:sz="6" w:space="0" w:color="000000"/>
              <w:right w:val="single" w:sz="6" w:space="0" w:color="000000"/>
            </w:tcBorders>
            <w:vAlign w:val="center"/>
            <w:hideMark/>
          </w:tcPr>
          <w:p w14:paraId="7F5648A6"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EGT4</w:t>
            </w:r>
          </w:p>
        </w:tc>
        <w:tc>
          <w:tcPr>
            <w:tcW w:w="0" w:type="auto"/>
            <w:tcBorders>
              <w:top w:val="nil"/>
              <w:left w:val="nil"/>
              <w:bottom w:val="single" w:sz="6" w:space="0" w:color="000000"/>
              <w:right w:val="single" w:sz="6" w:space="0" w:color="000000"/>
            </w:tcBorders>
            <w:vAlign w:val="center"/>
            <w:hideMark/>
          </w:tcPr>
          <w:p w14:paraId="2C2E03F0"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7C59DCEF"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E7DB95C"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583CADB3" w14:textId="64757186"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vAlign w:val="center"/>
            <w:hideMark/>
          </w:tcPr>
          <w:p w14:paraId="2AE09D78"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0605DE96"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2A38D9B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5DDE02A5" w14:textId="77777777" w:rsidTr="00EE5115">
        <w:trPr>
          <w:trHeight w:val="397"/>
        </w:trPr>
        <w:tc>
          <w:tcPr>
            <w:tcW w:w="2685" w:type="dxa"/>
            <w:tcBorders>
              <w:top w:val="nil"/>
              <w:left w:val="single" w:sz="6" w:space="0" w:color="000000"/>
              <w:bottom w:val="single" w:sz="6" w:space="0" w:color="000000"/>
              <w:right w:val="single" w:sz="6" w:space="0" w:color="000000"/>
            </w:tcBorders>
            <w:vAlign w:val="center"/>
            <w:hideMark/>
          </w:tcPr>
          <w:p w14:paraId="1A26EC2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Acompanhamento</w:t>
            </w:r>
          </w:p>
        </w:tc>
        <w:tc>
          <w:tcPr>
            <w:tcW w:w="678" w:type="dxa"/>
            <w:tcBorders>
              <w:top w:val="nil"/>
              <w:left w:val="nil"/>
              <w:bottom w:val="single" w:sz="6" w:space="0" w:color="000000"/>
              <w:right w:val="single" w:sz="6" w:space="0" w:color="000000"/>
            </w:tcBorders>
            <w:vAlign w:val="center"/>
            <w:hideMark/>
          </w:tcPr>
          <w:p w14:paraId="623F3F0E"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EGT5</w:t>
            </w:r>
          </w:p>
        </w:tc>
        <w:tc>
          <w:tcPr>
            <w:tcW w:w="0" w:type="auto"/>
            <w:tcBorders>
              <w:top w:val="nil"/>
              <w:left w:val="nil"/>
              <w:bottom w:val="single" w:sz="6" w:space="0" w:color="000000"/>
              <w:right w:val="single" w:sz="6" w:space="0" w:color="000000"/>
            </w:tcBorders>
            <w:vAlign w:val="center"/>
            <w:hideMark/>
          </w:tcPr>
          <w:p w14:paraId="2F62EB95"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00F47166"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3CAF075C"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21BA1BD5"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7BCA7D49"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22356197"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74EDB24C"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04C0D098" w14:textId="77777777" w:rsidTr="00EE5115">
        <w:trPr>
          <w:trHeight w:val="388"/>
        </w:trPr>
        <w:tc>
          <w:tcPr>
            <w:tcW w:w="2685" w:type="dxa"/>
            <w:tcBorders>
              <w:top w:val="nil"/>
              <w:left w:val="single" w:sz="6" w:space="0" w:color="000000"/>
              <w:bottom w:val="single" w:sz="6" w:space="0" w:color="000000"/>
              <w:right w:val="single" w:sz="6" w:space="0" w:color="000000"/>
            </w:tcBorders>
            <w:vAlign w:val="center"/>
            <w:hideMark/>
          </w:tcPr>
          <w:p w14:paraId="291869A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Assessoramento Técnico</w:t>
            </w:r>
          </w:p>
        </w:tc>
        <w:tc>
          <w:tcPr>
            <w:tcW w:w="678" w:type="dxa"/>
            <w:tcBorders>
              <w:top w:val="nil"/>
              <w:left w:val="nil"/>
              <w:bottom w:val="single" w:sz="6" w:space="0" w:color="000000"/>
              <w:right w:val="single" w:sz="6" w:space="0" w:color="000000"/>
            </w:tcBorders>
            <w:vAlign w:val="center"/>
            <w:hideMark/>
          </w:tcPr>
          <w:p w14:paraId="289A1338"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EGT5</w:t>
            </w:r>
          </w:p>
        </w:tc>
        <w:tc>
          <w:tcPr>
            <w:tcW w:w="0" w:type="auto"/>
            <w:tcBorders>
              <w:top w:val="nil"/>
              <w:left w:val="nil"/>
              <w:bottom w:val="single" w:sz="6" w:space="0" w:color="000000"/>
              <w:right w:val="single" w:sz="6" w:space="0" w:color="000000"/>
            </w:tcBorders>
            <w:vAlign w:val="center"/>
            <w:hideMark/>
          </w:tcPr>
          <w:p w14:paraId="39E0263C"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67278BEF"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73303C3E"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1C84105C"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11745A63"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37BC4DF3"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vAlign w:val="center"/>
            <w:hideMark/>
          </w:tcPr>
          <w:p w14:paraId="4E072FC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3FCBDBE2" w14:textId="77777777" w:rsidTr="00EE5115">
        <w:trPr>
          <w:trHeight w:val="566"/>
        </w:trPr>
        <w:tc>
          <w:tcPr>
            <w:tcW w:w="2685" w:type="dxa"/>
            <w:tcBorders>
              <w:top w:val="nil"/>
              <w:left w:val="single" w:sz="6" w:space="0" w:color="000000"/>
              <w:bottom w:val="single" w:sz="6" w:space="0" w:color="000000"/>
              <w:right w:val="single" w:sz="6" w:space="0" w:color="000000"/>
            </w:tcBorders>
            <w:vAlign w:val="center"/>
            <w:hideMark/>
          </w:tcPr>
          <w:p w14:paraId="740F0EE3"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do cumprimento do objeto</w:t>
            </w:r>
          </w:p>
        </w:tc>
        <w:tc>
          <w:tcPr>
            <w:tcW w:w="678" w:type="dxa"/>
            <w:tcBorders>
              <w:top w:val="nil"/>
              <w:left w:val="nil"/>
              <w:bottom w:val="single" w:sz="6" w:space="0" w:color="000000"/>
              <w:right w:val="single" w:sz="6" w:space="0" w:color="000000"/>
            </w:tcBorders>
            <w:vAlign w:val="center"/>
            <w:hideMark/>
          </w:tcPr>
          <w:p w14:paraId="00BB1919"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EGT6</w:t>
            </w:r>
          </w:p>
        </w:tc>
        <w:tc>
          <w:tcPr>
            <w:tcW w:w="0" w:type="auto"/>
            <w:tcBorders>
              <w:top w:val="nil"/>
              <w:left w:val="nil"/>
              <w:bottom w:val="single" w:sz="6" w:space="0" w:color="000000"/>
              <w:right w:val="single" w:sz="6" w:space="0" w:color="000000"/>
            </w:tcBorders>
            <w:vAlign w:val="center"/>
            <w:hideMark/>
          </w:tcPr>
          <w:p w14:paraId="24BE86A9"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3C40CC2D"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CE5A3F8"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30D01326"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397B592B"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4C18A195"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67FBBE9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350E2A52" w14:textId="77777777" w:rsidTr="005B6A4F">
        <w:trPr>
          <w:trHeight w:val="585"/>
        </w:trPr>
        <w:tc>
          <w:tcPr>
            <w:tcW w:w="2685" w:type="dxa"/>
            <w:tcBorders>
              <w:top w:val="nil"/>
              <w:left w:val="single" w:sz="6" w:space="0" w:color="000000"/>
              <w:bottom w:val="single" w:sz="6" w:space="0" w:color="000000"/>
              <w:right w:val="single" w:sz="6" w:space="0" w:color="000000"/>
            </w:tcBorders>
            <w:vAlign w:val="center"/>
            <w:hideMark/>
          </w:tcPr>
          <w:p w14:paraId="0ABF40F3"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Conclusão/TCE</w:t>
            </w:r>
          </w:p>
        </w:tc>
        <w:tc>
          <w:tcPr>
            <w:tcW w:w="678" w:type="dxa"/>
            <w:tcBorders>
              <w:top w:val="nil"/>
              <w:left w:val="nil"/>
              <w:bottom w:val="single" w:sz="6" w:space="0" w:color="000000"/>
              <w:right w:val="single" w:sz="6" w:space="0" w:color="000000"/>
            </w:tcBorders>
            <w:vAlign w:val="center"/>
            <w:hideMark/>
          </w:tcPr>
          <w:p w14:paraId="662B6791"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EGT7</w:t>
            </w:r>
          </w:p>
        </w:tc>
        <w:tc>
          <w:tcPr>
            <w:tcW w:w="0" w:type="auto"/>
            <w:tcBorders>
              <w:top w:val="nil"/>
              <w:left w:val="nil"/>
              <w:bottom w:val="single" w:sz="6" w:space="0" w:color="000000"/>
              <w:right w:val="single" w:sz="6" w:space="0" w:color="000000"/>
            </w:tcBorders>
            <w:vAlign w:val="center"/>
            <w:hideMark/>
          </w:tcPr>
          <w:p w14:paraId="2A3115D8"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381FD616"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3864E2EF"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162B59B"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2DDB96D"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5F1F5453" w14:textId="77777777" w:rsidR="00C957A7" w:rsidRPr="00C957A7" w:rsidRDefault="00C957A7" w:rsidP="002979F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4FF2EA2A"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bl>
    <w:p w14:paraId="7B7A5631"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w:t>
      </w:r>
    </w:p>
    <w:p w14:paraId="1F497DCE"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274"/>
        <w:gridCol w:w="2144"/>
        <w:gridCol w:w="658"/>
        <w:gridCol w:w="3449"/>
        <w:gridCol w:w="596"/>
        <w:gridCol w:w="619"/>
        <w:gridCol w:w="644"/>
        <w:gridCol w:w="649"/>
        <w:gridCol w:w="860"/>
      </w:tblGrid>
      <w:tr w:rsidR="00C957A7" w:rsidRPr="00C957A7" w14:paraId="7557C020" w14:textId="77777777" w:rsidTr="00266FC0">
        <w:trPr>
          <w:trHeight w:val="330"/>
        </w:trPr>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16BFFCE"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Evento Gerador de Tarifa Extra</w:t>
            </w:r>
          </w:p>
        </w:tc>
        <w:tc>
          <w:tcPr>
            <w:tcW w:w="0" w:type="auto"/>
            <w:gridSpan w:val="6"/>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074175FB"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Valores</w:t>
            </w:r>
          </w:p>
        </w:tc>
      </w:tr>
      <w:tr w:rsidR="00C957A7" w:rsidRPr="00C957A7" w14:paraId="6C4F7B38" w14:textId="77777777" w:rsidTr="00266FC0">
        <w:trPr>
          <w:trHeight w:val="330"/>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42727054"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B4C2527"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Regime Simplificado (Portaria Conjunta MGI/MF/CGU nº 28, de 2024)</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3A0C73"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FC9C54"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II</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06026E"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III</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980D7B"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IV</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49E127" w14:textId="77777777" w:rsidR="00C957A7" w:rsidRPr="00C957A7" w:rsidRDefault="00C957A7" w:rsidP="00F20114">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V</w:t>
            </w:r>
          </w:p>
        </w:tc>
      </w:tr>
      <w:tr w:rsidR="00C957A7" w:rsidRPr="00C957A7" w14:paraId="53699711" w14:textId="77777777" w:rsidTr="00266FC0">
        <w:trPr>
          <w:trHeight w:val="540"/>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036FC52"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Análise de Plano de Trabalho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7A9BB3"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2B3E790"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C7485E"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A301BD0"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A7AFFC"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1743F2"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59655E1"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1862D135" w14:textId="77777777" w:rsidTr="00266FC0">
        <w:trPr>
          <w:trHeight w:val="540"/>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4D54A75"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da Realização do Processo Licitatório - VRPL</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9637D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2</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E8AB3C"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FE1A3A"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40FF9C"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9AC3AA"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5108E1"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CE7B72"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72FB3B7D" w14:textId="77777777" w:rsidTr="00266FC0">
        <w:trPr>
          <w:trHeight w:val="540"/>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2009D6C"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Manutenção da vigência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A3F06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3</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4B8EA5"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AC0BE2"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50C2EE"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952F887"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154B9B"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0236C0"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2FFB91C1" w14:textId="77777777" w:rsidTr="00266FC0">
        <w:trPr>
          <w:trHeight w:val="540"/>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B261F26"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de critérios de compatibilidade</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85CEA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4</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55619D"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8E9D93"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3FEC91"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633A30"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CBC102A"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C4F519"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r>
      <w:tr w:rsidR="00C957A7" w:rsidRPr="00C957A7" w14:paraId="45338AF7" w14:textId="77777777" w:rsidTr="00266FC0">
        <w:trPr>
          <w:trHeight w:val="525"/>
        </w:trPr>
        <w:tc>
          <w:tcPr>
            <w:tcW w:w="0" w:type="auto"/>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1137280"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Alteração Contratual</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1C8D1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 xml:space="preserve">Alteração de cronograma ou </w:t>
            </w:r>
            <w:proofErr w:type="spellStart"/>
            <w:r w:rsidRPr="00C957A7">
              <w:rPr>
                <w:rFonts w:ascii="Calibri" w:eastAsia="Times New Roman" w:hAnsi="Calibri" w:cs="Calibri"/>
                <w:color w:val="000000"/>
                <w:kern w:val="0"/>
                <w:sz w:val="16"/>
                <w:szCs w:val="16"/>
                <w:lang w:eastAsia="pt-BR"/>
                <w14:ligatures w14:val="none"/>
              </w:rPr>
              <w:t>eventograma</w:t>
            </w:r>
            <w:proofErr w:type="spellEnd"/>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5D771B"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5</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AF3927"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3047B0"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3AFF74"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670126"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A3D9E3"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4EA8D17"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445527D1" w14:textId="77777777" w:rsidTr="00266FC0">
        <w:trPr>
          <w:trHeight w:val="525"/>
        </w:trPr>
        <w:tc>
          <w:tcPr>
            <w:tcW w:w="0" w:type="auto"/>
            <w:vMerge/>
            <w:tcBorders>
              <w:top w:val="nil"/>
              <w:left w:val="single" w:sz="6" w:space="0" w:color="000000"/>
              <w:bottom w:val="single" w:sz="6" w:space="0" w:color="000000"/>
              <w:right w:val="single" w:sz="6" w:space="0" w:color="000000"/>
            </w:tcBorders>
            <w:vAlign w:val="center"/>
            <w:hideMark/>
          </w:tcPr>
          <w:p w14:paraId="6566F6E0"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19E4B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Ajustes de orçamento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680531"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6</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9BF1EE"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9D1C17"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4B7605"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FB8B97"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26D74E"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1E8EB3"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7A69163E" w14:textId="77777777" w:rsidTr="00266FC0">
        <w:trPr>
          <w:trHeight w:val="525"/>
        </w:trPr>
        <w:tc>
          <w:tcPr>
            <w:tcW w:w="0" w:type="auto"/>
            <w:vMerge/>
            <w:tcBorders>
              <w:top w:val="nil"/>
              <w:left w:val="single" w:sz="6" w:space="0" w:color="000000"/>
              <w:bottom w:val="single" w:sz="6" w:space="0" w:color="000000"/>
              <w:right w:val="single" w:sz="6" w:space="0" w:color="000000"/>
            </w:tcBorders>
            <w:vAlign w:val="center"/>
            <w:hideMark/>
          </w:tcPr>
          <w:p w14:paraId="11E55F03"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7AA0A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Ajustes no projeto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71E0B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7</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9C783BB"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158B4D"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38DF83E"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793252"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8C5ECA"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1D2D8C"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r>
      <w:tr w:rsidR="00C957A7" w:rsidRPr="00C957A7" w14:paraId="265E0B1D" w14:textId="77777777" w:rsidTr="00266FC0">
        <w:trPr>
          <w:trHeight w:val="525"/>
        </w:trPr>
        <w:tc>
          <w:tcPr>
            <w:tcW w:w="0" w:type="auto"/>
            <w:vMerge/>
            <w:tcBorders>
              <w:top w:val="nil"/>
              <w:left w:val="single" w:sz="6" w:space="0" w:color="000000"/>
              <w:bottom w:val="single" w:sz="6" w:space="0" w:color="000000"/>
              <w:right w:val="single" w:sz="6" w:space="0" w:color="000000"/>
            </w:tcBorders>
            <w:vAlign w:val="center"/>
            <w:hideMark/>
          </w:tcPr>
          <w:p w14:paraId="2C87462E"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9C2C1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Exclusão de meta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54AFAB"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8</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1E4253D"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756136"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1F3C77"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5F97FF"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56C15E"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4501AC"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4B3CCBB7" w14:textId="77777777" w:rsidTr="00266FC0">
        <w:trPr>
          <w:trHeight w:val="525"/>
        </w:trPr>
        <w:tc>
          <w:tcPr>
            <w:tcW w:w="0" w:type="auto"/>
            <w:vMerge/>
            <w:tcBorders>
              <w:top w:val="nil"/>
              <w:left w:val="single" w:sz="6" w:space="0" w:color="000000"/>
              <w:bottom w:val="single" w:sz="6" w:space="0" w:color="000000"/>
              <w:right w:val="single" w:sz="6" w:space="0" w:color="000000"/>
            </w:tcBorders>
            <w:vAlign w:val="center"/>
            <w:hideMark/>
          </w:tcPr>
          <w:p w14:paraId="00DD130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C2FD5E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Inclusão de meta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2EAB8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9</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3775BD2"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0A51D8"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F29B0A"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32CB16"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A5FFE1"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F56425E"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30400AF1" w14:textId="77777777" w:rsidTr="00266FC0">
        <w:trPr>
          <w:trHeight w:val="525"/>
        </w:trPr>
        <w:tc>
          <w:tcPr>
            <w:tcW w:w="0" w:type="auto"/>
            <w:vMerge/>
            <w:tcBorders>
              <w:top w:val="nil"/>
              <w:left w:val="single" w:sz="6" w:space="0" w:color="000000"/>
              <w:bottom w:val="single" w:sz="6" w:space="0" w:color="000000"/>
              <w:right w:val="single" w:sz="6" w:space="0" w:color="000000"/>
            </w:tcBorders>
            <w:vAlign w:val="center"/>
            <w:hideMark/>
          </w:tcPr>
          <w:p w14:paraId="766014D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0BF1B0"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Saldo de obra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43E3B2"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10</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83200C"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7133EB"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E183C0"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886498"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880131"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A2BD2B"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r>
      <w:tr w:rsidR="00C957A7" w:rsidRPr="00C957A7" w14:paraId="49EACACE" w14:textId="77777777" w:rsidTr="00266FC0">
        <w:trPr>
          <w:trHeight w:val="525"/>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3F07DBE"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Visita de campo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14B2B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11</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192EBD"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22BFBB"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22562D"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50F61C"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FE4A18"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6D3DDC"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72CD8532" w14:textId="77777777" w:rsidTr="00266FC0">
        <w:trPr>
          <w:trHeight w:val="525"/>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F732F4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Reabertura de PCF/TCE</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E9ACF5"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12</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9CF7A3"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D510BD"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F00B7C"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F57262"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31E760"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863C8C" w14:textId="77777777" w:rsidR="00C957A7" w:rsidRPr="00C957A7" w:rsidRDefault="00C957A7" w:rsidP="005B6A4F">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bl>
    <w:p w14:paraId="517BD42A"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w:t>
      </w:r>
    </w:p>
    <w:p w14:paraId="58F784F5" w14:textId="77777777" w:rsidR="00EE5115" w:rsidRDefault="00EE5115" w:rsidP="00C957A7">
      <w:pPr>
        <w:spacing w:after="120" w:line="240" w:lineRule="auto"/>
        <w:jc w:val="both"/>
        <w:rPr>
          <w:rFonts w:ascii="Calibri" w:eastAsia="Times New Roman" w:hAnsi="Calibri" w:cs="Calibri"/>
          <w:color w:val="000000"/>
          <w:kern w:val="0"/>
          <w:lang w:eastAsia="pt-BR"/>
          <w14:ligatures w14:val="none"/>
        </w:rPr>
      </w:pPr>
    </w:p>
    <w:p w14:paraId="1687298D" w14:textId="2BD301C4"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lastRenderedPageBreak/>
        <w:t>3.9.2 - Termos de Compromisso</w:t>
      </w:r>
    </w:p>
    <w:p w14:paraId="5A51B4FA"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403"/>
        <w:gridCol w:w="651"/>
        <w:gridCol w:w="3591"/>
        <w:gridCol w:w="702"/>
        <w:gridCol w:w="702"/>
        <w:gridCol w:w="702"/>
        <w:gridCol w:w="702"/>
        <w:gridCol w:w="702"/>
        <w:gridCol w:w="702"/>
        <w:gridCol w:w="36"/>
      </w:tblGrid>
      <w:tr w:rsidR="00C957A7" w:rsidRPr="00C957A7" w14:paraId="159AF753" w14:textId="77777777" w:rsidTr="002E5147">
        <w:trPr>
          <w:gridAfter w:val="1"/>
        </w:trPr>
        <w:tc>
          <w:tcPr>
            <w:tcW w:w="0" w:type="auto"/>
            <w:gridSpan w:val="2"/>
            <w:vMerge w:val="restart"/>
            <w:tcBorders>
              <w:top w:val="single" w:sz="6" w:space="0" w:color="000000"/>
              <w:left w:val="single" w:sz="6" w:space="0" w:color="000000"/>
              <w:bottom w:val="single" w:sz="6" w:space="0" w:color="000000"/>
              <w:right w:val="nil"/>
            </w:tcBorders>
            <w:vAlign w:val="center"/>
            <w:hideMark/>
          </w:tcPr>
          <w:p w14:paraId="0B98C1DA"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Evento Gerador de Tarifa</w:t>
            </w:r>
          </w:p>
        </w:tc>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14:paraId="7E51724D"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Valores</w:t>
            </w:r>
          </w:p>
        </w:tc>
      </w:tr>
      <w:tr w:rsidR="00C957A7" w:rsidRPr="00C957A7" w14:paraId="5ADDB86A" w14:textId="77777777" w:rsidTr="002E5147">
        <w:trPr>
          <w:gridAfter w:val="1"/>
          <w:trHeight w:val="499"/>
        </w:trPr>
        <w:tc>
          <w:tcPr>
            <w:tcW w:w="0" w:type="auto"/>
            <w:gridSpan w:val="2"/>
            <w:vMerge/>
            <w:tcBorders>
              <w:top w:val="single" w:sz="6" w:space="0" w:color="000000"/>
              <w:left w:val="single" w:sz="6" w:space="0" w:color="000000"/>
              <w:bottom w:val="single" w:sz="6" w:space="0" w:color="000000"/>
              <w:right w:val="nil"/>
            </w:tcBorders>
            <w:vAlign w:val="center"/>
            <w:hideMark/>
          </w:tcPr>
          <w:p w14:paraId="750EEEA9"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p>
        </w:tc>
        <w:tc>
          <w:tcPr>
            <w:tcW w:w="0" w:type="auto"/>
            <w:vMerge w:val="restart"/>
            <w:tcBorders>
              <w:top w:val="nil"/>
              <w:left w:val="single" w:sz="6" w:space="0" w:color="000000"/>
              <w:bottom w:val="single" w:sz="6" w:space="0" w:color="000000"/>
              <w:right w:val="single" w:sz="6" w:space="0" w:color="000000"/>
            </w:tcBorders>
            <w:vAlign w:val="center"/>
            <w:hideMark/>
          </w:tcPr>
          <w:p w14:paraId="58E6BC7C"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Regime Simplificado (art. 62 da Portaria Conjunta MGI/MF/CGU nº 32, de 2024)</w:t>
            </w:r>
          </w:p>
        </w:tc>
        <w:tc>
          <w:tcPr>
            <w:tcW w:w="0" w:type="auto"/>
            <w:vMerge w:val="restart"/>
            <w:tcBorders>
              <w:top w:val="nil"/>
              <w:left w:val="single" w:sz="6" w:space="0" w:color="000000"/>
              <w:bottom w:val="single" w:sz="6" w:space="0" w:color="000000"/>
              <w:right w:val="single" w:sz="6" w:space="0" w:color="000000"/>
            </w:tcBorders>
            <w:vAlign w:val="center"/>
            <w:hideMark/>
          </w:tcPr>
          <w:p w14:paraId="26D9BAE3"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w:t>
            </w:r>
          </w:p>
        </w:tc>
        <w:tc>
          <w:tcPr>
            <w:tcW w:w="0" w:type="auto"/>
            <w:vMerge w:val="restart"/>
            <w:tcBorders>
              <w:top w:val="nil"/>
              <w:left w:val="single" w:sz="6" w:space="0" w:color="000000"/>
              <w:bottom w:val="single" w:sz="6" w:space="0" w:color="000000"/>
              <w:right w:val="single" w:sz="6" w:space="0" w:color="000000"/>
            </w:tcBorders>
            <w:vAlign w:val="center"/>
            <w:hideMark/>
          </w:tcPr>
          <w:p w14:paraId="09E36824"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II</w:t>
            </w:r>
          </w:p>
        </w:tc>
        <w:tc>
          <w:tcPr>
            <w:tcW w:w="0" w:type="auto"/>
            <w:vMerge w:val="restart"/>
            <w:tcBorders>
              <w:top w:val="nil"/>
              <w:left w:val="single" w:sz="6" w:space="0" w:color="000000"/>
              <w:bottom w:val="single" w:sz="6" w:space="0" w:color="000000"/>
              <w:right w:val="single" w:sz="6" w:space="0" w:color="000000"/>
            </w:tcBorders>
            <w:vAlign w:val="center"/>
            <w:hideMark/>
          </w:tcPr>
          <w:p w14:paraId="741EE01A"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III</w:t>
            </w:r>
          </w:p>
        </w:tc>
        <w:tc>
          <w:tcPr>
            <w:tcW w:w="0" w:type="auto"/>
            <w:vMerge w:val="restart"/>
            <w:tcBorders>
              <w:top w:val="nil"/>
              <w:left w:val="single" w:sz="6" w:space="0" w:color="000000"/>
              <w:bottom w:val="single" w:sz="6" w:space="0" w:color="000000"/>
              <w:right w:val="single" w:sz="6" w:space="0" w:color="000000"/>
            </w:tcBorders>
            <w:vAlign w:val="center"/>
            <w:hideMark/>
          </w:tcPr>
          <w:p w14:paraId="5F883A08"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IV</w:t>
            </w:r>
          </w:p>
        </w:tc>
        <w:tc>
          <w:tcPr>
            <w:tcW w:w="0" w:type="auto"/>
            <w:vMerge w:val="restart"/>
            <w:tcBorders>
              <w:top w:val="nil"/>
              <w:left w:val="single" w:sz="6" w:space="0" w:color="000000"/>
              <w:bottom w:val="single" w:sz="6" w:space="0" w:color="000000"/>
              <w:right w:val="single" w:sz="6" w:space="0" w:color="000000"/>
            </w:tcBorders>
            <w:vAlign w:val="center"/>
            <w:hideMark/>
          </w:tcPr>
          <w:p w14:paraId="08273707"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V</w:t>
            </w:r>
          </w:p>
        </w:tc>
        <w:tc>
          <w:tcPr>
            <w:tcW w:w="0" w:type="auto"/>
            <w:vMerge w:val="restart"/>
            <w:tcBorders>
              <w:top w:val="nil"/>
              <w:left w:val="single" w:sz="6" w:space="0" w:color="000000"/>
              <w:bottom w:val="single" w:sz="6" w:space="0" w:color="000000"/>
              <w:right w:val="single" w:sz="6" w:space="0" w:color="000000"/>
            </w:tcBorders>
            <w:vAlign w:val="center"/>
            <w:hideMark/>
          </w:tcPr>
          <w:p w14:paraId="6376AD28"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VI</w:t>
            </w:r>
          </w:p>
        </w:tc>
      </w:tr>
      <w:tr w:rsidR="00C957A7" w:rsidRPr="00C957A7" w14:paraId="2F30E661" w14:textId="77777777" w:rsidTr="002E5147">
        <w:tc>
          <w:tcPr>
            <w:tcW w:w="0" w:type="auto"/>
            <w:gridSpan w:val="2"/>
            <w:vMerge/>
            <w:tcBorders>
              <w:top w:val="single" w:sz="6" w:space="0" w:color="000000"/>
              <w:left w:val="single" w:sz="6" w:space="0" w:color="000000"/>
              <w:bottom w:val="single" w:sz="6" w:space="0" w:color="000000"/>
              <w:right w:val="nil"/>
            </w:tcBorders>
            <w:vAlign w:val="center"/>
            <w:hideMark/>
          </w:tcPr>
          <w:p w14:paraId="06F88F0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0893D531"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2A665D8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341E6AF1"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0DF97F2A"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3790190B"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2E1D89F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3E42DA2B"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vAlign w:val="center"/>
            <w:hideMark/>
          </w:tcPr>
          <w:p w14:paraId="25B86CC1"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34361F34" w14:textId="77777777" w:rsidTr="002E5147">
        <w:trPr>
          <w:trHeight w:val="300"/>
        </w:trPr>
        <w:tc>
          <w:tcPr>
            <w:tcW w:w="2402" w:type="dxa"/>
            <w:tcBorders>
              <w:top w:val="nil"/>
              <w:left w:val="single" w:sz="6" w:space="0" w:color="000000"/>
              <w:bottom w:val="single" w:sz="6" w:space="0" w:color="000000"/>
              <w:right w:val="single" w:sz="6" w:space="0" w:color="000000"/>
            </w:tcBorders>
            <w:vAlign w:val="center"/>
            <w:hideMark/>
          </w:tcPr>
          <w:p w14:paraId="0202EEE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Análise do Plano de Trabalho</w:t>
            </w:r>
          </w:p>
        </w:tc>
        <w:tc>
          <w:tcPr>
            <w:tcW w:w="651" w:type="dxa"/>
            <w:tcBorders>
              <w:top w:val="nil"/>
              <w:left w:val="nil"/>
              <w:bottom w:val="single" w:sz="6" w:space="0" w:color="000000"/>
              <w:right w:val="single" w:sz="6" w:space="0" w:color="000000"/>
            </w:tcBorders>
            <w:vAlign w:val="center"/>
            <w:hideMark/>
          </w:tcPr>
          <w:p w14:paraId="459401B0"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EGT1</w:t>
            </w:r>
          </w:p>
        </w:tc>
        <w:tc>
          <w:tcPr>
            <w:tcW w:w="0" w:type="auto"/>
            <w:tcBorders>
              <w:top w:val="nil"/>
              <w:left w:val="nil"/>
              <w:bottom w:val="single" w:sz="6" w:space="0" w:color="000000"/>
              <w:right w:val="single" w:sz="6" w:space="0" w:color="000000"/>
            </w:tcBorders>
            <w:vAlign w:val="center"/>
            <w:hideMark/>
          </w:tcPr>
          <w:p w14:paraId="5A119AC0"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706A921C"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43743E9F"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5D933CBE"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748E1CD6"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0AF53974"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7CA9C66B"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182DE851"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22D3052A" w14:textId="77777777" w:rsidTr="002E5147">
        <w:trPr>
          <w:trHeight w:val="300"/>
        </w:trPr>
        <w:tc>
          <w:tcPr>
            <w:tcW w:w="2402" w:type="dxa"/>
            <w:tcBorders>
              <w:top w:val="nil"/>
              <w:left w:val="single" w:sz="6" w:space="0" w:color="000000"/>
              <w:bottom w:val="single" w:sz="6" w:space="0" w:color="000000"/>
              <w:right w:val="single" w:sz="6" w:space="0" w:color="000000"/>
            </w:tcBorders>
            <w:vAlign w:val="center"/>
            <w:hideMark/>
          </w:tcPr>
          <w:p w14:paraId="1B57D513"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Contratação</w:t>
            </w:r>
          </w:p>
        </w:tc>
        <w:tc>
          <w:tcPr>
            <w:tcW w:w="651" w:type="dxa"/>
            <w:tcBorders>
              <w:top w:val="nil"/>
              <w:left w:val="nil"/>
              <w:bottom w:val="single" w:sz="6" w:space="0" w:color="000000"/>
              <w:right w:val="single" w:sz="6" w:space="0" w:color="000000"/>
            </w:tcBorders>
            <w:vAlign w:val="center"/>
            <w:hideMark/>
          </w:tcPr>
          <w:p w14:paraId="139602D0"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EGT2</w:t>
            </w:r>
          </w:p>
        </w:tc>
        <w:tc>
          <w:tcPr>
            <w:tcW w:w="0" w:type="auto"/>
            <w:tcBorders>
              <w:top w:val="nil"/>
              <w:left w:val="nil"/>
              <w:bottom w:val="single" w:sz="6" w:space="0" w:color="000000"/>
              <w:right w:val="single" w:sz="6" w:space="0" w:color="000000"/>
            </w:tcBorders>
            <w:vAlign w:val="center"/>
            <w:hideMark/>
          </w:tcPr>
          <w:p w14:paraId="7CF68EEB"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9D5D7C4"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3BC34090"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4C909D4B"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62EF1CF0"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0A360319"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55219CBD"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0586E38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521EAF3C" w14:textId="77777777" w:rsidTr="002E5147">
        <w:trPr>
          <w:trHeight w:val="300"/>
        </w:trPr>
        <w:tc>
          <w:tcPr>
            <w:tcW w:w="2402" w:type="dxa"/>
            <w:tcBorders>
              <w:top w:val="nil"/>
              <w:left w:val="single" w:sz="6" w:space="0" w:color="000000"/>
              <w:bottom w:val="single" w:sz="6" w:space="0" w:color="000000"/>
              <w:right w:val="single" w:sz="6" w:space="0" w:color="000000"/>
            </w:tcBorders>
            <w:vAlign w:val="center"/>
            <w:hideMark/>
          </w:tcPr>
          <w:p w14:paraId="1479D74E"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Técnica</w:t>
            </w:r>
          </w:p>
        </w:tc>
        <w:tc>
          <w:tcPr>
            <w:tcW w:w="651" w:type="dxa"/>
            <w:tcBorders>
              <w:top w:val="nil"/>
              <w:left w:val="nil"/>
              <w:bottom w:val="single" w:sz="6" w:space="0" w:color="000000"/>
              <w:right w:val="single" w:sz="6" w:space="0" w:color="000000"/>
            </w:tcBorders>
            <w:vAlign w:val="center"/>
            <w:hideMark/>
          </w:tcPr>
          <w:p w14:paraId="214583E9"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EGT3</w:t>
            </w:r>
          </w:p>
        </w:tc>
        <w:tc>
          <w:tcPr>
            <w:tcW w:w="0" w:type="auto"/>
            <w:tcBorders>
              <w:top w:val="nil"/>
              <w:left w:val="nil"/>
              <w:bottom w:val="single" w:sz="6" w:space="0" w:color="000000"/>
              <w:right w:val="single" w:sz="6" w:space="0" w:color="000000"/>
            </w:tcBorders>
            <w:vAlign w:val="center"/>
            <w:hideMark/>
          </w:tcPr>
          <w:p w14:paraId="02E23A72"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3BE8CEC1"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6D508373"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44CFD29B"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73CF59A6"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74AF313C"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0000B56D"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363CB5FE"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2AFD5A08" w14:textId="77777777" w:rsidTr="002E5147">
        <w:trPr>
          <w:trHeight w:val="585"/>
        </w:trPr>
        <w:tc>
          <w:tcPr>
            <w:tcW w:w="2402" w:type="dxa"/>
            <w:tcBorders>
              <w:top w:val="nil"/>
              <w:left w:val="single" w:sz="6" w:space="0" w:color="000000"/>
              <w:bottom w:val="single" w:sz="6" w:space="0" w:color="000000"/>
              <w:right w:val="single" w:sz="6" w:space="0" w:color="000000"/>
            </w:tcBorders>
            <w:vAlign w:val="center"/>
            <w:hideMark/>
          </w:tcPr>
          <w:p w14:paraId="7E356FE1"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da Realização do Processo Licitatório - VRPL</w:t>
            </w:r>
          </w:p>
        </w:tc>
        <w:tc>
          <w:tcPr>
            <w:tcW w:w="651" w:type="dxa"/>
            <w:tcBorders>
              <w:top w:val="nil"/>
              <w:left w:val="nil"/>
              <w:bottom w:val="single" w:sz="6" w:space="0" w:color="000000"/>
              <w:right w:val="single" w:sz="6" w:space="0" w:color="000000"/>
            </w:tcBorders>
            <w:vAlign w:val="center"/>
            <w:hideMark/>
          </w:tcPr>
          <w:p w14:paraId="6311F7D5"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EGT4</w:t>
            </w:r>
          </w:p>
        </w:tc>
        <w:tc>
          <w:tcPr>
            <w:tcW w:w="0" w:type="auto"/>
            <w:tcBorders>
              <w:top w:val="nil"/>
              <w:left w:val="nil"/>
              <w:bottom w:val="single" w:sz="6" w:space="0" w:color="000000"/>
              <w:right w:val="single" w:sz="6" w:space="0" w:color="000000"/>
            </w:tcBorders>
            <w:vAlign w:val="center"/>
            <w:hideMark/>
          </w:tcPr>
          <w:p w14:paraId="435D9233"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77BE96F9"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65B2D69A"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8DFAD6F"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580D4CD8"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149EC4A"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5BFA82FC"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347FEEEA"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41F29B38" w14:textId="77777777" w:rsidTr="002E5147">
        <w:trPr>
          <w:trHeight w:val="300"/>
        </w:trPr>
        <w:tc>
          <w:tcPr>
            <w:tcW w:w="2402" w:type="dxa"/>
            <w:tcBorders>
              <w:top w:val="nil"/>
              <w:left w:val="single" w:sz="6" w:space="0" w:color="000000"/>
              <w:bottom w:val="single" w:sz="6" w:space="0" w:color="000000"/>
              <w:right w:val="single" w:sz="6" w:space="0" w:color="000000"/>
            </w:tcBorders>
            <w:vAlign w:val="center"/>
            <w:hideMark/>
          </w:tcPr>
          <w:p w14:paraId="5473A246"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Acompanhamento</w:t>
            </w:r>
          </w:p>
        </w:tc>
        <w:tc>
          <w:tcPr>
            <w:tcW w:w="651" w:type="dxa"/>
            <w:tcBorders>
              <w:top w:val="nil"/>
              <w:left w:val="nil"/>
              <w:bottom w:val="single" w:sz="6" w:space="0" w:color="000000"/>
              <w:right w:val="single" w:sz="6" w:space="0" w:color="000000"/>
            </w:tcBorders>
            <w:vAlign w:val="center"/>
            <w:hideMark/>
          </w:tcPr>
          <w:p w14:paraId="73252833"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EGT5</w:t>
            </w:r>
          </w:p>
        </w:tc>
        <w:tc>
          <w:tcPr>
            <w:tcW w:w="0" w:type="auto"/>
            <w:tcBorders>
              <w:top w:val="nil"/>
              <w:left w:val="nil"/>
              <w:bottom w:val="single" w:sz="6" w:space="0" w:color="000000"/>
              <w:right w:val="single" w:sz="6" w:space="0" w:color="000000"/>
            </w:tcBorders>
            <w:vAlign w:val="center"/>
            <w:hideMark/>
          </w:tcPr>
          <w:p w14:paraId="73842562"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2F9B205B"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6D35115B"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27E7C925"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021C584D"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4743CDF"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4A4FE1A6"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7590755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2A4B0181" w14:textId="77777777" w:rsidTr="002E5147">
        <w:trPr>
          <w:trHeight w:val="585"/>
        </w:trPr>
        <w:tc>
          <w:tcPr>
            <w:tcW w:w="2402" w:type="dxa"/>
            <w:tcBorders>
              <w:top w:val="nil"/>
              <w:left w:val="single" w:sz="6" w:space="0" w:color="000000"/>
              <w:bottom w:val="single" w:sz="6" w:space="0" w:color="000000"/>
              <w:right w:val="single" w:sz="6" w:space="0" w:color="000000"/>
            </w:tcBorders>
            <w:vAlign w:val="center"/>
            <w:hideMark/>
          </w:tcPr>
          <w:p w14:paraId="13397CB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Assessoramento Técnico</w:t>
            </w:r>
          </w:p>
        </w:tc>
        <w:tc>
          <w:tcPr>
            <w:tcW w:w="651" w:type="dxa"/>
            <w:tcBorders>
              <w:top w:val="nil"/>
              <w:left w:val="nil"/>
              <w:bottom w:val="single" w:sz="6" w:space="0" w:color="000000"/>
              <w:right w:val="single" w:sz="6" w:space="0" w:color="000000"/>
            </w:tcBorders>
            <w:vAlign w:val="center"/>
            <w:hideMark/>
          </w:tcPr>
          <w:p w14:paraId="1F71B233"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EGT5</w:t>
            </w:r>
          </w:p>
        </w:tc>
        <w:tc>
          <w:tcPr>
            <w:tcW w:w="0" w:type="auto"/>
            <w:tcBorders>
              <w:top w:val="nil"/>
              <w:left w:val="nil"/>
              <w:bottom w:val="single" w:sz="6" w:space="0" w:color="000000"/>
              <w:right w:val="single" w:sz="6" w:space="0" w:color="000000"/>
            </w:tcBorders>
            <w:vAlign w:val="center"/>
            <w:hideMark/>
          </w:tcPr>
          <w:p w14:paraId="67CE19D4"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68C1C8E8"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6D4565E3"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1A62AE1A"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56BDE001"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4D4767EB"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vAlign w:val="center"/>
            <w:hideMark/>
          </w:tcPr>
          <w:p w14:paraId="476A8F3E"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vAlign w:val="center"/>
            <w:hideMark/>
          </w:tcPr>
          <w:p w14:paraId="5E061470"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2879D3D2" w14:textId="77777777" w:rsidTr="002E5147">
        <w:trPr>
          <w:trHeight w:val="585"/>
        </w:trPr>
        <w:tc>
          <w:tcPr>
            <w:tcW w:w="2402" w:type="dxa"/>
            <w:tcBorders>
              <w:top w:val="nil"/>
              <w:left w:val="single" w:sz="6" w:space="0" w:color="000000"/>
              <w:bottom w:val="single" w:sz="6" w:space="0" w:color="000000"/>
              <w:right w:val="single" w:sz="6" w:space="0" w:color="000000"/>
            </w:tcBorders>
            <w:vAlign w:val="center"/>
            <w:hideMark/>
          </w:tcPr>
          <w:p w14:paraId="1A856C2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do cumprimento do objeto</w:t>
            </w:r>
          </w:p>
        </w:tc>
        <w:tc>
          <w:tcPr>
            <w:tcW w:w="651" w:type="dxa"/>
            <w:tcBorders>
              <w:top w:val="nil"/>
              <w:left w:val="nil"/>
              <w:bottom w:val="single" w:sz="6" w:space="0" w:color="000000"/>
              <w:right w:val="single" w:sz="6" w:space="0" w:color="000000"/>
            </w:tcBorders>
            <w:vAlign w:val="center"/>
            <w:hideMark/>
          </w:tcPr>
          <w:p w14:paraId="0B932083"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EGT6</w:t>
            </w:r>
          </w:p>
        </w:tc>
        <w:tc>
          <w:tcPr>
            <w:tcW w:w="0" w:type="auto"/>
            <w:tcBorders>
              <w:top w:val="nil"/>
              <w:left w:val="nil"/>
              <w:bottom w:val="single" w:sz="6" w:space="0" w:color="000000"/>
              <w:right w:val="single" w:sz="6" w:space="0" w:color="000000"/>
            </w:tcBorders>
            <w:vAlign w:val="center"/>
            <w:hideMark/>
          </w:tcPr>
          <w:p w14:paraId="2652FD3C"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58C9B0C0"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4C8E9A4E"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5C27309"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5FC3EBCC"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7A39CE8B"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6B597BF"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4F8B2791"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r w:rsidR="00C957A7" w:rsidRPr="00C957A7" w14:paraId="56A9C25A" w14:textId="77777777" w:rsidTr="002E5147">
        <w:trPr>
          <w:trHeight w:val="300"/>
        </w:trPr>
        <w:tc>
          <w:tcPr>
            <w:tcW w:w="2402" w:type="dxa"/>
            <w:tcBorders>
              <w:top w:val="nil"/>
              <w:left w:val="single" w:sz="6" w:space="0" w:color="000000"/>
              <w:bottom w:val="single" w:sz="6" w:space="0" w:color="000000"/>
              <w:right w:val="single" w:sz="6" w:space="0" w:color="000000"/>
            </w:tcBorders>
            <w:vAlign w:val="center"/>
            <w:hideMark/>
          </w:tcPr>
          <w:p w14:paraId="64BFF993"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Conclusão/TCE</w:t>
            </w:r>
          </w:p>
        </w:tc>
        <w:tc>
          <w:tcPr>
            <w:tcW w:w="651" w:type="dxa"/>
            <w:tcBorders>
              <w:top w:val="nil"/>
              <w:left w:val="nil"/>
              <w:bottom w:val="single" w:sz="6" w:space="0" w:color="000000"/>
              <w:right w:val="single" w:sz="6" w:space="0" w:color="000000"/>
            </w:tcBorders>
            <w:vAlign w:val="center"/>
            <w:hideMark/>
          </w:tcPr>
          <w:p w14:paraId="33D677E3"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EGT7</w:t>
            </w:r>
          </w:p>
        </w:tc>
        <w:tc>
          <w:tcPr>
            <w:tcW w:w="0" w:type="auto"/>
            <w:tcBorders>
              <w:top w:val="nil"/>
              <w:left w:val="nil"/>
              <w:bottom w:val="single" w:sz="6" w:space="0" w:color="000000"/>
              <w:right w:val="single" w:sz="6" w:space="0" w:color="000000"/>
            </w:tcBorders>
            <w:vAlign w:val="center"/>
            <w:hideMark/>
          </w:tcPr>
          <w:p w14:paraId="45C20021"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3E8BC276"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2B005DB"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05DD65FF"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199EAD66"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776ED9A6"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tcBorders>
              <w:top w:val="nil"/>
              <w:left w:val="nil"/>
              <w:bottom w:val="single" w:sz="6" w:space="0" w:color="000000"/>
              <w:right w:val="single" w:sz="6" w:space="0" w:color="000000"/>
            </w:tcBorders>
            <w:vAlign w:val="center"/>
            <w:hideMark/>
          </w:tcPr>
          <w:p w14:paraId="72A0ACF6" w14:textId="77777777" w:rsidR="00C957A7" w:rsidRPr="00C957A7" w:rsidRDefault="00C957A7" w:rsidP="002E5147">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w:t>
            </w:r>
          </w:p>
        </w:tc>
        <w:tc>
          <w:tcPr>
            <w:tcW w:w="0" w:type="auto"/>
            <w:vAlign w:val="center"/>
            <w:hideMark/>
          </w:tcPr>
          <w:p w14:paraId="19185CB8"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r>
    </w:tbl>
    <w:p w14:paraId="4991E9C9"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200"/>
        <w:gridCol w:w="1935"/>
        <w:gridCol w:w="636"/>
        <w:gridCol w:w="3236"/>
        <w:gridCol w:w="587"/>
        <w:gridCol w:w="606"/>
        <w:gridCol w:w="626"/>
        <w:gridCol w:w="630"/>
        <w:gridCol w:w="807"/>
        <w:gridCol w:w="630"/>
      </w:tblGrid>
      <w:tr w:rsidR="00C957A7" w:rsidRPr="00C957A7" w14:paraId="5551EAC2" w14:textId="77777777" w:rsidTr="00564CED">
        <w:trPr>
          <w:trHeight w:val="330"/>
        </w:trPr>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DC29DDB"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Evento Gerador de Tarifa</w:t>
            </w:r>
          </w:p>
        </w:tc>
        <w:tc>
          <w:tcPr>
            <w:tcW w:w="0" w:type="auto"/>
            <w:gridSpan w:val="7"/>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2E2ED298"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Valores</w:t>
            </w:r>
          </w:p>
        </w:tc>
      </w:tr>
      <w:tr w:rsidR="00C957A7" w:rsidRPr="00C957A7" w14:paraId="1C03DB66" w14:textId="77777777" w:rsidTr="00564CED">
        <w:trPr>
          <w:trHeight w:val="330"/>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42A7F0A3"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C78717"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Regime Simplificado (art. 62 da Portaria Conjunta MGI/MF/CGU nº 32, de 2024)</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964A15"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A4E177"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II</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6A8A43"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III</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6472C3E"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IV</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7922C2"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V</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375D52"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b/>
                <w:bCs/>
                <w:color w:val="000000"/>
                <w:kern w:val="0"/>
                <w:sz w:val="16"/>
                <w:szCs w:val="16"/>
                <w:lang w:eastAsia="pt-BR"/>
                <w14:ligatures w14:val="none"/>
              </w:rPr>
              <w:t>Nível VI</w:t>
            </w:r>
          </w:p>
        </w:tc>
      </w:tr>
      <w:tr w:rsidR="00C957A7" w:rsidRPr="00C957A7" w14:paraId="72523475" w14:textId="77777777" w:rsidTr="00564CED">
        <w:trPr>
          <w:trHeight w:val="540"/>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B048BE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Análise de Plano de Trabalho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78116E"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141941D"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DBC646"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522593"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785072"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B2E94E"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BACF82E"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B9C1F1"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071A14C2" w14:textId="77777777" w:rsidTr="00564CED">
        <w:trPr>
          <w:trHeight w:val="540"/>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6B35AB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da Realização do Processo Licitatório - VRPL</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AC4C8A"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2</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01221A"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85FC5D"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2F491C"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14A264"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6A6D3C3"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1695DD"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8017B4"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43C69BC1" w14:textId="77777777" w:rsidTr="00564CED">
        <w:trPr>
          <w:trHeight w:val="540"/>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E9B0B15"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Manutenção da vigência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04DC5D"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3</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86D222"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384BA0"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BA1AE9"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A711B1"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5EA438"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CEC7EB"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D85876"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31B307B3" w14:textId="77777777" w:rsidTr="00564CED">
        <w:trPr>
          <w:trHeight w:val="540"/>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55222B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Verificação de critérios de compatibilidade</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0B8E85"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4</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674055"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1BE9AD"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E061CB"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14A1AE"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8B70A4"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6D3B04"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7DD075"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39DE1253" w14:textId="77777777" w:rsidTr="00564CED">
        <w:trPr>
          <w:trHeight w:val="525"/>
        </w:trPr>
        <w:tc>
          <w:tcPr>
            <w:tcW w:w="0" w:type="auto"/>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C3B26C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Alteração Contratual</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4BAECE"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 xml:space="preserve">Alteração de cronograma ou </w:t>
            </w:r>
            <w:proofErr w:type="spellStart"/>
            <w:r w:rsidRPr="00C957A7">
              <w:rPr>
                <w:rFonts w:ascii="Calibri" w:eastAsia="Times New Roman" w:hAnsi="Calibri" w:cs="Calibri"/>
                <w:color w:val="000000"/>
                <w:kern w:val="0"/>
                <w:sz w:val="16"/>
                <w:szCs w:val="16"/>
                <w:lang w:eastAsia="pt-BR"/>
                <w14:ligatures w14:val="none"/>
              </w:rPr>
              <w:t>eventograma</w:t>
            </w:r>
            <w:proofErr w:type="spellEnd"/>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7E011C"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5</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FD54B4"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A76CCE"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9061EDB"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DAB9DB"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1901F7"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6D40DD"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5E39DA"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6649DFC5" w14:textId="77777777" w:rsidTr="00564CED">
        <w:trPr>
          <w:trHeight w:val="525"/>
        </w:trPr>
        <w:tc>
          <w:tcPr>
            <w:tcW w:w="0" w:type="auto"/>
            <w:vMerge/>
            <w:tcBorders>
              <w:top w:val="nil"/>
              <w:left w:val="single" w:sz="6" w:space="0" w:color="000000"/>
              <w:bottom w:val="single" w:sz="6" w:space="0" w:color="000000"/>
              <w:right w:val="single" w:sz="6" w:space="0" w:color="000000"/>
            </w:tcBorders>
            <w:vAlign w:val="center"/>
            <w:hideMark/>
          </w:tcPr>
          <w:p w14:paraId="1771C17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18974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Ajustes de orçamento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70417C"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6</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8CD87C"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5A04D8"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78D465"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78FF55"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1E83525"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4BC167"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477B17"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681AD208" w14:textId="77777777" w:rsidTr="00564CED">
        <w:trPr>
          <w:trHeight w:val="525"/>
        </w:trPr>
        <w:tc>
          <w:tcPr>
            <w:tcW w:w="0" w:type="auto"/>
            <w:vMerge/>
            <w:tcBorders>
              <w:top w:val="nil"/>
              <w:left w:val="single" w:sz="6" w:space="0" w:color="000000"/>
              <w:bottom w:val="single" w:sz="6" w:space="0" w:color="000000"/>
              <w:right w:val="single" w:sz="6" w:space="0" w:color="000000"/>
            </w:tcBorders>
            <w:vAlign w:val="center"/>
            <w:hideMark/>
          </w:tcPr>
          <w:p w14:paraId="3B1A6E2B"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014D2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Ajustes no projeto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F9895D"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7</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179778"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01AA066"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883FAC"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DFF826D"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3B5A61"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06F95A"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98E1CA"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5BDE1F70" w14:textId="77777777" w:rsidTr="00564CED">
        <w:trPr>
          <w:trHeight w:val="525"/>
        </w:trPr>
        <w:tc>
          <w:tcPr>
            <w:tcW w:w="0" w:type="auto"/>
            <w:vMerge/>
            <w:tcBorders>
              <w:top w:val="nil"/>
              <w:left w:val="single" w:sz="6" w:space="0" w:color="000000"/>
              <w:bottom w:val="single" w:sz="6" w:space="0" w:color="000000"/>
              <w:right w:val="single" w:sz="6" w:space="0" w:color="000000"/>
            </w:tcBorders>
            <w:vAlign w:val="center"/>
            <w:hideMark/>
          </w:tcPr>
          <w:p w14:paraId="67F859F7"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A0497F"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Exclusão de meta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307523"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8</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0A9E0C"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5E2680"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F7C4CF"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B45F78B"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3647C5"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B6C13DA"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C427061"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283D4630" w14:textId="77777777" w:rsidTr="00564CED">
        <w:trPr>
          <w:trHeight w:val="525"/>
        </w:trPr>
        <w:tc>
          <w:tcPr>
            <w:tcW w:w="0" w:type="auto"/>
            <w:vMerge/>
            <w:tcBorders>
              <w:top w:val="nil"/>
              <w:left w:val="single" w:sz="6" w:space="0" w:color="000000"/>
              <w:bottom w:val="single" w:sz="6" w:space="0" w:color="000000"/>
              <w:right w:val="single" w:sz="6" w:space="0" w:color="000000"/>
            </w:tcBorders>
            <w:vAlign w:val="center"/>
            <w:hideMark/>
          </w:tcPr>
          <w:p w14:paraId="73690299"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958B8A"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Inclusão de meta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16EC98"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9</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7F7DA8"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0441DE"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85F9F17"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7670D19"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6E4674"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91D032"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0ECD1E6" w14:textId="77777777" w:rsidR="00C957A7" w:rsidRPr="00C957A7" w:rsidRDefault="00C957A7" w:rsidP="00564CED">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5D61D019" w14:textId="77777777" w:rsidTr="00564CED">
        <w:trPr>
          <w:trHeight w:val="525"/>
        </w:trPr>
        <w:tc>
          <w:tcPr>
            <w:tcW w:w="0" w:type="auto"/>
            <w:vMerge/>
            <w:tcBorders>
              <w:top w:val="nil"/>
              <w:left w:val="single" w:sz="6" w:space="0" w:color="000000"/>
              <w:bottom w:val="single" w:sz="6" w:space="0" w:color="000000"/>
              <w:right w:val="single" w:sz="6" w:space="0" w:color="000000"/>
            </w:tcBorders>
            <w:vAlign w:val="center"/>
            <w:hideMark/>
          </w:tcPr>
          <w:p w14:paraId="51BA6CEA"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7F11FCD"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Saldo de obra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5DF0A8"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10</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E66088"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1212DB"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36A200B"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5C2095"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5AE51F"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14ACCE"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Não se aplica</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362CCE"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0933B522" w14:textId="77777777" w:rsidTr="00564CED">
        <w:trPr>
          <w:trHeight w:val="525"/>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C793344"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Visita de campo</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B06590"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11</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34FF15"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2AA431"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4E9C44A"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1C3894"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B35C9D"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F49426"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E480F2"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r w:rsidR="00C957A7" w:rsidRPr="00C957A7" w14:paraId="2D957877" w14:textId="77777777" w:rsidTr="00564CED">
        <w:trPr>
          <w:trHeight w:val="525"/>
        </w:trPr>
        <w:tc>
          <w:tcPr>
            <w:tcW w:w="0" w:type="auto"/>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FB89E83" w14:textId="77777777" w:rsidR="00C957A7" w:rsidRPr="00C957A7" w:rsidRDefault="00C957A7" w:rsidP="00C957A7">
            <w:pPr>
              <w:spacing w:after="120" w:line="240" w:lineRule="auto"/>
              <w:jc w:val="both"/>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Reabertura de PCF/TCE</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A5D42C"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EGTE 12</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C94186"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E38B98"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6F1EDC"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FFB332"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88A2D66"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7FC90A5"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c>
          <w:tcPr>
            <w:tcW w:w="0" w:type="auto"/>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460E0B" w14:textId="77777777" w:rsidR="00C957A7" w:rsidRPr="00C957A7" w:rsidRDefault="00C957A7" w:rsidP="001A5DFC">
            <w:pPr>
              <w:spacing w:after="120" w:line="240" w:lineRule="auto"/>
              <w:jc w:val="center"/>
              <w:rPr>
                <w:rFonts w:ascii="Calibri" w:eastAsia="Times New Roman" w:hAnsi="Calibri" w:cs="Calibri"/>
                <w:color w:val="000000"/>
                <w:kern w:val="0"/>
                <w:sz w:val="16"/>
                <w:szCs w:val="16"/>
                <w:lang w:eastAsia="pt-BR"/>
                <w14:ligatures w14:val="none"/>
              </w:rPr>
            </w:pPr>
            <w:r w:rsidRPr="00C957A7">
              <w:rPr>
                <w:rFonts w:ascii="Calibri" w:eastAsia="Times New Roman" w:hAnsi="Calibri" w:cs="Calibri"/>
                <w:color w:val="000000"/>
                <w:kern w:val="0"/>
                <w:sz w:val="16"/>
                <w:szCs w:val="16"/>
                <w:lang w:eastAsia="pt-BR"/>
                <w14:ligatures w14:val="none"/>
              </w:rPr>
              <w:t>R$</w:t>
            </w:r>
          </w:p>
        </w:tc>
      </w:tr>
    </w:tbl>
    <w:p w14:paraId="5A3B371C"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w:t>
      </w:r>
    </w:p>
    <w:p w14:paraId="2CBE0AC2" w14:textId="77777777" w:rsid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xml:space="preserve">3.9.2.1 - Os órgãos e entidade da administração pública federal deverão atentar-se para os </w:t>
      </w:r>
      <w:proofErr w:type="spellStart"/>
      <w:r w:rsidRPr="00C957A7">
        <w:rPr>
          <w:rFonts w:ascii="Calibri" w:eastAsia="Times New Roman" w:hAnsi="Calibri" w:cs="Calibri"/>
          <w:color w:val="000000"/>
          <w:kern w:val="0"/>
          <w:lang w:eastAsia="pt-BR"/>
          <w14:ligatures w14:val="none"/>
        </w:rPr>
        <w:t>EGTs</w:t>
      </w:r>
      <w:proofErr w:type="spellEnd"/>
      <w:r w:rsidRPr="00C957A7">
        <w:rPr>
          <w:rFonts w:ascii="Calibri" w:eastAsia="Times New Roman" w:hAnsi="Calibri" w:cs="Calibri"/>
          <w:color w:val="000000"/>
          <w:kern w:val="0"/>
          <w:lang w:eastAsia="pt-BR"/>
          <w14:ligatures w14:val="none"/>
        </w:rPr>
        <w:t xml:space="preserve"> e </w:t>
      </w:r>
      <w:proofErr w:type="spellStart"/>
      <w:r w:rsidRPr="00C957A7">
        <w:rPr>
          <w:rFonts w:ascii="Calibri" w:eastAsia="Times New Roman" w:hAnsi="Calibri" w:cs="Calibri"/>
          <w:color w:val="000000"/>
          <w:kern w:val="0"/>
          <w:lang w:eastAsia="pt-BR"/>
          <w14:ligatures w14:val="none"/>
        </w:rPr>
        <w:t>EGTEs</w:t>
      </w:r>
      <w:proofErr w:type="spellEnd"/>
      <w:r w:rsidRPr="00C957A7">
        <w:rPr>
          <w:rFonts w:ascii="Calibri" w:eastAsia="Times New Roman" w:hAnsi="Calibri" w:cs="Calibri"/>
          <w:color w:val="000000"/>
          <w:kern w:val="0"/>
          <w:lang w:eastAsia="pt-BR"/>
          <w14:ligatures w14:val="none"/>
        </w:rPr>
        <w:t xml:space="preserve"> compatíveis com o Nível VI, a depender da natureza da contratação.</w:t>
      </w:r>
    </w:p>
    <w:p w14:paraId="486A60BA" w14:textId="46D03C22" w:rsidR="006040D5" w:rsidRPr="006040D5" w:rsidRDefault="006040D5" w:rsidP="006040D5">
      <w:pPr>
        <w:spacing w:after="120" w:line="240" w:lineRule="auto"/>
        <w:jc w:val="both"/>
        <w:rPr>
          <w:rFonts w:ascii="Calibri" w:eastAsia="Times New Roman" w:hAnsi="Calibri" w:cs="Calibri"/>
          <w:color w:val="000000"/>
          <w:kern w:val="0"/>
          <w:lang w:eastAsia="pt-BR"/>
          <w14:ligatures w14:val="none"/>
        </w:rPr>
      </w:pPr>
      <w:r w:rsidRPr="006040D5">
        <w:rPr>
          <w:rFonts w:ascii="Calibri" w:eastAsia="Times New Roman" w:hAnsi="Calibri" w:cs="Calibri"/>
          <w:color w:val="000000"/>
          <w:kern w:val="0"/>
          <w:lang w:eastAsia="pt-BR"/>
          <w14:ligatures w14:val="none"/>
        </w:rPr>
        <w:t>3.9.3 Tabela de valores para gestão e operacionalização de instrumentos - Tabela Transitória - Regime simplificado (</w:t>
      </w:r>
      <w:r w:rsidRPr="000A06FF">
        <w:rPr>
          <w:rFonts w:ascii="Calibri" w:eastAsia="Times New Roman" w:hAnsi="Calibri" w:cs="Calibri"/>
          <w:color w:val="000000"/>
          <w:kern w:val="0"/>
          <w:lang w:eastAsia="pt-BR"/>
          <w14:ligatures w14:val="none"/>
        </w:rPr>
        <w:t>§ 2º do art. 20 desta portaria)</w:t>
      </w:r>
      <w:r w:rsidR="00F41B4A">
        <w:rPr>
          <w:rFonts w:ascii="Calibri" w:eastAsia="Times New Roman" w:hAnsi="Calibri" w:cs="Calibri"/>
          <w:color w:val="000000"/>
          <w:kern w:val="0"/>
          <w:lang w:eastAsia="pt-BR"/>
          <w14:ligatures w14:val="none"/>
        </w:rPr>
        <w:t>;</w:t>
      </w:r>
      <w:r w:rsidR="00154E5B">
        <w:rPr>
          <w:rFonts w:ascii="Calibri" w:eastAsia="Times New Roman" w:hAnsi="Calibri" w:cs="Calibri"/>
          <w:color w:val="000000"/>
          <w:kern w:val="0"/>
          <w:lang w:eastAsia="pt-BR"/>
          <w14:ligatures w14:val="none"/>
        </w:rPr>
        <w:t xml:space="preserve"> </w:t>
      </w:r>
      <w:r w:rsidR="00154E5B" w:rsidRPr="00154E5B">
        <w:rPr>
          <w:rFonts w:ascii="Calibri" w:eastAsia="Times New Roman" w:hAnsi="Calibri" w:cs="Calibri"/>
          <w:color w:val="000000"/>
          <w:kern w:val="0"/>
          <w:lang w:eastAsia="pt-BR"/>
          <w14:ligatures w14:val="none"/>
        </w:rPr>
        <w:t>(</w:t>
      </w:r>
      <w:r w:rsidR="00F41B4A">
        <w:rPr>
          <w:rFonts w:ascii="Calibri" w:eastAsia="Times New Roman" w:hAnsi="Calibri" w:cs="Calibri"/>
          <w:color w:val="000000"/>
          <w:kern w:val="0"/>
          <w:lang w:eastAsia="pt-BR"/>
          <w14:ligatures w14:val="none"/>
        </w:rPr>
        <w:t>incluído</w:t>
      </w:r>
      <w:r w:rsidR="00154E5B" w:rsidRPr="00154E5B">
        <w:rPr>
          <w:rFonts w:ascii="Calibri" w:eastAsia="Times New Roman" w:hAnsi="Calibri" w:cs="Calibri"/>
          <w:color w:val="000000"/>
          <w:kern w:val="0"/>
          <w:lang w:eastAsia="pt-BR"/>
          <w14:ligatures w14:val="none"/>
        </w:rPr>
        <w:t xml:space="preserve"> pela Portaria SEGES/MGI Nº 8.814, de 09 de outubro de 2025)</w:t>
      </w:r>
    </w:p>
    <w:p w14:paraId="340D9B0F" w14:textId="77777777" w:rsidR="006040D5" w:rsidRPr="000A06FF" w:rsidRDefault="006040D5" w:rsidP="006040D5">
      <w:pPr>
        <w:spacing w:after="120" w:line="240" w:lineRule="auto"/>
        <w:ind w:firstLine="1418"/>
        <w:jc w:val="both"/>
        <w:rPr>
          <w:rFonts w:ascii="Calibri" w:eastAsia="Times New Roman" w:hAnsi="Calibri" w:cs="Calibri"/>
          <w:color w:val="000000"/>
          <w:kern w:val="0"/>
          <w:sz w:val="27"/>
          <w:szCs w:val="27"/>
          <w:lang w:eastAsia="pt-BR"/>
          <w14:ligatures w14:val="none"/>
        </w:rPr>
      </w:pPr>
      <w:r w:rsidRPr="000A06FF">
        <w:rPr>
          <w:rFonts w:ascii="Calibri" w:eastAsia="Times New Roman" w:hAnsi="Calibri" w:cs="Calibri"/>
          <w:color w:val="000000"/>
          <w:kern w:val="0"/>
          <w:sz w:val="27"/>
          <w:szCs w:val="27"/>
          <w:lang w:eastAsia="pt-BR"/>
          <w14:ligatures w14:val="none"/>
        </w:rPr>
        <w:lastRenderedPageBreak/>
        <w:t> </w:t>
      </w:r>
    </w:p>
    <w:tbl>
      <w:tblPr>
        <w:tblW w:w="8460" w:type="dxa"/>
        <w:jc w:val="center"/>
        <w:tblCellMar>
          <w:top w:w="15" w:type="dxa"/>
          <w:left w:w="15" w:type="dxa"/>
          <w:bottom w:w="15" w:type="dxa"/>
          <w:right w:w="15" w:type="dxa"/>
        </w:tblCellMar>
        <w:tblLook w:val="04A0" w:firstRow="1" w:lastRow="0" w:firstColumn="1" w:lastColumn="0" w:noHBand="0" w:noVBand="1"/>
      </w:tblPr>
      <w:tblGrid>
        <w:gridCol w:w="2700"/>
        <w:gridCol w:w="960"/>
        <w:gridCol w:w="2400"/>
        <w:gridCol w:w="2400"/>
      </w:tblGrid>
      <w:tr w:rsidR="006040D5" w:rsidRPr="000A06FF" w14:paraId="2065271D" w14:textId="77777777" w:rsidTr="006040D5">
        <w:trPr>
          <w:trHeight w:val="300"/>
          <w:jc w:val="center"/>
        </w:trPr>
        <w:tc>
          <w:tcPr>
            <w:tcW w:w="3660" w:type="dxa"/>
            <w:gridSpan w:val="2"/>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9025FFA" w14:textId="77777777" w:rsidR="006040D5" w:rsidRPr="000A06FF" w:rsidRDefault="006040D5" w:rsidP="00F757AF">
            <w:pPr>
              <w:spacing w:before="45" w:after="75" w:line="240" w:lineRule="auto"/>
              <w:ind w:left="45" w:right="45"/>
              <w:jc w:val="center"/>
              <w:rPr>
                <w:rFonts w:ascii="Calibri" w:eastAsia="Times New Roman" w:hAnsi="Calibri" w:cs="Calibri"/>
                <w:color w:val="000000"/>
                <w:kern w:val="0"/>
                <w:sz w:val="22"/>
                <w:szCs w:val="22"/>
                <w:lang w:eastAsia="pt-BR"/>
                <w14:ligatures w14:val="none"/>
              </w:rPr>
            </w:pPr>
            <w:r w:rsidRPr="000A06FF">
              <w:rPr>
                <w:rFonts w:ascii="Calibri" w:eastAsia="Times New Roman" w:hAnsi="Calibri" w:cs="Calibri"/>
                <w:b/>
                <w:bCs/>
                <w:color w:val="000000"/>
                <w:kern w:val="0"/>
                <w:sz w:val="22"/>
                <w:szCs w:val="22"/>
                <w:lang w:eastAsia="pt-BR"/>
                <w14:ligatures w14:val="none"/>
              </w:rPr>
              <w:t>Evento Gerador de Tarifa (Ordinário)</w:t>
            </w:r>
          </w:p>
        </w:tc>
        <w:tc>
          <w:tcPr>
            <w:tcW w:w="4800" w:type="dxa"/>
            <w:gridSpan w:val="2"/>
            <w:tcBorders>
              <w:top w:val="single" w:sz="6" w:space="0" w:color="000000"/>
              <w:left w:val="nil"/>
              <w:bottom w:val="single" w:sz="6" w:space="0" w:color="000000"/>
              <w:right w:val="single" w:sz="6" w:space="0" w:color="000000"/>
            </w:tcBorders>
            <w:tcMar>
              <w:top w:w="0" w:type="dxa"/>
              <w:left w:w="75" w:type="dxa"/>
              <w:bottom w:w="0" w:type="dxa"/>
              <w:right w:w="75" w:type="dxa"/>
            </w:tcMar>
            <w:vAlign w:val="center"/>
            <w:hideMark/>
          </w:tcPr>
          <w:p w14:paraId="3B289EE9" w14:textId="77777777" w:rsidR="006040D5" w:rsidRPr="000A06FF" w:rsidRDefault="006040D5" w:rsidP="00F757AF">
            <w:pPr>
              <w:spacing w:before="45" w:after="75" w:line="240" w:lineRule="auto"/>
              <w:ind w:left="45" w:right="45"/>
              <w:jc w:val="center"/>
              <w:rPr>
                <w:rFonts w:ascii="Calibri" w:eastAsia="Times New Roman" w:hAnsi="Calibri" w:cs="Calibri"/>
                <w:color w:val="000000"/>
                <w:kern w:val="0"/>
                <w:sz w:val="22"/>
                <w:szCs w:val="22"/>
                <w:lang w:eastAsia="pt-BR"/>
                <w14:ligatures w14:val="none"/>
              </w:rPr>
            </w:pPr>
            <w:r w:rsidRPr="000A06FF">
              <w:rPr>
                <w:rFonts w:ascii="Calibri" w:eastAsia="Times New Roman" w:hAnsi="Calibri" w:cs="Calibri"/>
                <w:b/>
                <w:bCs/>
                <w:color w:val="000000"/>
                <w:kern w:val="0"/>
                <w:sz w:val="22"/>
                <w:szCs w:val="22"/>
                <w:lang w:eastAsia="pt-BR"/>
                <w14:ligatures w14:val="none"/>
              </w:rPr>
              <w:t>Valores</w:t>
            </w:r>
          </w:p>
        </w:tc>
      </w:tr>
      <w:tr w:rsidR="006040D5" w:rsidRPr="000A06FF" w14:paraId="4121D6E6" w14:textId="77777777" w:rsidTr="006040D5">
        <w:trPr>
          <w:trHeight w:val="1620"/>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639A4E89" w14:textId="77777777" w:rsidR="006040D5" w:rsidRPr="000A06FF" w:rsidRDefault="006040D5" w:rsidP="00F757AF">
            <w:pPr>
              <w:spacing w:after="0" w:line="240" w:lineRule="auto"/>
              <w:rPr>
                <w:rFonts w:ascii="Calibri" w:eastAsia="Times New Roman" w:hAnsi="Calibri" w:cs="Calibri"/>
                <w:color w:val="000000"/>
                <w:kern w:val="0"/>
                <w:sz w:val="22"/>
                <w:szCs w:val="22"/>
                <w:lang w:eastAsia="pt-BR"/>
                <w14:ligatures w14:val="none"/>
              </w:rPr>
            </w:pPr>
          </w:p>
        </w:tc>
        <w:tc>
          <w:tcPr>
            <w:tcW w:w="4800" w:type="dxa"/>
            <w:gridSpan w:val="2"/>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1C3D728" w14:textId="77777777" w:rsidR="006040D5" w:rsidRPr="000A06FF" w:rsidRDefault="006040D5" w:rsidP="00F757AF">
            <w:pPr>
              <w:spacing w:before="45" w:after="75" w:line="240" w:lineRule="auto"/>
              <w:ind w:left="45" w:right="45"/>
              <w:jc w:val="center"/>
              <w:rPr>
                <w:rFonts w:ascii="Calibri" w:eastAsia="Times New Roman" w:hAnsi="Calibri" w:cs="Calibri"/>
                <w:color w:val="000000"/>
                <w:kern w:val="0"/>
                <w:sz w:val="22"/>
                <w:szCs w:val="22"/>
                <w:lang w:eastAsia="pt-BR"/>
                <w14:ligatures w14:val="none"/>
              </w:rPr>
            </w:pPr>
            <w:r w:rsidRPr="000A06FF">
              <w:rPr>
                <w:rFonts w:ascii="Calibri" w:eastAsia="Times New Roman" w:hAnsi="Calibri" w:cs="Calibri"/>
                <w:b/>
                <w:bCs/>
                <w:color w:val="000000"/>
                <w:kern w:val="0"/>
                <w:sz w:val="22"/>
                <w:szCs w:val="22"/>
                <w:lang w:eastAsia="pt-BR"/>
                <w14:ligatures w14:val="none"/>
              </w:rPr>
              <w:t>Regime Simplificado</w:t>
            </w:r>
            <w:r w:rsidRPr="000A06FF">
              <w:rPr>
                <w:rFonts w:ascii="Calibri" w:eastAsia="Times New Roman" w:hAnsi="Calibri" w:cs="Calibri"/>
                <w:b/>
                <w:bCs/>
                <w:color w:val="000000"/>
                <w:kern w:val="0"/>
                <w:sz w:val="22"/>
                <w:szCs w:val="22"/>
                <w:lang w:eastAsia="pt-BR"/>
                <w14:ligatures w14:val="none"/>
              </w:rPr>
              <w:br/>
              <w:t>(valor de que trata o art. 184-A da Lei nº 14.133, de 1º de abril de 2021 e suas atualizações)</w:t>
            </w:r>
          </w:p>
        </w:tc>
      </w:tr>
      <w:tr w:rsidR="006040D5" w:rsidRPr="000A06FF" w14:paraId="2297880A" w14:textId="77777777" w:rsidTr="006040D5">
        <w:trPr>
          <w:trHeight w:val="1620"/>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4A3E0654" w14:textId="77777777" w:rsidR="006040D5" w:rsidRPr="000A06FF" w:rsidRDefault="006040D5" w:rsidP="00F757AF">
            <w:pPr>
              <w:spacing w:after="0" w:line="240" w:lineRule="auto"/>
              <w:rPr>
                <w:rFonts w:ascii="Calibri" w:eastAsia="Times New Roman" w:hAnsi="Calibri" w:cs="Calibri"/>
                <w:color w:val="000000"/>
                <w:kern w:val="0"/>
                <w:sz w:val="22"/>
                <w:szCs w:val="22"/>
                <w:lang w:eastAsia="pt-BR"/>
                <w14:ligatures w14:val="none"/>
              </w:rPr>
            </w:pPr>
          </w:p>
        </w:tc>
        <w:tc>
          <w:tcPr>
            <w:tcW w:w="2400"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8859703" w14:textId="77777777" w:rsidR="006040D5" w:rsidRPr="000A06FF" w:rsidRDefault="006040D5" w:rsidP="00F757AF">
            <w:pPr>
              <w:spacing w:before="45" w:after="75" w:line="240" w:lineRule="auto"/>
              <w:ind w:left="45" w:right="45"/>
              <w:jc w:val="center"/>
              <w:rPr>
                <w:rFonts w:ascii="Calibri" w:eastAsia="Times New Roman" w:hAnsi="Calibri" w:cs="Calibri"/>
                <w:color w:val="000000"/>
                <w:kern w:val="0"/>
                <w:sz w:val="22"/>
                <w:szCs w:val="22"/>
                <w:lang w:eastAsia="pt-BR"/>
                <w14:ligatures w14:val="none"/>
              </w:rPr>
            </w:pPr>
            <w:r w:rsidRPr="000A06FF">
              <w:rPr>
                <w:rFonts w:ascii="Calibri" w:eastAsia="Times New Roman" w:hAnsi="Calibri" w:cs="Calibri"/>
                <w:b/>
                <w:bCs/>
                <w:color w:val="000000"/>
                <w:kern w:val="0"/>
                <w:sz w:val="22"/>
                <w:szCs w:val="22"/>
                <w:lang w:eastAsia="pt-BR"/>
                <w14:ligatures w14:val="none"/>
              </w:rPr>
              <w:t>Valor inferior a R$750.000,00</w:t>
            </w:r>
          </w:p>
        </w:tc>
        <w:tc>
          <w:tcPr>
            <w:tcW w:w="2400"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7FF2767" w14:textId="77777777" w:rsidR="006040D5" w:rsidRPr="000A06FF" w:rsidRDefault="006040D5" w:rsidP="00F757AF">
            <w:pPr>
              <w:spacing w:before="45" w:after="75" w:line="240" w:lineRule="auto"/>
              <w:ind w:left="45" w:right="45"/>
              <w:jc w:val="center"/>
              <w:rPr>
                <w:rFonts w:ascii="Calibri" w:eastAsia="Times New Roman" w:hAnsi="Calibri" w:cs="Calibri"/>
                <w:color w:val="000000"/>
                <w:kern w:val="0"/>
                <w:sz w:val="22"/>
                <w:szCs w:val="22"/>
                <w:lang w:eastAsia="pt-BR"/>
                <w14:ligatures w14:val="none"/>
              </w:rPr>
            </w:pPr>
            <w:r w:rsidRPr="000A06FF">
              <w:rPr>
                <w:rFonts w:ascii="Calibri" w:eastAsia="Times New Roman" w:hAnsi="Calibri" w:cs="Calibri"/>
                <w:b/>
                <w:bCs/>
                <w:color w:val="000000"/>
                <w:kern w:val="0"/>
                <w:sz w:val="22"/>
                <w:szCs w:val="22"/>
                <w:lang w:eastAsia="pt-BR"/>
                <w14:ligatures w14:val="none"/>
              </w:rPr>
              <w:t>Valor superior a R$750.000,00</w:t>
            </w:r>
          </w:p>
        </w:tc>
      </w:tr>
      <w:tr w:rsidR="006040D5" w:rsidRPr="000A06FF" w14:paraId="0D440D69" w14:textId="77777777" w:rsidTr="006040D5">
        <w:trPr>
          <w:trHeight w:val="300"/>
          <w:jc w:val="center"/>
        </w:trPr>
        <w:tc>
          <w:tcPr>
            <w:tcW w:w="2700"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A4AB782" w14:textId="77777777" w:rsidR="006040D5" w:rsidRPr="000A06FF" w:rsidRDefault="006040D5" w:rsidP="00F757AF">
            <w:pPr>
              <w:spacing w:before="45" w:after="75" w:line="240" w:lineRule="auto"/>
              <w:ind w:left="45" w:right="45"/>
              <w:jc w:val="center"/>
              <w:rPr>
                <w:rFonts w:ascii="Calibri" w:eastAsia="Times New Roman" w:hAnsi="Calibri" w:cs="Calibri"/>
                <w:color w:val="000000"/>
                <w:kern w:val="0"/>
                <w:sz w:val="22"/>
                <w:szCs w:val="22"/>
                <w:lang w:eastAsia="pt-BR"/>
                <w14:ligatures w14:val="none"/>
              </w:rPr>
            </w:pPr>
            <w:r w:rsidRPr="000A06FF">
              <w:rPr>
                <w:rFonts w:ascii="Calibri" w:eastAsia="Times New Roman" w:hAnsi="Calibri" w:cs="Calibri"/>
                <w:color w:val="000000"/>
                <w:kern w:val="0"/>
                <w:sz w:val="22"/>
                <w:szCs w:val="22"/>
                <w:lang w:eastAsia="pt-BR"/>
                <w14:ligatures w14:val="none"/>
              </w:rPr>
              <w:t>Assessoramento Técnico</w:t>
            </w:r>
          </w:p>
        </w:tc>
        <w:tc>
          <w:tcPr>
            <w:tcW w:w="96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F6EC1D5" w14:textId="77777777" w:rsidR="006040D5" w:rsidRPr="000A06FF" w:rsidRDefault="006040D5" w:rsidP="00F757AF">
            <w:pPr>
              <w:spacing w:before="45" w:after="75" w:line="240" w:lineRule="auto"/>
              <w:ind w:left="45" w:right="45"/>
              <w:jc w:val="center"/>
              <w:rPr>
                <w:rFonts w:ascii="Calibri" w:eastAsia="Times New Roman" w:hAnsi="Calibri" w:cs="Calibri"/>
                <w:color w:val="000000"/>
                <w:kern w:val="0"/>
                <w:sz w:val="22"/>
                <w:szCs w:val="22"/>
                <w:lang w:eastAsia="pt-BR"/>
                <w14:ligatures w14:val="none"/>
              </w:rPr>
            </w:pPr>
            <w:r w:rsidRPr="000A06FF">
              <w:rPr>
                <w:rFonts w:ascii="Calibri" w:eastAsia="Times New Roman" w:hAnsi="Calibri" w:cs="Calibri"/>
                <w:color w:val="000000"/>
                <w:kern w:val="0"/>
                <w:sz w:val="22"/>
                <w:szCs w:val="22"/>
                <w:lang w:eastAsia="pt-BR"/>
                <w14:ligatures w14:val="none"/>
              </w:rPr>
              <w:t>EGT5</w:t>
            </w:r>
          </w:p>
        </w:tc>
        <w:tc>
          <w:tcPr>
            <w:tcW w:w="24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70EC66C" w14:textId="77777777" w:rsidR="006040D5" w:rsidRPr="000A06FF" w:rsidRDefault="006040D5" w:rsidP="00F757AF">
            <w:pPr>
              <w:spacing w:before="45" w:after="75" w:line="240" w:lineRule="auto"/>
              <w:ind w:left="45" w:right="45"/>
              <w:jc w:val="center"/>
              <w:rPr>
                <w:rFonts w:ascii="Calibri" w:eastAsia="Times New Roman" w:hAnsi="Calibri" w:cs="Calibri"/>
                <w:color w:val="000000"/>
                <w:kern w:val="0"/>
                <w:sz w:val="22"/>
                <w:szCs w:val="22"/>
                <w:lang w:eastAsia="pt-BR"/>
                <w14:ligatures w14:val="none"/>
              </w:rPr>
            </w:pPr>
            <w:r w:rsidRPr="000A06FF">
              <w:rPr>
                <w:rFonts w:ascii="Calibri" w:eastAsia="Times New Roman" w:hAnsi="Calibri" w:cs="Calibri"/>
                <w:color w:val="000000"/>
                <w:kern w:val="0"/>
                <w:sz w:val="22"/>
                <w:szCs w:val="22"/>
                <w:lang w:eastAsia="pt-BR"/>
                <w14:ligatures w14:val="none"/>
              </w:rPr>
              <w:t>Não se aplica</w:t>
            </w:r>
          </w:p>
        </w:tc>
        <w:tc>
          <w:tcPr>
            <w:tcW w:w="2400" w:type="dxa"/>
            <w:tcBorders>
              <w:top w:val="nil"/>
              <w:left w:val="nil"/>
              <w:bottom w:val="single" w:sz="6" w:space="0" w:color="000000"/>
              <w:right w:val="single" w:sz="6" w:space="0" w:color="000000"/>
            </w:tcBorders>
            <w:tcMar>
              <w:top w:w="0" w:type="dxa"/>
              <w:left w:w="75" w:type="dxa"/>
              <w:bottom w:w="0" w:type="dxa"/>
              <w:right w:w="75" w:type="dxa"/>
            </w:tcMar>
            <w:hideMark/>
          </w:tcPr>
          <w:p w14:paraId="7CDEDFFE" w14:textId="77777777" w:rsidR="006040D5" w:rsidRPr="000A06FF" w:rsidRDefault="006040D5" w:rsidP="00F757AF">
            <w:pPr>
              <w:spacing w:before="45" w:after="75" w:line="240" w:lineRule="auto"/>
              <w:ind w:left="45" w:right="45"/>
              <w:jc w:val="center"/>
              <w:rPr>
                <w:rFonts w:ascii="Calibri" w:eastAsia="Times New Roman" w:hAnsi="Calibri" w:cs="Calibri"/>
                <w:color w:val="000000"/>
                <w:kern w:val="0"/>
                <w:sz w:val="22"/>
                <w:szCs w:val="22"/>
                <w:lang w:eastAsia="pt-BR"/>
                <w14:ligatures w14:val="none"/>
              </w:rPr>
            </w:pPr>
            <w:r w:rsidRPr="000A06FF">
              <w:rPr>
                <w:rFonts w:ascii="Calibri" w:eastAsia="Times New Roman" w:hAnsi="Calibri" w:cs="Calibri"/>
                <w:color w:val="000000"/>
                <w:kern w:val="0"/>
                <w:sz w:val="22"/>
                <w:szCs w:val="22"/>
                <w:lang w:eastAsia="pt-BR"/>
                <w14:ligatures w14:val="none"/>
              </w:rPr>
              <w:t>%</w:t>
            </w:r>
          </w:p>
        </w:tc>
      </w:tr>
      <w:tr w:rsidR="006040D5" w:rsidRPr="000A06FF" w14:paraId="7F821843" w14:textId="77777777" w:rsidTr="006040D5">
        <w:trPr>
          <w:trHeight w:val="600"/>
          <w:jc w:val="center"/>
        </w:trPr>
        <w:tc>
          <w:tcPr>
            <w:tcW w:w="2700"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6C32B9F" w14:textId="77777777" w:rsidR="006040D5" w:rsidRPr="000A06FF" w:rsidRDefault="006040D5" w:rsidP="00F757AF">
            <w:pPr>
              <w:spacing w:before="45" w:after="75" w:line="240" w:lineRule="auto"/>
              <w:ind w:left="45" w:right="45"/>
              <w:jc w:val="center"/>
              <w:rPr>
                <w:rFonts w:ascii="Calibri" w:eastAsia="Times New Roman" w:hAnsi="Calibri" w:cs="Calibri"/>
                <w:color w:val="000000"/>
                <w:kern w:val="0"/>
                <w:sz w:val="22"/>
                <w:szCs w:val="22"/>
                <w:lang w:eastAsia="pt-BR"/>
                <w14:ligatures w14:val="none"/>
              </w:rPr>
            </w:pPr>
            <w:r w:rsidRPr="000A06FF">
              <w:rPr>
                <w:rFonts w:ascii="Calibri" w:eastAsia="Times New Roman" w:hAnsi="Calibri" w:cs="Calibri"/>
                <w:color w:val="000000"/>
                <w:kern w:val="0"/>
                <w:sz w:val="22"/>
                <w:szCs w:val="22"/>
                <w:lang w:eastAsia="pt-BR"/>
                <w14:ligatures w14:val="none"/>
              </w:rPr>
              <w:t>Verificação do cumprimento do objeto</w:t>
            </w:r>
          </w:p>
        </w:tc>
        <w:tc>
          <w:tcPr>
            <w:tcW w:w="96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86D2844" w14:textId="77777777" w:rsidR="006040D5" w:rsidRPr="000A06FF" w:rsidRDefault="006040D5" w:rsidP="00F757AF">
            <w:pPr>
              <w:spacing w:before="45" w:after="75" w:line="240" w:lineRule="auto"/>
              <w:ind w:left="45" w:right="45"/>
              <w:jc w:val="center"/>
              <w:rPr>
                <w:rFonts w:ascii="Calibri" w:eastAsia="Times New Roman" w:hAnsi="Calibri" w:cs="Calibri"/>
                <w:color w:val="000000"/>
                <w:kern w:val="0"/>
                <w:sz w:val="22"/>
                <w:szCs w:val="22"/>
                <w:lang w:eastAsia="pt-BR"/>
                <w14:ligatures w14:val="none"/>
              </w:rPr>
            </w:pPr>
            <w:r w:rsidRPr="000A06FF">
              <w:rPr>
                <w:rFonts w:ascii="Calibri" w:eastAsia="Times New Roman" w:hAnsi="Calibri" w:cs="Calibri"/>
                <w:color w:val="000000"/>
                <w:kern w:val="0"/>
                <w:sz w:val="22"/>
                <w:szCs w:val="22"/>
                <w:lang w:eastAsia="pt-BR"/>
                <w14:ligatures w14:val="none"/>
              </w:rPr>
              <w:t>EGT6</w:t>
            </w:r>
          </w:p>
        </w:tc>
        <w:tc>
          <w:tcPr>
            <w:tcW w:w="24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EAE6057" w14:textId="77777777" w:rsidR="006040D5" w:rsidRPr="000A06FF" w:rsidRDefault="006040D5" w:rsidP="00F757AF">
            <w:pPr>
              <w:spacing w:before="45" w:after="75" w:line="240" w:lineRule="auto"/>
              <w:ind w:left="45" w:right="45"/>
              <w:jc w:val="center"/>
              <w:rPr>
                <w:rFonts w:ascii="Calibri" w:eastAsia="Times New Roman" w:hAnsi="Calibri" w:cs="Calibri"/>
                <w:color w:val="000000"/>
                <w:kern w:val="0"/>
                <w:sz w:val="22"/>
                <w:szCs w:val="22"/>
                <w:lang w:eastAsia="pt-BR"/>
                <w14:ligatures w14:val="none"/>
              </w:rPr>
            </w:pPr>
            <w:r w:rsidRPr="000A06FF">
              <w:rPr>
                <w:rFonts w:ascii="Calibri" w:eastAsia="Times New Roman" w:hAnsi="Calibri" w:cs="Calibri"/>
                <w:color w:val="000000"/>
                <w:kern w:val="0"/>
                <w:sz w:val="22"/>
                <w:szCs w:val="22"/>
                <w:lang w:eastAsia="pt-BR"/>
                <w14:ligatures w14:val="none"/>
              </w:rPr>
              <w:t>%</w:t>
            </w:r>
          </w:p>
        </w:tc>
        <w:tc>
          <w:tcPr>
            <w:tcW w:w="2400" w:type="dxa"/>
            <w:tcBorders>
              <w:top w:val="nil"/>
              <w:left w:val="nil"/>
              <w:bottom w:val="single" w:sz="6" w:space="0" w:color="000000"/>
              <w:right w:val="single" w:sz="6" w:space="0" w:color="000000"/>
            </w:tcBorders>
            <w:tcMar>
              <w:top w:w="0" w:type="dxa"/>
              <w:left w:w="75" w:type="dxa"/>
              <w:bottom w:w="0" w:type="dxa"/>
              <w:right w:w="75" w:type="dxa"/>
            </w:tcMar>
            <w:hideMark/>
          </w:tcPr>
          <w:p w14:paraId="62B2C6D1" w14:textId="77777777" w:rsidR="006040D5" w:rsidRPr="000A06FF" w:rsidRDefault="006040D5" w:rsidP="00F757AF">
            <w:pPr>
              <w:spacing w:before="45" w:after="75" w:line="240" w:lineRule="auto"/>
              <w:ind w:left="45" w:right="45"/>
              <w:jc w:val="center"/>
              <w:rPr>
                <w:rFonts w:ascii="Calibri" w:eastAsia="Times New Roman" w:hAnsi="Calibri" w:cs="Calibri"/>
                <w:color w:val="000000"/>
                <w:kern w:val="0"/>
                <w:sz w:val="22"/>
                <w:szCs w:val="22"/>
                <w:lang w:eastAsia="pt-BR"/>
                <w14:ligatures w14:val="none"/>
              </w:rPr>
            </w:pPr>
            <w:r w:rsidRPr="000A06FF">
              <w:rPr>
                <w:rFonts w:ascii="Calibri" w:eastAsia="Times New Roman" w:hAnsi="Calibri" w:cs="Calibri"/>
                <w:color w:val="000000"/>
                <w:kern w:val="0"/>
                <w:sz w:val="22"/>
                <w:szCs w:val="22"/>
                <w:lang w:eastAsia="pt-BR"/>
                <w14:ligatures w14:val="none"/>
              </w:rPr>
              <w:t>%</w:t>
            </w:r>
          </w:p>
        </w:tc>
      </w:tr>
      <w:tr w:rsidR="006040D5" w:rsidRPr="000A06FF" w14:paraId="1992E57A" w14:textId="77777777" w:rsidTr="006040D5">
        <w:trPr>
          <w:trHeight w:val="300"/>
          <w:jc w:val="center"/>
        </w:trPr>
        <w:tc>
          <w:tcPr>
            <w:tcW w:w="2700"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CE9C876" w14:textId="77777777" w:rsidR="006040D5" w:rsidRPr="000A06FF" w:rsidRDefault="006040D5" w:rsidP="00F757AF">
            <w:pPr>
              <w:spacing w:before="45" w:after="75" w:line="240" w:lineRule="auto"/>
              <w:ind w:left="45" w:right="45"/>
              <w:jc w:val="center"/>
              <w:rPr>
                <w:rFonts w:ascii="Calibri" w:eastAsia="Times New Roman" w:hAnsi="Calibri" w:cs="Calibri"/>
                <w:color w:val="000000"/>
                <w:kern w:val="0"/>
                <w:sz w:val="22"/>
                <w:szCs w:val="22"/>
                <w:lang w:eastAsia="pt-BR"/>
                <w14:ligatures w14:val="none"/>
              </w:rPr>
            </w:pPr>
            <w:r w:rsidRPr="000A06FF">
              <w:rPr>
                <w:rFonts w:ascii="Calibri" w:eastAsia="Times New Roman" w:hAnsi="Calibri" w:cs="Calibri"/>
                <w:color w:val="000000"/>
                <w:kern w:val="0"/>
                <w:sz w:val="22"/>
                <w:szCs w:val="22"/>
                <w:lang w:eastAsia="pt-BR"/>
                <w14:ligatures w14:val="none"/>
              </w:rPr>
              <w:t>Conclusão/TCE</w:t>
            </w:r>
          </w:p>
        </w:tc>
        <w:tc>
          <w:tcPr>
            <w:tcW w:w="96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FBC3619" w14:textId="77777777" w:rsidR="006040D5" w:rsidRPr="000A06FF" w:rsidRDefault="006040D5" w:rsidP="00F757AF">
            <w:pPr>
              <w:spacing w:before="45" w:after="75" w:line="240" w:lineRule="auto"/>
              <w:ind w:left="45" w:right="45"/>
              <w:jc w:val="center"/>
              <w:rPr>
                <w:rFonts w:ascii="Calibri" w:eastAsia="Times New Roman" w:hAnsi="Calibri" w:cs="Calibri"/>
                <w:color w:val="000000"/>
                <w:kern w:val="0"/>
                <w:sz w:val="22"/>
                <w:szCs w:val="22"/>
                <w:lang w:eastAsia="pt-BR"/>
                <w14:ligatures w14:val="none"/>
              </w:rPr>
            </w:pPr>
            <w:r w:rsidRPr="000A06FF">
              <w:rPr>
                <w:rFonts w:ascii="Calibri" w:eastAsia="Times New Roman" w:hAnsi="Calibri" w:cs="Calibri"/>
                <w:color w:val="000000"/>
                <w:kern w:val="0"/>
                <w:sz w:val="22"/>
                <w:szCs w:val="22"/>
                <w:lang w:eastAsia="pt-BR"/>
                <w14:ligatures w14:val="none"/>
              </w:rPr>
              <w:t>EGT7</w:t>
            </w:r>
          </w:p>
        </w:tc>
        <w:tc>
          <w:tcPr>
            <w:tcW w:w="24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274581E" w14:textId="77777777" w:rsidR="006040D5" w:rsidRPr="000A06FF" w:rsidRDefault="006040D5" w:rsidP="00F757AF">
            <w:pPr>
              <w:spacing w:before="45" w:after="75" w:line="240" w:lineRule="auto"/>
              <w:ind w:left="45" w:right="45"/>
              <w:jc w:val="center"/>
              <w:rPr>
                <w:rFonts w:ascii="Calibri" w:eastAsia="Times New Roman" w:hAnsi="Calibri" w:cs="Calibri"/>
                <w:color w:val="000000"/>
                <w:kern w:val="0"/>
                <w:sz w:val="22"/>
                <w:szCs w:val="22"/>
                <w:lang w:eastAsia="pt-BR"/>
                <w14:ligatures w14:val="none"/>
              </w:rPr>
            </w:pPr>
            <w:r w:rsidRPr="000A06FF">
              <w:rPr>
                <w:rFonts w:ascii="Calibri" w:eastAsia="Times New Roman" w:hAnsi="Calibri" w:cs="Calibri"/>
                <w:color w:val="000000"/>
                <w:kern w:val="0"/>
                <w:sz w:val="22"/>
                <w:szCs w:val="22"/>
                <w:lang w:eastAsia="pt-BR"/>
                <w14:ligatures w14:val="none"/>
              </w:rPr>
              <w:t>%</w:t>
            </w:r>
          </w:p>
        </w:tc>
        <w:tc>
          <w:tcPr>
            <w:tcW w:w="2400" w:type="dxa"/>
            <w:tcBorders>
              <w:top w:val="nil"/>
              <w:left w:val="nil"/>
              <w:bottom w:val="single" w:sz="6" w:space="0" w:color="000000"/>
              <w:right w:val="single" w:sz="6" w:space="0" w:color="000000"/>
            </w:tcBorders>
            <w:tcMar>
              <w:top w:w="0" w:type="dxa"/>
              <w:left w:w="75" w:type="dxa"/>
              <w:bottom w:w="0" w:type="dxa"/>
              <w:right w:w="75" w:type="dxa"/>
            </w:tcMar>
            <w:hideMark/>
          </w:tcPr>
          <w:p w14:paraId="64653443" w14:textId="77777777" w:rsidR="006040D5" w:rsidRPr="000A06FF" w:rsidRDefault="006040D5" w:rsidP="00F757AF">
            <w:pPr>
              <w:spacing w:before="45" w:after="75" w:line="240" w:lineRule="auto"/>
              <w:ind w:left="45" w:right="45"/>
              <w:jc w:val="center"/>
              <w:rPr>
                <w:rFonts w:ascii="Calibri" w:eastAsia="Times New Roman" w:hAnsi="Calibri" w:cs="Calibri"/>
                <w:color w:val="000000"/>
                <w:kern w:val="0"/>
                <w:sz w:val="22"/>
                <w:szCs w:val="22"/>
                <w:lang w:eastAsia="pt-BR"/>
                <w14:ligatures w14:val="none"/>
              </w:rPr>
            </w:pPr>
            <w:r w:rsidRPr="000A06FF">
              <w:rPr>
                <w:rFonts w:ascii="Calibri" w:eastAsia="Times New Roman" w:hAnsi="Calibri" w:cs="Calibri"/>
                <w:color w:val="000000"/>
                <w:kern w:val="0"/>
                <w:sz w:val="22"/>
                <w:szCs w:val="22"/>
                <w:lang w:eastAsia="pt-BR"/>
                <w14:ligatures w14:val="none"/>
              </w:rPr>
              <w:t>%</w:t>
            </w:r>
          </w:p>
        </w:tc>
      </w:tr>
    </w:tbl>
    <w:p w14:paraId="337A4BD1" w14:textId="77777777" w:rsidR="006040D5" w:rsidRPr="000A06FF" w:rsidRDefault="006040D5" w:rsidP="006040D5">
      <w:pPr>
        <w:spacing w:before="120" w:after="120" w:line="240" w:lineRule="auto"/>
        <w:jc w:val="center"/>
        <w:rPr>
          <w:rFonts w:ascii="Calibri" w:eastAsia="Times New Roman" w:hAnsi="Calibri" w:cs="Calibri"/>
          <w:b/>
          <w:bCs/>
          <w:caps/>
          <w:color w:val="000000"/>
          <w:kern w:val="0"/>
          <w:sz w:val="27"/>
          <w:szCs w:val="27"/>
          <w:lang w:eastAsia="pt-BR"/>
          <w14:ligatures w14:val="none"/>
        </w:rPr>
      </w:pPr>
      <w:r w:rsidRPr="000A06FF">
        <w:rPr>
          <w:rFonts w:ascii="Calibri" w:eastAsia="Times New Roman" w:hAnsi="Calibri" w:cs="Calibri"/>
          <w:b/>
          <w:bCs/>
          <w:caps/>
          <w:color w:val="000000"/>
          <w:kern w:val="0"/>
          <w:sz w:val="27"/>
          <w:szCs w:val="27"/>
          <w:lang w:eastAsia="pt-BR"/>
          <w14:ligatures w14:val="none"/>
        </w:rPr>
        <w:t> </w:t>
      </w:r>
    </w:p>
    <w:p w14:paraId="11AF894C"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xml:space="preserve">3.10. Referente aos valores dos </w:t>
      </w:r>
      <w:proofErr w:type="spellStart"/>
      <w:r w:rsidRPr="00C957A7">
        <w:rPr>
          <w:rFonts w:ascii="Calibri" w:eastAsia="Times New Roman" w:hAnsi="Calibri" w:cs="Calibri"/>
          <w:color w:val="000000"/>
          <w:kern w:val="0"/>
          <w:lang w:eastAsia="pt-BR"/>
          <w14:ligatures w14:val="none"/>
        </w:rPr>
        <w:t>EGTEs</w:t>
      </w:r>
      <w:proofErr w:type="spellEnd"/>
      <w:r w:rsidRPr="00C957A7">
        <w:rPr>
          <w:rFonts w:ascii="Calibri" w:eastAsia="Times New Roman" w:hAnsi="Calibri" w:cs="Calibri"/>
          <w:color w:val="000000"/>
          <w:kern w:val="0"/>
          <w:lang w:eastAsia="pt-BR"/>
          <w14:ligatures w14:val="none"/>
        </w:rPr>
        <w:t xml:space="preserve"> praticados no âmbito deste CPS, conforme disposto na CLÁUSULA SEXTA – DAS ALTERAÇÕES DE PREÇO, os serviços relacionados às propostas enviadas para a mandatária e contratos de repasse ou termos de compromisso, a depender do caso, celebrados nos exercícios orçamentários subsequentes, serão remunerados por valores acrescidos de atualização monetária, cujas novas tarifas poderão ser incorporadas ao presente instrumento por meio de Termo de Apostilamento.</w:t>
      </w:r>
    </w:p>
    <w:p w14:paraId="1632F3C4"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b/>
          <w:bCs/>
          <w:color w:val="000000"/>
          <w:kern w:val="0"/>
          <w:lang w:eastAsia="pt-BR"/>
          <w14:ligatures w14:val="none"/>
        </w:rPr>
        <w:t xml:space="preserve">3.10.1. A atualização monetária será aplicável somente nos </w:t>
      </w:r>
      <w:proofErr w:type="spellStart"/>
      <w:r w:rsidRPr="00C957A7">
        <w:rPr>
          <w:rFonts w:ascii="Calibri" w:eastAsia="Times New Roman" w:hAnsi="Calibri" w:cs="Calibri"/>
          <w:b/>
          <w:bCs/>
          <w:color w:val="000000"/>
          <w:kern w:val="0"/>
          <w:lang w:eastAsia="pt-BR"/>
          <w14:ligatures w14:val="none"/>
        </w:rPr>
        <w:t>EGTEs</w:t>
      </w:r>
      <w:proofErr w:type="spellEnd"/>
      <w:r w:rsidRPr="00C957A7">
        <w:rPr>
          <w:rFonts w:ascii="Calibri" w:eastAsia="Times New Roman" w:hAnsi="Calibri" w:cs="Calibri"/>
          <w:b/>
          <w:bCs/>
          <w:color w:val="000000"/>
          <w:kern w:val="0"/>
          <w:lang w:eastAsia="pt-BR"/>
          <w14:ligatures w14:val="none"/>
        </w:rPr>
        <w:t>.</w:t>
      </w:r>
    </w:p>
    <w:p w14:paraId="3BBE60CC" w14:textId="77777777" w:rsidR="00C957A7" w:rsidRPr="00C957A7" w:rsidRDefault="00C957A7" w:rsidP="00C957A7">
      <w:pPr>
        <w:spacing w:after="120" w:line="240" w:lineRule="auto"/>
        <w:jc w:val="both"/>
        <w:rPr>
          <w:rFonts w:ascii="Calibri" w:eastAsia="Times New Roman" w:hAnsi="Calibri" w:cs="Calibri"/>
          <w:color w:val="000000"/>
          <w:kern w:val="0"/>
          <w:lang w:eastAsia="pt-BR"/>
          <w14:ligatures w14:val="none"/>
        </w:rPr>
      </w:pPr>
      <w:r w:rsidRPr="00C957A7">
        <w:rPr>
          <w:rFonts w:ascii="Calibri" w:eastAsia="Times New Roman" w:hAnsi="Calibri" w:cs="Calibri"/>
          <w:color w:val="000000"/>
          <w:kern w:val="0"/>
          <w:lang w:eastAsia="pt-BR"/>
          <w14:ligatures w14:val="none"/>
        </w:rPr>
        <w:t xml:space="preserve">3.11. O presente CPS contempla a prestação de serviços dos seguintes </w:t>
      </w:r>
      <w:proofErr w:type="spellStart"/>
      <w:r w:rsidRPr="00C957A7">
        <w:rPr>
          <w:rFonts w:ascii="Calibri" w:eastAsia="Times New Roman" w:hAnsi="Calibri" w:cs="Calibri"/>
          <w:color w:val="000000"/>
          <w:kern w:val="0"/>
          <w:lang w:eastAsia="pt-BR"/>
          <w14:ligatures w14:val="none"/>
        </w:rPr>
        <w:t>EGTs</w:t>
      </w:r>
      <w:proofErr w:type="spellEnd"/>
      <w:r w:rsidRPr="00C957A7">
        <w:rPr>
          <w:rFonts w:ascii="Calibri" w:eastAsia="Times New Roman" w:hAnsi="Calibri" w:cs="Calibri"/>
          <w:color w:val="000000"/>
          <w:kern w:val="0"/>
          <w:lang w:eastAsia="pt-BR"/>
          <w14:ligatures w14:val="none"/>
        </w:rPr>
        <w:t>: XXXXXXXX, e, caso necessite da utilização de EGTE, estes deverão respeitar os valores acordados neste Anexo.</w:t>
      </w:r>
    </w:p>
    <w:p w14:paraId="50A6A61C" w14:textId="67C307D6" w:rsidR="009E091E" w:rsidRPr="009E091E" w:rsidRDefault="009E091E" w:rsidP="009E091E">
      <w:pPr>
        <w:spacing w:after="120" w:line="240" w:lineRule="auto"/>
        <w:jc w:val="both"/>
        <w:rPr>
          <w:rFonts w:ascii="Calibri" w:eastAsia="Times New Roman" w:hAnsi="Calibri" w:cs="Calibri"/>
          <w:color w:val="000000"/>
          <w:kern w:val="0"/>
          <w:lang w:eastAsia="pt-BR"/>
          <w14:ligatures w14:val="none"/>
        </w:rPr>
      </w:pPr>
    </w:p>
    <w:p w14:paraId="5B68D76F" w14:textId="77777777" w:rsidR="00DC047B" w:rsidRPr="00861750" w:rsidRDefault="00DC047B" w:rsidP="00861750">
      <w:pPr>
        <w:spacing w:after="120" w:line="240" w:lineRule="auto"/>
        <w:jc w:val="both"/>
        <w:rPr>
          <w:rFonts w:ascii="Calibri" w:eastAsia="Times New Roman" w:hAnsi="Calibri" w:cs="Calibri"/>
          <w:color w:val="000000"/>
          <w:kern w:val="0"/>
          <w:lang w:eastAsia="pt-BR"/>
          <w14:ligatures w14:val="none"/>
        </w:rPr>
      </w:pPr>
    </w:p>
    <w:p w14:paraId="19D4698D" w14:textId="77777777" w:rsidR="00861750" w:rsidRPr="00861750" w:rsidRDefault="00861750" w:rsidP="00861750">
      <w:pPr>
        <w:spacing w:after="120" w:line="240" w:lineRule="auto"/>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5689C9CD" w14:textId="77777777" w:rsidR="00DE6860" w:rsidRPr="00350F51" w:rsidRDefault="00DE6860" w:rsidP="00861750">
      <w:pPr>
        <w:widowControl w:val="0"/>
        <w:tabs>
          <w:tab w:val="left" w:pos="375"/>
        </w:tabs>
        <w:autoSpaceDE w:val="0"/>
        <w:autoSpaceDN w:val="0"/>
        <w:spacing w:before="123" w:after="0" w:line="235" w:lineRule="auto"/>
        <w:ind w:left="284" w:right="251" w:firstLine="1199"/>
        <w:jc w:val="both"/>
      </w:pPr>
    </w:p>
    <w:sectPr w:rsidR="00DE6860" w:rsidRPr="00350F51" w:rsidSect="00861750">
      <w:pgSz w:w="11900" w:h="16840"/>
      <w:pgMar w:top="920" w:right="425" w:bottom="380" w:left="566" w:header="0" w:footer="18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B17"/>
    <w:multiLevelType w:val="hybridMultilevel"/>
    <w:tmpl w:val="4B44DA9A"/>
    <w:lvl w:ilvl="0" w:tplc="F9C82AA0">
      <w:start w:val="1"/>
      <w:numFmt w:val="upperRoman"/>
      <w:lvlText w:val="%1"/>
      <w:lvlJc w:val="left"/>
      <w:pPr>
        <w:ind w:left="1655" w:hanging="115"/>
      </w:pPr>
      <w:rPr>
        <w:rFonts w:ascii="Calibri" w:eastAsia="Calibri" w:hAnsi="Calibri" w:cs="Calibri" w:hint="default"/>
        <w:b w:val="0"/>
        <w:bCs w:val="0"/>
        <w:i w:val="0"/>
        <w:iCs w:val="0"/>
        <w:spacing w:val="0"/>
        <w:w w:val="100"/>
        <w:sz w:val="24"/>
        <w:szCs w:val="24"/>
        <w:lang w:val="pt-PT" w:eastAsia="en-US" w:bidi="ar-SA"/>
      </w:rPr>
    </w:lvl>
    <w:lvl w:ilvl="1" w:tplc="881C3138">
      <w:numFmt w:val="bullet"/>
      <w:lvlText w:val="•"/>
      <w:lvlJc w:val="left"/>
      <w:pPr>
        <w:ind w:left="2584" w:hanging="115"/>
      </w:pPr>
      <w:rPr>
        <w:rFonts w:hint="default"/>
        <w:lang w:val="pt-PT" w:eastAsia="en-US" w:bidi="ar-SA"/>
      </w:rPr>
    </w:lvl>
    <w:lvl w:ilvl="2" w:tplc="87985FAE">
      <w:numFmt w:val="bullet"/>
      <w:lvlText w:val="•"/>
      <w:lvlJc w:val="left"/>
      <w:pPr>
        <w:ind w:left="3509" w:hanging="115"/>
      </w:pPr>
      <w:rPr>
        <w:rFonts w:hint="default"/>
        <w:lang w:val="pt-PT" w:eastAsia="en-US" w:bidi="ar-SA"/>
      </w:rPr>
    </w:lvl>
    <w:lvl w:ilvl="3" w:tplc="ED0EE86C">
      <w:numFmt w:val="bullet"/>
      <w:lvlText w:val="•"/>
      <w:lvlJc w:val="left"/>
      <w:pPr>
        <w:ind w:left="4434" w:hanging="115"/>
      </w:pPr>
      <w:rPr>
        <w:rFonts w:hint="default"/>
        <w:lang w:val="pt-PT" w:eastAsia="en-US" w:bidi="ar-SA"/>
      </w:rPr>
    </w:lvl>
    <w:lvl w:ilvl="4" w:tplc="0052C3BE">
      <w:numFmt w:val="bullet"/>
      <w:lvlText w:val="•"/>
      <w:lvlJc w:val="left"/>
      <w:pPr>
        <w:ind w:left="5359" w:hanging="115"/>
      </w:pPr>
      <w:rPr>
        <w:rFonts w:hint="default"/>
        <w:lang w:val="pt-PT" w:eastAsia="en-US" w:bidi="ar-SA"/>
      </w:rPr>
    </w:lvl>
    <w:lvl w:ilvl="5" w:tplc="D7C8BD54">
      <w:numFmt w:val="bullet"/>
      <w:lvlText w:val="•"/>
      <w:lvlJc w:val="left"/>
      <w:pPr>
        <w:ind w:left="6284" w:hanging="115"/>
      </w:pPr>
      <w:rPr>
        <w:rFonts w:hint="default"/>
        <w:lang w:val="pt-PT" w:eastAsia="en-US" w:bidi="ar-SA"/>
      </w:rPr>
    </w:lvl>
    <w:lvl w:ilvl="6" w:tplc="EFAE669C">
      <w:numFmt w:val="bullet"/>
      <w:lvlText w:val="•"/>
      <w:lvlJc w:val="left"/>
      <w:pPr>
        <w:ind w:left="7209" w:hanging="115"/>
      </w:pPr>
      <w:rPr>
        <w:rFonts w:hint="default"/>
        <w:lang w:val="pt-PT" w:eastAsia="en-US" w:bidi="ar-SA"/>
      </w:rPr>
    </w:lvl>
    <w:lvl w:ilvl="7" w:tplc="03F4E7CE">
      <w:numFmt w:val="bullet"/>
      <w:lvlText w:val="•"/>
      <w:lvlJc w:val="left"/>
      <w:pPr>
        <w:ind w:left="8134" w:hanging="115"/>
      </w:pPr>
      <w:rPr>
        <w:rFonts w:hint="default"/>
        <w:lang w:val="pt-PT" w:eastAsia="en-US" w:bidi="ar-SA"/>
      </w:rPr>
    </w:lvl>
    <w:lvl w:ilvl="8" w:tplc="79902C56">
      <w:numFmt w:val="bullet"/>
      <w:lvlText w:val="•"/>
      <w:lvlJc w:val="left"/>
      <w:pPr>
        <w:ind w:left="9059" w:hanging="115"/>
      </w:pPr>
      <w:rPr>
        <w:rFonts w:hint="default"/>
        <w:lang w:val="pt-PT" w:eastAsia="en-US" w:bidi="ar-SA"/>
      </w:rPr>
    </w:lvl>
  </w:abstractNum>
  <w:abstractNum w:abstractNumId="1" w15:restartNumberingAfterBreak="0">
    <w:nsid w:val="02226E70"/>
    <w:multiLevelType w:val="hybridMultilevel"/>
    <w:tmpl w:val="03D6885E"/>
    <w:lvl w:ilvl="0" w:tplc="220227E8">
      <w:start w:val="1"/>
      <w:numFmt w:val="upperRoman"/>
      <w:lvlText w:val="%1"/>
      <w:lvlJc w:val="left"/>
      <w:pPr>
        <w:ind w:left="124" w:hanging="201"/>
      </w:pPr>
      <w:rPr>
        <w:rFonts w:ascii="Calibri" w:eastAsia="Calibri" w:hAnsi="Calibri" w:cs="Calibri" w:hint="default"/>
        <w:b w:val="0"/>
        <w:bCs w:val="0"/>
        <w:i w:val="0"/>
        <w:iCs w:val="0"/>
        <w:spacing w:val="0"/>
        <w:w w:val="100"/>
        <w:sz w:val="24"/>
        <w:szCs w:val="24"/>
        <w:lang w:val="pt-PT" w:eastAsia="en-US" w:bidi="ar-SA"/>
      </w:rPr>
    </w:lvl>
    <w:lvl w:ilvl="1" w:tplc="55C2566C">
      <w:numFmt w:val="bullet"/>
      <w:lvlText w:val="•"/>
      <w:lvlJc w:val="left"/>
      <w:pPr>
        <w:ind w:left="1198" w:hanging="201"/>
      </w:pPr>
      <w:rPr>
        <w:rFonts w:hint="default"/>
        <w:lang w:val="pt-PT" w:eastAsia="en-US" w:bidi="ar-SA"/>
      </w:rPr>
    </w:lvl>
    <w:lvl w:ilvl="2" w:tplc="028AE1F8">
      <w:numFmt w:val="bullet"/>
      <w:lvlText w:val="•"/>
      <w:lvlJc w:val="left"/>
      <w:pPr>
        <w:ind w:left="2277" w:hanging="201"/>
      </w:pPr>
      <w:rPr>
        <w:rFonts w:hint="default"/>
        <w:lang w:val="pt-PT" w:eastAsia="en-US" w:bidi="ar-SA"/>
      </w:rPr>
    </w:lvl>
    <w:lvl w:ilvl="3" w:tplc="ABE4EB34">
      <w:numFmt w:val="bullet"/>
      <w:lvlText w:val="•"/>
      <w:lvlJc w:val="left"/>
      <w:pPr>
        <w:ind w:left="3356" w:hanging="201"/>
      </w:pPr>
      <w:rPr>
        <w:rFonts w:hint="default"/>
        <w:lang w:val="pt-PT" w:eastAsia="en-US" w:bidi="ar-SA"/>
      </w:rPr>
    </w:lvl>
    <w:lvl w:ilvl="4" w:tplc="CE80995C">
      <w:numFmt w:val="bullet"/>
      <w:lvlText w:val="•"/>
      <w:lvlJc w:val="left"/>
      <w:pPr>
        <w:ind w:left="4435" w:hanging="201"/>
      </w:pPr>
      <w:rPr>
        <w:rFonts w:hint="default"/>
        <w:lang w:val="pt-PT" w:eastAsia="en-US" w:bidi="ar-SA"/>
      </w:rPr>
    </w:lvl>
    <w:lvl w:ilvl="5" w:tplc="C6926FC2">
      <w:numFmt w:val="bullet"/>
      <w:lvlText w:val="•"/>
      <w:lvlJc w:val="left"/>
      <w:pPr>
        <w:ind w:left="5514" w:hanging="201"/>
      </w:pPr>
      <w:rPr>
        <w:rFonts w:hint="default"/>
        <w:lang w:val="pt-PT" w:eastAsia="en-US" w:bidi="ar-SA"/>
      </w:rPr>
    </w:lvl>
    <w:lvl w:ilvl="6" w:tplc="CAA236E2">
      <w:numFmt w:val="bullet"/>
      <w:lvlText w:val="•"/>
      <w:lvlJc w:val="left"/>
      <w:pPr>
        <w:ind w:left="6593" w:hanging="201"/>
      </w:pPr>
      <w:rPr>
        <w:rFonts w:hint="default"/>
        <w:lang w:val="pt-PT" w:eastAsia="en-US" w:bidi="ar-SA"/>
      </w:rPr>
    </w:lvl>
    <w:lvl w:ilvl="7" w:tplc="F2A406FE">
      <w:numFmt w:val="bullet"/>
      <w:lvlText w:val="•"/>
      <w:lvlJc w:val="left"/>
      <w:pPr>
        <w:ind w:left="7672" w:hanging="201"/>
      </w:pPr>
      <w:rPr>
        <w:rFonts w:hint="default"/>
        <w:lang w:val="pt-PT" w:eastAsia="en-US" w:bidi="ar-SA"/>
      </w:rPr>
    </w:lvl>
    <w:lvl w:ilvl="8" w:tplc="8F8EA946">
      <w:numFmt w:val="bullet"/>
      <w:lvlText w:val="•"/>
      <w:lvlJc w:val="left"/>
      <w:pPr>
        <w:ind w:left="8751" w:hanging="201"/>
      </w:pPr>
      <w:rPr>
        <w:rFonts w:hint="default"/>
        <w:lang w:val="pt-PT" w:eastAsia="en-US" w:bidi="ar-SA"/>
      </w:rPr>
    </w:lvl>
  </w:abstractNum>
  <w:abstractNum w:abstractNumId="2" w15:restartNumberingAfterBreak="0">
    <w:nsid w:val="03976F47"/>
    <w:multiLevelType w:val="hybridMultilevel"/>
    <w:tmpl w:val="8E000A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E33869"/>
    <w:multiLevelType w:val="hybridMultilevel"/>
    <w:tmpl w:val="88B4DEB2"/>
    <w:lvl w:ilvl="0" w:tplc="FD66D300">
      <w:start w:val="1"/>
      <w:numFmt w:val="upperRoman"/>
      <w:lvlText w:val="%1"/>
      <w:lvlJc w:val="left"/>
      <w:pPr>
        <w:ind w:left="124" w:hanging="218"/>
      </w:pPr>
      <w:rPr>
        <w:rFonts w:ascii="Calibri" w:eastAsia="Calibri" w:hAnsi="Calibri" w:cs="Calibri" w:hint="default"/>
        <w:b w:val="0"/>
        <w:bCs w:val="0"/>
        <w:i w:val="0"/>
        <w:iCs w:val="0"/>
        <w:spacing w:val="0"/>
        <w:w w:val="100"/>
        <w:sz w:val="24"/>
        <w:szCs w:val="24"/>
        <w:lang w:val="pt-PT" w:eastAsia="en-US" w:bidi="ar-SA"/>
      </w:rPr>
    </w:lvl>
    <w:lvl w:ilvl="1" w:tplc="2F9CE6C4">
      <w:numFmt w:val="bullet"/>
      <w:lvlText w:val="•"/>
      <w:lvlJc w:val="left"/>
      <w:pPr>
        <w:ind w:left="1198" w:hanging="218"/>
      </w:pPr>
      <w:rPr>
        <w:rFonts w:hint="default"/>
        <w:lang w:val="pt-PT" w:eastAsia="en-US" w:bidi="ar-SA"/>
      </w:rPr>
    </w:lvl>
    <w:lvl w:ilvl="2" w:tplc="83840672">
      <w:numFmt w:val="bullet"/>
      <w:lvlText w:val="•"/>
      <w:lvlJc w:val="left"/>
      <w:pPr>
        <w:ind w:left="2277" w:hanging="218"/>
      </w:pPr>
      <w:rPr>
        <w:rFonts w:hint="default"/>
        <w:lang w:val="pt-PT" w:eastAsia="en-US" w:bidi="ar-SA"/>
      </w:rPr>
    </w:lvl>
    <w:lvl w:ilvl="3" w:tplc="9A80B864">
      <w:numFmt w:val="bullet"/>
      <w:lvlText w:val="•"/>
      <w:lvlJc w:val="left"/>
      <w:pPr>
        <w:ind w:left="3356" w:hanging="218"/>
      </w:pPr>
      <w:rPr>
        <w:rFonts w:hint="default"/>
        <w:lang w:val="pt-PT" w:eastAsia="en-US" w:bidi="ar-SA"/>
      </w:rPr>
    </w:lvl>
    <w:lvl w:ilvl="4" w:tplc="74BCE86E">
      <w:numFmt w:val="bullet"/>
      <w:lvlText w:val="•"/>
      <w:lvlJc w:val="left"/>
      <w:pPr>
        <w:ind w:left="4435" w:hanging="218"/>
      </w:pPr>
      <w:rPr>
        <w:rFonts w:hint="default"/>
        <w:lang w:val="pt-PT" w:eastAsia="en-US" w:bidi="ar-SA"/>
      </w:rPr>
    </w:lvl>
    <w:lvl w:ilvl="5" w:tplc="5CF803B6">
      <w:numFmt w:val="bullet"/>
      <w:lvlText w:val="•"/>
      <w:lvlJc w:val="left"/>
      <w:pPr>
        <w:ind w:left="5514" w:hanging="218"/>
      </w:pPr>
      <w:rPr>
        <w:rFonts w:hint="default"/>
        <w:lang w:val="pt-PT" w:eastAsia="en-US" w:bidi="ar-SA"/>
      </w:rPr>
    </w:lvl>
    <w:lvl w:ilvl="6" w:tplc="BA9C9FFC">
      <w:numFmt w:val="bullet"/>
      <w:lvlText w:val="•"/>
      <w:lvlJc w:val="left"/>
      <w:pPr>
        <w:ind w:left="6593" w:hanging="218"/>
      </w:pPr>
      <w:rPr>
        <w:rFonts w:hint="default"/>
        <w:lang w:val="pt-PT" w:eastAsia="en-US" w:bidi="ar-SA"/>
      </w:rPr>
    </w:lvl>
    <w:lvl w:ilvl="7" w:tplc="FCE8100E">
      <w:numFmt w:val="bullet"/>
      <w:lvlText w:val="•"/>
      <w:lvlJc w:val="left"/>
      <w:pPr>
        <w:ind w:left="7672" w:hanging="218"/>
      </w:pPr>
      <w:rPr>
        <w:rFonts w:hint="default"/>
        <w:lang w:val="pt-PT" w:eastAsia="en-US" w:bidi="ar-SA"/>
      </w:rPr>
    </w:lvl>
    <w:lvl w:ilvl="8" w:tplc="68668878">
      <w:numFmt w:val="bullet"/>
      <w:lvlText w:val="•"/>
      <w:lvlJc w:val="left"/>
      <w:pPr>
        <w:ind w:left="8751" w:hanging="218"/>
      </w:pPr>
      <w:rPr>
        <w:rFonts w:hint="default"/>
        <w:lang w:val="pt-PT" w:eastAsia="en-US" w:bidi="ar-SA"/>
      </w:rPr>
    </w:lvl>
  </w:abstractNum>
  <w:abstractNum w:abstractNumId="4" w15:restartNumberingAfterBreak="0">
    <w:nsid w:val="055707DA"/>
    <w:multiLevelType w:val="hybridMultilevel"/>
    <w:tmpl w:val="932CA1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6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250777"/>
    <w:multiLevelType w:val="hybridMultilevel"/>
    <w:tmpl w:val="150E3B28"/>
    <w:lvl w:ilvl="0" w:tplc="C958D3A8">
      <w:start w:val="1"/>
      <w:numFmt w:val="upperRoman"/>
      <w:lvlText w:val="%1"/>
      <w:lvlJc w:val="left"/>
      <w:pPr>
        <w:ind w:left="1655" w:hanging="115"/>
      </w:pPr>
      <w:rPr>
        <w:rFonts w:ascii="Calibri" w:eastAsia="Calibri" w:hAnsi="Calibri" w:cs="Calibri" w:hint="default"/>
        <w:b w:val="0"/>
        <w:bCs w:val="0"/>
        <w:i w:val="0"/>
        <w:iCs w:val="0"/>
        <w:spacing w:val="0"/>
        <w:w w:val="100"/>
        <w:sz w:val="24"/>
        <w:szCs w:val="24"/>
        <w:lang w:val="pt-PT" w:eastAsia="en-US" w:bidi="ar-SA"/>
      </w:rPr>
    </w:lvl>
    <w:lvl w:ilvl="1" w:tplc="90D232D6">
      <w:numFmt w:val="bullet"/>
      <w:lvlText w:val="•"/>
      <w:lvlJc w:val="left"/>
      <w:pPr>
        <w:ind w:left="2584" w:hanging="115"/>
      </w:pPr>
      <w:rPr>
        <w:rFonts w:hint="default"/>
        <w:lang w:val="pt-PT" w:eastAsia="en-US" w:bidi="ar-SA"/>
      </w:rPr>
    </w:lvl>
    <w:lvl w:ilvl="2" w:tplc="B6CAF5F2">
      <w:numFmt w:val="bullet"/>
      <w:lvlText w:val="•"/>
      <w:lvlJc w:val="left"/>
      <w:pPr>
        <w:ind w:left="3509" w:hanging="115"/>
      </w:pPr>
      <w:rPr>
        <w:rFonts w:hint="default"/>
        <w:lang w:val="pt-PT" w:eastAsia="en-US" w:bidi="ar-SA"/>
      </w:rPr>
    </w:lvl>
    <w:lvl w:ilvl="3" w:tplc="C7AA5986">
      <w:numFmt w:val="bullet"/>
      <w:lvlText w:val="•"/>
      <w:lvlJc w:val="left"/>
      <w:pPr>
        <w:ind w:left="4434" w:hanging="115"/>
      </w:pPr>
      <w:rPr>
        <w:rFonts w:hint="default"/>
        <w:lang w:val="pt-PT" w:eastAsia="en-US" w:bidi="ar-SA"/>
      </w:rPr>
    </w:lvl>
    <w:lvl w:ilvl="4" w:tplc="E26E2A4A">
      <w:numFmt w:val="bullet"/>
      <w:lvlText w:val="•"/>
      <w:lvlJc w:val="left"/>
      <w:pPr>
        <w:ind w:left="5359" w:hanging="115"/>
      </w:pPr>
      <w:rPr>
        <w:rFonts w:hint="default"/>
        <w:lang w:val="pt-PT" w:eastAsia="en-US" w:bidi="ar-SA"/>
      </w:rPr>
    </w:lvl>
    <w:lvl w:ilvl="5" w:tplc="C102ED2C">
      <w:numFmt w:val="bullet"/>
      <w:lvlText w:val="•"/>
      <w:lvlJc w:val="left"/>
      <w:pPr>
        <w:ind w:left="6284" w:hanging="115"/>
      </w:pPr>
      <w:rPr>
        <w:rFonts w:hint="default"/>
        <w:lang w:val="pt-PT" w:eastAsia="en-US" w:bidi="ar-SA"/>
      </w:rPr>
    </w:lvl>
    <w:lvl w:ilvl="6" w:tplc="5FE89D50">
      <w:numFmt w:val="bullet"/>
      <w:lvlText w:val="•"/>
      <w:lvlJc w:val="left"/>
      <w:pPr>
        <w:ind w:left="7209" w:hanging="115"/>
      </w:pPr>
      <w:rPr>
        <w:rFonts w:hint="default"/>
        <w:lang w:val="pt-PT" w:eastAsia="en-US" w:bidi="ar-SA"/>
      </w:rPr>
    </w:lvl>
    <w:lvl w:ilvl="7" w:tplc="A5D0CCE4">
      <w:numFmt w:val="bullet"/>
      <w:lvlText w:val="•"/>
      <w:lvlJc w:val="left"/>
      <w:pPr>
        <w:ind w:left="8134" w:hanging="115"/>
      </w:pPr>
      <w:rPr>
        <w:rFonts w:hint="default"/>
        <w:lang w:val="pt-PT" w:eastAsia="en-US" w:bidi="ar-SA"/>
      </w:rPr>
    </w:lvl>
    <w:lvl w:ilvl="8" w:tplc="E4C4CF5A">
      <w:numFmt w:val="bullet"/>
      <w:lvlText w:val="•"/>
      <w:lvlJc w:val="left"/>
      <w:pPr>
        <w:ind w:left="9059" w:hanging="115"/>
      </w:pPr>
      <w:rPr>
        <w:rFonts w:hint="default"/>
        <w:lang w:val="pt-PT" w:eastAsia="en-US" w:bidi="ar-SA"/>
      </w:rPr>
    </w:lvl>
  </w:abstractNum>
  <w:abstractNum w:abstractNumId="6" w15:restartNumberingAfterBreak="0">
    <w:nsid w:val="33115716"/>
    <w:multiLevelType w:val="hybridMultilevel"/>
    <w:tmpl w:val="51BC2242"/>
    <w:lvl w:ilvl="0" w:tplc="8D80EB0C">
      <w:start w:val="1"/>
      <w:numFmt w:val="upperRoman"/>
      <w:lvlText w:val="%1"/>
      <w:lvlJc w:val="left"/>
      <w:pPr>
        <w:ind w:left="124" w:hanging="146"/>
      </w:pPr>
      <w:rPr>
        <w:rFonts w:ascii="Calibri" w:eastAsia="Calibri" w:hAnsi="Calibri" w:cs="Calibri" w:hint="default"/>
        <w:b w:val="0"/>
        <w:bCs w:val="0"/>
        <w:i w:val="0"/>
        <w:iCs w:val="0"/>
        <w:spacing w:val="0"/>
        <w:w w:val="100"/>
        <w:sz w:val="24"/>
        <w:szCs w:val="24"/>
        <w:lang w:val="pt-PT" w:eastAsia="en-US" w:bidi="ar-SA"/>
      </w:rPr>
    </w:lvl>
    <w:lvl w:ilvl="1" w:tplc="D3248660">
      <w:numFmt w:val="bullet"/>
      <w:lvlText w:val="•"/>
      <w:lvlJc w:val="left"/>
      <w:pPr>
        <w:ind w:left="1198" w:hanging="146"/>
      </w:pPr>
      <w:rPr>
        <w:rFonts w:hint="default"/>
        <w:lang w:val="pt-PT" w:eastAsia="en-US" w:bidi="ar-SA"/>
      </w:rPr>
    </w:lvl>
    <w:lvl w:ilvl="2" w:tplc="89CE31E2">
      <w:numFmt w:val="bullet"/>
      <w:lvlText w:val="•"/>
      <w:lvlJc w:val="left"/>
      <w:pPr>
        <w:ind w:left="2277" w:hanging="146"/>
      </w:pPr>
      <w:rPr>
        <w:rFonts w:hint="default"/>
        <w:lang w:val="pt-PT" w:eastAsia="en-US" w:bidi="ar-SA"/>
      </w:rPr>
    </w:lvl>
    <w:lvl w:ilvl="3" w:tplc="FBB4D098">
      <w:numFmt w:val="bullet"/>
      <w:lvlText w:val="•"/>
      <w:lvlJc w:val="left"/>
      <w:pPr>
        <w:ind w:left="3356" w:hanging="146"/>
      </w:pPr>
      <w:rPr>
        <w:rFonts w:hint="default"/>
        <w:lang w:val="pt-PT" w:eastAsia="en-US" w:bidi="ar-SA"/>
      </w:rPr>
    </w:lvl>
    <w:lvl w:ilvl="4" w:tplc="E15054D2">
      <w:numFmt w:val="bullet"/>
      <w:lvlText w:val="•"/>
      <w:lvlJc w:val="left"/>
      <w:pPr>
        <w:ind w:left="4435" w:hanging="146"/>
      </w:pPr>
      <w:rPr>
        <w:rFonts w:hint="default"/>
        <w:lang w:val="pt-PT" w:eastAsia="en-US" w:bidi="ar-SA"/>
      </w:rPr>
    </w:lvl>
    <w:lvl w:ilvl="5" w:tplc="52D4147A">
      <w:numFmt w:val="bullet"/>
      <w:lvlText w:val="•"/>
      <w:lvlJc w:val="left"/>
      <w:pPr>
        <w:ind w:left="5514" w:hanging="146"/>
      </w:pPr>
      <w:rPr>
        <w:rFonts w:hint="default"/>
        <w:lang w:val="pt-PT" w:eastAsia="en-US" w:bidi="ar-SA"/>
      </w:rPr>
    </w:lvl>
    <w:lvl w:ilvl="6" w:tplc="E864FEA0">
      <w:numFmt w:val="bullet"/>
      <w:lvlText w:val="•"/>
      <w:lvlJc w:val="left"/>
      <w:pPr>
        <w:ind w:left="6593" w:hanging="146"/>
      </w:pPr>
      <w:rPr>
        <w:rFonts w:hint="default"/>
        <w:lang w:val="pt-PT" w:eastAsia="en-US" w:bidi="ar-SA"/>
      </w:rPr>
    </w:lvl>
    <w:lvl w:ilvl="7" w:tplc="C6E86398">
      <w:numFmt w:val="bullet"/>
      <w:lvlText w:val="•"/>
      <w:lvlJc w:val="left"/>
      <w:pPr>
        <w:ind w:left="7672" w:hanging="146"/>
      </w:pPr>
      <w:rPr>
        <w:rFonts w:hint="default"/>
        <w:lang w:val="pt-PT" w:eastAsia="en-US" w:bidi="ar-SA"/>
      </w:rPr>
    </w:lvl>
    <w:lvl w:ilvl="8" w:tplc="40186DA6">
      <w:numFmt w:val="bullet"/>
      <w:lvlText w:val="•"/>
      <w:lvlJc w:val="left"/>
      <w:pPr>
        <w:ind w:left="8751" w:hanging="146"/>
      </w:pPr>
      <w:rPr>
        <w:rFonts w:hint="default"/>
        <w:lang w:val="pt-PT" w:eastAsia="en-US" w:bidi="ar-SA"/>
      </w:rPr>
    </w:lvl>
  </w:abstractNum>
  <w:abstractNum w:abstractNumId="7" w15:restartNumberingAfterBreak="0">
    <w:nsid w:val="35942798"/>
    <w:multiLevelType w:val="hybridMultilevel"/>
    <w:tmpl w:val="74AEAFDC"/>
    <w:lvl w:ilvl="0" w:tplc="3A60CFC8">
      <w:start w:val="1"/>
      <w:numFmt w:val="upperRoman"/>
      <w:lvlText w:val="%1"/>
      <w:lvlJc w:val="left"/>
      <w:pPr>
        <w:ind w:left="257" w:hanging="129"/>
      </w:pPr>
      <w:rPr>
        <w:rFonts w:ascii="Calibri" w:eastAsia="Calibri" w:hAnsi="Calibri" w:cs="Calibri" w:hint="default"/>
        <w:b w:val="0"/>
        <w:bCs w:val="0"/>
        <w:i w:val="0"/>
        <w:iCs w:val="0"/>
        <w:spacing w:val="0"/>
        <w:w w:val="100"/>
        <w:sz w:val="24"/>
        <w:szCs w:val="24"/>
        <w:lang w:val="pt-PT" w:eastAsia="en-US" w:bidi="ar-SA"/>
      </w:rPr>
    </w:lvl>
    <w:lvl w:ilvl="1" w:tplc="E04E9166">
      <w:start w:val="1"/>
      <w:numFmt w:val="lowerLetter"/>
      <w:lvlText w:val="%2)"/>
      <w:lvlJc w:val="left"/>
      <w:pPr>
        <w:ind w:left="365" w:hanging="242"/>
      </w:pPr>
      <w:rPr>
        <w:rFonts w:ascii="Calibri" w:eastAsia="Calibri" w:hAnsi="Calibri" w:cs="Calibri" w:hint="default"/>
        <w:b w:val="0"/>
        <w:bCs w:val="0"/>
        <w:i w:val="0"/>
        <w:iCs w:val="0"/>
        <w:spacing w:val="-1"/>
        <w:w w:val="100"/>
        <w:sz w:val="24"/>
        <w:szCs w:val="24"/>
        <w:lang w:val="pt-PT" w:eastAsia="en-US" w:bidi="ar-SA"/>
      </w:rPr>
    </w:lvl>
    <w:lvl w:ilvl="2" w:tplc="66089E3C">
      <w:start w:val="1"/>
      <w:numFmt w:val="upperRoman"/>
      <w:lvlText w:val="%3"/>
      <w:lvlJc w:val="left"/>
      <w:pPr>
        <w:ind w:left="124" w:hanging="240"/>
      </w:pPr>
      <w:rPr>
        <w:rFonts w:ascii="Calibri" w:eastAsia="Calibri" w:hAnsi="Calibri" w:cs="Calibri" w:hint="default"/>
        <w:b w:val="0"/>
        <w:bCs w:val="0"/>
        <w:i w:val="0"/>
        <w:iCs w:val="0"/>
        <w:spacing w:val="0"/>
        <w:w w:val="100"/>
        <w:sz w:val="24"/>
        <w:szCs w:val="24"/>
        <w:lang w:val="pt-PT" w:eastAsia="en-US" w:bidi="ar-SA"/>
      </w:rPr>
    </w:lvl>
    <w:lvl w:ilvl="3" w:tplc="115AF8F8">
      <w:numFmt w:val="bullet"/>
      <w:lvlText w:val="•"/>
      <w:lvlJc w:val="left"/>
      <w:pPr>
        <w:ind w:left="1501" w:hanging="240"/>
      </w:pPr>
      <w:rPr>
        <w:rFonts w:hint="default"/>
        <w:lang w:val="pt-PT" w:eastAsia="en-US" w:bidi="ar-SA"/>
      </w:rPr>
    </w:lvl>
    <w:lvl w:ilvl="4" w:tplc="DE14516E">
      <w:numFmt w:val="bullet"/>
      <w:lvlText w:val="•"/>
      <w:lvlJc w:val="left"/>
      <w:pPr>
        <w:ind w:left="2643" w:hanging="240"/>
      </w:pPr>
      <w:rPr>
        <w:rFonts w:hint="default"/>
        <w:lang w:val="pt-PT" w:eastAsia="en-US" w:bidi="ar-SA"/>
      </w:rPr>
    </w:lvl>
    <w:lvl w:ilvl="5" w:tplc="58C62C66">
      <w:numFmt w:val="bullet"/>
      <w:lvlText w:val="•"/>
      <w:lvlJc w:val="left"/>
      <w:pPr>
        <w:ind w:left="3784" w:hanging="240"/>
      </w:pPr>
      <w:rPr>
        <w:rFonts w:hint="default"/>
        <w:lang w:val="pt-PT" w:eastAsia="en-US" w:bidi="ar-SA"/>
      </w:rPr>
    </w:lvl>
    <w:lvl w:ilvl="6" w:tplc="94AAC038">
      <w:numFmt w:val="bullet"/>
      <w:lvlText w:val="•"/>
      <w:lvlJc w:val="left"/>
      <w:pPr>
        <w:ind w:left="4926" w:hanging="240"/>
      </w:pPr>
      <w:rPr>
        <w:rFonts w:hint="default"/>
        <w:lang w:val="pt-PT" w:eastAsia="en-US" w:bidi="ar-SA"/>
      </w:rPr>
    </w:lvl>
    <w:lvl w:ilvl="7" w:tplc="958A6772">
      <w:numFmt w:val="bullet"/>
      <w:lvlText w:val="•"/>
      <w:lvlJc w:val="left"/>
      <w:pPr>
        <w:ind w:left="6067" w:hanging="240"/>
      </w:pPr>
      <w:rPr>
        <w:rFonts w:hint="default"/>
        <w:lang w:val="pt-PT" w:eastAsia="en-US" w:bidi="ar-SA"/>
      </w:rPr>
    </w:lvl>
    <w:lvl w:ilvl="8" w:tplc="01509562">
      <w:numFmt w:val="bullet"/>
      <w:lvlText w:val="•"/>
      <w:lvlJc w:val="left"/>
      <w:pPr>
        <w:ind w:left="7209" w:hanging="240"/>
      </w:pPr>
      <w:rPr>
        <w:rFonts w:hint="default"/>
        <w:lang w:val="pt-PT" w:eastAsia="en-US" w:bidi="ar-SA"/>
      </w:rPr>
    </w:lvl>
  </w:abstractNum>
  <w:abstractNum w:abstractNumId="8" w15:restartNumberingAfterBreak="0">
    <w:nsid w:val="3770722B"/>
    <w:multiLevelType w:val="hybridMultilevel"/>
    <w:tmpl w:val="3DBA57E6"/>
    <w:lvl w:ilvl="0" w:tplc="97A87F18">
      <w:start w:val="1"/>
      <w:numFmt w:val="upperRoman"/>
      <w:lvlText w:val="%1"/>
      <w:lvlJc w:val="left"/>
      <w:pPr>
        <w:ind w:left="124" w:hanging="174"/>
      </w:pPr>
      <w:rPr>
        <w:rFonts w:ascii="Calibri" w:eastAsia="Calibri" w:hAnsi="Calibri" w:cs="Calibri" w:hint="default"/>
        <w:b w:val="0"/>
        <w:bCs w:val="0"/>
        <w:i w:val="0"/>
        <w:iCs w:val="0"/>
        <w:spacing w:val="0"/>
        <w:w w:val="100"/>
        <w:sz w:val="24"/>
        <w:szCs w:val="24"/>
        <w:lang w:val="pt-PT" w:eastAsia="en-US" w:bidi="ar-SA"/>
      </w:rPr>
    </w:lvl>
    <w:lvl w:ilvl="1" w:tplc="2C449470">
      <w:numFmt w:val="bullet"/>
      <w:lvlText w:val="•"/>
      <w:lvlJc w:val="left"/>
      <w:pPr>
        <w:ind w:left="1198" w:hanging="174"/>
      </w:pPr>
      <w:rPr>
        <w:rFonts w:hint="default"/>
        <w:lang w:val="pt-PT" w:eastAsia="en-US" w:bidi="ar-SA"/>
      </w:rPr>
    </w:lvl>
    <w:lvl w:ilvl="2" w:tplc="0BB2062C">
      <w:numFmt w:val="bullet"/>
      <w:lvlText w:val="•"/>
      <w:lvlJc w:val="left"/>
      <w:pPr>
        <w:ind w:left="2277" w:hanging="174"/>
      </w:pPr>
      <w:rPr>
        <w:rFonts w:hint="default"/>
        <w:lang w:val="pt-PT" w:eastAsia="en-US" w:bidi="ar-SA"/>
      </w:rPr>
    </w:lvl>
    <w:lvl w:ilvl="3" w:tplc="09F0A526">
      <w:numFmt w:val="bullet"/>
      <w:lvlText w:val="•"/>
      <w:lvlJc w:val="left"/>
      <w:pPr>
        <w:ind w:left="3356" w:hanging="174"/>
      </w:pPr>
      <w:rPr>
        <w:rFonts w:hint="default"/>
        <w:lang w:val="pt-PT" w:eastAsia="en-US" w:bidi="ar-SA"/>
      </w:rPr>
    </w:lvl>
    <w:lvl w:ilvl="4" w:tplc="449EAE86">
      <w:numFmt w:val="bullet"/>
      <w:lvlText w:val="•"/>
      <w:lvlJc w:val="left"/>
      <w:pPr>
        <w:ind w:left="4435" w:hanging="174"/>
      </w:pPr>
      <w:rPr>
        <w:rFonts w:hint="default"/>
        <w:lang w:val="pt-PT" w:eastAsia="en-US" w:bidi="ar-SA"/>
      </w:rPr>
    </w:lvl>
    <w:lvl w:ilvl="5" w:tplc="C8BC5FA0">
      <w:numFmt w:val="bullet"/>
      <w:lvlText w:val="•"/>
      <w:lvlJc w:val="left"/>
      <w:pPr>
        <w:ind w:left="5514" w:hanging="174"/>
      </w:pPr>
      <w:rPr>
        <w:rFonts w:hint="default"/>
        <w:lang w:val="pt-PT" w:eastAsia="en-US" w:bidi="ar-SA"/>
      </w:rPr>
    </w:lvl>
    <w:lvl w:ilvl="6" w:tplc="0226BB2E">
      <w:numFmt w:val="bullet"/>
      <w:lvlText w:val="•"/>
      <w:lvlJc w:val="left"/>
      <w:pPr>
        <w:ind w:left="6593" w:hanging="174"/>
      </w:pPr>
      <w:rPr>
        <w:rFonts w:hint="default"/>
        <w:lang w:val="pt-PT" w:eastAsia="en-US" w:bidi="ar-SA"/>
      </w:rPr>
    </w:lvl>
    <w:lvl w:ilvl="7" w:tplc="7FEADC1E">
      <w:numFmt w:val="bullet"/>
      <w:lvlText w:val="•"/>
      <w:lvlJc w:val="left"/>
      <w:pPr>
        <w:ind w:left="7672" w:hanging="174"/>
      </w:pPr>
      <w:rPr>
        <w:rFonts w:hint="default"/>
        <w:lang w:val="pt-PT" w:eastAsia="en-US" w:bidi="ar-SA"/>
      </w:rPr>
    </w:lvl>
    <w:lvl w:ilvl="8" w:tplc="11E84404">
      <w:numFmt w:val="bullet"/>
      <w:lvlText w:val="•"/>
      <w:lvlJc w:val="left"/>
      <w:pPr>
        <w:ind w:left="8751" w:hanging="174"/>
      </w:pPr>
      <w:rPr>
        <w:rFonts w:hint="default"/>
        <w:lang w:val="pt-PT" w:eastAsia="en-US" w:bidi="ar-SA"/>
      </w:rPr>
    </w:lvl>
  </w:abstractNum>
  <w:abstractNum w:abstractNumId="9" w15:restartNumberingAfterBreak="0">
    <w:nsid w:val="58283E0E"/>
    <w:multiLevelType w:val="hybridMultilevel"/>
    <w:tmpl w:val="A97C668C"/>
    <w:lvl w:ilvl="0" w:tplc="8C703BCC">
      <w:start w:val="1"/>
      <w:numFmt w:val="upperRoman"/>
      <w:lvlText w:val="%1"/>
      <w:lvlJc w:val="left"/>
      <w:pPr>
        <w:ind w:left="124" w:hanging="151"/>
      </w:pPr>
      <w:rPr>
        <w:rFonts w:ascii="Calibri" w:eastAsia="Calibri" w:hAnsi="Calibri" w:cs="Calibri" w:hint="default"/>
        <w:b w:val="0"/>
        <w:bCs w:val="0"/>
        <w:i w:val="0"/>
        <w:iCs w:val="0"/>
        <w:spacing w:val="0"/>
        <w:w w:val="100"/>
        <w:sz w:val="24"/>
        <w:szCs w:val="24"/>
        <w:lang w:val="pt-PT" w:eastAsia="en-US" w:bidi="ar-SA"/>
      </w:rPr>
    </w:lvl>
    <w:lvl w:ilvl="1" w:tplc="793091D6">
      <w:numFmt w:val="bullet"/>
      <w:lvlText w:val="•"/>
      <w:lvlJc w:val="left"/>
      <w:pPr>
        <w:ind w:left="1198" w:hanging="151"/>
      </w:pPr>
      <w:rPr>
        <w:rFonts w:hint="default"/>
        <w:lang w:val="pt-PT" w:eastAsia="en-US" w:bidi="ar-SA"/>
      </w:rPr>
    </w:lvl>
    <w:lvl w:ilvl="2" w:tplc="5562FC7A">
      <w:numFmt w:val="bullet"/>
      <w:lvlText w:val="•"/>
      <w:lvlJc w:val="left"/>
      <w:pPr>
        <w:ind w:left="2277" w:hanging="151"/>
      </w:pPr>
      <w:rPr>
        <w:rFonts w:hint="default"/>
        <w:lang w:val="pt-PT" w:eastAsia="en-US" w:bidi="ar-SA"/>
      </w:rPr>
    </w:lvl>
    <w:lvl w:ilvl="3" w:tplc="9C7CC7CC">
      <w:numFmt w:val="bullet"/>
      <w:lvlText w:val="•"/>
      <w:lvlJc w:val="left"/>
      <w:pPr>
        <w:ind w:left="3356" w:hanging="151"/>
      </w:pPr>
      <w:rPr>
        <w:rFonts w:hint="default"/>
        <w:lang w:val="pt-PT" w:eastAsia="en-US" w:bidi="ar-SA"/>
      </w:rPr>
    </w:lvl>
    <w:lvl w:ilvl="4" w:tplc="5D40E2E0">
      <w:numFmt w:val="bullet"/>
      <w:lvlText w:val="•"/>
      <w:lvlJc w:val="left"/>
      <w:pPr>
        <w:ind w:left="4435" w:hanging="151"/>
      </w:pPr>
      <w:rPr>
        <w:rFonts w:hint="default"/>
        <w:lang w:val="pt-PT" w:eastAsia="en-US" w:bidi="ar-SA"/>
      </w:rPr>
    </w:lvl>
    <w:lvl w:ilvl="5" w:tplc="68667D20">
      <w:numFmt w:val="bullet"/>
      <w:lvlText w:val="•"/>
      <w:lvlJc w:val="left"/>
      <w:pPr>
        <w:ind w:left="5514" w:hanging="151"/>
      </w:pPr>
      <w:rPr>
        <w:rFonts w:hint="default"/>
        <w:lang w:val="pt-PT" w:eastAsia="en-US" w:bidi="ar-SA"/>
      </w:rPr>
    </w:lvl>
    <w:lvl w:ilvl="6" w:tplc="D11CAC44">
      <w:numFmt w:val="bullet"/>
      <w:lvlText w:val="•"/>
      <w:lvlJc w:val="left"/>
      <w:pPr>
        <w:ind w:left="6593" w:hanging="151"/>
      </w:pPr>
      <w:rPr>
        <w:rFonts w:hint="default"/>
        <w:lang w:val="pt-PT" w:eastAsia="en-US" w:bidi="ar-SA"/>
      </w:rPr>
    </w:lvl>
    <w:lvl w:ilvl="7" w:tplc="3822CBB2">
      <w:numFmt w:val="bullet"/>
      <w:lvlText w:val="•"/>
      <w:lvlJc w:val="left"/>
      <w:pPr>
        <w:ind w:left="7672" w:hanging="151"/>
      </w:pPr>
      <w:rPr>
        <w:rFonts w:hint="default"/>
        <w:lang w:val="pt-PT" w:eastAsia="en-US" w:bidi="ar-SA"/>
      </w:rPr>
    </w:lvl>
    <w:lvl w:ilvl="8" w:tplc="E15E981E">
      <w:numFmt w:val="bullet"/>
      <w:lvlText w:val="•"/>
      <w:lvlJc w:val="left"/>
      <w:pPr>
        <w:ind w:left="8751" w:hanging="151"/>
      </w:pPr>
      <w:rPr>
        <w:rFonts w:hint="default"/>
        <w:lang w:val="pt-PT" w:eastAsia="en-US" w:bidi="ar-SA"/>
      </w:rPr>
    </w:lvl>
  </w:abstractNum>
  <w:abstractNum w:abstractNumId="10" w15:restartNumberingAfterBreak="0">
    <w:nsid w:val="5AEA0534"/>
    <w:multiLevelType w:val="hybridMultilevel"/>
    <w:tmpl w:val="A3F0DCF0"/>
    <w:lvl w:ilvl="0" w:tplc="78329D5E">
      <w:start w:val="1"/>
      <w:numFmt w:val="upperRoman"/>
      <w:lvlText w:val="%1"/>
      <w:lvlJc w:val="left"/>
      <w:pPr>
        <w:ind w:left="124" w:hanging="132"/>
      </w:pPr>
      <w:rPr>
        <w:rFonts w:ascii="Calibri" w:eastAsia="Calibri" w:hAnsi="Calibri" w:cs="Calibri" w:hint="default"/>
        <w:b w:val="0"/>
        <w:bCs w:val="0"/>
        <w:i w:val="0"/>
        <w:iCs w:val="0"/>
        <w:spacing w:val="0"/>
        <w:w w:val="100"/>
        <w:sz w:val="24"/>
        <w:szCs w:val="24"/>
        <w:lang w:val="pt-PT" w:eastAsia="en-US" w:bidi="ar-SA"/>
      </w:rPr>
    </w:lvl>
    <w:lvl w:ilvl="1" w:tplc="86EEC354">
      <w:numFmt w:val="bullet"/>
      <w:lvlText w:val="•"/>
      <w:lvlJc w:val="left"/>
      <w:pPr>
        <w:ind w:left="1198" w:hanging="132"/>
      </w:pPr>
      <w:rPr>
        <w:rFonts w:hint="default"/>
        <w:lang w:val="pt-PT" w:eastAsia="en-US" w:bidi="ar-SA"/>
      </w:rPr>
    </w:lvl>
    <w:lvl w:ilvl="2" w:tplc="FF68EF6C">
      <w:numFmt w:val="bullet"/>
      <w:lvlText w:val="•"/>
      <w:lvlJc w:val="left"/>
      <w:pPr>
        <w:ind w:left="2277" w:hanging="132"/>
      </w:pPr>
      <w:rPr>
        <w:rFonts w:hint="default"/>
        <w:lang w:val="pt-PT" w:eastAsia="en-US" w:bidi="ar-SA"/>
      </w:rPr>
    </w:lvl>
    <w:lvl w:ilvl="3" w:tplc="8ED04D58">
      <w:numFmt w:val="bullet"/>
      <w:lvlText w:val="•"/>
      <w:lvlJc w:val="left"/>
      <w:pPr>
        <w:ind w:left="3356" w:hanging="132"/>
      </w:pPr>
      <w:rPr>
        <w:rFonts w:hint="default"/>
        <w:lang w:val="pt-PT" w:eastAsia="en-US" w:bidi="ar-SA"/>
      </w:rPr>
    </w:lvl>
    <w:lvl w:ilvl="4" w:tplc="7D42DE9A">
      <w:numFmt w:val="bullet"/>
      <w:lvlText w:val="•"/>
      <w:lvlJc w:val="left"/>
      <w:pPr>
        <w:ind w:left="4435" w:hanging="132"/>
      </w:pPr>
      <w:rPr>
        <w:rFonts w:hint="default"/>
        <w:lang w:val="pt-PT" w:eastAsia="en-US" w:bidi="ar-SA"/>
      </w:rPr>
    </w:lvl>
    <w:lvl w:ilvl="5" w:tplc="4ACE2010">
      <w:numFmt w:val="bullet"/>
      <w:lvlText w:val="•"/>
      <w:lvlJc w:val="left"/>
      <w:pPr>
        <w:ind w:left="5514" w:hanging="132"/>
      </w:pPr>
      <w:rPr>
        <w:rFonts w:hint="default"/>
        <w:lang w:val="pt-PT" w:eastAsia="en-US" w:bidi="ar-SA"/>
      </w:rPr>
    </w:lvl>
    <w:lvl w:ilvl="6" w:tplc="5C92BBD2">
      <w:numFmt w:val="bullet"/>
      <w:lvlText w:val="•"/>
      <w:lvlJc w:val="left"/>
      <w:pPr>
        <w:ind w:left="6593" w:hanging="132"/>
      </w:pPr>
      <w:rPr>
        <w:rFonts w:hint="default"/>
        <w:lang w:val="pt-PT" w:eastAsia="en-US" w:bidi="ar-SA"/>
      </w:rPr>
    </w:lvl>
    <w:lvl w:ilvl="7" w:tplc="DAF0C952">
      <w:numFmt w:val="bullet"/>
      <w:lvlText w:val="•"/>
      <w:lvlJc w:val="left"/>
      <w:pPr>
        <w:ind w:left="7672" w:hanging="132"/>
      </w:pPr>
      <w:rPr>
        <w:rFonts w:hint="default"/>
        <w:lang w:val="pt-PT" w:eastAsia="en-US" w:bidi="ar-SA"/>
      </w:rPr>
    </w:lvl>
    <w:lvl w:ilvl="8" w:tplc="08307224">
      <w:numFmt w:val="bullet"/>
      <w:lvlText w:val="•"/>
      <w:lvlJc w:val="left"/>
      <w:pPr>
        <w:ind w:left="8751" w:hanging="132"/>
      </w:pPr>
      <w:rPr>
        <w:rFonts w:hint="default"/>
        <w:lang w:val="pt-PT" w:eastAsia="en-US" w:bidi="ar-SA"/>
      </w:rPr>
    </w:lvl>
  </w:abstractNum>
  <w:num w:numId="1" w16cid:durableId="1529366147">
    <w:abstractNumId w:val="6"/>
  </w:num>
  <w:num w:numId="2" w16cid:durableId="2053116019">
    <w:abstractNumId w:val="9"/>
  </w:num>
  <w:num w:numId="3" w16cid:durableId="1343820519">
    <w:abstractNumId w:val="10"/>
  </w:num>
  <w:num w:numId="4" w16cid:durableId="75982961">
    <w:abstractNumId w:val="5"/>
  </w:num>
  <w:num w:numId="5" w16cid:durableId="312561621">
    <w:abstractNumId w:val="0"/>
  </w:num>
  <w:num w:numId="6" w16cid:durableId="2091463110">
    <w:abstractNumId w:val="7"/>
  </w:num>
  <w:num w:numId="7" w16cid:durableId="997996604">
    <w:abstractNumId w:val="2"/>
  </w:num>
  <w:num w:numId="8" w16cid:durableId="1536385008">
    <w:abstractNumId w:val="4"/>
  </w:num>
  <w:num w:numId="9" w16cid:durableId="878905740">
    <w:abstractNumId w:val="3"/>
  </w:num>
  <w:num w:numId="10" w16cid:durableId="778644068">
    <w:abstractNumId w:val="8"/>
  </w:num>
  <w:num w:numId="11" w16cid:durableId="1440027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860"/>
    <w:rsid w:val="00027A31"/>
    <w:rsid w:val="000357DC"/>
    <w:rsid w:val="000B0D76"/>
    <w:rsid w:val="000B6766"/>
    <w:rsid w:val="000C12C0"/>
    <w:rsid w:val="000C12C3"/>
    <w:rsid w:val="00116D62"/>
    <w:rsid w:val="001350A1"/>
    <w:rsid w:val="00154E5B"/>
    <w:rsid w:val="001A3F3D"/>
    <w:rsid w:val="001A5DFC"/>
    <w:rsid w:val="001C7629"/>
    <w:rsid w:val="001D5DBA"/>
    <w:rsid w:val="00225660"/>
    <w:rsid w:val="00266FC0"/>
    <w:rsid w:val="00277F96"/>
    <w:rsid w:val="002824C5"/>
    <w:rsid w:val="0028767B"/>
    <w:rsid w:val="002979F7"/>
    <w:rsid w:val="002A3346"/>
    <w:rsid w:val="002C14DE"/>
    <w:rsid w:val="002C1D11"/>
    <w:rsid w:val="002E5147"/>
    <w:rsid w:val="00333BA1"/>
    <w:rsid w:val="003352CC"/>
    <w:rsid w:val="003420F3"/>
    <w:rsid w:val="00342A2B"/>
    <w:rsid w:val="00343103"/>
    <w:rsid w:val="00350F51"/>
    <w:rsid w:val="003549B2"/>
    <w:rsid w:val="003B4369"/>
    <w:rsid w:val="003D6A11"/>
    <w:rsid w:val="003F68B2"/>
    <w:rsid w:val="00430BA2"/>
    <w:rsid w:val="004336EA"/>
    <w:rsid w:val="00444582"/>
    <w:rsid w:val="00450136"/>
    <w:rsid w:val="00475F32"/>
    <w:rsid w:val="004B08A8"/>
    <w:rsid w:val="004B79E1"/>
    <w:rsid w:val="004C1E47"/>
    <w:rsid w:val="004D2952"/>
    <w:rsid w:val="004F2408"/>
    <w:rsid w:val="005201CD"/>
    <w:rsid w:val="00527C21"/>
    <w:rsid w:val="00564CED"/>
    <w:rsid w:val="005B339C"/>
    <w:rsid w:val="005B6A4F"/>
    <w:rsid w:val="005E723E"/>
    <w:rsid w:val="005F1621"/>
    <w:rsid w:val="00601A7A"/>
    <w:rsid w:val="006040D5"/>
    <w:rsid w:val="00611320"/>
    <w:rsid w:val="00617125"/>
    <w:rsid w:val="006217F6"/>
    <w:rsid w:val="00622BA4"/>
    <w:rsid w:val="0063362B"/>
    <w:rsid w:val="006405C5"/>
    <w:rsid w:val="006706BA"/>
    <w:rsid w:val="00670726"/>
    <w:rsid w:val="00683C25"/>
    <w:rsid w:val="00685BB5"/>
    <w:rsid w:val="006946C2"/>
    <w:rsid w:val="006948C9"/>
    <w:rsid w:val="006A5BBB"/>
    <w:rsid w:val="006B21AC"/>
    <w:rsid w:val="006C3AD9"/>
    <w:rsid w:val="0070358D"/>
    <w:rsid w:val="00716AD8"/>
    <w:rsid w:val="0072070E"/>
    <w:rsid w:val="007431DE"/>
    <w:rsid w:val="007A73D3"/>
    <w:rsid w:val="007B6567"/>
    <w:rsid w:val="007C15FE"/>
    <w:rsid w:val="007E194D"/>
    <w:rsid w:val="007F3262"/>
    <w:rsid w:val="008070AD"/>
    <w:rsid w:val="00817C77"/>
    <w:rsid w:val="0082037C"/>
    <w:rsid w:val="008256FB"/>
    <w:rsid w:val="00855112"/>
    <w:rsid w:val="00861750"/>
    <w:rsid w:val="00866A45"/>
    <w:rsid w:val="00876BB3"/>
    <w:rsid w:val="008879F7"/>
    <w:rsid w:val="008C373F"/>
    <w:rsid w:val="008D054B"/>
    <w:rsid w:val="008D1C7E"/>
    <w:rsid w:val="008F4C70"/>
    <w:rsid w:val="00900C1E"/>
    <w:rsid w:val="00901AB6"/>
    <w:rsid w:val="00925DAF"/>
    <w:rsid w:val="00936642"/>
    <w:rsid w:val="0094578D"/>
    <w:rsid w:val="00955DA9"/>
    <w:rsid w:val="00975C33"/>
    <w:rsid w:val="00984B3D"/>
    <w:rsid w:val="00986AD3"/>
    <w:rsid w:val="00991F0E"/>
    <w:rsid w:val="009A032B"/>
    <w:rsid w:val="009D3D25"/>
    <w:rsid w:val="009E091E"/>
    <w:rsid w:val="00A01BFE"/>
    <w:rsid w:val="00A12B5D"/>
    <w:rsid w:val="00A37157"/>
    <w:rsid w:val="00A65CD6"/>
    <w:rsid w:val="00A71C63"/>
    <w:rsid w:val="00AC7903"/>
    <w:rsid w:val="00AD3EDB"/>
    <w:rsid w:val="00AE150A"/>
    <w:rsid w:val="00AE33C1"/>
    <w:rsid w:val="00AE354F"/>
    <w:rsid w:val="00AE35E1"/>
    <w:rsid w:val="00AE60F4"/>
    <w:rsid w:val="00B02181"/>
    <w:rsid w:val="00B0358F"/>
    <w:rsid w:val="00B07999"/>
    <w:rsid w:val="00B13A0A"/>
    <w:rsid w:val="00B25F01"/>
    <w:rsid w:val="00B417DF"/>
    <w:rsid w:val="00B94248"/>
    <w:rsid w:val="00BB4622"/>
    <w:rsid w:val="00BE705F"/>
    <w:rsid w:val="00C01FC8"/>
    <w:rsid w:val="00C03C83"/>
    <w:rsid w:val="00C21FF9"/>
    <w:rsid w:val="00C475EA"/>
    <w:rsid w:val="00C557BE"/>
    <w:rsid w:val="00C66347"/>
    <w:rsid w:val="00C957A7"/>
    <w:rsid w:val="00C96DEC"/>
    <w:rsid w:val="00D06AF9"/>
    <w:rsid w:val="00D305F4"/>
    <w:rsid w:val="00D41D36"/>
    <w:rsid w:val="00D503DD"/>
    <w:rsid w:val="00D56E2E"/>
    <w:rsid w:val="00D851AC"/>
    <w:rsid w:val="00DB760C"/>
    <w:rsid w:val="00DC047B"/>
    <w:rsid w:val="00DD0112"/>
    <w:rsid w:val="00DE6860"/>
    <w:rsid w:val="00DF7188"/>
    <w:rsid w:val="00E20186"/>
    <w:rsid w:val="00E46521"/>
    <w:rsid w:val="00E509FC"/>
    <w:rsid w:val="00E64148"/>
    <w:rsid w:val="00E90440"/>
    <w:rsid w:val="00EB1261"/>
    <w:rsid w:val="00ED3039"/>
    <w:rsid w:val="00EE5115"/>
    <w:rsid w:val="00F050D1"/>
    <w:rsid w:val="00F20114"/>
    <w:rsid w:val="00F31351"/>
    <w:rsid w:val="00F31980"/>
    <w:rsid w:val="00F32AFF"/>
    <w:rsid w:val="00F37F78"/>
    <w:rsid w:val="00F41B4A"/>
    <w:rsid w:val="00F46204"/>
    <w:rsid w:val="00FA0AF3"/>
    <w:rsid w:val="00FA61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0B3CA"/>
  <w15:chartTrackingRefBased/>
  <w15:docId w15:val="{4649059B-764C-4184-B683-C760C2D8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E2E"/>
  </w:style>
  <w:style w:type="paragraph" w:styleId="Ttulo1">
    <w:name w:val="heading 1"/>
    <w:basedOn w:val="Normal"/>
    <w:next w:val="Normal"/>
    <w:link w:val="Ttulo1Char"/>
    <w:uiPriority w:val="9"/>
    <w:qFormat/>
    <w:rsid w:val="00DE6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E6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E68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E68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E68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E686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E686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E686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E686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E686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E686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E686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E686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E686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E686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E686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E686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E6860"/>
    <w:rPr>
      <w:rFonts w:eastAsiaTheme="majorEastAsia" w:cstheme="majorBidi"/>
      <w:color w:val="272727" w:themeColor="text1" w:themeTint="D8"/>
    </w:rPr>
  </w:style>
  <w:style w:type="paragraph" w:styleId="Ttulo">
    <w:name w:val="Title"/>
    <w:basedOn w:val="Normal"/>
    <w:next w:val="Normal"/>
    <w:link w:val="TtuloChar"/>
    <w:uiPriority w:val="10"/>
    <w:qFormat/>
    <w:rsid w:val="00DE6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E68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E686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E686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E6860"/>
    <w:pPr>
      <w:spacing w:before="160"/>
      <w:jc w:val="center"/>
    </w:pPr>
    <w:rPr>
      <w:i/>
      <w:iCs/>
      <w:color w:val="404040" w:themeColor="text1" w:themeTint="BF"/>
    </w:rPr>
  </w:style>
  <w:style w:type="character" w:customStyle="1" w:styleId="CitaoChar">
    <w:name w:val="Citação Char"/>
    <w:basedOn w:val="Fontepargpadro"/>
    <w:link w:val="Citao"/>
    <w:uiPriority w:val="29"/>
    <w:rsid w:val="00DE6860"/>
    <w:rPr>
      <w:i/>
      <w:iCs/>
      <w:color w:val="404040" w:themeColor="text1" w:themeTint="BF"/>
    </w:rPr>
  </w:style>
  <w:style w:type="paragraph" w:styleId="PargrafodaLista">
    <w:name w:val="List Paragraph"/>
    <w:basedOn w:val="Normal"/>
    <w:uiPriority w:val="1"/>
    <w:qFormat/>
    <w:rsid w:val="00DE6860"/>
    <w:pPr>
      <w:ind w:left="720"/>
      <w:contextualSpacing/>
    </w:pPr>
  </w:style>
  <w:style w:type="character" w:styleId="nfaseIntensa">
    <w:name w:val="Intense Emphasis"/>
    <w:basedOn w:val="Fontepargpadro"/>
    <w:uiPriority w:val="21"/>
    <w:qFormat/>
    <w:rsid w:val="00DE6860"/>
    <w:rPr>
      <w:i/>
      <w:iCs/>
      <w:color w:val="0F4761" w:themeColor="accent1" w:themeShade="BF"/>
    </w:rPr>
  </w:style>
  <w:style w:type="paragraph" w:styleId="CitaoIntensa">
    <w:name w:val="Intense Quote"/>
    <w:basedOn w:val="Normal"/>
    <w:next w:val="Normal"/>
    <w:link w:val="CitaoIntensaChar"/>
    <w:uiPriority w:val="30"/>
    <w:qFormat/>
    <w:rsid w:val="00DE6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E6860"/>
    <w:rPr>
      <w:i/>
      <w:iCs/>
      <w:color w:val="0F4761" w:themeColor="accent1" w:themeShade="BF"/>
    </w:rPr>
  </w:style>
  <w:style w:type="character" w:styleId="RefernciaIntensa">
    <w:name w:val="Intense Reference"/>
    <w:basedOn w:val="Fontepargpadro"/>
    <w:uiPriority w:val="32"/>
    <w:qFormat/>
    <w:rsid w:val="00DE6860"/>
    <w:rPr>
      <w:b/>
      <w:bCs/>
      <w:smallCaps/>
      <w:color w:val="0F4761" w:themeColor="accent1" w:themeShade="BF"/>
      <w:spacing w:val="5"/>
    </w:rPr>
  </w:style>
  <w:style w:type="paragraph" w:styleId="Corpodetexto">
    <w:name w:val="Body Text"/>
    <w:basedOn w:val="Normal"/>
    <w:link w:val="CorpodetextoChar"/>
    <w:uiPriority w:val="1"/>
    <w:qFormat/>
    <w:rsid w:val="00DE6860"/>
    <w:pPr>
      <w:widowControl w:val="0"/>
      <w:autoSpaceDE w:val="0"/>
      <w:autoSpaceDN w:val="0"/>
      <w:spacing w:before="122" w:after="0" w:line="240" w:lineRule="auto"/>
      <w:ind w:left="124"/>
    </w:pPr>
    <w:rPr>
      <w:rFonts w:ascii="Calibri" w:eastAsia="Calibri" w:hAnsi="Calibri" w:cs="Calibri"/>
      <w:kern w:val="0"/>
      <w:lang w:val="pt-PT"/>
      <w14:ligatures w14:val="none"/>
    </w:rPr>
  </w:style>
  <w:style w:type="character" w:customStyle="1" w:styleId="CorpodetextoChar">
    <w:name w:val="Corpo de texto Char"/>
    <w:basedOn w:val="Fontepargpadro"/>
    <w:link w:val="Corpodetexto"/>
    <w:uiPriority w:val="1"/>
    <w:rsid w:val="00DE6860"/>
    <w:rPr>
      <w:rFonts w:ascii="Calibri" w:eastAsia="Calibri" w:hAnsi="Calibri" w:cs="Calibri"/>
      <w:kern w:val="0"/>
      <w:lang w:val="pt-PT"/>
      <w14:ligatures w14:val="none"/>
    </w:rPr>
  </w:style>
  <w:style w:type="character" w:styleId="Hyperlink">
    <w:name w:val="Hyperlink"/>
    <w:basedOn w:val="Fontepargpadro"/>
    <w:uiPriority w:val="99"/>
    <w:unhideWhenUsed/>
    <w:rsid w:val="00E64148"/>
    <w:rPr>
      <w:color w:val="467886" w:themeColor="hyperlink"/>
      <w:u w:val="single"/>
    </w:rPr>
  </w:style>
  <w:style w:type="character" w:styleId="MenoPendente">
    <w:name w:val="Unresolved Mention"/>
    <w:basedOn w:val="Fontepargpadro"/>
    <w:uiPriority w:val="99"/>
    <w:semiHidden/>
    <w:unhideWhenUsed/>
    <w:rsid w:val="00E64148"/>
    <w:rPr>
      <w:color w:val="605E5C"/>
      <w:shd w:val="clear" w:color="auto" w:fill="E1DFDD"/>
    </w:rPr>
  </w:style>
  <w:style w:type="paragraph" w:customStyle="1" w:styleId="textocentralizadomaiusculas">
    <w:name w:val="texto_centralizado_maiusculas"/>
    <w:basedOn w:val="Normal"/>
    <w:rsid w:val="00C66347"/>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C66347"/>
    <w:rPr>
      <w:b/>
      <w:bCs/>
    </w:rPr>
  </w:style>
  <w:style w:type="paragraph" w:customStyle="1" w:styleId="textoalinhadoesquerda">
    <w:name w:val="texto_alinhado_esquerda"/>
    <w:basedOn w:val="Normal"/>
    <w:rsid w:val="00901AB6"/>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extojustificado">
    <w:name w:val="texto_justificado"/>
    <w:basedOn w:val="Normal"/>
    <w:rsid w:val="00901AB6"/>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extojustificadorecuoprimeiralinha">
    <w:name w:val="texto_justificado_recuo_primeira_linha"/>
    <w:basedOn w:val="Normal"/>
    <w:rsid w:val="00925DAF"/>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23498">
      <w:bodyDiv w:val="1"/>
      <w:marLeft w:val="0"/>
      <w:marRight w:val="0"/>
      <w:marTop w:val="0"/>
      <w:marBottom w:val="0"/>
      <w:divBdr>
        <w:top w:val="none" w:sz="0" w:space="0" w:color="auto"/>
        <w:left w:val="none" w:sz="0" w:space="0" w:color="auto"/>
        <w:bottom w:val="none" w:sz="0" w:space="0" w:color="auto"/>
        <w:right w:val="none" w:sz="0" w:space="0" w:color="auto"/>
      </w:divBdr>
    </w:div>
    <w:div w:id="173961617">
      <w:bodyDiv w:val="1"/>
      <w:marLeft w:val="0"/>
      <w:marRight w:val="0"/>
      <w:marTop w:val="0"/>
      <w:marBottom w:val="0"/>
      <w:divBdr>
        <w:top w:val="none" w:sz="0" w:space="0" w:color="auto"/>
        <w:left w:val="none" w:sz="0" w:space="0" w:color="auto"/>
        <w:bottom w:val="none" w:sz="0" w:space="0" w:color="auto"/>
        <w:right w:val="none" w:sz="0" w:space="0" w:color="auto"/>
      </w:divBdr>
    </w:div>
    <w:div w:id="270672731">
      <w:bodyDiv w:val="1"/>
      <w:marLeft w:val="0"/>
      <w:marRight w:val="0"/>
      <w:marTop w:val="0"/>
      <w:marBottom w:val="0"/>
      <w:divBdr>
        <w:top w:val="none" w:sz="0" w:space="0" w:color="auto"/>
        <w:left w:val="none" w:sz="0" w:space="0" w:color="auto"/>
        <w:bottom w:val="none" w:sz="0" w:space="0" w:color="auto"/>
        <w:right w:val="none" w:sz="0" w:space="0" w:color="auto"/>
      </w:divBdr>
    </w:div>
    <w:div w:id="334307522">
      <w:bodyDiv w:val="1"/>
      <w:marLeft w:val="0"/>
      <w:marRight w:val="0"/>
      <w:marTop w:val="0"/>
      <w:marBottom w:val="0"/>
      <w:divBdr>
        <w:top w:val="none" w:sz="0" w:space="0" w:color="auto"/>
        <w:left w:val="none" w:sz="0" w:space="0" w:color="auto"/>
        <w:bottom w:val="none" w:sz="0" w:space="0" w:color="auto"/>
        <w:right w:val="none" w:sz="0" w:space="0" w:color="auto"/>
      </w:divBdr>
    </w:div>
    <w:div w:id="356348485">
      <w:bodyDiv w:val="1"/>
      <w:marLeft w:val="0"/>
      <w:marRight w:val="0"/>
      <w:marTop w:val="0"/>
      <w:marBottom w:val="0"/>
      <w:divBdr>
        <w:top w:val="none" w:sz="0" w:space="0" w:color="auto"/>
        <w:left w:val="none" w:sz="0" w:space="0" w:color="auto"/>
        <w:bottom w:val="none" w:sz="0" w:space="0" w:color="auto"/>
        <w:right w:val="none" w:sz="0" w:space="0" w:color="auto"/>
      </w:divBdr>
    </w:div>
    <w:div w:id="366758611">
      <w:bodyDiv w:val="1"/>
      <w:marLeft w:val="0"/>
      <w:marRight w:val="0"/>
      <w:marTop w:val="0"/>
      <w:marBottom w:val="0"/>
      <w:divBdr>
        <w:top w:val="none" w:sz="0" w:space="0" w:color="auto"/>
        <w:left w:val="none" w:sz="0" w:space="0" w:color="auto"/>
        <w:bottom w:val="none" w:sz="0" w:space="0" w:color="auto"/>
        <w:right w:val="none" w:sz="0" w:space="0" w:color="auto"/>
      </w:divBdr>
    </w:div>
    <w:div w:id="430317102">
      <w:bodyDiv w:val="1"/>
      <w:marLeft w:val="0"/>
      <w:marRight w:val="0"/>
      <w:marTop w:val="0"/>
      <w:marBottom w:val="0"/>
      <w:divBdr>
        <w:top w:val="none" w:sz="0" w:space="0" w:color="auto"/>
        <w:left w:val="none" w:sz="0" w:space="0" w:color="auto"/>
        <w:bottom w:val="none" w:sz="0" w:space="0" w:color="auto"/>
        <w:right w:val="none" w:sz="0" w:space="0" w:color="auto"/>
      </w:divBdr>
    </w:div>
    <w:div w:id="467864238">
      <w:bodyDiv w:val="1"/>
      <w:marLeft w:val="0"/>
      <w:marRight w:val="0"/>
      <w:marTop w:val="0"/>
      <w:marBottom w:val="0"/>
      <w:divBdr>
        <w:top w:val="none" w:sz="0" w:space="0" w:color="auto"/>
        <w:left w:val="none" w:sz="0" w:space="0" w:color="auto"/>
        <w:bottom w:val="none" w:sz="0" w:space="0" w:color="auto"/>
        <w:right w:val="none" w:sz="0" w:space="0" w:color="auto"/>
      </w:divBdr>
    </w:div>
    <w:div w:id="527917143">
      <w:bodyDiv w:val="1"/>
      <w:marLeft w:val="0"/>
      <w:marRight w:val="0"/>
      <w:marTop w:val="0"/>
      <w:marBottom w:val="0"/>
      <w:divBdr>
        <w:top w:val="none" w:sz="0" w:space="0" w:color="auto"/>
        <w:left w:val="none" w:sz="0" w:space="0" w:color="auto"/>
        <w:bottom w:val="none" w:sz="0" w:space="0" w:color="auto"/>
        <w:right w:val="none" w:sz="0" w:space="0" w:color="auto"/>
      </w:divBdr>
    </w:div>
    <w:div w:id="605505530">
      <w:bodyDiv w:val="1"/>
      <w:marLeft w:val="0"/>
      <w:marRight w:val="0"/>
      <w:marTop w:val="0"/>
      <w:marBottom w:val="0"/>
      <w:divBdr>
        <w:top w:val="none" w:sz="0" w:space="0" w:color="auto"/>
        <w:left w:val="none" w:sz="0" w:space="0" w:color="auto"/>
        <w:bottom w:val="none" w:sz="0" w:space="0" w:color="auto"/>
        <w:right w:val="none" w:sz="0" w:space="0" w:color="auto"/>
      </w:divBdr>
    </w:div>
    <w:div w:id="708804038">
      <w:bodyDiv w:val="1"/>
      <w:marLeft w:val="0"/>
      <w:marRight w:val="0"/>
      <w:marTop w:val="0"/>
      <w:marBottom w:val="0"/>
      <w:divBdr>
        <w:top w:val="none" w:sz="0" w:space="0" w:color="auto"/>
        <w:left w:val="none" w:sz="0" w:space="0" w:color="auto"/>
        <w:bottom w:val="none" w:sz="0" w:space="0" w:color="auto"/>
        <w:right w:val="none" w:sz="0" w:space="0" w:color="auto"/>
      </w:divBdr>
    </w:div>
    <w:div w:id="714044668">
      <w:bodyDiv w:val="1"/>
      <w:marLeft w:val="0"/>
      <w:marRight w:val="0"/>
      <w:marTop w:val="0"/>
      <w:marBottom w:val="0"/>
      <w:divBdr>
        <w:top w:val="none" w:sz="0" w:space="0" w:color="auto"/>
        <w:left w:val="none" w:sz="0" w:space="0" w:color="auto"/>
        <w:bottom w:val="none" w:sz="0" w:space="0" w:color="auto"/>
        <w:right w:val="none" w:sz="0" w:space="0" w:color="auto"/>
      </w:divBdr>
    </w:div>
    <w:div w:id="764109952">
      <w:bodyDiv w:val="1"/>
      <w:marLeft w:val="0"/>
      <w:marRight w:val="0"/>
      <w:marTop w:val="0"/>
      <w:marBottom w:val="0"/>
      <w:divBdr>
        <w:top w:val="none" w:sz="0" w:space="0" w:color="auto"/>
        <w:left w:val="none" w:sz="0" w:space="0" w:color="auto"/>
        <w:bottom w:val="none" w:sz="0" w:space="0" w:color="auto"/>
        <w:right w:val="none" w:sz="0" w:space="0" w:color="auto"/>
      </w:divBdr>
    </w:div>
    <w:div w:id="933174278">
      <w:bodyDiv w:val="1"/>
      <w:marLeft w:val="0"/>
      <w:marRight w:val="0"/>
      <w:marTop w:val="0"/>
      <w:marBottom w:val="0"/>
      <w:divBdr>
        <w:top w:val="none" w:sz="0" w:space="0" w:color="auto"/>
        <w:left w:val="none" w:sz="0" w:space="0" w:color="auto"/>
        <w:bottom w:val="none" w:sz="0" w:space="0" w:color="auto"/>
        <w:right w:val="none" w:sz="0" w:space="0" w:color="auto"/>
      </w:divBdr>
    </w:div>
    <w:div w:id="954478366">
      <w:bodyDiv w:val="1"/>
      <w:marLeft w:val="0"/>
      <w:marRight w:val="0"/>
      <w:marTop w:val="0"/>
      <w:marBottom w:val="0"/>
      <w:divBdr>
        <w:top w:val="none" w:sz="0" w:space="0" w:color="auto"/>
        <w:left w:val="none" w:sz="0" w:space="0" w:color="auto"/>
        <w:bottom w:val="none" w:sz="0" w:space="0" w:color="auto"/>
        <w:right w:val="none" w:sz="0" w:space="0" w:color="auto"/>
      </w:divBdr>
      <w:divsChild>
        <w:div w:id="803424726">
          <w:marLeft w:val="0"/>
          <w:marRight w:val="0"/>
          <w:marTop w:val="0"/>
          <w:marBottom w:val="0"/>
          <w:divBdr>
            <w:top w:val="none" w:sz="0" w:space="0" w:color="auto"/>
            <w:left w:val="none" w:sz="0" w:space="0" w:color="auto"/>
            <w:bottom w:val="none" w:sz="0" w:space="0" w:color="auto"/>
            <w:right w:val="none" w:sz="0" w:space="0" w:color="auto"/>
          </w:divBdr>
        </w:div>
        <w:div w:id="933560625">
          <w:marLeft w:val="0"/>
          <w:marRight w:val="0"/>
          <w:marTop w:val="0"/>
          <w:marBottom w:val="0"/>
          <w:divBdr>
            <w:top w:val="none" w:sz="0" w:space="0" w:color="auto"/>
            <w:left w:val="none" w:sz="0" w:space="0" w:color="auto"/>
            <w:bottom w:val="none" w:sz="0" w:space="0" w:color="auto"/>
            <w:right w:val="none" w:sz="0" w:space="0" w:color="auto"/>
          </w:divBdr>
        </w:div>
        <w:div w:id="732197538">
          <w:marLeft w:val="0"/>
          <w:marRight w:val="0"/>
          <w:marTop w:val="0"/>
          <w:marBottom w:val="0"/>
          <w:divBdr>
            <w:top w:val="none" w:sz="0" w:space="0" w:color="auto"/>
            <w:left w:val="none" w:sz="0" w:space="0" w:color="auto"/>
            <w:bottom w:val="none" w:sz="0" w:space="0" w:color="auto"/>
            <w:right w:val="none" w:sz="0" w:space="0" w:color="auto"/>
          </w:divBdr>
        </w:div>
        <w:div w:id="1488209975">
          <w:marLeft w:val="0"/>
          <w:marRight w:val="0"/>
          <w:marTop w:val="0"/>
          <w:marBottom w:val="0"/>
          <w:divBdr>
            <w:top w:val="none" w:sz="0" w:space="0" w:color="auto"/>
            <w:left w:val="none" w:sz="0" w:space="0" w:color="auto"/>
            <w:bottom w:val="none" w:sz="0" w:space="0" w:color="auto"/>
            <w:right w:val="none" w:sz="0" w:space="0" w:color="auto"/>
          </w:divBdr>
        </w:div>
        <w:div w:id="747923084">
          <w:marLeft w:val="0"/>
          <w:marRight w:val="0"/>
          <w:marTop w:val="0"/>
          <w:marBottom w:val="0"/>
          <w:divBdr>
            <w:top w:val="none" w:sz="0" w:space="0" w:color="auto"/>
            <w:left w:val="none" w:sz="0" w:space="0" w:color="auto"/>
            <w:bottom w:val="none" w:sz="0" w:space="0" w:color="auto"/>
            <w:right w:val="none" w:sz="0" w:space="0" w:color="auto"/>
          </w:divBdr>
        </w:div>
      </w:divsChild>
    </w:div>
    <w:div w:id="1018653678">
      <w:bodyDiv w:val="1"/>
      <w:marLeft w:val="0"/>
      <w:marRight w:val="0"/>
      <w:marTop w:val="0"/>
      <w:marBottom w:val="0"/>
      <w:divBdr>
        <w:top w:val="none" w:sz="0" w:space="0" w:color="auto"/>
        <w:left w:val="none" w:sz="0" w:space="0" w:color="auto"/>
        <w:bottom w:val="none" w:sz="0" w:space="0" w:color="auto"/>
        <w:right w:val="none" w:sz="0" w:space="0" w:color="auto"/>
      </w:divBdr>
    </w:div>
    <w:div w:id="1024136073">
      <w:bodyDiv w:val="1"/>
      <w:marLeft w:val="0"/>
      <w:marRight w:val="0"/>
      <w:marTop w:val="0"/>
      <w:marBottom w:val="0"/>
      <w:divBdr>
        <w:top w:val="none" w:sz="0" w:space="0" w:color="auto"/>
        <w:left w:val="none" w:sz="0" w:space="0" w:color="auto"/>
        <w:bottom w:val="none" w:sz="0" w:space="0" w:color="auto"/>
        <w:right w:val="none" w:sz="0" w:space="0" w:color="auto"/>
      </w:divBdr>
    </w:div>
    <w:div w:id="1040856020">
      <w:bodyDiv w:val="1"/>
      <w:marLeft w:val="0"/>
      <w:marRight w:val="0"/>
      <w:marTop w:val="0"/>
      <w:marBottom w:val="0"/>
      <w:divBdr>
        <w:top w:val="none" w:sz="0" w:space="0" w:color="auto"/>
        <w:left w:val="none" w:sz="0" w:space="0" w:color="auto"/>
        <w:bottom w:val="none" w:sz="0" w:space="0" w:color="auto"/>
        <w:right w:val="none" w:sz="0" w:space="0" w:color="auto"/>
      </w:divBdr>
    </w:div>
    <w:div w:id="1051031772">
      <w:bodyDiv w:val="1"/>
      <w:marLeft w:val="0"/>
      <w:marRight w:val="0"/>
      <w:marTop w:val="0"/>
      <w:marBottom w:val="0"/>
      <w:divBdr>
        <w:top w:val="none" w:sz="0" w:space="0" w:color="auto"/>
        <w:left w:val="none" w:sz="0" w:space="0" w:color="auto"/>
        <w:bottom w:val="none" w:sz="0" w:space="0" w:color="auto"/>
        <w:right w:val="none" w:sz="0" w:space="0" w:color="auto"/>
      </w:divBdr>
    </w:div>
    <w:div w:id="1068771670">
      <w:bodyDiv w:val="1"/>
      <w:marLeft w:val="0"/>
      <w:marRight w:val="0"/>
      <w:marTop w:val="0"/>
      <w:marBottom w:val="0"/>
      <w:divBdr>
        <w:top w:val="none" w:sz="0" w:space="0" w:color="auto"/>
        <w:left w:val="none" w:sz="0" w:space="0" w:color="auto"/>
        <w:bottom w:val="none" w:sz="0" w:space="0" w:color="auto"/>
        <w:right w:val="none" w:sz="0" w:space="0" w:color="auto"/>
      </w:divBdr>
    </w:div>
    <w:div w:id="1476216382">
      <w:bodyDiv w:val="1"/>
      <w:marLeft w:val="0"/>
      <w:marRight w:val="0"/>
      <w:marTop w:val="0"/>
      <w:marBottom w:val="0"/>
      <w:divBdr>
        <w:top w:val="none" w:sz="0" w:space="0" w:color="auto"/>
        <w:left w:val="none" w:sz="0" w:space="0" w:color="auto"/>
        <w:bottom w:val="none" w:sz="0" w:space="0" w:color="auto"/>
        <w:right w:val="none" w:sz="0" w:space="0" w:color="auto"/>
      </w:divBdr>
    </w:div>
    <w:div w:id="1493908564">
      <w:bodyDiv w:val="1"/>
      <w:marLeft w:val="0"/>
      <w:marRight w:val="0"/>
      <w:marTop w:val="0"/>
      <w:marBottom w:val="0"/>
      <w:divBdr>
        <w:top w:val="none" w:sz="0" w:space="0" w:color="auto"/>
        <w:left w:val="none" w:sz="0" w:space="0" w:color="auto"/>
        <w:bottom w:val="none" w:sz="0" w:space="0" w:color="auto"/>
        <w:right w:val="none" w:sz="0" w:space="0" w:color="auto"/>
      </w:divBdr>
      <w:divsChild>
        <w:div w:id="100807602">
          <w:marLeft w:val="0"/>
          <w:marRight w:val="0"/>
          <w:marTop w:val="0"/>
          <w:marBottom w:val="0"/>
          <w:divBdr>
            <w:top w:val="none" w:sz="0" w:space="0" w:color="auto"/>
            <w:left w:val="none" w:sz="0" w:space="0" w:color="auto"/>
            <w:bottom w:val="none" w:sz="0" w:space="0" w:color="auto"/>
            <w:right w:val="none" w:sz="0" w:space="0" w:color="auto"/>
          </w:divBdr>
        </w:div>
        <w:div w:id="992684656">
          <w:marLeft w:val="0"/>
          <w:marRight w:val="0"/>
          <w:marTop w:val="0"/>
          <w:marBottom w:val="0"/>
          <w:divBdr>
            <w:top w:val="none" w:sz="0" w:space="0" w:color="auto"/>
            <w:left w:val="none" w:sz="0" w:space="0" w:color="auto"/>
            <w:bottom w:val="none" w:sz="0" w:space="0" w:color="auto"/>
            <w:right w:val="none" w:sz="0" w:space="0" w:color="auto"/>
          </w:divBdr>
        </w:div>
        <w:div w:id="1927379754">
          <w:marLeft w:val="0"/>
          <w:marRight w:val="0"/>
          <w:marTop w:val="0"/>
          <w:marBottom w:val="0"/>
          <w:divBdr>
            <w:top w:val="none" w:sz="0" w:space="0" w:color="auto"/>
            <w:left w:val="none" w:sz="0" w:space="0" w:color="auto"/>
            <w:bottom w:val="none" w:sz="0" w:space="0" w:color="auto"/>
            <w:right w:val="none" w:sz="0" w:space="0" w:color="auto"/>
          </w:divBdr>
        </w:div>
        <w:div w:id="777989109">
          <w:marLeft w:val="0"/>
          <w:marRight w:val="0"/>
          <w:marTop w:val="0"/>
          <w:marBottom w:val="0"/>
          <w:divBdr>
            <w:top w:val="none" w:sz="0" w:space="0" w:color="auto"/>
            <w:left w:val="none" w:sz="0" w:space="0" w:color="auto"/>
            <w:bottom w:val="none" w:sz="0" w:space="0" w:color="auto"/>
            <w:right w:val="none" w:sz="0" w:space="0" w:color="auto"/>
          </w:divBdr>
        </w:div>
        <w:div w:id="2043431823">
          <w:marLeft w:val="0"/>
          <w:marRight w:val="0"/>
          <w:marTop w:val="0"/>
          <w:marBottom w:val="0"/>
          <w:divBdr>
            <w:top w:val="none" w:sz="0" w:space="0" w:color="auto"/>
            <w:left w:val="none" w:sz="0" w:space="0" w:color="auto"/>
            <w:bottom w:val="none" w:sz="0" w:space="0" w:color="auto"/>
            <w:right w:val="none" w:sz="0" w:space="0" w:color="auto"/>
          </w:divBdr>
        </w:div>
      </w:divsChild>
    </w:div>
    <w:div w:id="1532258604">
      <w:bodyDiv w:val="1"/>
      <w:marLeft w:val="0"/>
      <w:marRight w:val="0"/>
      <w:marTop w:val="0"/>
      <w:marBottom w:val="0"/>
      <w:divBdr>
        <w:top w:val="none" w:sz="0" w:space="0" w:color="auto"/>
        <w:left w:val="none" w:sz="0" w:space="0" w:color="auto"/>
        <w:bottom w:val="none" w:sz="0" w:space="0" w:color="auto"/>
        <w:right w:val="none" w:sz="0" w:space="0" w:color="auto"/>
      </w:divBdr>
    </w:div>
    <w:div w:id="1592666698">
      <w:bodyDiv w:val="1"/>
      <w:marLeft w:val="0"/>
      <w:marRight w:val="0"/>
      <w:marTop w:val="0"/>
      <w:marBottom w:val="0"/>
      <w:divBdr>
        <w:top w:val="none" w:sz="0" w:space="0" w:color="auto"/>
        <w:left w:val="none" w:sz="0" w:space="0" w:color="auto"/>
        <w:bottom w:val="none" w:sz="0" w:space="0" w:color="auto"/>
        <w:right w:val="none" w:sz="0" w:space="0" w:color="auto"/>
      </w:divBdr>
    </w:div>
    <w:div w:id="1617637606">
      <w:bodyDiv w:val="1"/>
      <w:marLeft w:val="0"/>
      <w:marRight w:val="0"/>
      <w:marTop w:val="0"/>
      <w:marBottom w:val="0"/>
      <w:divBdr>
        <w:top w:val="none" w:sz="0" w:space="0" w:color="auto"/>
        <w:left w:val="none" w:sz="0" w:space="0" w:color="auto"/>
        <w:bottom w:val="none" w:sz="0" w:space="0" w:color="auto"/>
        <w:right w:val="none" w:sz="0" w:space="0" w:color="auto"/>
      </w:divBdr>
    </w:div>
    <w:div w:id="1658805882">
      <w:bodyDiv w:val="1"/>
      <w:marLeft w:val="0"/>
      <w:marRight w:val="0"/>
      <w:marTop w:val="0"/>
      <w:marBottom w:val="0"/>
      <w:divBdr>
        <w:top w:val="none" w:sz="0" w:space="0" w:color="auto"/>
        <w:left w:val="none" w:sz="0" w:space="0" w:color="auto"/>
        <w:bottom w:val="none" w:sz="0" w:space="0" w:color="auto"/>
        <w:right w:val="none" w:sz="0" w:space="0" w:color="auto"/>
      </w:divBdr>
    </w:div>
    <w:div w:id="1691373295">
      <w:bodyDiv w:val="1"/>
      <w:marLeft w:val="0"/>
      <w:marRight w:val="0"/>
      <w:marTop w:val="0"/>
      <w:marBottom w:val="0"/>
      <w:divBdr>
        <w:top w:val="none" w:sz="0" w:space="0" w:color="auto"/>
        <w:left w:val="none" w:sz="0" w:space="0" w:color="auto"/>
        <w:bottom w:val="none" w:sz="0" w:space="0" w:color="auto"/>
        <w:right w:val="none" w:sz="0" w:space="0" w:color="auto"/>
      </w:divBdr>
    </w:div>
    <w:div w:id="1728528394">
      <w:bodyDiv w:val="1"/>
      <w:marLeft w:val="0"/>
      <w:marRight w:val="0"/>
      <w:marTop w:val="0"/>
      <w:marBottom w:val="0"/>
      <w:divBdr>
        <w:top w:val="none" w:sz="0" w:space="0" w:color="auto"/>
        <w:left w:val="none" w:sz="0" w:space="0" w:color="auto"/>
        <w:bottom w:val="none" w:sz="0" w:space="0" w:color="auto"/>
        <w:right w:val="none" w:sz="0" w:space="0" w:color="auto"/>
      </w:divBdr>
    </w:div>
    <w:div w:id="1796560258">
      <w:bodyDiv w:val="1"/>
      <w:marLeft w:val="0"/>
      <w:marRight w:val="0"/>
      <w:marTop w:val="0"/>
      <w:marBottom w:val="0"/>
      <w:divBdr>
        <w:top w:val="none" w:sz="0" w:space="0" w:color="auto"/>
        <w:left w:val="none" w:sz="0" w:space="0" w:color="auto"/>
        <w:bottom w:val="none" w:sz="0" w:space="0" w:color="auto"/>
        <w:right w:val="none" w:sz="0" w:space="0" w:color="auto"/>
      </w:divBdr>
    </w:div>
    <w:div w:id="1816608993">
      <w:bodyDiv w:val="1"/>
      <w:marLeft w:val="0"/>
      <w:marRight w:val="0"/>
      <w:marTop w:val="0"/>
      <w:marBottom w:val="0"/>
      <w:divBdr>
        <w:top w:val="none" w:sz="0" w:space="0" w:color="auto"/>
        <w:left w:val="none" w:sz="0" w:space="0" w:color="auto"/>
        <w:bottom w:val="none" w:sz="0" w:space="0" w:color="auto"/>
        <w:right w:val="none" w:sz="0" w:space="0" w:color="auto"/>
      </w:divBdr>
    </w:div>
    <w:div w:id="1840611033">
      <w:bodyDiv w:val="1"/>
      <w:marLeft w:val="0"/>
      <w:marRight w:val="0"/>
      <w:marTop w:val="0"/>
      <w:marBottom w:val="0"/>
      <w:divBdr>
        <w:top w:val="none" w:sz="0" w:space="0" w:color="auto"/>
        <w:left w:val="none" w:sz="0" w:space="0" w:color="auto"/>
        <w:bottom w:val="none" w:sz="0" w:space="0" w:color="auto"/>
        <w:right w:val="none" w:sz="0" w:space="0" w:color="auto"/>
      </w:divBdr>
    </w:div>
    <w:div w:id="1938441230">
      <w:bodyDiv w:val="1"/>
      <w:marLeft w:val="0"/>
      <w:marRight w:val="0"/>
      <w:marTop w:val="0"/>
      <w:marBottom w:val="0"/>
      <w:divBdr>
        <w:top w:val="none" w:sz="0" w:space="0" w:color="auto"/>
        <w:left w:val="none" w:sz="0" w:space="0" w:color="auto"/>
        <w:bottom w:val="none" w:sz="0" w:space="0" w:color="auto"/>
        <w:right w:val="none" w:sz="0" w:space="0" w:color="auto"/>
      </w:divBdr>
    </w:div>
    <w:div w:id="1956014587">
      <w:bodyDiv w:val="1"/>
      <w:marLeft w:val="0"/>
      <w:marRight w:val="0"/>
      <w:marTop w:val="0"/>
      <w:marBottom w:val="0"/>
      <w:divBdr>
        <w:top w:val="none" w:sz="0" w:space="0" w:color="auto"/>
        <w:left w:val="none" w:sz="0" w:space="0" w:color="auto"/>
        <w:bottom w:val="none" w:sz="0" w:space="0" w:color="auto"/>
        <w:right w:val="none" w:sz="0" w:space="0" w:color="auto"/>
      </w:divBdr>
    </w:div>
    <w:div w:id="1968273618">
      <w:bodyDiv w:val="1"/>
      <w:marLeft w:val="0"/>
      <w:marRight w:val="0"/>
      <w:marTop w:val="0"/>
      <w:marBottom w:val="0"/>
      <w:divBdr>
        <w:top w:val="none" w:sz="0" w:space="0" w:color="auto"/>
        <w:left w:val="none" w:sz="0" w:space="0" w:color="auto"/>
        <w:bottom w:val="none" w:sz="0" w:space="0" w:color="auto"/>
        <w:right w:val="none" w:sz="0" w:space="0" w:color="auto"/>
      </w:divBdr>
    </w:div>
    <w:div w:id="2035954929">
      <w:bodyDiv w:val="1"/>
      <w:marLeft w:val="0"/>
      <w:marRight w:val="0"/>
      <w:marTop w:val="0"/>
      <w:marBottom w:val="0"/>
      <w:divBdr>
        <w:top w:val="none" w:sz="0" w:space="0" w:color="auto"/>
        <w:left w:val="none" w:sz="0" w:space="0" w:color="auto"/>
        <w:bottom w:val="none" w:sz="0" w:space="0" w:color="auto"/>
        <w:right w:val="none" w:sz="0" w:space="0" w:color="auto"/>
      </w:divBdr>
    </w:div>
    <w:div w:id="2039623209">
      <w:bodyDiv w:val="1"/>
      <w:marLeft w:val="0"/>
      <w:marRight w:val="0"/>
      <w:marTop w:val="0"/>
      <w:marBottom w:val="0"/>
      <w:divBdr>
        <w:top w:val="none" w:sz="0" w:space="0" w:color="auto"/>
        <w:left w:val="none" w:sz="0" w:space="0" w:color="auto"/>
        <w:bottom w:val="none" w:sz="0" w:space="0" w:color="auto"/>
        <w:right w:val="none" w:sz="0" w:space="0" w:color="auto"/>
      </w:divBdr>
    </w:div>
    <w:div w:id="2043749476">
      <w:bodyDiv w:val="1"/>
      <w:marLeft w:val="0"/>
      <w:marRight w:val="0"/>
      <w:marTop w:val="0"/>
      <w:marBottom w:val="0"/>
      <w:divBdr>
        <w:top w:val="none" w:sz="0" w:space="0" w:color="auto"/>
        <w:left w:val="none" w:sz="0" w:space="0" w:color="auto"/>
        <w:bottom w:val="none" w:sz="0" w:space="0" w:color="auto"/>
        <w:right w:val="none" w:sz="0" w:space="0" w:color="auto"/>
      </w:divBdr>
    </w:div>
    <w:div w:id="2081169696">
      <w:bodyDiv w:val="1"/>
      <w:marLeft w:val="0"/>
      <w:marRight w:val="0"/>
      <w:marTop w:val="0"/>
      <w:marBottom w:val="0"/>
      <w:divBdr>
        <w:top w:val="none" w:sz="0" w:space="0" w:color="auto"/>
        <w:left w:val="none" w:sz="0" w:space="0" w:color="auto"/>
        <w:bottom w:val="none" w:sz="0" w:space="0" w:color="auto"/>
        <w:right w:val="none" w:sz="0" w:space="0" w:color="auto"/>
      </w:divBdr>
    </w:div>
    <w:div w:id="2093549307">
      <w:bodyDiv w:val="1"/>
      <w:marLeft w:val="0"/>
      <w:marRight w:val="0"/>
      <w:marTop w:val="0"/>
      <w:marBottom w:val="0"/>
      <w:divBdr>
        <w:top w:val="none" w:sz="0" w:space="0" w:color="auto"/>
        <w:left w:val="none" w:sz="0" w:space="0" w:color="auto"/>
        <w:bottom w:val="none" w:sz="0" w:space="0" w:color="auto"/>
        <w:right w:val="none" w:sz="0" w:space="0" w:color="auto"/>
      </w:divBdr>
      <w:divsChild>
        <w:div w:id="28839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2484</Words>
  <Characters>12326</Characters>
  <Application>Microsoft Office Word</Application>
  <DocSecurity>0</DocSecurity>
  <Lines>821</Lines>
  <Paragraphs>617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Kenia Cristina Rosa e Silva</dc:creator>
  <cp:keywords/>
  <dc:description/>
  <cp:lastModifiedBy>Paulo Roberto Gonçalves Farias</cp:lastModifiedBy>
  <cp:revision>6</cp:revision>
  <dcterms:created xsi:type="dcterms:W3CDTF">2025-06-16T18:22:00Z</dcterms:created>
  <dcterms:modified xsi:type="dcterms:W3CDTF">2025-10-15T14:53:00Z</dcterms:modified>
</cp:coreProperties>
</file>