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242D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REF: EDITAL MTE ref PREL c/ SRP nº 03 / 2023 - ABT: 26 / 01 / 2023 - 10 h -  UASG 400.045  - </w:t>
      </w:r>
      <w:hyperlink r:id="rId4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www.comprasnet.gov.br</w:t>
        </w:r>
      </w:hyperlink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10CAA8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DF741F5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1AA14F7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Prezado ( a ) Sr ( a ) Pregoeiro ( a ) , </w:t>
      </w:r>
    </w:p>
    <w:p w14:paraId="54F33413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</w:p>
    <w:p w14:paraId="1121AFC5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A </w:t>
      </w:r>
      <w:r>
        <w:rPr>
          <w:rFonts w:ascii="Arial" w:hAnsi="Arial" w:cs="Arial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empresa  KASA MOTORS LTDA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, concessionária autorizada da marca </w:t>
      </w: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TOYOTA, pertencente ao Grupo SAGA , 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estabelecida e com endereço à Av. Comercial , s/n , Trecho 1, lotes 5 e 6, Parte B , Setor Habitacional do Taquari , Brasília DF , CEP 71.200-020,  inscrita no CNPJ sob o n. 05.471.879/0004-16 e, inscrição distrital n. 07.704.373/002-56, vem por meio desta, por meio de seu procurador legalmente  constituído infra - identificado, tempestivamente  e  com fulcro nos </w:t>
      </w: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ITENS 24 a 24.6 do Edital em questão,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interpor </w:t>
      </w:r>
    </w:p>
    <w:p w14:paraId="5460DD8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sz w:val="22"/>
          <w:szCs w:val="22"/>
          <w:bdr w:val="none" w:sz="0" w:space="0" w:color="auto" w:frame="1"/>
        </w:rPr>
        <w:t> </w:t>
      </w:r>
    </w:p>
    <w:p w14:paraId="231E558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                                                                           </w:t>
      </w:r>
      <w:r>
        <w:rPr>
          <w:rFonts w:ascii="Arial" w:hAnsi="Arial" w:cs="Arial"/>
          <w:b/>
          <w:bCs/>
          <w:color w:val="242424"/>
          <w:sz w:val="22"/>
          <w:szCs w:val="22"/>
          <w:u w:val="single"/>
          <w:bdr w:val="none" w:sz="0" w:space="0" w:color="auto" w:frame="1"/>
        </w:rPr>
        <w:t>PEDIDO DE ESCLARECIMENTOS C/C IMPUGNAÇÃO </w:t>
      </w:r>
    </w:p>
    <w:p w14:paraId="5DC4410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sz w:val="22"/>
          <w:szCs w:val="22"/>
          <w:bdr w:val="none" w:sz="0" w:space="0" w:color="auto" w:frame="1"/>
        </w:rPr>
        <w:t> </w:t>
      </w:r>
    </w:p>
    <w:p w14:paraId="4CFFCF0F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ao termos do instrumento convocatório em epígrafe, pelos motivos de fato e de direito abaixo aduzidos : </w:t>
      </w:r>
    </w:p>
    <w:p w14:paraId="0CB755A8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sz w:val="22"/>
          <w:szCs w:val="22"/>
          <w:bdr w:val="none" w:sz="0" w:space="0" w:color="auto" w:frame="1"/>
        </w:rPr>
        <w:t> </w:t>
      </w:r>
    </w:p>
    <w:p w14:paraId="705DD463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                                                                                     </w:t>
      </w:r>
      <w:r>
        <w:rPr>
          <w:rFonts w:ascii="Arial" w:hAnsi="Arial" w:cs="Arial"/>
          <w:b/>
          <w:bCs/>
          <w:color w:val="242424"/>
          <w:sz w:val="22"/>
          <w:szCs w:val="22"/>
          <w:u w:val="single"/>
          <w:bdr w:val="none" w:sz="0" w:space="0" w:color="auto" w:frame="1"/>
        </w:rPr>
        <w:t> PEDIDO DE ESCLARECIMENTOS </w:t>
      </w:r>
    </w:p>
    <w:p w14:paraId="5AA9C94F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E9CB28B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O Anexo TR ( Termo de Referência ),  do Edital, não especifica em nenhuma passagem de seu texto, bem como da especificação técnica mínima constante ao longo dos 9 lotes que serão licitados ,  a cor e/ou as cores que os veículo(s) deverá(ão) ser fornecido(s) . </w:t>
      </w:r>
    </w:p>
    <w:p w14:paraId="1C7A45FB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9DB6C9A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Isto posto, solicitamos que esta questão seja esclarecida. </w:t>
      </w:r>
    </w:p>
    <w:p w14:paraId="11E20F3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86D639B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                                                                                             </w:t>
      </w:r>
      <w:r>
        <w:rPr>
          <w:rFonts w:ascii="Arial" w:hAnsi="Arial" w:cs="Arial"/>
          <w:b/>
          <w:bCs/>
          <w:color w:val="242424"/>
          <w:sz w:val="22"/>
          <w:szCs w:val="22"/>
          <w:u w:val="single"/>
          <w:bdr w:val="none" w:sz="0" w:space="0" w:color="auto" w:frame="1"/>
        </w:rPr>
        <w:t>IMPUGNAÇÃO </w:t>
      </w:r>
    </w:p>
    <w:p w14:paraId="0792E982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A14DC8C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                                                                                                </w:t>
      </w:r>
      <w:r>
        <w:rPr>
          <w:rFonts w:ascii="Arial" w:hAnsi="Arial" w:cs="Arial"/>
          <w:b/>
          <w:bCs/>
          <w:color w:val="242424"/>
          <w:sz w:val="22"/>
          <w:szCs w:val="22"/>
          <w:u w:val="single"/>
          <w:bdr w:val="none" w:sz="0" w:space="0" w:color="auto" w:frame="1"/>
        </w:rPr>
        <w:t>DOS FATOS </w:t>
      </w:r>
    </w:p>
    <w:p w14:paraId="7D5DA2CC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C3B784E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Os lotes 2, 5 e 8 , destinados  à aquisição de veículos  da categoria SUV , Diesel , 4x4 , com mínimo de 180 CV de potência  , determina entre outros , que os mesmos deverão possuir capacidade de carga útil  de no mínimo 600 kg. </w:t>
      </w:r>
    </w:p>
    <w:p w14:paraId="6082F61E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B28B611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A marca / modelo TOYOTA, SW4 SRX 5L , 4x4 , Diesel , 2,8 L ,  16 V,  204 cv de potência , ao preço de tabela inicial constante no  site oficial da montadora  de R$374.690,00 ( vide link :  </w:t>
      </w:r>
      <w:hyperlink r:id="rId5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https://www.toyota.com.br/modelos/sw4</w:t>
        </w:r>
      </w:hyperlink>
      <w:r>
        <w:rPr>
          <w:rFonts w:ascii="Calibri" w:hAnsi="Calibri" w:cs="Calibri"/>
          <w:color w:val="242424"/>
          <w:sz w:val="22"/>
          <w:szCs w:val="22"/>
        </w:rPr>
        <w:t>) , se mantida esta exigência de Edital , restará fora da disputa de preços , tendo em vista que a referida marca/modelo possui a capacidade de carga de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00"/>
        </w:rPr>
        <w:t> 565 kg </w:t>
      </w:r>
      <w:r>
        <w:rPr>
          <w:rFonts w:ascii="Calibri" w:hAnsi="Calibri" w:cs="Calibri"/>
          <w:color w:val="242424"/>
          <w:sz w:val="22"/>
          <w:szCs w:val="22"/>
        </w:rPr>
        <w:t> ,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que é muito próxima 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  <w:shd w:val="clear" w:color="auto" w:fill="FFFF00"/>
        </w:rPr>
        <w:t xml:space="preserve">à média da capacidade de carga útil dos  principais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  <w:shd w:val="clear" w:color="auto" w:fill="FFFF00"/>
        </w:rPr>
        <w:lastRenderedPageBreak/>
        <w:t>concorrentes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com diferença , a menor,  de apenas 5,72%  </w:t>
      </w:r>
      <w:r>
        <w:rPr>
          <w:rFonts w:ascii="Calibri" w:hAnsi="Calibri" w:cs="Calibri"/>
          <w:color w:val="242424"/>
          <w:sz w:val="22"/>
          <w:szCs w:val="22"/>
        </w:rPr>
        <w:t>, de acordo com a pesquisa feita junto ao site oficial dos  principais concorrentes e memória de cálculo, a  saber,  explicitados :      </w:t>
      </w:r>
    </w:p>
    <w:p w14:paraId="03DD638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F3ED74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GM TRAILBLAZER</w:t>
      </w:r>
      <w:r>
        <w:rPr>
          <w:rFonts w:ascii="Calibri" w:hAnsi="Calibri" w:cs="Calibri"/>
          <w:color w:val="242424"/>
          <w:sz w:val="22"/>
          <w:szCs w:val="22"/>
        </w:rPr>
        <w:t> LT 16",  4X4,  DIESEL ,  200 CV,  de potência  ,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 com capacidade de carga útil de 618 kg (</w:t>
      </w:r>
      <w:r>
        <w:rPr>
          <w:rFonts w:ascii="Calibri" w:hAnsi="Calibri" w:cs="Calibri"/>
          <w:color w:val="242424"/>
          <w:sz w:val="22"/>
          <w:szCs w:val="22"/>
        </w:rPr>
        <w:t> vide manual anexo - pág 301 ) fonte : site oficial da montadora. </w:t>
      </w:r>
    </w:p>
    <w:p w14:paraId="08D4A378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08FF7AD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MMC - HPE ( MITSUBISHI ) PAJERO</w:t>
      </w:r>
      <w:r>
        <w:rPr>
          <w:rFonts w:ascii="Calibri" w:hAnsi="Calibri" w:cs="Calibri"/>
          <w:color w:val="242424"/>
          <w:sz w:val="22"/>
          <w:szCs w:val="22"/>
        </w:rPr>
        <w:t> SPORT HPE 4X4, DIESEL , 190 CV , de potência ,   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com capacidade de carga útil de 615 kg </w:t>
      </w:r>
      <w:r>
        <w:rPr>
          <w:rFonts w:ascii="Calibri" w:hAnsi="Calibri" w:cs="Calibri"/>
          <w:color w:val="242424"/>
          <w:sz w:val="22"/>
          <w:szCs w:val="22"/>
        </w:rPr>
        <w:t>( vide ficha técnica anexa ) fonte: site oficial da montadora .</w:t>
      </w:r>
    </w:p>
    <w:p w14:paraId="0E1D93D3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FBCAF51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TOYOTA  SW4</w:t>
      </w:r>
      <w:r>
        <w:rPr>
          <w:rFonts w:ascii="Calibri" w:hAnsi="Calibri" w:cs="Calibri"/>
          <w:color w:val="242424"/>
          <w:sz w:val="22"/>
          <w:szCs w:val="22"/>
        </w:rPr>
        <w:t> SRX , 5 L ,  4x4 , DIESEL , 204 cv ,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 com capacidade de carga de 565 kg . </w:t>
      </w:r>
      <w:r>
        <w:rPr>
          <w:rFonts w:ascii="Calibri" w:hAnsi="Calibri" w:cs="Calibri"/>
          <w:color w:val="242424"/>
          <w:sz w:val="22"/>
          <w:szCs w:val="22"/>
        </w:rPr>
        <w:t>( vide ficha técnica anexa ) fonte : site oficial da montadora. </w:t>
      </w:r>
    </w:p>
    <w:p w14:paraId="249E699B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C46151B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00"/>
        </w:rPr>
        <w:t>Total   /  = MÉDIA de 599,33  kg . </w:t>
      </w:r>
    </w:p>
    <w:p w14:paraId="57A496AE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035846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Neste sentido, ressaltamos ainda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que a diferença a menor da capacidade de carga  mínima  solicitada em Edital , se comparada com a mesma  medida de  capacidade da marca / modelo  TOYOTA SW4 SRX , 5 L  , 4X4 , DIESEL , 204 CV ,  é de apenas 5,83% .</w:t>
      </w:r>
    </w:p>
    <w:p w14:paraId="002437B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8790221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Portanto , podemos depreender dos fatos demonstrados,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que o percentual de 5,83% a menor com relação ao mínimo exigido em Edital ,  é irrisório e irrelevante em termos de uso prático e diário do veículo,</w:t>
      </w:r>
      <w:r>
        <w:rPr>
          <w:rFonts w:ascii="Calibri" w:hAnsi="Calibri" w:cs="Calibri"/>
          <w:color w:val="242424"/>
          <w:sz w:val="22"/>
          <w:szCs w:val="22"/>
        </w:rPr>
        <w:t> haja visto que o percentual  é de apenas 5,83%  a menos, repetimos.</w:t>
      </w:r>
    </w:p>
    <w:p w14:paraId="25535F64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A7F586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Por outro lado, durante a  vida útil de qualquer veículo automotor  de passeio como já comprovado por estudos especializados da indústria , bem como sendo também  fato público e notório comprovado pelos orgãos de trânsito nacional ,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o uso pelo consumidor comum e/ou usuário eventual  da capacidade total de carga e/ou  passageiros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 dos citados meios de transporte , na média ,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ocorre com uma frequência  muito baixa.  </w:t>
      </w:r>
    </w:p>
    <w:p w14:paraId="526F7D9C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A32BA7B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Por outro lado , há de se ressaltar ainda que se contabilizarmos  os  ganhos de economicidade que poderão advir  na busca do melhor preço que a mudança deste item poderá  trazer para essa Administração Pública em contraponto a ínfima menor capacidade de carga que os veículos irão oferecer conforme pleiteado nesta,  podemos concluir que se justifica a modificação do citado item  para um patamar mínimo  que justifique  o ingresso na concorrência  de mais 1 das 3  principais marcas / modelos que disputam este segmento de  mercado ( SUV , 4X4 , Diesel,  com mínimo de 180 cv ). </w:t>
      </w:r>
    </w:p>
    <w:p w14:paraId="2728B296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F57FD48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Sendo assim, tal dedução lógica , torna 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 patente que a manutenção da referida exigência não se justifica. </w:t>
      </w:r>
    </w:p>
    <w:p w14:paraId="4D9C965C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B413425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Muito pelo contrário, essa     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exigência    se     mantida,  irá  reduzir em até  33,33% o número de potenciais fornecedores na disputa como acima demonstrado  o que, </w:t>
      </w:r>
      <w:r>
        <w:rPr>
          <w:rFonts w:ascii="Calibri" w:hAnsi="Calibri" w:cs="Calibri"/>
          <w:color w:val="242424"/>
          <w:sz w:val="22"/>
          <w:szCs w:val="22"/>
        </w:rPr>
        <w:t xml:space="preserve">por sua vez,  se refletirá naturalmente e certamente , em uma  média de  preços mais altos praticados nas </w:t>
      </w:r>
      <w:r>
        <w:rPr>
          <w:rFonts w:ascii="Calibri" w:hAnsi="Calibri" w:cs="Calibri"/>
          <w:color w:val="242424"/>
          <w:sz w:val="22"/>
          <w:szCs w:val="22"/>
        </w:rPr>
        <w:lastRenderedPageBreak/>
        <w:t>futuras ofertas destes lotes, o que obviamente,  trará perdas financeiras e portanto, desperdício de preciosos e escassos recursos públicos.      </w:t>
      </w:r>
    </w:p>
    <w:p w14:paraId="5F7A386C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ED35DED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                                                                                           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 DO DIREITO </w:t>
      </w:r>
    </w:p>
    <w:p w14:paraId="3DC72D02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D166C63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Considerando o caso concreto acima demonstrado em riqueza de detalhes e documentos apresentados anexos,  a legislação concernente ao mesmo , a saber : Lei Federal 8.666/1993 , em seu caput do Art 3º c/c o  Inciso I, do mesmo artigo,  ambos a  seguir transcritos,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DETERMINA</w:t>
      </w:r>
      <w:r>
        <w:rPr>
          <w:rFonts w:ascii="Calibri" w:hAnsi="Calibri" w:cs="Calibri"/>
          <w:color w:val="242424"/>
          <w:sz w:val="22"/>
          <w:szCs w:val="22"/>
        </w:rPr>
        <w:t> 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 o que segue</w:t>
      </w:r>
      <w:r>
        <w:rPr>
          <w:rFonts w:ascii="Calibri" w:hAnsi="Calibri" w:cs="Calibri"/>
          <w:color w:val="242424"/>
          <w:sz w:val="22"/>
          <w:szCs w:val="22"/>
        </w:rPr>
        <w:t> : </w:t>
      </w:r>
    </w:p>
    <w:p w14:paraId="0048D076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471DEB7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...............</w:t>
      </w:r>
    </w:p>
    <w:p w14:paraId="1F79CD87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ECE7AFD" w14:textId="77777777" w:rsidR="002D0D8D" w:rsidRDefault="002D0D8D" w:rsidP="002D0D8D">
      <w:pPr>
        <w:pStyle w:val="NormalWeb"/>
        <w:shd w:val="clear" w:color="auto" w:fill="FFFFFF"/>
        <w:spacing w:before="0" w:after="0"/>
        <w:ind w:firstLine="45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Art. 3</w:t>
      </w:r>
      <w:r>
        <w:rPr>
          <w:rFonts w:ascii="Arial" w:hAnsi="Arial" w:cs="Arial"/>
          <w:color w:val="000000"/>
          <w:sz w:val="20"/>
          <w:szCs w:val="20"/>
          <w:u w:val="single"/>
          <w:bdr w:val="none" w:sz="0" w:space="0" w:color="auto" w:frame="1"/>
          <w:vertAlign w:val="superscript"/>
        </w:rPr>
        <w:t>o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 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00"/>
        </w:rPr>
        <w:t>A licitação destina-se a garantir a observância do princípio constitucional da isonomia, a seleção da proposta mais vantajosa para a administração 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                    </w:t>
      </w:r>
      <w:hyperlink r:id="rId6" w:anchor="art1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(Redação dada pela Lei nº 12.349, de 2010)</w:t>
        </w:r>
      </w:hyperlink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         </w:t>
      </w: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(Regulamento)</w:t>
        </w:r>
      </w:hyperlink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           </w:t>
      </w:r>
      <w:hyperlink r:id="rId8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(Regulamento)</w:t>
        </w:r>
      </w:hyperlink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             </w:t>
      </w:r>
      <w:hyperlink r:id="rId9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(Regulamento)</w:t>
        </w:r>
      </w:hyperlink>
    </w:p>
    <w:p w14:paraId="7250FF61" w14:textId="77777777" w:rsidR="002D0D8D" w:rsidRDefault="002D0D8D" w:rsidP="002D0D8D">
      <w:pPr>
        <w:pStyle w:val="NormalWeb"/>
        <w:shd w:val="clear" w:color="auto" w:fill="FFFFFF"/>
        <w:spacing w:before="0" w:after="0"/>
        <w:ind w:firstLine="450"/>
        <w:textAlignment w:val="baseline"/>
        <w:rPr>
          <w:rFonts w:ascii="Segoe UI" w:hAnsi="Segoe UI" w:cs="Segoe UI"/>
          <w:color w:val="242424"/>
          <w:sz w:val="23"/>
          <w:szCs w:val="23"/>
        </w:rPr>
      </w:pPr>
      <w:bookmarkStart w:id="0" w:name="x_x_m_6527787262153731753_art3§1"/>
      <w:bookmarkEnd w:id="0"/>
      <w:r>
        <w:rPr>
          <w:rFonts w:ascii="Arial" w:hAnsi="Arial" w:cs="Arial"/>
          <w:color w:val="000000"/>
          <w:bdr w:val="none" w:sz="0" w:space="0" w:color="auto" w:frame="1"/>
        </w:rPr>
        <w:t>§ 1</w:t>
      </w:r>
      <w:r>
        <w:rPr>
          <w:rFonts w:ascii="Arial" w:hAnsi="Arial" w:cs="Arial"/>
          <w:color w:val="000000"/>
          <w:u w:val="single"/>
          <w:bdr w:val="none" w:sz="0" w:space="0" w:color="auto" w:frame="1"/>
          <w:vertAlign w:val="superscript"/>
        </w:rPr>
        <w:t>o</w:t>
      </w:r>
      <w:r>
        <w:rPr>
          <w:rFonts w:ascii="Arial" w:hAnsi="Arial" w:cs="Arial"/>
          <w:color w:val="000000"/>
          <w:bdr w:val="none" w:sz="0" w:space="0" w:color="auto" w:frame="1"/>
        </w:rPr>
        <w:t>  É vedado aos agentes públicos:</w:t>
      </w:r>
    </w:p>
    <w:p w14:paraId="28622F07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I -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00"/>
        </w:rPr>
        <w:t> admitir, prever, incluir ou tolerar, nos atos de convocação, cláusulas ou condições que comprometam, restrinjam ou frustrem o seu caráter competitivo,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inclusive nos casos de sociedades cooperativas, e estabeleçam preferências ou distinções em razão da naturalidade, da sede ou domicílio dos licitantes ou de qualquer outra circunstância impertinente ou irrelevante para o específico objeto do contrato, ressalvado o disposto nos §§ 5</w:t>
      </w:r>
      <w:r>
        <w:rPr>
          <w:rFonts w:ascii="Arial" w:hAnsi="Arial" w:cs="Arial"/>
          <w:color w:val="000000"/>
          <w:sz w:val="22"/>
          <w:szCs w:val="22"/>
          <w:u w:val="single"/>
          <w:bdr w:val="none" w:sz="0" w:space="0" w:color="auto" w:frame="1"/>
          <w:vertAlign w:val="superscript"/>
        </w:rPr>
        <w:t>o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a 12 deste artigo e no </w:t>
      </w:r>
      <w:hyperlink r:id="rId10" w:anchor="art3" w:tgtFrame="_blank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art. 3</w:t>
        </w:r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vertAlign w:val="superscript"/>
          </w:rPr>
          <w:t>o</w:t>
        </w:r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 da Lei n</w:t>
        </w:r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vertAlign w:val="superscript"/>
          </w:rPr>
          <w:t>o</w:t>
        </w:r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 8.248, de 23 de outubro de 1991</w:t>
        </w:r>
      </w:hyperlink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;                   </w:t>
      </w:r>
      <w:hyperlink r:id="rId11" w:anchor="art1" w:tgtFrame="_blank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(Redação dada pela Lei nº 12.349, de 2010)</w:t>
        </w:r>
      </w:hyperlink>
    </w:p>
    <w:p w14:paraId="59B2E84C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F8693C3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...........</w:t>
      </w:r>
    </w:p>
    <w:p w14:paraId="28DF65C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D4F3C4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u w:val="single"/>
          <w:bdr w:val="none" w:sz="0" w:space="0" w:color="auto" w:frame="1"/>
        </w:rPr>
        <w:t>( grifo e destaque em amarelo , nosso ) </w:t>
      </w:r>
    </w:p>
    <w:p w14:paraId="03C88594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EB9361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25BDF9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Neste sentido, entendemos que a manutenção da referida exigência irá alijar da disputa potencial fornecedor  que,  detém um   histórico  renomado no mercado e  que dispõe de produto de alta qualidade e  com  preços competitivos a ofertar, devido a  um a exigência técnica que se modificada, na prática, não irá trazer prejuízos algum para essa Administração Pública, conforme acima demonstrado e defendido. </w:t>
      </w:r>
    </w:p>
    <w:p w14:paraId="799DDDF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859A127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Outrosssim , como já dito, enfatizamos que a não modificação deste item, certamente trará malefícios e desperdícios indesejados  dos recursos públicos destinados para a 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lastRenderedPageBreak/>
        <w:t>referida compra, gerando por sua vez,  desequilíbrio  na relação custo versus benefício em desfavor do licitador, futuro contratante e de  todos os contribuintes brasileiros de uma maneira geral  que, diretamente e/ou  indiretamente estão patrocinando esta compra.      </w:t>
      </w:r>
    </w:p>
    <w:p w14:paraId="61882D35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03B3481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A5A0212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A0E31C6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                                                                                                        </w:t>
      </w:r>
      <w:r>
        <w:rPr>
          <w:rFonts w:ascii="Arial" w:hAnsi="Arial" w:cs="Arial"/>
          <w:b/>
          <w:bCs/>
          <w:color w:val="242424"/>
          <w:sz w:val="22"/>
          <w:szCs w:val="22"/>
          <w:u w:val="single"/>
          <w:bdr w:val="none" w:sz="0" w:space="0" w:color="auto" w:frame="1"/>
        </w:rPr>
        <w:t>  DO PEDIDO. </w:t>
      </w:r>
    </w:p>
    <w:p w14:paraId="7D984C7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6BAAC1A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2693BE2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Considerando os argumentos de fato e de direito acima explanados.</w:t>
      </w:r>
    </w:p>
    <w:p w14:paraId="2A2B302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 </w:t>
      </w:r>
    </w:p>
    <w:p w14:paraId="55E34D51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Considerando o interesse público defendido pelo princípio da economicidade,  que é a busca pela proposta mais vantajosa preservando-se  os princípios da segurança jurídica e do poder discricionário do Estado , entre outros. </w:t>
      </w:r>
    </w:p>
    <w:p w14:paraId="0C19EDA7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9BECF3F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Considerando a coerência  desta demanda que deve estar em  consonância com  os princípios do Direito Administrativo Público  defendidos nesta . </w:t>
      </w:r>
    </w:p>
    <w:p w14:paraId="08218AD8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9D8239D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Considerando que  se atendida a  referida demanda , as principais  03 ( três ) marcas / modelos acima elencadas, da categoria SUV , objeto do Edital , poderão travar uma disputa justa e leal, com benefícios para todos os envolvidos   em particular , para  o contribuinte brasileiro , que deveria ser a principal  preocupação do gestor público  no uso dos recursos previstos no orçamento nacional . </w:t>
      </w:r>
    </w:p>
    <w:p w14:paraId="43DAF8C7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286D3B8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Neste sentido, peticionamos  o que segue : </w:t>
      </w:r>
    </w:p>
    <w:p w14:paraId="4975032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905AED4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1) Que a exigência de Edital , contida nos lotes 2, 5 e 8 , do Anexo  TR ( Termo de Referência )  , do Edital , em epígrafe,  a saber :  ....</w:t>
      </w: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carga útil mínima de 600 kg; .... seja modificado   PARA ....carga útil mínima de 565 kg .....</w:t>
      </w:r>
    </w:p>
    <w:p w14:paraId="5A10CA7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( grifo nosso ) </w:t>
      </w:r>
    </w:p>
    <w:p w14:paraId="51331935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05ADD06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Termos em que, </w:t>
      </w:r>
    </w:p>
    <w:p w14:paraId="28DDEFB2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5414233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Pede deferimento . </w:t>
      </w:r>
    </w:p>
    <w:p w14:paraId="139583C2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9EC6C29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Brasília , 19 de janeiro de 2022. </w:t>
      </w:r>
    </w:p>
    <w:p w14:paraId="2DFE5410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sz w:val="22"/>
          <w:szCs w:val="22"/>
          <w:bdr w:val="none" w:sz="0" w:space="0" w:color="auto" w:frame="1"/>
        </w:rPr>
        <w:t> </w:t>
      </w:r>
    </w:p>
    <w:p w14:paraId="10EBA443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sz w:val="22"/>
          <w:szCs w:val="22"/>
          <w:bdr w:val="none" w:sz="0" w:space="0" w:color="auto" w:frame="1"/>
        </w:rPr>
        <w:t> </w:t>
      </w:r>
    </w:p>
    <w:p w14:paraId="3B094587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SÉRGIO SOLINO AIRES </w:t>
      </w:r>
    </w:p>
    <w:p w14:paraId="6DBD25CE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SOLINO CONSULT EM VENDAS GOVERNAMENTAIS LTDA</w:t>
      </w:r>
    </w:p>
    <w:p w14:paraId="0C6040E8" w14:textId="77777777" w:rsidR="002D0D8D" w:rsidRDefault="002D0D8D" w:rsidP="002D0D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A SERVIÇO - KASA MOTORS TOYOTA DF</w:t>
      </w:r>
    </w:p>
    <w:p w14:paraId="321DF53B" w14:textId="77777777" w:rsidR="002D0D8D" w:rsidRPr="002D0D8D" w:rsidRDefault="002D0D8D" w:rsidP="002D0D8D"/>
    <w:sectPr w:rsidR="002D0D8D" w:rsidRPr="002D0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8D"/>
    <w:rsid w:val="002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9EDD"/>
  <w15:chartTrackingRefBased/>
  <w15:docId w15:val="{EA3D8B6E-9266-4D9D-B4EA-B554F822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D0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9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42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7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40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93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6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88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17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8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705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331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091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666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48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252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2/Decreto/D784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11-2014/2012/Decreto/D7746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07-2010/2010/Lei/L12349.htm" TargetMode="External"/><Relationship Id="rId11" Type="http://schemas.openxmlformats.org/officeDocument/2006/relationships/hyperlink" Target="https://www.planalto.gov.br/ccivil_03/_Ato2007-2010/2010/Lei/L12349.htm" TargetMode="External"/><Relationship Id="rId5" Type="http://schemas.openxmlformats.org/officeDocument/2006/relationships/hyperlink" Target="https://www.toyota.com.br/modelos/sw4" TargetMode="External"/><Relationship Id="rId10" Type="http://schemas.openxmlformats.org/officeDocument/2006/relationships/hyperlink" Target="https://www.planalto.gov.br/ccivil_03/leis/L8248.htm" TargetMode="External"/><Relationship Id="rId4" Type="http://schemas.openxmlformats.org/officeDocument/2006/relationships/hyperlink" Target="http://www.comprasnet.gov.br/" TargetMode="External"/><Relationship Id="rId9" Type="http://schemas.openxmlformats.org/officeDocument/2006/relationships/hyperlink" Target="https://www.planalto.gov.br/ccivil_03/_Ato2011-2014/2012/Decreto/D7843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8293</Characters>
  <Application>Microsoft Office Word</Application>
  <DocSecurity>0</DocSecurity>
  <Lines>69</Lines>
  <Paragraphs>19</Paragraphs>
  <ScaleCrop>false</ScaleCrop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Ronélio da Costa Mendonça</dc:creator>
  <cp:keywords/>
  <dc:description/>
  <cp:lastModifiedBy>Ronélio da Costa Mendonça</cp:lastModifiedBy>
  <cp:revision>1</cp:revision>
  <dcterms:created xsi:type="dcterms:W3CDTF">2023-01-24T12:15:00Z</dcterms:created>
  <dcterms:modified xsi:type="dcterms:W3CDTF">2023-01-24T12:15:00Z</dcterms:modified>
</cp:coreProperties>
</file>