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6980" w14:textId="77777777" w:rsidR="003E0137" w:rsidRPr="00863FA3" w:rsidRDefault="003E0137" w:rsidP="517C72C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0863FA3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  <w:lang w:eastAsia="en-US"/>
        </w:rPr>
        <w:t>PEDIDOS DE ESCLARECIMENTO </w:t>
      </w:r>
    </w:p>
    <w:p w14:paraId="57700BF5" w14:textId="77777777" w:rsidR="00367A0E" w:rsidRPr="00863FA3" w:rsidRDefault="00367A0E" w:rsidP="4519A68A">
      <w:pPr>
        <w:pStyle w:val="paragraph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</w:pPr>
    </w:p>
    <w:p w14:paraId="2B1CD97F" w14:textId="77777777" w:rsidR="00367A0E" w:rsidRPr="00863FA3" w:rsidRDefault="00367A0E" w:rsidP="00367A0E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</w:pPr>
    </w:p>
    <w:p w14:paraId="6D08029E" w14:textId="59ABB3C8" w:rsidR="00367A0E" w:rsidRPr="00863FA3" w:rsidRDefault="6123AA80" w:rsidP="00367A0E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</w:pPr>
      <w:r w:rsidRPr="00863FA3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Pregão Eletrônico N° 9000</w:t>
      </w:r>
      <w:r w:rsidR="00A8103A" w:rsidRPr="00863FA3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6</w:t>
      </w:r>
      <w:r w:rsidRPr="00863FA3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/2025</w:t>
      </w:r>
    </w:p>
    <w:p w14:paraId="38D83666" w14:textId="77777777" w:rsidR="00367A0E" w:rsidRPr="00863FA3" w:rsidRDefault="00367A0E" w:rsidP="00367A0E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</w:pPr>
    </w:p>
    <w:p w14:paraId="630F1431" w14:textId="3865EA3F" w:rsidR="6123AA80" w:rsidRPr="00863FA3" w:rsidRDefault="00367A0E" w:rsidP="00367A0E">
      <w:pPr>
        <w:pStyle w:val="paragraph"/>
        <w:spacing w:before="0" w:beforeAutospacing="0" w:after="0" w:afterAutospacing="0"/>
        <w:rPr>
          <w:rFonts w:ascii="Calibri" w:eastAsia="Calibri" w:hAnsi="Calibri" w:cs="Calibri"/>
          <w:b/>
          <w:bCs/>
          <w:color w:val="000000" w:themeColor="text1"/>
        </w:rPr>
      </w:pPr>
      <w:r w:rsidRPr="00863FA3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OBJETO: Contratação de empresa especializada na prestação de serviços de suporte e manutenção de equipamentos de armazenamento de dados (STORAGE)</w:t>
      </w:r>
    </w:p>
    <w:p w14:paraId="25BCAD57" w14:textId="5BA6A43B" w:rsidR="003E0137" w:rsidRPr="00863FA3" w:rsidRDefault="003E0137" w:rsidP="46AC99CA">
      <w:pPr>
        <w:shd w:val="clear" w:color="auto" w:fill="FFFFFF" w:themeFill="background1"/>
        <w:spacing w:after="0" w:line="240" w:lineRule="auto"/>
        <w:jc w:val="both"/>
        <w:rPr>
          <w:rFonts w:ascii="Aptos" w:eastAsia="Times New Roman" w:hAnsi="Aptos" w:cs="Times New Roman"/>
          <w:color w:val="242424"/>
          <w:sz w:val="24"/>
          <w:szCs w:val="24"/>
          <w:bdr w:val="none" w:sz="0" w:space="0" w:color="auto" w:frame="1"/>
          <w:lang w:eastAsia="pt-BR"/>
        </w:rPr>
      </w:pPr>
    </w:p>
    <w:p w14:paraId="58691861" w14:textId="12A0C363" w:rsidR="00431B6A" w:rsidRPr="00496839" w:rsidRDefault="4504545F" w:rsidP="517C72C6">
      <w:pPr>
        <w:spacing w:before="240" w:after="240" w:line="240" w:lineRule="auto"/>
        <w:jc w:val="both"/>
        <w:rPr>
          <w:rFonts w:ascii="Aptos" w:eastAsia="Times New Roman" w:hAnsi="Aptos" w:cs="Times New Roman"/>
          <w:color w:val="242424"/>
          <w:sz w:val="24"/>
          <w:szCs w:val="24"/>
          <w:lang w:eastAsia="pt-BR"/>
        </w:rPr>
      </w:pPr>
      <w:r w:rsidRPr="0049683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ESCLARECIMENTO Nº 01:</w:t>
      </w:r>
    </w:p>
    <w:p w14:paraId="0AC3F9BE" w14:textId="1BCC4E9B" w:rsidR="00F62C76" w:rsidRPr="00496839" w:rsidRDefault="00AD2C8C" w:rsidP="00F62C76">
      <w:pPr>
        <w:spacing w:before="240" w:after="240" w:line="240" w:lineRule="auto"/>
        <w:ind w:left="708"/>
        <w:jc w:val="both"/>
        <w:rPr>
          <w:rFonts w:ascii="Aptos" w:eastAsia="Aptos" w:hAnsi="Aptos" w:cs="Aptos"/>
          <w:i/>
          <w:iCs/>
          <w:sz w:val="24"/>
          <w:szCs w:val="24"/>
        </w:rPr>
      </w:pPr>
      <w:r w:rsidRPr="00496839">
        <w:rPr>
          <w:rFonts w:ascii="Aptos" w:eastAsia="Aptos" w:hAnsi="Aptos" w:cs="Aptos"/>
          <w:i/>
          <w:iCs/>
          <w:sz w:val="24"/>
          <w:szCs w:val="24"/>
        </w:rPr>
        <w:t>“</w:t>
      </w:r>
      <w:r w:rsidR="00F62C76" w:rsidRPr="00496839">
        <w:rPr>
          <w:rFonts w:ascii="Aptos" w:eastAsia="Aptos" w:hAnsi="Aptos" w:cs="Aptos"/>
          <w:i/>
          <w:iCs/>
          <w:sz w:val="24"/>
          <w:szCs w:val="24"/>
        </w:rPr>
        <w:t>Updates de firmware:</w:t>
      </w:r>
    </w:p>
    <w:p w14:paraId="350A90D3" w14:textId="344E679F" w:rsidR="1B1BC330" w:rsidRPr="00496839" w:rsidRDefault="00F62C76" w:rsidP="00F62C76">
      <w:pPr>
        <w:spacing w:before="240" w:after="240" w:line="240" w:lineRule="auto"/>
        <w:ind w:left="708"/>
        <w:jc w:val="both"/>
        <w:rPr>
          <w:rFonts w:ascii="Aptos" w:eastAsia="Aptos" w:hAnsi="Aptos" w:cs="Aptos"/>
          <w:i/>
          <w:iCs/>
          <w:sz w:val="24"/>
          <w:szCs w:val="24"/>
        </w:rPr>
      </w:pPr>
      <w:r w:rsidRPr="00496839">
        <w:rPr>
          <w:rFonts w:ascii="Aptos" w:eastAsia="Aptos" w:hAnsi="Aptos" w:cs="Aptos"/>
          <w:i/>
          <w:iCs/>
          <w:sz w:val="24"/>
          <w:szCs w:val="24"/>
        </w:rPr>
        <w:t>Em relação as atualizações de firmware e demais updates, visto que são de desenvolvimento exclusivo do fabricante, podemos considerar que esta exigência somente se aplica aos arquivos disponibilizados de forma pública no site do respectivo fabricante?”</w:t>
      </w:r>
    </w:p>
    <w:p w14:paraId="11223EB1" w14:textId="007A9076" w:rsidR="61CE25B2" w:rsidRPr="00496839" w:rsidRDefault="1B1BC330" w:rsidP="00F62C76">
      <w:pPr>
        <w:spacing w:after="120"/>
        <w:ind w:left="708"/>
        <w:jc w:val="both"/>
        <w:rPr>
          <w:sz w:val="24"/>
          <w:szCs w:val="24"/>
        </w:rPr>
      </w:pPr>
      <w:r w:rsidRPr="00496839">
        <w:rPr>
          <w:rFonts w:ascii="Aptos" w:eastAsia="Aptos" w:hAnsi="Aptos" w:cs="Aptos"/>
          <w:b/>
          <w:bCs/>
          <w:sz w:val="24"/>
          <w:szCs w:val="24"/>
        </w:rPr>
        <w:t>RESPOSTA:</w:t>
      </w:r>
      <w:r w:rsidRPr="00496839">
        <w:rPr>
          <w:rFonts w:ascii="Aptos" w:eastAsia="Aptos" w:hAnsi="Aptos" w:cs="Aptos"/>
          <w:sz w:val="24"/>
          <w:szCs w:val="24"/>
        </w:rPr>
        <w:t xml:space="preserve"> </w:t>
      </w:r>
      <w:r w:rsidR="00F62C76" w:rsidRPr="00496839">
        <w:rPr>
          <w:rFonts w:ascii="Calibri" w:eastAsia="Calibri" w:hAnsi="Calibri" w:cs="Calibri"/>
          <w:color w:val="000000" w:themeColor="text1"/>
          <w:sz w:val="24"/>
          <w:szCs w:val="24"/>
        </w:rPr>
        <w:t>Sim.</w:t>
      </w:r>
    </w:p>
    <w:p w14:paraId="3EC1FFF7" w14:textId="67744280" w:rsidR="00431B6A" w:rsidRPr="00496839" w:rsidRDefault="00431B6A" w:rsidP="4519A68A">
      <w:pPr>
        <w:spacing w:before="240" w:after="240" w:line="240" w:lineRule="auto"/>
        <w:jc w:val="both"/>
        <w:rPr>
          <w:sz w:val="24"/>
          <w:szCs w:val="24"/>
        </w:rPr>
      </w:pPr>
    </w:p>
    <w:p w14:paraId="465D61A1" w14:textId="77777777" w:rsidR="00F62C76" w:rsidRPr="00496839" w:rsidRDefault="4504545F" w:rsidP="00F62C76">
      <w:pPr>
        <w:spacing w:before="240" w:after="24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496839">
        <w:rPr>
          <w:rFonts w:ascii="Calibri" w:eastAsia="Calibri" w:hAnsi="Calibri" w:cs="Calibri"/>
          <w:b/>
          <w:bCs/>
          <w:sz w:val="24"/>
          <w:szCs w:val="24"/>
        </w:rPr>
        <w:t>ESCLARECIMENTO Nº 02:</w:t>
      </w:r>
    </w:p>
    <w:p w14:paraId="58274D81" w14:textId="41D06EBD" w:rsidR="00AD2C8C" w:rsidRPr="00496839" w:rsidRDefault="00AD2C8C" w:rsidP="00AD2C8C">
      <w:pPr>
        <w:spacing w:before="240" w:after="240" w:line="240" w:lineRule="auto"/>
        <w:ind w:left="708"/>
        <w:jc w:val="both"/>
        <w:rPr>
          <w:i/>
          <w:iCs/>
          <w:sz w:val="24"/>
          <w:szCs w:val="24"/>
        </w:rPr>
      </w:pPr>
      <w:r w:rsidRPr="00496839">
        <w:rPr>
          <w:i/>
          <w:iCs/>
          <w:sz w:val="24"/>
          <w:szCs w:val="24"/>
        </w:rPr>
        <w:t>“</w:t>
      </w:r>
      <w:r w:rsidRPr="00AD2C8C">
        <w:rPr>
          <w:i/>
          <w:iCs/>
          <w:sz w:val="24"/>
          <w:szCs w:val="24"/>
        </w:rPr>
        <w:t>Falhas pré-existentes:</w:t>
      </w:r>
    </w:p>
    <w:p w14:paraId="425FBB7C" w14:textId="74351AB4" w:rsidR="00AD2C8C" w:rsidRPr="00AD2C8C" w:rsidRDefault="00AD2C8C" w:rsidP="00AD2C8C">
      <w:pPr>
        <w:spacing w:before="240" w:after="240" w:line="240" w:lineRule="auto"/>
        <w:ind w:left="708"/>
        <w:jc w:val="both"/>
        <w:rPr>
          <w:i/>
          <w:iCs/>
          <w:sz w:val="24"/>
          <w:szCs w:val="24"/>
        </w:rPr>
      </w:pPr>
      <w:r w:rsidRPr="00AD2C8C">
        <w:rPr>
          <w:i/>
          <w:iCs/>
          <w:sz w:val="24"/>
          <w:szCs w:val="24"/>
        </w:rPr>
        <w:t xml:space="preserve">Em relação as condições dos equipamentos que são parte do objeto, podemos considerar que todos os itens estão em perfeito funcionamento? Caso exista alguma </w:t>
      </w:r>
      <w:proofErr w:type="spellStart"/>
      <w:r w:rsidRPr="00AD2C8C">
        <w:rPr>
          <w:i/>
          <w:iCs/>
          <w:sz w:val="24"/>
          <w:szCs w:val="24"/>
        </w:rPr>
        <w:t>pré</w:t>
      </w:r>
      <w:proofErr w:type="spellEnd"/>
      <w:r w:rsidRPr="00AD2C8C">
        <w:rPr>
          <w:i/>
          <w:iCs/>
          <w:sz w:val="24"/>
          <w:szCs w:val="24"/>
        </w:rPr>
        <w:t>-falha/falha de componentes dos equipamentos deste processo, é possível termos acesso prévio a estas informações para que possamos antecipadamente planejarmos a substituição dos componentes?”</w:t>
      </w:r>
    </w:p>
    <w:p w14:paraId="6DA86F1E" w14:textId="77777777" w:rsidR="00AD2C8C" w:rsidRPr="00AD2C8C" w:rsidRDefault="00AD2C8C" w:rsidP="00AD2C8C">
      <w:pPr>
        <w:spacing w:before="240" w:after="240" w:line="240" w:lineRule="auto"/>
        <w:ind w:left="708"/>
        <w:jc w:val="both"/>
        <w:rPr>
          <w:sz w:val="24"/>
          <w:szCs w:val="24"/>
        </w:rPr>
      </w:pPr>
      <w:r w:rsidRPr="00AD2C8C">
        <w:rPr>
          <w:b/>
          <w:bCs/>
          <w:sz w:val="24"/>
          <w:szCs w:val="24"/>
        </w:rPr>
        <w:t>RESPOSTA</w:t>
      </w:r>
      <w:r w:rsidRPr="00AD2C8C">
        <w:rPr>
          <w:sz w:val="24"/>
          <w:szCs w:val="24"/>
        </w:rPr>
        <w:t>: Sim, estão em perfeito funcionamento.</w:t>
      </w:r>
    </w:p>
    <w:p w14:paraId="4561DE55" w14:textId="77777777" w:rsidR="00AD2C8C" w:rsidRPr="00496839" w:rsidRDefault="00AD2C8C" w:rsidP="00AD2C8C">
      <w:pPr>
        <w:spacing w:before="240" w:after="24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60B944B" w14:textId="6E4AC484" w:rsidR="00AD2C8C" w:rsidRPr="00496839" w:rsidRDefault="00AD2C8C" w:rsidP="00AD2C8C">
      <w:pPr>
        <w:spacing w:before="240" w:after="24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496839">
        <w:rPr>
          <w:rFonts w:ascii="Calibri" w:eastAsia="Calibri" w:hAnsi="Calibri" w:cs="Calibri"/>
          <w:b/>
          <w:bCs/>
          <w:sz w:val="24"/>
          <w:szCs w:val="24"/>
        </w:rPr>
        <w:t>ESCLARECIMENTO Nº 03:</w:t>
      </w:r>
    </w:p>
    <w:p w14:paraId="0CF33DE9" w14:textId="72C6E685" w:rsidR="00D01CDB" w:rsidRPr="00496839" w:rsidRDefault="00496839" w:rsidP="00D01CDB">
      <w:pPr>
        <w:spacing w:before="240" w:after="240" w:line="240" w:lineRule="auto"/>
        <w:ind w:left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="00D01CDB" w:rsidRPr="00D01CDB">
        <w:rPr>
          <w:i/>
          <w:iCs/>
          <w:sz w:val="24"/>
          <w:szCs w:val="24"/>
        </w:rPr>
        <w:t>Coleta de logs:</w:t>
      </w:r>
    </w:p>
    <w:p w14:paraId="0690591D" w14:textId="53867793" w:rsidR="00D01CDB" w:rsidRPr="00D01CDB" w:rsidRDefault="00D01CDB" w:rsidP="00D01CDB">
      <w:pPr>
        <w:spacing w:before="240" w:after="240" w:line="240" w:lineRule="auto"/>
        <w:ind w:left="708"/>
        <w:jc w:val="both"/>
        <w:rPr>
          <w:i/>
          <w:iCs/>
          <w:sz w:val="24"/>
          <w:szCs w:val="24"/>
        </w:rPr>
      </w:pPr>
      <w:r w:rsidRPr="00D01CDB">
        <w:rPr>
          <w:i/>
          <w:iCs/>
          <w:sz w:val="24"/>
          <w:szCs w:val="24"/>
        </w:rPr>
        <w:t xml:space="preserve">Em relação </w:t>
      </w:r>
      <w:proofErr w:type="gramStart"/>
      <w:r w:rsidRPr="00D01CDB">
        <w:rPr>
          <w:i/>
          <w:iCs/>
          <w:sz w:val="24"/>
          <w:szCs w:val="24"/>
        </w:rPr>
        <w:t>ao logs</w:t>
      </w:r>
      <w:proofErr w:type="gramEnd"/>
      <w:r w:rsidRPr="00D01CDB">
        <w:rPr>
          <w:i/>
          <w:iCs/>
          <w:sz w:val="24"/>
          <w:szCs w:val="24"/>
        </w:rPr>
        <w:t xml:space="preserve"> do equipamento, solicitados o envio ou a permissão para coleta, é possível termos acesso prévio a estas informações para que possamos antecipadamente verificar qualquer </w:t>
      </w:r>
      <w:proofErr w:type="spellStart"/>
      <w:r w:rsidRPr="00D01CDB">
        <w:rPr>
          <w:i/>
          <w:iCs/>
          <w:sz w:val="24"/>
          <w:szCs w:val="24"/>
        </w:rPr>
        <w:t>pré</w:t>
      </w:r>
      <w:proofErr w:type="spellEnd"/>
      <w:r w:rsidRPr="00D01CDB">
        <w:rPr>
          <w:i/>
          <w:iCs/>
          <w:sz w:val="24"/>
          <w:szCs w:val="24"/>
        </w:rPr>
        <w:t>-falha, possibilitando uma correta precificação?”</w:t>
      </w:r>
    </w:p>
    <w:p w14:paraId="7BDD419C" w14:textId="43413C0D" w:rsidR="00431B6A" w:rsidRDefault="00D01CDB" w:rsidP="00496839">
      <w:pPr>
        <w:spacing w:before="240" w:after="240" w:line="240" w:lineRule="auto"/>
        <w:ind w:left="708"/>
        <w:jc w:val="both"/>
        <w:rPr>
          <w:sz w:val="24"/>
          <w:szCs w:val="24"/>
        </w:rPr>
      </w:pPr>
      <w:r w:rsidRPr="00D01CDB">
        <w:rPr>
          <w:b/>
          <w:bCs/>
          <w:sz w:val="24"/>
          <w:szCs w:val="24"/>
        </w:rPr>
        <w:t>RESPOSTA</w:t>
      </w:r>
      <w:r w:rsidRPr="00D01CDB">
        <w:rPr>
          <w:sz w:val="24"/>
          <w:szCs w:val="24"/>
        </w:rPr>
        <w:t>: Os logs do equipamento poderão ser solicitados por e-mail a </w:t>
      </w:r>
      <w:hyperlink r:id="rId8" w:tgtFrame="_blank" w:history="1">
        <w:r w:rsidRPr="00D01CDB">
          <w:rPr>
            <w:rStyle w:val="Hyperlink"/>
            <w:sz w:val="24"/>
            <w:szCs w:val="24"/>
          </w:rPr>
          <w:t>copaq.cgcaq@trabalho.gov.br</w:t>
        </w:r>
      </w:hyperlink>
      <w:r w:rsidRPr="00D01CDB">
        <w:rPr>
          <w:sz w:val="24"/>
          <w:szCs w:val="24"/>
        </w:rPr>
        <w:t>, conforme item 4.16 do Termo de Referência.</w:t>
      </w:r>
    </w:p>
    <w:p w14:paraId="51830563" w14:textId="77777777" w:rsidR="00A93531" w:rsidRDefault="00A93531" w:rsidP="00496839">
      <w:pPr>
        <w:spacing w:before="240" w:after="240" w:line="240" w:lineRule="auto"/>
        <w:ind w:left="708"/>
        <w:jc w:val="both"/>
        <w:rPr>
          <w:sz w:val="24"/>
          <w:szCs w:val="24"/>
        </w:rPr>
      </w:pPr>
    </w:p>
    <w:p w14:paraId="5F3E8611" w14:textId="77777777" w:rsidR="00A93531" w:rsidRDefault="00A93531" w:rsidP="00A93531">
      <w:pPr>
        <w:spacing w:before="240" w:after="240" w:line="240" w:lineRule="auto"/>
        <w:ind w:left="708"/>
        <w:jc w:val="both"/>
        <w:rPr>
          <w:b/>
          <w:bCs/>
          <w:sz w:val="24"/>
          <w:szCs w:val="24"/>
        </w:rPr>
      </w:pPr>
      <w:r w:rsidRPr="00A93531">
        <w:rPr>
          <w:b/>
          <w:bCs/>
          <w:sz w:val="24"/>
          <w:szCs w:val="24"/>
        </w:rPr>
        <w:lastRenderedPageBreak/>
        <w:t>ESCLARECIMENTO Nº 04:</w:t>
      </w:r>
    </w:p>
    <w:p w14:paraId="2BD41522" w14:textId="6C7F0061" w:rsidR="00A93531" w:rsidRPr="00A93531" w:rsidRDefault="00A93531" w:rsidP="00A93531">
      <w:pPr>
        <w:spacing w:before="240" w:after="240" w:line="240" w:lineRule="auto"/>
        <w:ind w:left="1416"/>
        <w:jc w:val="both"/>
        <w:rPr>
          <w:i/>
          <w:iCs/>
          <w:sz w:val="24"/>
          <w:szCs w:val="24"/>
        </w:rPr>
      </w:pPr>
      <w:r w:rsidRPr="00A93531">
        <w:rPr>
          <w:i/>
          <w:iCs/>
          <w:sz w:val="24"/>
          <w:szCs w:val="24"/>
        </w:rPr>
        <w:t>"Visando a isonomia e competitividade, qual será o critério para comprovar o item 6.1.6 “autorização oficial da fabricante”?"</w:t>
      </w:r>
    </w:p>
    <w:p w14:paraId="023B93B8" w14:textId="77777777" w:rsidR="00A93531" w:rsidRPr="00A93531" w:rsidRDefault="00A93531" w:rsidP="00A93531">
      <w:pPr>
        <w:spacing w:before="240" w:after="240" w:line="240" w:lineRule="auto"/>
        <w:ind w:left="1416"/>
        <w:jc w:val="both"/>
        <w:rPr>
          <w:sz w:val="24"/>
          <w:szCs w:val="24"/>
        </w:rPr>
      </w:pPr>
      <w:r w:rsidRPr="00A93531">
        <w:rPr>
          <w:b/>
          <w:bCs/>
          <w:sz w:val="24"/>
          <w:szCs w:val="24"/>
        </w:rPr>
        <w:t>RESPOSTA</w:t>
      </w:r>
      <w:r w:rsidRPr="00A93531">
        <w:rPr>
          <w:sz w:val="24"/>
          <w:szCs w:val="24"/>
        </w:rPr>
        <w:t>: Conforme item 6.1.6 do Termo de Referência, a exigência de autorização oficial da fabricante para execução dos serviços de manutenção preventiva e corretiva, com acesso ao token de autenticação Dell EMC é requisito para execução contratual, sendo esse, objeto de verificação e validação em momento posterior a fase de seleção do fornecedor. Portanto, visando a competitividade do certame, na fase de aceitação de proposta e habilitação do fornecedor, as licitantes deverão comprovar as qualificações técnicas exigidas em Edital, item 10.38 do Termo de Referência:</w:t>
      </w:r>
    </w:p>
    <w:p w14:paraId="429EAF91" w14:textId="77777777" w:rsidR="00A93531" w:rsidRPr="00A93531" w:rsidRDefault="00A93531" w:rsidP="00A93531">
      <w:pPr>
        <w:spacing w:before="240" w:after="240" w:line="240" w:lineRule="auto"/>
        <w:ind w:left="2124"/>
        <w:jc w:val="both"/>
        <w:rPr>
          <w:sz w:val="24"/>
          <w:szCs w:val="24"/>
        </w:rPr>
      </w:pPr>
      <w:r w:rsidRPr="00A93531">
        <w:rPr>
          <w:sz w:val="24"/>
          <w:szCs w:val="24"/>
        </w:rPr>
        <w:t>10.38 - Para fins da comprovação de que trata este subitem, os atestados deverão dizer respeito a contratos executados com as seguintes características mínimas:</w:t>
      </w:r>
    </w:p>
    <w:p w14:paraId="5CC23095" w14:textId="77777777" w:rsidR="00A93531" w:rsidRPr="00A93531" w:rsidRDefault="00A93531" w:rsidP="00A93531">
      <w:pPr>
        <w:spacing w:before="240" w:after="240" w:line="240" w:lineRule="auto"/>
        <w:ind w:left="2124"/>
        <w:jc w:val="both"/>
        <w:rPr>
          <w:sz w:val="24"/>
          <w:szCs w:val="24"/>
        </w:rPr>
      </w:pPr>
      <w:r w:rsidRPr="00A93531">
        <w:rPr>
          <w:sz w:val="24"/>
          <w:szCs w:val="24"/>
        </w:rPr>
        <w:t>10.38.1 - ITEM 1: experiência em atividades de suporte técnico em solução de armazenamento de dados, por no mínimo 12 (doze) meses em equipamentos tecnologicamente e de capacidade de armazenamento similares aos da presente contratação.</w:t>
      </w:r>
    </w:p>
    <w:p w14:paraId="20CEABFB" w14:textId="77777777" w:rsidR="00A93531" w:rsidRPr="00A93531" w:rsidRDefault="00A93531" w:rsidP="00A93531">
      <w:pPr>
        <w:spacing w:before="240" w:after="240" w:line="240" w:lineRule="auto"/>
        <w:ind w:left="1416"/>
        <w:jc w:val="both"/>
        <w:rPr>
          <w:sz w:val="24"/>
          <w:szCs w:val="24"/>
        </w:rPr>
      </w:pPr>
      <w:r w:rsidRPr="00A93531">
        <w:rPr>
          <w:sz w:val="24"/>
          <w:szCs w:val="24"/>
        </w:rPr>
        <w:t>Deixa-se claro que o não atendimento à condição de execução contratual do item 6.1.6 do Termo de Referência será considerado infração por parte da Contratada e objeto de sanção decorrente de inadimplemento de execução do objeto.</w:t>
      </w:r>
    </w:p>
    <w:p w14:paraId="33A88C95" w14:textId="77777777" w:rsidR="00A93531" w:rsidRPr="00A93531" w:rsidRDefault="00A93531" w:rsidP="00A93531">
      <w:pPr>
        <w:spacing w:before="240" w:after="240" w:line="240" w:lineRule="auto"/>
        <w:ind w:left="1416"/>
        <w:jc w:val="both"/>
        <w:rPr>
          <w:sz w:val="24"/>
          <w:szCs w:val="24"/>
        </w:rPr>
      </w:pPr>
      <w:r w:rsidRPr="00A93531">
        <w:rPr>
          <w:sz w:val="24"/>
          <w:szCs w:val="24"/>
        </w:rPr>
        <w:t>De modo a confirmar o entendimento por parte da futura contratada, será solicitado que a licitante registre ciência e compromisso de atendimento ao item 6.1.6 do Termo de Referência na sua proposta comercial final.</w:t>
      </w:r>
    </w:p>
    <w:p w14:paraId="08E62C6E" w14:textId="77777777" w:rsidR="00A93531" w:rsidRPr="00496839" w:rsidRDefault="00A93531" w:rsidP="00496839">
      <w:pPr>
        <w:spacing w:before="240" w:after="240" w:line="240" w:lineRule="auto"/>
        <w:ind w:left="708"/>
        <w:jc w:val="both"/>
        <w:rPr>
          <w:sz w:val="24"/>
          <w:szCs w:val="24"/>
        </w:rPr>
      </w:pPr>
    </w:p>
    <w:sectPr w:rsidR="00A93531" w:rsidRPr="00496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647"/>
    <w:multiLevelType w:val="multilevel"/>
    <w:tmpl w:val="0AB6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953C0"/>
    <w:multiLevelType w:val="hybridMultilevel"/>
    <w:tmpl w:val="9F586382"/>
    <w:lvl w:ilvl="0" w:tplc="F472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80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6A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0E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6A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E9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CE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44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47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6E046"/>
    <w:multiLevelType w:val="hybridMultilevel"/>
    <w:tmpl w:val="135298F2"/>
    <w:lvl w:ilvl="0" w:tplc="24E83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48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80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E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6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EE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A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04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E2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F1C39"/>
    <w:multiLevelType w:val="multilevel"/>
    <w:tmpl w:val="CF4A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BA3AF2"/>
    <w:multiLevelType w:val="multilevel"/>
    <w:tmpl w:val="2A16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0C30ED"/>
    <w:multiLevelType w:val="hybridMultilevel"/>
    <w:tmpl w:val="D66C92EE"/>
    <w:lvl w:ilvl="0" w:tplc="58E0D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CE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67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20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AC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CA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88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4C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6B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62856">
    <w:abstractNumId w:val="1"/>
  </w:num>
  <w:num w:numId="2" w16cid:durableId="1015957979">
    <w:abstractNumId w:val="2"/>
  </w:num>
  <w:num w:numId="3" w16cid:durableId="2007632837">
    <w:abstractNumId w:val="5"/>
  </w:num>
  <w:num w:numId="4" w16cid:durableId="1449813339">
    <w:abstractNumId w:val="0"/>
  </w:num>
  <w:num w:numId="5" w16cid:durableId="402072813">
    <w:abstractNumId w:val="4"/>
  </w:num>
  <w:num w:numId="6" w16cid:durableId="125174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6A"/>
    <w:rsid w:val="001E0685"/>
    <w:rsid w:val="003139C4"/>
    <w:rsid w:val="00367A0E"/>
    <w:rsid w:val="003E0137"/>
    <w:rsid w:val="00431B6A"/>
    <w:rsid w:val="00496839"/>
    <w:rsid w:val="00863FA3"/>
    <w:rsid w:val="009D4B18"/>
    <w:rsid w:val="00A8103A"/>
    <w:rsid w:val="00A93531"/>
    <w:rsid w:val="00AD2C8C"/>
    <w:rsid w:val="00C01933"/>
    <w:rsid w:val="00D01CDB"/>
    <w:rsid w:val="00ED3216"/>
    <w:rsid w:val="00F62C76"/>
    <w:rsid w:val="029DF694"/>
    <w:rsid w:val="065B83EF"/>
    <w:rsid w:val="087A26C7"/>
    <w:rsid w:val="0A5E7062"/>
    <w:rsid w:val="0FC99E03"/>
    <w:rsid w:val="12870E5F"/>
    <w:rsid w:val="13CC20DF"/>
    <w:rsid w:val="14E50DC9"/>
    <w:rsid w:val="175B6600"/>
    <w:rsid w:val="18467A0F"/>
    <w:rsid w:val="1B1BC330"/>
    <w:rsid w:val="1D67D1F7"/>
    <w:rsid w:val="1D91398E"/>
    <w:rsid w:val="1DF14F3D"/>
    <w:rsid w:val="23FC9B8C"/>
    <w:rsid w:val="270A2D6E"/>
    <w:rsid w:val="28953D9B"/>
    <w:rsid w:val="2DDB7955"/>
    <w:rsid w:val="33D02271"/>
    <w:rsid w:val="3BEF3B37"/>
    <w:rsid w:val="4504545F"/>
    <w:rsid w:val="4519A68A"/>
    <w:rsid w:val="45D72035"/>
    <w:rsid w:val="46AC99CA"/>
    <w:rsid w:val="50F93D8D"/>
    <w:rsid w:val="517C72C6"/>
    <w:rsid w:val="5364A4A1"/>
    <w:rsid w:val="57DE7971"/>
    <w:rsid w:val="5853AE7A"/>
    <w:rsid w:val="5B0E3E80"/>
    <w:rsid w:val="6036EF18"/>
    <w:rsid w:val="6123AA80"/>
    <w:rsid w:val="61CE25B2"/>
    <w:rsid w:val="638EAA36"/>
    <w:rsid w:val="65578DD3"/>
    <w:rsid w:val="65EFB339"/>
    <w:rsid w:val="660AFDFB"/>
    <w:rsid w:val="7333F3EF"/>
    <w:rsid w:val="7757453F"/>
    <w:rsid w:val="7D812D77"/>
    <w:rsid w:val="7FC88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86D0"/>
  <w15:chartTrackingRefBased/>
  <w15:docId w15:val="{3D6DF406-51BA-48DE-B603-EDE509AE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E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E0137"/>
  </w:style>
  <w:style w:type="character" w:customStyle="1" w:styleId="eop">
    <w:name w:val="eop"/>
    <w:basedOn w:val="Fontepargpadro"/>
    <w:rsid w:val="003E0137"/>
  </w:style>
  <w:style w:type="paragraph" w:styleId="PargrafodaLista">
    <w:name w:val="List Paragraph"/>
    <w:basedOn w:val="Normal"/>
    <w:uiPriority w:val="34"/>
    <w:qFormat/>
    <w:rsid w:val="517C72C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23FC9B8C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1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aq.cgcaq@trabalho.gov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94A61AB695C24CAF30E0B98E00FF42" ma:contentTypeVersion="14" ma:contentTypeDescription="Criar um novo documento." ma:contentTypeScope="" ma:versionID="a701a132a96be0365468a648335688b7">
  <xsd:schema xmlns:xsd="http://www.w3.org/2001/XMLSchema" xmlns:xs="http://www.w3.org/2001/XMLSchema" xmlns:p="http://schemas.microsoft.com/office/2006/metadata/properties" xmlns:ns2="0c0eadfd-590d-456f-acfb-f6ec2b420f4c" xmlns:ns3="eea01e59-10d9-476f-9b01-f54a9dd9efe5" targetNamespace="http://schemas.microsoft.com/office/2006/metadata/properties" ma:root="true" ma:fieldsID="576a962c2d2abb7b3fe704c18581b27c" ns2:_="" ns3:_="">
    <xsd:import namespace="0c0eadfd-590d-456f-acfb-f6ec2b420f4c"/>
    <xsd:import namespace="eea01e59-10d9-476f-9b01-f54a9dd9e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eadfd-590d-456f-acfb-f6ec2b420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1e59-10d9-476f-9b01-f54a9dd9e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a22d02-62f2-4c9e-8e43-1fb00fa7eec3}" ma:internalName="TaxCatchAll" ma:showField="CatchAllData" ma:web="eea01e59-10d9-476f-9b01-f54a9dd9e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01e59-10d9-476f-9b01-f54a9dd9efe5" xsi:nil="true"/>
    <lcf76f155ced4ddcb4097134ff3c332f xmlns="0c0eadfd-590d-456f-acfb-f6ec2b420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1ECD0D-A0CE-4FB2-A59E-FA6BCFA31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eadfd-590d-456f-acfb-f6ec2b420f4c"/>
    <ds:schemaRef ds:uri="eea01e59-10d9-476f-9b01-f54a9dd9e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86D5F-0D7F-463C-B34A-EC6EDDAF2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B3AD1-6A0A-495E-BFD8-2ACE16F6805C}">
  <ds:schemaRefs>
    <ds:schemaRef ds:uri="http://schemas.microsoft.com/office/2006/metadata/properties"/>
    <ds:schemaRef ds:uri="http://schemas.microsoft.com/office/infopath/2007/PartnerControls"/>
    <ds:schemaRef ds:uri="eea01e59-10d9-476f-9b01-f54a9dd9efe5"/>
    <ds:schemaRef ds:uri="0c0eadfd-590d-456f-acfb-f6ec2b420f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2585</Characters>
  <Application>Microsoft Office Word</Application>
  <DocSecurity>0</DocSecurity>
  <Lines>61</Lines>
  <Paragraphs>26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Ronelio da Costa Mendonca</dc:creator>
  <cp:keywords/>
  <dc:description/>
  <cp:lastModifiedBy>Mario Roberto Melo Silva</cp:lastModifiedBy>
  <cp:revision>17</cp:revision>
  <dcterms:created xsi:type="dcterms:W3CDTF">2025-06-25T17:00:00Z</dcterms:created>
  <dcterms:modified xsi:type="dcterms:W3CDTF">2025-11-21T15:15:00Z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0x0101008294A61AB695C24CAF30E0B98E00FF42</vt:lpwstr>
  </property>
  <property fmtid="{D5CDD505-2E9C-101B-9397-08002B2CF9AE}" pid="3" name="MediaServiceImageTags">
    <vt:lpwstr/>
  </property>
</Properties>
</file>