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F59B5C" w14:textId="7E2F125C" w:rsidR="007A7F2D" w:rsidRDefault="00FD5A0C" w:rsidP="001217B4">
      <w:pPr>
        <w:pStyle w:val="Ttulo1"/>
        <w:jc w:val="center"/>
        <w:rPr>
          <w:rFonts w:asciiTheme="minorHAnsi" w:hAnsiTheme="minorHAnsi"/>
          <w:b/>
          <w:color w:val="auto"/>
          <w:sz w:val="28"/>
          <w:szCs w:val="28"/>
        </w:rPr>
      </w:pPr>
      <w:bookmarkStart w:id="0" w:name="_GoBack"/>
      <w:bookmarkEnd w:id="0"/>
      <w:r w:rsidRPr="00E453AE">
        <w:rPr>
          <w:rFonts w:asciiTheme="minorHAnsi" w:hAnsiTheme="minorHAnsi"/>
          <w:b/>
          <w:color w:val="auto"/>
          <w:sz w:val="28"/>
          <w:szCs w:val="28"/>
        </w:rPr>
        <w:t xml:space="preserve">Análise de </w:t>
      </w:r>
      <w:r w:rsidR="006F1B3C" w:rsidRPr="00E453AE">
        <w:rPr>
          <w:rFonts w:asciiTheme="minorHAnsi" w:hAnsiTheme="minorHAnsi"/>
          <w:b/>
          <w:color w:val="auto"/>
          <w:sz w:val="28"/>
          <w:szCs w:val="28"/>
        </w:rPr>
        <w:t xml:space="preserve">Solvência e </w:t>
      </w:r>
      <w:r w:rsidRPr="00E453AE">
        <w:rPr>
          <w:rFonts w:asciiTheme="minorHAnsi" w:hAnsiTheme="minorHAnsi"/>
          <w:b/>
          <w:color w:val="auto"/>
          <w:sz w:val="28"/>
          <w:szCs w:val="28"/>
        </w:rPr>
        <w:t>Sustentabilidade da Dívida</w:t>
      </w:r>
      <w:r w:rsidR="006F1B3C" w:rsidRPr="00E453AE">
        <w:rPr>
          <w:rFonts w:asciiTheme="minorHAnsi" w:hAnsiTheme="minorHAnsi"/>
          <w:b/>
          <w:color w:val="auto"/>
          <w:sz w:val="28"/>
          <w:szCs w:val="28"/>
        </w:rPr>
        <w:t xml:space="preserve"> Pública</w:t>
      </w:r>
    </w:p>
    <w:p w14:paraId="6EE04130" w14:textId="77777777" w:rsidR="001217B4" w:rsidRPr="001217B4" w:rsidRDefault="001217B4" w:rsidP="001217B4"/>
    <w:p w14:paraId="1655E5AD" w14:textId="77777777" w:rsidR="00C56235" w:rsidRPr="00E453AE" w:rsidRDefault="00C56235" w:rsidP="007A7F2D">
      <w:pPr>
        <w:pStyle w:val="Ttulo1"/>
        <w:numPr>
          <w:ilvl w:val="0"/>
          <w:numId w:val="2"/>
        </w:numPr>
        <w:rPr>
          <w:rFonts w:asciiTheme="minorHAnsi" w:hAnsiTheme="minorHAnsi"/>
          <w:b/>
          <w:color w:val="auto"/>
          <w:sz w:val="28"/>
          <w:szCs w:val="28"/>
        </w:rPr>
      </w:pPr>
      <w:r w:rsidRPr="00E453AE">
        <w:rPr>
          <w:rFonts w:asciiTheme="minorHAnsi" w:hAnsiTheme="minorHAnsi"/>
          <w:b/>
          <w:color w:val="auto"/>
          <w:sz w:val="28"/>
          <w:szCs w:val="28"/>
        </w:rPr>
        <w:t>Solvência e sustentabilidade da dívida: o que são?</w:t>
      </w:r>
    </w:p>
    <w:p w14:paraId="7858DBBC" w14:textId="4E4A707D" w:rsidR="00D12D87" w:rsidRPr="007B563F" w:rsidRDefault="00CD5DAB" w:rsidP="00D12D87">
      <w:pPr>
        <w:spacing w:before="240" w:line="360" w:lineRule="auto"/>
        <w:jc w:val="both"/>
        <w:rPr>
          <w:b/>
        </w:rPr>
      </w:pPr>
      <w:r w:rsidRPr="007B563F">
        <w:rPr>
          <w:b/>
        </w:rPr>
        <w:t>S</w:t>
      </w:r>
      <w:r w:rsidR="00D12D87" w:rsidRPr="007B563F">
        <w:rPr>
          <w:b/>
        </w:rPr>
        <w:t xml:space="preserve">olvência e sustentabilidade são dois termos comumente aplicados para descrever </w:t>
      </w:r>
      <w:r w:rsidRPr="007B563F">
        <w:rPr>
          <w:b/>
        </w:rPr>
        <w:t xml:space="preserve">a </w:t>
      </w:r>
      <w:r w:rsidR="00D12D87" w:rsidRPr="007B563F">
        <w:rPr>
          <w:b/>
        </w:rPr>
        <w:t>situaç</w:t>
      </w:r>
      <w:r w:rsidRPr="007B563F">
        <w:rPr>
          <w:b/>
        </w:rPr>
        <w:t>ão financeira d</w:t>
      </w:r>
      <w:r w:rsidR="00D12D87" w:rsidRPr="007B563F">
        <w:rPr>
          <w:b/>
        </w:rPr>
        <w:t xml:space="preserve">e governos nacionais. </w:t>
      </w:r>
      <w:r w:rsidR="00D12D87" w:rsidRPr="007B563F">
        <w:t xml:space="preserve">A solvência representa a capacidade de um governo pagar suas obrigações integral e tempestivamente. Para se manter solvente, em situações de normalidade, um governo nacional </w:t>
      </w:r>
      <w:r w:rsidR="00C56235" w:rsidRPr="007B563F">
        <w:t>arrecada</w:t>
      </w:r>
      <w:r w:rsidR="00D12D87" w:rsidRPr="007B563F">
        <w:t xml:space="preserve"> recursos </w:t>
      </w:r>
      <w:r w:rsidR="00C56235" w:rsidRPr="007B563F">
        <w:t>junto à</w:t>
      </w:r>
      <w:r w:rsidR="00D12D87" w:rsidRPr="007B563F">
        <w:t xml:space="preserve"> sociedade, via tributação ou emissão de dívida, para fazer frente aos seus pagamentos.</w:t>
      </w:r>
      <w:r w:rsidR="00D12D87" w:rsidRPr="007B563F">
        <w:rPr>
          <w:b/>
        </w:rPr>
        <w:t xml:space="preserve"> </w:t>
      </w:r>
      <w:r w:rsidR="00D12D87" w:rsidRPr="007B563F">
        <w:t>No limite, no entanto, a solvência pode ser garantida por meio da emissão de moeda</w:t>
      </w:r>
      <w:r w:rsidR="00AD51B0" w:rsidRPr="007B563F">
        <w:t>,</w:t>
      </w:r>
      <w:r w:rsidR="00D12D87" w:rsidRPr="007B563F">
        <w:t xml:space="preserve"> no caso de um governo que emita sua própria moeda soberana e que mantenha um regime de câmbio flutuante</w:t>
      </w:r>
      <w:r w:rsidR="00DB653D" w:rsidRPr="007B563F">
        <w:t xml:space="preserve">. </w:t>
      </w:r>
      <w:r w:rsidR="00D12D87" w:rsidRPr="007B563F">
        <w:t xml:space="preserve">Por essa razão, é bastante raro na economia internacional encontrar casos de países que se tornaram insolventes em relação </w:t>
      </w:r>
      <w:r w:rsidR="00F23902" w:rsidRPr="007B563F">
        <w:t>à</w:t>
      </w:r>
      <w:r w:rsidR="00D12D87" w:rsidRPr="007B563F">
        <w:t xml:space="preserve"> sua dívida em moeda local.</w:t>
      </w:r>
      <w:r w:rsidR="00DB653D" w:rsidRPr="007B563F">
        <w:t xml:space="preserve"> </w:t>
      </w:r>
      <w:r w:rsidR="00D12D87" w:rsidRPr="007B563F">
        <w:t>É muito mais comum encontrar casos de países que se tornaram insolventes no pagamento de sua dívida externa (Argentina, 2001).</w:t>
      </w:r>
      <w:r w:rsidR="00D12D87" w:rsidRPr="007B563F">
        <w:rPr>
          <w:b/>
        </w:rPr>
        <w:t xml:space="preserve"> </w:t>
      </w:r>
    </w:p>
    <w:p w14:paraId="03F2BCDA" w14:textId="536AB89C" w:rsidR="00D12D87" w:rsidRPr="007B563F" w:rsidRDefault="00D12D87" w:rsidP="00D12D87">
      <w:pPr>
        <w:spacing w:before="240" w:line="360" w:lineRule="auto"/>
        <w:jc w:val="both"/>
        <w:rPr>
          <w:b/>
        </w:rPr>
      </w:pPr>
      <w:r w:rsidRPr="007B563F">
        <w:rPr>
          <w:b/>
        </w:rPr>
        <w:t>Países cujas dívida</w:t>
      </w:r>
      <w:r w:rsidR="00C56235" w:rsidRPr="007B563F">
        <w:rPr>
          <w:b/>
        </w:rPr>
        <w:t>s</w:t>
      </w:r>
      <w:r w:rsidRPr="007B563F">
        <w:rPr>
          <w:b/>
        </w:rPr>
        <w:t xml:space="preserve"> interna</w:t>
      </w:r>
      <w:r w:rsidR="00C56235" w:rsidRPr="007B563F">
        <w:rPr>
          <w:b/>
        </w:rPr>
        <w:t>s</w:t>
      </w:r>
      <w:r w:rsidRPr="007B563F">
        <w:rPr>
          <w:b/>
        </w:rPr>
        <w:t xml:space="preserve"> se tornam insolventes, em geral, não são emissores de sua própria moeda soberana (Grécia, 2012) ou possuem alguma restrição de outra natureza, como a manutenção de um regime de câmbio fixo</w:t>
      </w:r>
      <w:r w:rsidR="00AF609E" w:rsidRPr="007B563F">
        <w:rPr>
          <w:b/>
        </w:rPr>
        <w:t xml:space="preserve"> ou o atingimento de um limite dado por regra fiscal (</w:t>
      </w:r>
      <w:r w:rsidR="00387E56" w:rsidRPr="007B563F">
        <w:rPr>
          <w:b/>
        </w:rPr>
        <w:t>o limite de</w:t>
      </w:r>
      <w:r w:rsidR="00AF609E" w:rsidRPr="007B563F">
        <w:rPr>
          <w:b/>
        </w:rPr>
        <w:t xml:space="preserve"> endividamento</w:t>
      </w:r>
      <w:r w:rsidR="00387E56" w:rsidRPr="007B563F">
        <w:rPr>
          <w:b/>
        </w:rPr>
        <w:t xml:space="preserve"> americano</w:t>
      </w:r>
      <w:r w:rsidR="00AF609E" w:rsidRPr="007B563F">
        <w:rPr>
          <w:b/>
        </w:rPr>
        <w:t>, por exemplo)</w:t>
      </w:r>
      <w:r w:rsidRPr="007B563F">
        <w:rPr>
          <w:b/>
        </w:rPr>
        <w:t xml:space="preserve">. </w:t>
      </w:r>
      <w:r w:rsidRPr="007B563F">
        <w:t>A manutenção da solvência de um país é, portanto, uma condição pouco restritiva. Como visto no parágrafo anterior, a depender das características econômicas de um país, este possui ferramentas que tornam muito improvável sua insolvência. No entanto, o uso dessas ferramentas tem consequências que podem afetar negativamente o país e colocar um governo nacional diante de escolhas muito difíceis. É aí que entra a sustentabilidade.</w:t>
      </w:r>
    </w:p>
    <w:p w14:paraId="1243ACEC" w14:textId="2E976EA3" w:rsidR="00D12D87" w:rsidRPr="007B563F" w:rsidRDefault="00D12D87" w:rsidP="00D12D87">
      <w:pPr>
        <w:spacing w:before="240" w:line="360" w:lineRule="auto"/>
        <w:jc w:val="both"/>
      </w:pPr>
      <w:r w:rsidRPr="007B563F">
        <w:rPr>
          <w:b/>
        </w:rPr>
        <w:t>Enquanto o conceito de solvência ataca a condição corrente de pagamento de um país, a sustentabilidade se concentra na sua trajetória futura</w:t>
      </w:r>
      <w:r w:rsidRPr="007B563F">
        <w:t xml:space="preserve">. Um país pode ser atualmente solvente, mas não sustentável, caso as projeções futuras para o seu balanço de receitas e despesas impliquem uma trajetória </w:t>
      </w:r>
      <w:r w:rsidR="00AF609E" w:rsidRPr="007B563F">
        <w:t xml:space="preserve">de dívida pública para patamares que </w:t>
      </w:r>
      <w:r w:rsidR="00387E56" w:rsidRPr="007B563F">
        <w:t>reduzam o interesse</w:t>
      </w:r>
      <w:r w:rsidR="00AF609E" w:rsidRPr="007B563F">
        <w:t xml:space="preserve"> dos potenciais </w:t>
      </w:r>
      <w:r w:rsidR="00387E56" w:rsidRPr="007B563F">
        <w:t>investidores</w:t>
      </w:r>
      <w:r w:rsidR="00AF609E" w:rsidRPr="007B563F">
        <w:t xml:space="preserve"> em financiá-la, </w:t>
      </w:r>
      <w:r w:rsidR="00387E56" w:rsidRPr="007B563F">
        <w:t>devido</w:t>
      </w:r>
      <w:r w:rsidR="00AF609E" w:rsidRPr="007B563F">
        <w:t xml:space="preserve"> </w:t>
      </w:r>
      <w:r w:rsidR="00387E56" w:rsidRPr="007B563F">
        <w:t>a</w:t>
      </w:r>
      <w:r w:rsidR="00AF609E" w:rsidRPr="007B563F">
        <w:t xml:space="preserve">os riscos </w:t>
      </w:r>
      <w:r w:rsidR="00387E56" w:rsidRPr="007B563F">
        <w:t>prospectados</w:t>
      </w:r>
      <w:r w:rsidRPr="007B563F">
        <w:t xml:space="preserve">. </w:t>
      </w:r>
      <w:r w:rsidR="00C56235" w:rsidRPr="007B563F">
        <w:t xml:space="preserve">Uma </w:t>
      </w:r>
      <w:r w:rsidRPr="007B563F">
        <w:t xml:space="preserve">dívida crescente pode não representar um problema inicialmente, na medida em que ajustes fiscais moderados possam ser capazes de estabilizar </w:t>
      </w:r>
      <w:r w:rsidR="00C92B04" w:rsidRPr="007B563F">
        <w:t>su</w:t>
      </w:r>
      <w:r w:rsidRPr="007B563F">
        <w:t>a trajetória. Entretanto, uma atitude frouxa em relação ao endividamento, especialmente na presença de choques</w:t>
      </w:r>
      <w:r w:rsidR="00AF609E" w:rsidRPr="007B563F">
        <w:t xml:space="preserve"> adversos</w:t>
      </w:r>
      <w:r w:rsidRPr="007B563F">
        <w:t xml:space="preserve">, pode levar a uma situação em que projeções razoáveis deixem claro que o governo será forçado a adotar medidas </w:t>
      </w:r>
      <w:r w:rsidR="00C92B04" w:rsidRPr="007B563F">
        <w:t>de alto custo para a sociedade</w:t>
      </w:r>
      <w:r w:rsidRPr="007B563F">
        <w:t>, como um ajuste fiscal severo ou emissão de moedas</w:t>
      </w:r>
      <w:r w:rsidR="00387E56" w:rsidRPr="007B563F">
        <w:t xml:space="preserve"> (que cria inflação)</w:t>
      </w:r>
      <w:r w:rsidRPr="007B563F">
        <w:t>, sob pena de se tornar insolvente.</w:t>
      </w:r>
    </w:p>
    <w:p w14:paraId="494D9647" w14:textId="437BCEBA" w:rsidR="00D12D87" w:rsidRPr="007B563F" w:rsidRDefault="00D12D87" w:rsidP="00D12D87">
      <w:pPr>
        <w:spacing w:before="240" w:line="360" w:lineRule="auto"/>
        <w:jc w:val="both"/>
        <w:rPr>
          <w:b/>
        </w:rPr>
      </w:pPr>
      <w:r w:rsidRPr="007B563F">
        <w:rPr>
          <w:b/>
        </w:rPr>
        <w:lastRenderedPageBreak/>
        <w:t>Essas medidas drásticas</w:t>
      </w:r>
      <w:r w:rsidR="00C92B04" w:rsidRPr="007B563F">
        <w:rPr>
          <w:b/>
        </w:rPr>
        <w:t xml:space="preserve"> </w:t>
      </w:r>
      <w:r w:rsidRPr="007B563F">
        <w:rPr>
          <w:b/>
        </w:rPr>
        <w:t>imp</w:t>
      </w:r>
      <w:r w:rsidR="00C92B04" w:rsidRPr="007B563F">
        <w:rPr>
          <w:b/>
        </w:rPr>
        <w:t>oriam</w:t>
      </w:r>
      <w:r w:rsidRPr="007B563F">
        <w:rPr>
          <w:b/>
        </w:rPr>
        <w:t xml:space="preserve"> custos expressivos ao governo e, consequentemente, à sociedade por ele representada. </w:t>
      </w:r>
      <w:r w:rsidRPr="007B563F">
        <w:t>Um ajuste fiscal severo limitar</w:t>
      </w:r>
      <w:r w:rsidR="00C92B04" w:rsidRPr="007B563F">
        <w:t>ia</w:t>
      </w:r>
      <w:r w:rsidRPr="007B563F">
        <w:t xml:space="preserve"> a capacidade do governo na prestação de serviços públicos e na implementação de políticas públicas importantes, notadamente se ele precisar ser adotado em um período recessivo de política econômica. A emissão de moeda como expediente de financiamento do governo significa</w:t>
      </w:r>
      <w:r w:rsidR="00387E56" w:rsidRPr="007B563F">
        <w:t>ria</w:t>
      </w:r>
      <w:r w:rsidRPr="007B563F">
        <w:t xml:space="preserve"> abrir mão do controle da política monetária e da inflação</w:t>
      </w:r>
      <w:r w:rsidR="00A42674">
        <w:t xml:space="preserve">, o que seria um retrocesso capaz de gerar </w:t>
      </w:r>
      <w:r w:rsidRPr="007B563F">
        <w:t>desarranjo</w:t>
      </w:r>
      <w:r w:rsidR="00A42674">
        <w:t xml:space="preserve">s graves sobre </w:t>
      </w:r>
      <w:r w:rsidRPr="007B563F">
        <w:t xml:space="preserve">a economia real </w:t>
      </w:r>
      <w:r w:rsidR="00A42674">
        <w:t xml:space="preserve">em decorrência </w:t>
      </w:r>
      <w:r w:rsidRPr="007B563F">
        <w:t>da perda da estabilidade monetária</w:t>
      </w:r>
      <w:r w:rsidRPr="007B563F">
        <w:rPr>
          <w:b/>
        </w:rPr>
        <w:t>.</w:t>
      </w:r>
    </w:p>
    <w:p w14:paraId="408AF2A4" w14:textId="6E6D5022" w:rsidR="00D12D87" w:rsidRPr="007B563F" w:rsidRDefault="00D12D87" w:rsidP="00D12D87">
      <w:pPr>
        <w:spacing w:before="240" w:line="360" w:lineRule="auto"/>
        <w:jc w:val="both"/>
        <w:rPr>
          <w:b/>
        </w:rPr>
      </w:pPr>
      <w:r w:rsidRPr="007B563F">
        <w:rPr>
          <w:b/>
        </w:rPr>
        <w:t xml:space="preserve">Em suma, a dívida pública de </w:t>
      </w:r>
      <w:r w:rsidR="00C92B04" w:rsidRPr="007B563F">
        <w:rPr>
          <w:b/>
        </w:rPr>
        <w:t>um</w:t>
      </w:r>
      <w:r w:rsidRPr="007B563F">
        <w:rPr>
          <w:b/>
        </w:rPr>
        <w:t xml:space="preserve"> país é considerada sustentável se projeções razoáveis não indicarem uma trajetória futura</w:t>
      </w:r>
      <w:r w:rsidR="00AF609E" w:rsidRPr="007B563F">
        <w:rPr>
          <w:b/>
        </w:rPr>
        <w:t xml:space="preserve"> em que os investidores </w:t>
      </w:r>
      <w:r w:rsidR="00387E56" w:rsidRPr="007B563F">
        <w:rPr>
          <w:b/>
        </w:rPr>
        <w:t>percam</w:t>
      </w:r>
      <w:r w:rsidR="00AF609E" w:rsidRPr="007B563F">
        <w:rPr>
          <w:b/>
        </w:rPr>
        <w:t xml:space="preserve"> o interesse em financiá-la</w:t>
      </w:r>
      <w:r w:rsidRPr="007B563F">
        <w:rPr>
          <w:b/>
        </w:rPr>
        <w:t xml:space="preserve"> ou a necessidade da adoção de medidas </w:t>
      </w:r>
      <w:r w:rsidR="00C92B04" w:rsidRPr="007B563F">
        <w:rPr>
          <w:b/>
        </w:rPr>
        <w:t>de alto custo</w:t>
      </w:r>
      <w:r w:rsidRPr="007B563F">
        <w:rPr>
          <w:b/>
        </w:rPr>
        <w:t xml:space="preserve"> para a estabilização do nível de endividamento. </w:t>
      </w:r>
      <w:r w:rsidRPr="007B563F">
        <w:t xml:space="preserve">Decorre dessa definição que a tarefa de determinar se uma dívida é sustentável carrega intrinsecamente alguns elementos subjetivos. Em primeiro lugar, é preciso definir o que seriam medidas </w:t>
      </w:r>
      <w:r w:rsidR="00C92B04" w:rsidRPr="007B563F">
        <w:t>de alto custo para a sociedade</w:t>
      </w:r>
      <w:r w:rsidRPr="007B563F">
        <w:t xml:space="preserve">. Em segundo lugar, por se concentrar </w:t>
      </w:r>
      <w:r w:rsidR="00C92B04" w:rsidRPr="007B563F">
        <w:t>em uma análise prospectiva</w:t>
      </w:r>
      <w:r w:rsidRPr="007B563F">
        <w:t xml:space="preserve">, a avaliação da sustentabilidade necessita que sejam </w:t>
      </w:r>
      <w:r w:rsidR="00C92B04" w:rsidRPr="007B563F">
        <w:t>delineados</w:t>
      </w:r>
      <w:r w:rsidRPr="007B563F">
        <w:t xml:space="preserve"> cenários futuros para as diversas variáveis que afetam a dinâmica da dívida pública: resultados fiscais, crescimento do PIB</w:t>
      </w:r>
      <w:r w:rsidR="00363A02">
        <w:t xml:space="preserve"> (</w:t>
      </w:r>
      <w:r w:rsidR="00363A02" w:rsidRPr="007B563F">
        <w:t>P</w:t>
      </w:r>
      <w:r w:rsidR="00363A02">
        <w:t>roduto Interno Bruto)</w:t>
      </w:r>
      <w:r w:rsidRPr="007B563F">
        <w:t xml:space="preserve">, câmbio, juros e inflação. Diferentes cenários podem levar a dinâmicas </w:t>
      </w:r>
      <w:r w:rsidR="00C92B04" w:rsidRPr="007B563F">
        <w:t xml:space="preserve">alternativas para </w:t>
      </w:r>
      <w:r w:rsidRPr="007B563F">
        <w:t>a dívida pública e, portanto, a um diagnóstico distinto acerca da sustentabilidade da mesma.</w:t>
      </w:r>
      <w:r w:rsidRPr="007B563F">
        <w:rPr>
          <w:b/>
        </w:rPr>
        <w:t xml:space="preserve"> </w:t>
      </w:r>
    </w:p>
    <w:p w14:paraId="2D8B570B" w14:textId="0EF1991B" w:rsidR="00D12D87" w:rsidRPr="007B563F" w:rsidRDefault="00FA03DD" w:rsidP="00D12D87">
      <w:pPr>
        <w:spacing w:before="240" w:line="360" w:lineRule="auto"/>
        <w:jc w:val="both"/>
      </w:pPr>
      <w:r w:rsidRPr="007B563F">
        <w:rPr>
          <w:b/>
        </w:rPr>
        <w:t xml:space="preserve">A </w:t>
      </w:r>
      <w:r w:rsidR="00D12D87" w:rsidRPr="007B563F">
        <w:rPr>
          <w:b/>
        </w:rPr>
        <w:t xml:space="preserve">estrutura de financiamento </w:t>
      </w:r>
      <w:r w:rsidRPr="007B563F">
        <w:rPr>
          <w:b/>
        </w:rPr>
        <w:t xml:space="preserve">do governo federal brasileiro </w:t>
      </w:r>
      <w:r w:rsidR="00D12D87" w:rsidRPr="007B563F">
        <w:rPr>
          <w:b/>
        </w:rPr>
        <w:t xml:space="preserve">apresentou melhoras expressivas ao longo das últimas duas décadas, avançando significativamente na direção de garantir </w:t>
      </w:r>
      <w:r w:rsidRPr="007B563F">
        <w:rPr>
          <w:b/>
        </w:rPr>
        <w:t>su</w:t>
      </w:r>
      <w:r w:rsidR="00D12D87" w:rsidRPr="007B563F">
        <w:rPr>
          <w:b/>
        </w:rPr>
        <w:t xml:space="preserve">a solvência. </w:t>
      </w:r>
      <w:r w:rsidR="00D12D87" w:rsidRPr="007B563F">
        <w:t>Um dos principais avanços foi a mudança na composição da Dívida Pública Federal</w:t>
      </w:r>
      <w:r w:rsidR="00AF609E" w:rsidRPr="007B563F">
        <w:t xml:space="preserve"> (</w:t>
      </w:r>
      <w:r w:rsidRPr="007B563F">
        <w:t>DPF</w:t>
      </w:r>
      <w:r w:rsidR="00AF609E" w:rsidRPr="007B563F">
        <w:t>), que responde atualmente por 70% da Dívida Bruta do Governo Geral (DBGG)</w:t>
      </w:r>
      <w:r w:rsidR="00D12D87" w:rsidRPr="007B563F">
        <w:t xml:space="preserve">. </w:t>
      </w:r>
      <w:r w:rsidR="00F514C7">
        <w:t>O</w:t>
      </w:r>
      <w:r w:rsidRPr="007B563F">
        <w:t xml:space="preserve">s títulos da dívida externa representam menos de </w:t>
      </w:r>
      <w:r w:rsidR="00D12D87" w:rsidRPr="007B563F">
        <w:t>5% d</w:t>
      </w:r>
      <w:r w:rsidR="00AF609E" w:rsidRPr="007B563F">
        <w:t>o</w:t>
      </w:r>
      <w:r w:rsidRPr="007B563F">
        <w:t xml:space="preserve"> estoque</w:t>
      </w:r>
      <w:r w:rsidR="00F514C7">
        <w:t xml:space="preserve"> atual</w:t>
      </w:r>
      <w:r w:rsidR="00AF609E" w:rsidRPr="007B563F">
        <w:t xml:space="preserve"> da DPF</w:t>
      </w:r>
      <w:r w:rsidRPr="007B563F">
        <w:t>, em um contexto caracterizado por um expressivo montante de reservas cambiais detido pelo país</w:t>
      </w:r>
      <w:r w:rsidR="00407973" w:rsidRPr="007B563F">
        <w:t xml:space="preserve"> (cerca de 18,4% do </w:t>
      </w:r>
      <w:r w:rsidR="006411F3">
        <w:t>P</w:t>
      </w:r>
      <w:r w:rsidR="00407973" w:rsidRPr="007B563F">
        <w:t>IB</w:t>
      </w:r>
      <w:r w:rsidR="00AD51B0" w:rsidRPr="007B563F">
        <w:t xml:space="preserve"> em </w:t>
      </w:r>
      <w:r w:rsidR="002610A0" w:rsidRPr="007B563F">
        <w:t>agosto</w:t>
      </w:r>
      <w:r w:rsidR="00AD51B0" w:rsidRPr="007B563F">
        <w:t xml:space="preserve"> de 2017</w:t>
      </w:r>
      <w:r w:rsidR="00407973" w:rsidRPr="007B563F">
        <w:t>)</w:t>
      </w:r>
      <w:r w:rsidR="00D12D87" w:rsidRPr="007B563F">
        <w:t xml:space="preserve">. </w:t>
      </w:r>
      <w:r w:rsidR="00DD3DC5" w:rsidRPr="007B563F">
        <w:t>Mesmo que se agregue</w:t>
      </w:r>
      <w:r w:rsidR="005C5B85" w:rsidRPr="007B563F">
        <w:t xml:space="preserve"> a parcela da dívida interna </w:t>
      </w:r>
      <w:r w:rsidR="00DD3DC5" w:rsidRPr="007B563F">
        <w:t xml:space="preserve">(emitida em reais) </w:t>
      </w:r>
      <w:r w:rsidR="005C5B85" w:rsidRPr="007B563F">
        <w:t>detida por não residentes</w:t>
      </w:r>
      <w:r w:rsidR="00DD3DC5" w:rsidRPr="007B563F">
        <w:t xml:space="preserve"> (</w:t>
      </w:r>
      <w:r w:rsidR="009C11E0" w:rsidRPr="007B563F">
        <w:t>12,7% da DPF em agosto de 2017)</w:t>
      </w:r>
      <w:r w:rsidR="00DD3DC5" w:rsidRPr="007B563F">
        <w:t xml:space="preserve"> à</w:t>
      </w:r>
      <w:r w:rsidR="00387E56" w:rsidRPr="007B563F">
        <w:t xml:space="preserve"> dívida externa</w:t>
      </w:r>
      <w:r w:rsidR="005C5B85" w:rsidRPr="007B563F">
        <w:t xml:space="preserve">, a soma dos dois percentuais não ultrapassa 20% do estoque da DPF, ou 10% do PIB. </w:t>
      </w:r>
      <w:r w:rsidR="00D12D87" w:rsidRPr="007B563F">
        <w:t>Esse fato isolado, por si só, já representa uma garantia de que o governo não se tornará insolvente.</w:t>
      </w:r>
    </w:p>
    <w:p w14:paraId="4E77C9FD" w14:textId="4D946448" w:rsidR="00DD3DC5" w:rsidRPr="007B563F" w:rsidRDefault="00DD3DC5" w:rsidP="00D12D87">
      <w:pPr>
        <w:spacing w:before="240" w:line="360" w:lineRule="auto"/>
        <w:jc w:val="both"/>
      </w:pPr>
      <w:r w:rsidRPr="007B563F">
        <w:rPr>
          <w:b/>
        </w:rPr>
        <w:t>Em outro aspecto da gestão prudencial</w:t>
      </w:r>
      <w:r w:rsidR="00D12D87" w:rsidRPr="007B563F">
        <w:rPr>
          <w:b/>
        </w:rPr>
        <w:t xml:space="preserve">, quanto maior for a participação da dívida de longo prazo </w:t>
      </w:r>
      <w:r w:rsidR="00FA03DD" w:rsidRPr="007B563F">
        <w:rPr>
          <w:b/>
        </w:rPr>
        <w:t>na DPF</w:t>
      </w:r>
      <w:r w:rsidR="00D12D87" w:rsidRPr="007B563F">
        <w:rPr>
          <w:b/>
        </w:rPr>
        <w:t xml:space="preserve">, menor </w:t>
      </w:r>
      <w:r w:rsidR="000A103C" w:rsidRPr="007B563F">
        <w:rPr>
          <w:b/>
        </w:rPr>
        <w:t>será</w:t>
      </w:r>
      <w:r w:rsidR="00D12D87" w:rsidRPr="007B563F">
        <w:rPr>
          <w:b/>
        </w:rPr>
        <w:t xml:space="preserve"> o risco de refinanciamento desta, uma vez que o montante de emissão requerido para honrar a </w:t>
      </w:r>
      <w:r w:rsidR="00FA03DD" w:rsidRPr="007B563F">
        <w:rPr>
          <w:b/>
        </w:rPr>
        <w:t>parcela</w:t>
      </w:r>
      <w:r w:rsidR="00D12D87" w:rsidRPr="007B563F">
        <w:rPr>
          <w:b/>
        </w:rPr>
        <w:t xml:space="preserve"> vincenda diminui. </w:t>
      </w:r>
      <w:r w:rsidR="00DE4E6D">
        <w:t>Neste sentido, o</w:t>
      </w:r>
      <w:r w:rsidR="00FA03DD" w:rsidRPr="007B563F">
        <w:t xml:space="preserve"> </w:t>
      </w:r>
      <w:r w:rsidR="00D12D87" w:rsidRPr="007B563F">
        <w:t>perfil de maturação da dívida</w:t>
      </w:r>
      <w:r w:rsidR="00FA03DD" w:rsidRPr="007B563F">
        <w:t xml:space="preserve"> registrou, em dezembro de 2016, o menor valor da série histórica para o percentual da dívida vincendo </w:t>
      </w:r>
      <w:r w:rsidR="00407973" w:rsidRPr="007B563F">
        <w:t xml:space="preserve">em </w:t>
      </w:r>
      <w:r w:rsidR="00FA03DD" w:rsidRPr="007B563F">
        <w:t>12 meses, alcançando 16,</w:t>
      </w:r>
      <w:r w:rsidR="004F4DDB">
        <w:t>3</w:t>
      </w:r>
      <w:r w:rsidR="00FA03DD" w:rsidRPr="007B563F">
        <w:t>%</w:t>
      </w:r>
      <w:r w:rsidR="00407973" w:rsidRPr="007B563F">
        <w:t xml:space="preserve"> </w:t>
      </w:r>
      <w:r w:rsidR="004F4DDB">
        <w:t>em agosto de 2017</w:t>
      </w:r>
      <w:r w:rsidR="00407973" w:rsidRPr="007B563F">
        <w:t xml:space="preserve">, contra </w:t>
      </w:r>
      <w:r w:rsidR="00440D01" w:rsidRPr="007B563F">
        <w:t>32,4</w:t>
      </w:r>
      <w:r w:rsidR="00407973" w:rsidRPr="007B563F">
        <w:t xml:space="preserve">% observado em </w:t>
      </w:r>
      <w:r w:rsidR="00440D01" w:rsidRPr="007B563F">
        <w:t xml:space="preserve">dezembro de </w:t>
      </w:r>
      <w:r w:rsidR="00407973" w:rsidRPr="007B563F">
        <w:t>200</w:t>
      </w:r>
      <w:r w:rsidR="00440D01" w:rsidRPr="007B563F">
        <w:t>6</w:t>
      </w:r>
      <w:r w:rsidR="00114F2F">
        <w:t>. Além disso</w:t>
      </w:r>
      <w:r w:rsidR="00FA03DD" w:rsidRPr="007B563F">
        <w:t xml:space="preserve">, o </w:t>
      </w:r>
      <w:r w:rsidR="00FA03DD" w:rsidRPr="007B563F">
        <w:lastRenderedPageBreak/>
        <w:t>prazo médio da DPF</w:t>
      </w:r>
      <w:r w:rsidR="00153595">
        <w:t>,</w:t>
      </w:r>
      <w:r w:rsidR="00FA03DD" w:rsidRPr="007B563F">
        <w:t xml:space="preserve"> que era </w:t>
      </w:r>
      <w:r w:rsidR="000A103C" w:rsidRPr="007B563F">
        <w:t>próximo de 3,0</w:t>
      </w:r>
      <w:r w:rsidR="00FA03DD" w:rsidRPr="007B563F">
        <w:t xml:space="preserve"> anos em 200</w:t>
      </w:r>
      <w:r w:rsidR="000A103C" w:rsidRPr="007B563F">
        <w:t>6</w:t>
      </w:r>
      <w:r w:rsidR="00FA03DD" w:rsidRPr="007B563F">
        <w:t xml:space="preserve">, </w:t>
      </w:r>
      <w:r w:rsidR="004704F1">
        <w:t>encontrava-se</w:t>
      </w:r>
      <w:r w:rsidR="00FA03DD" w:rsidRPr="007B563F">
        <w:t xml:space="preserve"> </w:t>
      </w:r>
      <w:r w:rsidR="004704F1">
        <w:t xml:space="preserve">em </w:t>
      </w:r>
      <w:r w:rsidR="00FA03DD" w:rsidRPr="007B563F">
        <w:t>4,</w:t>
      </w:r>
      <w:r w:rsidR="004704F1">
        <w:t>4</w:t>
      </w:r>
      <w:r w:rsidR="00FA03DD" w:rsidRPr="007B563F">
        <w:t xml:space="preserve"> anos em </w:t>
      </w:r>
      <w:r w:rsidR="004704F1">
        <w:t>agosto de 2017.</w:t>
      </w:r>
      <w:r w:rsidR="00114F2F">
        <w:t xml:space="preserve"> </w:t>
      </w:r>
      <w:r w:rsidR="00114F2F" w:rsidRPr="00114F2F">
        <w:t>A</w:t>
      </w:r>
      <w:r w:rsidR="00114F2F">
        <w:t>dicionalmente, a</w:t>
      </w:r>
      <w:r w:rsidR="00114F2F" w:rsidRPr="00114F2F">
        <w:t xml:space="preserve"> gestão do risco de refinanciamento da DPF conta ainda com uma reserva de liquidez (recursos em caixa exclusivos para honrar a dívida pública) equivalente a cerca de seis meses dos vencimentos da Dívida Pública Mobiliária Federal interna - DPMFi.</w:t>
      </w:r>
    </w:p>
    <w:tbl>
      <w:tblPr>
        <w:tblStyle w:val="Tabelacomgrade"/>
        <w:tblW w:w="9897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795"/>
        <w:gridCol w:w="5102"/>
      </w:tblGrid>
      <w:tr w:rsidR="00D10256" w:rsidRPr="007B563F" w14:paraId="03D189BB" w14:textId="77777777" w:rsidTr="00D10256">
        <w:trPr>
          <w:trHeight w:val="2307"/>
          <w:jc w:val="center"/>
        </w:trPr>
        <w:tc>
          <w:tcPr>
            <w:tcW w:w="4795" w:type="dxa"/>
          </w:tcPr>
          <w:p w14:paraId="203B1D6F" w14:textId="4E6D5CE6" w:rsidR="00D050DA" w:rsidRPr="007B563F" w:rsidRDefault="00D050DA" w:rsidP="00E56C04">
            <w:pPr>
              <w:spacing w:line="360" w:lineRule="auto"/>
              <w:jc w:val="both"/>
              <w:rPr>
                <w:b/>
              </w:rPr>
            </w:pPr>
            <w:r w:rsidRPr="007B563F">
              <w:rPr>
                <w:b/>
              </w:rPr>
              <w:t xml:space="preserve">Gráfico 1 – </w:t>
            </w:r>
            <w:r w:rsidR="00F67446" w:rsidRPr="007B563F">
              <w:rPr>
                <w:b/>
              </w:rPr>
              <w:t>Composição</w:t>
            </w:r>
            <w:r w:rsidR="00C54D07">
              <w:rPr>
                <w:b/>
              </w:rPr>
              <w:t xml:space="preserve"> da DPF</w:t>
            </w:r>
          </w:p>
          <w:p w14:paraId="16E4F7AE" w14:textId="77777777" w:rsidR="00D050DA" w:rsidRPr="007B563F" w:rsidRDefault="00D10256" w:rsidP="00E56C04">
            <w:pPr>
              <w:spacing w:line="360" w:lineRule="auto"/>
              <w:jc w:val="both"/>
            </w:pPr>
            <w:r w:rsidRPr="007B563F">
              <w:rPr>
                <w:noProof/>
                <w:lang w:eastAsia="pt-BR"/>
              </w:rPr>
              <w:drawing>
                <wp:inline distT="0" distB="0" distL="0" distR="0" wp14:anchorId="2E7B37BB" wp14:editId="4815D7ED">
                  <wp:extent cx="2855344" cy="1916819"/>
                  <wp:effectExtent l="0" t="0" r="2540" b="7620"/>
                  <wp:docPr id="15" name="Image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2651" cy="1955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FE8535" w14:textId="732B60D2" w:rsidR="00D050DA" w:rsidRPr="00E453AE" w:rsidRDefault="00D050DA" w:rsidP="00E453AE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E453AE">
              <w:rPr>
                <w:sz w:val="18"/>
                <w:szCs w:val="18"/>
              </w:rPr>
              <w:t>Fonte: S</w:t>
            </w:r>
            <w:r w:rsidR="00701E1C">
              <w:rPr>
                <w:sz w:val="18"/>
                <w:szCs w:val="18"/>
              </w:rPr>
              <w:t>ecretaria do Tesouro Nacional (S</w:t>
            </w:r>
            <w:r w:rsidRPr="00E453AE">
              <w:rPr>
                <w:sz w:val="18"/>
                <w:szCs w:val="18"/>
              </w:rPr>
              <w:t>TN</w:t>
            </w:r>
            <w:r w:rsidR="00701E1C">
              <w:rPr>
                <w:sz w:val="18"/>
                <w:szCs w:val="18"/>
              </w:rPr>
              <w:t>)</w:t>
            </w:r>
          </w:p>
        </w:tc>
        <w:tc>
          <w:tcPr>
            <w:tcW w:w="5102" w:type="dxa"/>
          </w:tcPr>
          <w:p w14:paraId="07492889" w14:textId="5491C230" w:rsidR="00D050DA" w:rsidRPr="007B563F" w:rsidRDefault="00D050DA" w:rsidP="00E56C04">
            <w:pPr>
              <w:spacing w:line="360" w:lineRule="auto"/>
              <w:jc w:val="both"/>
              <w:rPr>
                <w:b/>
              </w:rPr>
            </w:pPr>
            <w:r w:rsidRPr="007B563F">
              <w:rPr>
                <w:b/>
              </w:rPr>
              <w:t xml:space="preserve">Gráfico 2 – </w:t>
            </w:r>
            <w:r w:rsidR="00F67446" w:rsidRPr="007B563F">
              <w:rPr>
                <w:b/>
              </w:rPr>
              <w:t>Prazo Médio</w:t>
            </w:r>
            <w:r w:rsidR="00C54D07">
              <w:rPr>
                <w:b/>
              </w:rPr>
              <w:t xml:space="preserve"> da DPF</w:t>
            </w:r>
          </w:p>
          <w:p w14:paraId="1CA4C0ED" w14:textId="77777777" w:rsidR="00D050DA" w:rsidRPr="007B563F" w:rsidRDefault="00AD2FCF" w:rsidP="00E56C04">
            <w:pPr>
              <w:spacing w:line="360" w:lineRule="auto"/>
              <w:jc w:val="both"/>
            </w:pPr>
            <w:r w:rsidRPr="007B563F">
              <w:rPr>
                <w:noProof/>
                <w:lang w:eastAsia="pt-BR"/>
              </w:rPr>
              <w:drawing>
                <wp:inline distT="0" distB="0" distL="0" distR="0" wp14:anchorId="09097485" wp14:editId="6C3D53D3">
                  <wp:extent cx="2983681" cy="1916430"/>
                  <wp:effectExtent l="0" t="0" r="7620" b="7620"/>
                  <wp:docPr id="16" name="Image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7749" cy="19318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789FD91" w14:textId="28439662" w:rsidR="00D050DA" w:rsidRPr="00E453AE" w:rsidRDefault="00D050DA" w:rsidP="00E453AE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E453AE">
              <w:rPr>
                <w:sz w:val="18"/>
                <w:szCs w:val="18"/>
              </w:rPr>
              <w:t>Fonte: STN</w:t>
            </w:r>
          </w:p>
        </w:tc>
      </w:tr>
    </w:tbl>
    <w:p w14:paraId="189D8DB3" w14:textId="77777777" w:rsidR="00D12D87" w:rsidRPr="007B563F" w:rsidRDefault="00407973" w:rsidP="00D12D87">
      <w:pPr>
        <w:spacing w:before="240" w:line="360" w:lineRule="auto"/>
        <w:jc w:val="both"/>
        <w:rPr>
          <w:b/>
        </w:rPr>
      </w:pPr>
      <w:r w:rsidRPr="007B563F">
        <w:rPr>
          <w:b/>
        </w:rPr>
        <w:t>O financiamento da DPF conta ainda com uma</w:t>
      </w:r>
      <w:r w:rsidR="00D12D87" w:rsidRPr="007B563F">
        <w:rPr>
          <w:b/>
        </w:rPr>
        <w:t xml:space="preserve"> base de </w:t>
      </w:r>
      <w:r w:rsidRPr="007B563F">
        <w:rPr>
          <w:b/>
        </w:rPr>
        <w:t xml:space="preserve">investidores diversificada. </w:t>
      </w:r>
      <w:r w:rsidRPr="007B563F">
        <w:t xml:space="preserve">Particularmente, a composição dos detentores </w:t>
      </w:r>
      <w:r w:rsidR="00D12D87" w:rsidRPr="007B563F">
        <w:t xml:space="preserve">da </w:t>
      </w:r>
      <w:r w:rsidRPr="007B563F">
        <w:t>DPMFi</w:t>
      </w:r>
      <w:r w:rsidR="00D12D87" w:rsidRPr="007B563F">
        <w:t xml:space="preserve"> </w:t>
      </w:r>
      <w:r w:rsidRPr="007B563F">
        <w:t xml:space="preserve">apresenta </w:t>
      </w:r>
      <w:r w:rsidR="00D12D87" w:rsidRPr="007B563F">
        <w:t>uma consistente e contínua melhora</w:t>
      </w:r>
      <w:r w:rsidRPr="007B563F">
        <w:t xml:space="preserve">, abarcando </w:t>
      </w:r>
      <w:r w:rsidR="00D12D87" w:rsidRPr="007B563F">
        <w:t xml:space="preserve">investidores </w:t>
      </w:r>
      <w:r w:rsidRPr="007B563F">
        <w:t>com diferentes preferências,</w:t>
      </w:r>
      <w:r w:rsidR="00D12D87" w:rsidRPr="007B563F">
        <w:t xml:space="preserve"> </w:t>
      </w:r>
      <w:r w:rsidRPr="007B563F">
        <w:t xml:space="preserve">o que </w:t>
      </w:r>
      <w:r w:rsidR="00D12D87" w:rsidRPr="007B563F">
        <w:t>significa menor dependência de um grupo específico de demandante</w:t>
      </w:r>
      <w:r w:rsidRPr="007B563F">
        <w:t>s dos títulos públicos</w:t>
      </w:r>
      <w:r w:rsidR="00D12D87" w:rsidRPr="007B563F">
        <w:t xml:space="preserve"> e, portanto, maior facilidade para realizar o refinanciamento da DPMFi</w:t>
      </w:r>
      <w:r w:rsidR="00D12D87" w:rsidRPr="007B563F">
        <w:rPr>
          <w:b/>
        </w:rPr>
        <w:t>.</w:t>
      </w:r>
    </w:p>
    <w:p w14:paraId="6F51B96E" w14:textId="176C0F28" w:rsidR="005C5B85" w:rsidRPr="007B563F" w:rsidRDefault="00AD2FCF" w:rsidP="00D12D87">
      <w:pPr>
        <w:spacing w:before="240" w:line="360" w:lineRule="auto"/>
        <w:jc w:val="both"/>
      </w:pPr>
      <w:r w:rsidRPr="007B563F">
        <w:rPr>
          <w:b/>
        </w:rPr>
        <w:t>Outros 2</w:t>
      </w:r>
      <w:r w:rsidR="003706CC">
        <w:rPr>
          <w:b/>
        </w:rPr>
        <w:t>4</w:t>
      </w:r>
      <w:r w:rsidRPr="007B563F">
        <w:rPr>
          <w:b/>
        </w:rPr>
        <w:t>% da DBGG são representados pelas operações compromissadas, que são indexadas a taxas flutuantes</w:t>
      </w:r>
      <w:r w:rsidR="005C5B85" w:rsidRPr="007B563F">
        <w:rPr>
          <w:b/>
        </w:rPr>
        <w:t>.</w:t>
      </w:r>
      <w:r w:rsidR="005C5B85" w:rsidRPr="007B563F">
        <w:t xml:space="preserve"> Estas são geridas pelo Banco Central do Brasil </w:t>
      </w:r>
      <w:r w:rsidR="00007158">
        <w:t xml:space="preserve">(BCB) </w:t>
      </w:r>
      <w:r w:rsidR="005C5B85" w:rsidRPr="007B563F">
        <w:t>e 70% delas são detidas por fundos de investimento, 10% por entidades de previdência, outros 10% estão com bancos e os restantes 10% distribuídos entre seguradoras, não-residentes, governo e outros. Pouco mais de 80% das operações compromissadas t</w:t>
      </w:r>
      <w:r w:rsidR="00FF3A62">
        <w:t>ê</w:t>
      </w:r>
      <w:r w:rsidR="005C5B85" w:rsidRPr="007B563F">
        <w:t xml:space="preserve">m prazo </w:t>
      </w:r>
      <w:r w:rsidR="006411F3">
        <w:t xml:space="preserve">de </w:t>
      </w:r>
      <w:r w:rsidR="005C5B85" w:rsidRPr="007B563F">
        <w:t>até 45 dias, sendo que o prazo mais longo é de até 6 meses. Ou seja, as compromissadas, apesar do prazo curto, estão altamente concentradas em demandantes domésticos e são administradas pela autoridade monetária na sua função clássica de gestão da liquidez do sistema financeiro nacional.</w:t>
      </w:r>
    </w:p>
    <w:p w14:paraId="2D43B403" w14:textId="4BB7B3B3" w:rsidR="0033775E" w:rsidRDefault="00592786">
      <w:pPr>
        <w:spacing w:before="240" w:line="360" w:lineRule="auto"/>
        <w:jc w:val="both"/>
      </w:pPr>
      <w:r w:rsidRPr="007B563F">
        <w:rPr>
          <w:b/>
        </w:rPr>
        <w:t xml:space="preserve">A gestão da dívida pública brasileira conta, portanto, com elementos </w:t>
      </w:r>
      <w:r w:rsidR="00646E51" w:rsidRPr="007B563F">
        <w:rPr>
          <w:b/>
        </w:rPr>
        <w:t xml:space="preserve">suficientes </w:t>
      </w:r>
      <w:r w:rsidRPr="007B563F">
        <w:rPr>
          <w:b/>
        </w:rPr>
        <w:t>para assegurar sua solvência</w:t>
      </w:r>
      <w:r w:rsidR="007539CF" w:rsidRPr="007B563F">
        <w:rPr>
          <w:b/>
        </w:rPr>
        <w:t>.</w:t>
      </w:r>
      <w:r w:rsidR="00A70A22">
        <w:rPr>
          <w:b/>
        </w:rPr>
        <w:t xml:space="preserve"> </w:t>
      </w:r>
      <w:r w:rsidR="00A70A22" w:rsidRPr="00A70A22">
        <w:t>A</w:t>
      </w:r>
      <w:r w:rsidRPr="007B563F">
        <w:t xml:space="preserve"> seguir</w:t>
      </w:r>
      <w:r w:rsidR="00A70A22">
        <w:t xml:space="preserve"> são apresentadas</w:t>
      </w:r>
      <w:r w:rsidRPr="007B563F">
        <w:t xml:space="preserve"> as perspectivas de sustentabilidade da dívida, em um</w:t>
      </w:r>
      <w:r w:rsidR="007A7F2D" w:rsidRPr="007B563F">
        <w:t xml:space="preserve"> contexto de reformas em curso.</w:t>
      </w:r>
    </w:p>
    <w:p w14:paraId="6175B357" w14:textId="77777777" w:rsidR="0033775E" w:rsidRDefault="0033775E">
      <w:r>
        <w:br w:type="page"/>
      </w:r>
    </w:p>
    <w:p w14:paraId="38934091" w14:textId="77777777" w:rsidR="00407973" w:rsidRPr="00BE00B7" w:rsidRDefault="00AD2FCF" w:rsidP="007A7F2D">
      <w:pPr>
        <w:pStyle w:val="Ttulo1"/>
        <w:numPr>
          <w:ilvl w:val="0"/>
          <w:numId w:val="2"/>
        </w:numPr>
        <w:rPr>
          <w:rFonts w:asciiTheme="minorHAnsi" w:hAnsiTheme="minorHAnsi"/>
          <w:b/>
          <w:color w:val="auto"/>
          <w:sz w:val="28"/>
          <w:szCs w:val="28"/>
        </w:rPr>
      </w:pPr>
      <w:r w:rsidRPr="00BE00B7">
        <w:rPr>
          <w:rFonts w:asciiTheme="minorHAnsi" w:hAnsiTheme="minorHAnsi"/>
          <w:b/>
          <w:color w:val="auto"/>
          <w:sz w:val="28"/>
          <w:szCs w:val="28"/>
        </w:rPr>
        <w:lastRenderedPageBreak/>
        <w:t xml:space="preserve">Análise de </w:t>
      </w:r>
      <w:r w:rsidR="00407973" w:rsidRPr="00BE00B7">
        <w:rPr>
          <w:rFonts w:asciiTheme="minorHAnsi" w:hAnsiTheme="minorHAnsi"/>
          <w:b/>
          <w:color w:val="auto"/>
          <w:sz w:val="28"/>
          <w:szCs w:val="28"/>
        </w:rPr>
        <w:t>Sustentabilidade da Dívida Pública Brasileira</w:t>
      </w:r>
    </w:p>
    <w:p w14:paraId="0420D305" w14:textId="77777777" w:rsidR="00A957CE" w:rsidRPr="007B563F" w:rsidRDefault="005B64D2" w:rsidP="000C4DAD">
      <w:pPr>
        <w:spacing w:before="240" w:line="360" w:lineRule="auto"/>
        <w:jc w:val="both"/>
        <w:rPr>
          <w:b/>
        </w:rPr>
      </w:pPr>
      <w:r w:rsidRPr="007B563F">
        <w:rPr>
          <w:b/>
        </w:rPr>
        <w:t xml:space="preserve">Medidas estruturais são fundamentais para </w:t>
      </w:r>
      <w:r w:rsidR="007B1386" w:rsidRPr="007B563F">
        <w:rPr>
          <w:b/>
        </w:rPr>
        <w:t xml:space="preserve">gerar </w:t>
      </w:r>
      <w:r w:rsidRPr="007B563F">
        <w:rPr>
          <w:b/>
        </w:rPr>
        <w:t>uma trajetória sustentável da dívida pública</w:t>
      </w:r>
      <w:r w:rsidR="00CF0B32" w:rsidRPr="007B563F">
        <w:rPr>
          <w:b/>
        </w:rPr>
        <w:t xml:space="preserve">. </w:t>
      </w:r>
      <w:r w:rsidR="00834DED" w:rsidRPr="007B563F">
        <w:t>A</w:t>
      </w:r>
      <w:r w:rsidR="00FB4804" w:rsidRPr="007B563F">
        <w:t xml:space="preserve"> fragilização de importantes fundamentos da economia brasileira</w:t>
      </w:r>
      <w:r w:rsidR="00BD3C9A" w:rsidRPr="007B563F">
        <w:t xml:space="preserve"> ao longo dos últimos anos</w:t>
      </w:r>
      <w:r w:rsidR="00EE6006" w:rsidRPr="007B563F">
        <w:t xml:space="preserve"> </w:t>
      </w:r>
      <w:r w:rsidR="00FB4804" w:rsidRPr="007B563F">
        <w:t>traduziu</w:t>
      </w:r>
      <w:r w:rsidR="00EE6006" w:rsidRPr="007B563F">
        <w:t>-se</w:t>
      </w:r>
      <w:r w:rsidR="00FB4804" w:rsidRPr="007B563F">
        <w:t xml:space="preserve"> em crescimento da DBGG</w:t>
      </w:r>
      <w:r w:rsidR="00985866" w:rsidRPr="007B563F">
        <w:t xml:space="preserve">. </w:t>
      </w:r>
      <w:r w:rsidR="00FB4804" w:rsidRPr="007B563F">
        <w:t xml:space="preserve">As </w:t>
      </w:r>
      <w:r w:rsidR="00985866" w:rsidRPr="007B563F">
        <w:t xml:space="preserve">medidas </w:t>
      </w:r>
      <w:r w:rsidR="00FB4804" w:rsidRPr="007B563F">
        <w:t xml:space="preserve">em curso </w:t>
      </w:r>
      <w:r w:rsidR="00985866" w:rsidRPr="007B563F">
        <w:t xml:space="preserve">para </w:t>
      </w:r>
      <w:r w:rsidR="00FB4804" w:rsidRPr="007B563F">
        <w:t xml:space="preserve">a consolidação </w:t>
      </w:r>
      <w:r w:rsidR="00985866" w:rsidRPr="007B563F">
        <w:t xml:space="preserve">fiscal e </w:t>
      </w:r>
      <w:r w:rsidR="004D7ADB" w:rsidRPr="007B563F">
        <w:t xml:space="preserve">a </w:t>
      </w:r>
      <w:r w:rsidR="00FB4804" w:rsidRPr="007B563F">
        <w:t xml:space="preserve">estabilidade </w:t>
      </w:r>
      <w:r w:rsidR="00985866" w:rsidRPr="007B563F">
        <w:t xml:space="preserve">monetária </w:t>
      </w:r>
      <w:r w:rsidR="00FB4804" w:rsidRPr="007B563F">
        <w:t xml:space="preserve">contribuem </w:t>
      </w:r>
      <w:r w:rsidR="00985866" w:rsidRPr="007B563F">
        <w:t xml:space="preserve">para gerar perspectivas </w:t>
      </w:r>
      <w:r w:rsidR="004D7ADB" w:rsidRPr="007B563F">
        <w:t>positivas</w:t>
      </w:r>
      <w:r w:rsidR="00FB4804" w:rsidRPr="007B563F">
        <w:t>, mas os desafios da agenda de reformas estruturais ainda persistem</w:t>
      </w:r>
      <w:r w:rsidR="004D7ADB" w:rsidRPr="007B563F">
        <w:t>.</w:t>
      </w:r>
      <w:r w:rsidR="00FB4804" w:rsidRPr="007B563F">
        <w:t xml:space="preserve"> </w:t>
      </w:r>
      <w:r w:rsidR="004D7ADB" w:rsidRPr="007B563F">
        <w:t>Super</w:t>
      </w:r>
      <w:r w:rsidR="00280733" w:rsidRPr="007B563F">
        <w:t>á</w:t>
      </w:r>
      <w:r w:rsidR="004D7ADB" w:rsidRPr="007B563F">
        <w:t xml:space="preserve">-los é essencial </w:t>
      </w:r>
      <w:r w:rsidR="00FB4804" w:rsidRPr="007B563F">
        <w:t xml:space="preserve">para </w:t>
      </w:r>
      <w:r w:rsidR="004D7ADB" w:rsidRPr="007B563F">
        <w:t>a manutenção d</w:t>
      </w:r>
      <w:r w:rsidR="00FB4804" w:rsidRPr="007B563F">
        <w:t xml:space="preserve">o </w:t>
      </w:r>
      <w:r w:rsidR="004D7ADB" w:rsidRPr="007B563F">
        <w:t xml:space="preserve">endividamento </w:t>
      </w:r>
      <w:r w:rsidR="00FB4804" w:rsidRPr="007B563F">
        <w:t>em patamares saudáveis para o financiamento público</w:t>
      </w:r>
      <w:r w:rsidR="004D7ADB" w:rsidRPr="007B563F">
        <w:t xml:space="preserve"> e para o desenvolvimento do país</w:t>
      </w:r>
      <w:r w:rsidR="00E16CF5" w:rsidRPr="007B563F">
        <w:t>.</w:t>
      </w:r>
    </w:p>
    <w:p w14:paraId="7A4C2035" w14:textId="46F2E2DE" w:rsidR="00776C51" w:rsidRPr="007B563F" w:rsidRDefault="00776C51" w:rsidP="00CB5D43">
      <w:pPr>
        <w:spacing w:line="360" w:lineRule="auto"/>
        <w:jc w:val="both"/>
        <w:rPr>
          <w:b/>
        </w:rPr>
      </w:pPr>
      <w:r w:rsidRPr="007B563F">
        <w:rPr>
          <w:b/>
        </w:rPr>
        <w:t xml:space="preserve">O espaço para a </w:t>
      </w:r>
      <w:r w:rsidR="00A775A1" w:rsidRPr="007B563F">
        <w:rPr>
          <w:b/>
        </w:rPr>
        <w:t xml:space="preserve">otimização </w:t>
      </w:r>
      <w:r w:rsidRPr="007B563F">
        <w:rPr>
          <w:b/>
        </w:rPr>
        <w:t>de ativos do governo federal e a diminuição dos subsídios implícitos</w:t>
      </w:r>
      <w:r w:rsidRPr="007B563F">
        <w:rPr>
          <w:rStyle w:val="Refdenotaderodap"/>
          <w:b/>
        </w:rPr>
        <w:footnoteReference w:id="1"/>
      </w:r>
      <w:r w:rsidRPr="007B563F">
        <w:rPr>
          <w:b/>
        </w:rPr>
        <w:t xml:space="preserve"> também contribuem para a administração do nível de endividamento público</w:t>
      </w:r>
      <w:r w:rsidRPr="007B563F">
        <w:t xml:space="preserve">. </w:t>
      </w:r>
      <w:r w:rsidR="00B60E08">
        <w:t>As</w:t>
      </w:r>
      <w:r w:rsidRPr="007B563F">
        <w:t xml:space="preserve"> liquidaç</w:t>
      </w:r>
      <w:r w:rsidR="00B60E08">
        <w:t>ões</w:t>
      </w:r>
      <w:r w:rsidRPr="007B563F">
        <w:t xml:space="preserve"> antecipada</w:t>
      </w:r>
      <w:r w:rsidR="00B60E08">
        <w:t>s</w:t>
      </w:r>
      <w:r w:rsidRPr="007B563F">
        <w:t xml:space="preserve"> de operações de crédito junto ao Banco Nacional de Desenvolvimento Econômico e Social (BNDES) reduz</w:t>
      </w:r>
      <w:r w:rsidR="00B60E08">
        <w:t>em</w:t>
      </w:r>
      <w:r w:rsidRPr="007B563F">
        <w:t xml:space="preserve"> imediatamente a DBGG na mesma magnitude do valor liquidado. De fato, esse foi o principal efeito sobre a DBGG do</w:t>
      </w:r>
      <w:r w:rsidR="00CA2434">
        <w:t>s</w:t>
      </w:r>
      <w:r w:rsidRPr="007B563F">
        <w:t xml:space="preserve"> pagamento</w:t>
      </w:r>
      <w:r w:rsidR="00CA2434">
        <w:t>s</w:t>
      </w:r>
      <w:r w:rsidRPr="007B563F">
        <w:t xml:space="preserve"> efetuado</w:t>
      </w:r>
      <w:r w:rsidR="00CA2434">
        <w:t>s</w:t>
      </w:r>
      <w:r w:rsidRPr="007B563F">
        <w:t xml:space="preserve"> pelo BNDES ao Tesouro Nacional em </w:t>
      </w:r>
      <w:r w:rsidR="00CA2434">
        <w:t xml:space="preserve">2015, </w:t>
      </w:r>
      <w:r w:rsidRPr="007B563F">
        <w:t>2016</w:t>
      </w:r>
      <w:r w:rsidR="00CA2434">
        <w:t xml:space="preserve"> e 2017</w:t>
      </w:r>
      <w:r w:rsidR="00374BE0" w:rsidRPr="007B563F">
        <w:t>. Uma</w:t>
      </w:r>
      <w:r w:rsidRPr="007B563F">
        <w:t xml:space="preserve"> antecipação</w:t>
      </w:r>
      <w:r w:rsidR="00181421" w:rsidRPr="007B563F">
        <w:t xml:space="preserve"> em um montante total de R$ 180 bilhões,</w:t>
      </w:r>
      <w:r w:rsidR="00CA2434">
        <w:t xml:space="preserve"> por exemplo,</w:t>
      </w:r>
      <w:r w:rsidRPr="007B563F">
        <w:t xml:space="preserve"> reduziria a DBGG em cerca de 2,7% do PIB ao final de dez anos</w:t>
      </w:r>
      <w:r w:rsidR="00853D03">
        <w:rPr>
          <w:rStyle w:val="Refdenotaderodap"/>
        </w:rPr>
        <w:footnoteReference w:id="2"/>
      </w:r>
      <w:r w:rsidRPr="007B563F">
        <w:t>.</w:t>
      </w:r>
      <w:r w:rsidR="00853D03">
        <w:t xml:space="preserve"> </w:t>
      </w:r>
    </w:p>
    <w:tbl>
      <w:tblPr>
        <w:tblStyle w:val="Tabelacomgrade"/>
        <w:tblW w:w="90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7"/>
        <w:gridCol w:w="4553"/>
      </w:tblGrid>
      <w:tr w:rsidR="00B7545E" w:rsidRPr="007B563F" w14:paraId="79081A63" w14:textId="77777777" w:rsidTr="009A55DE">
        <w:trPr>
          <w:trHeight w:val="2726"/>
          <w:jc w:val="center"/>
        </w:trPr>
        <w:tc>
          <w:tcPr>
            <w:tcW w:w="4611" w:type="dxa"/>
          </w:tcPr>
          <w:p w14:paraId="557C96B3" w14:textId="77777777" w:rsidR="00A957CE" w:rsidRPr="007B563F" w:rsidRDefault="00A957CE" w:rsidP="00CB5D43">
            <w:pPr>
              <w:spacing w:line="360" w:lineRule="auto"/>
              <w:jc w:val="both"/>
              <w:rPr>
                <w:b/>
              </w:rPr>
            </w:pPr>
            <w:r w:rsidRPr="007B563F">
              <w:rPr>
                <w:b/>
              </w:rPr>
              <w:t xml:space="preserve">Gráfico </w:t>
            </w:r>
            <w:r w:rsidR="00922547" w:rsidRPr="007B563F">
              <w:rPr>
                <w:b/>
              </w:rPr>
              <w:t>3</w:t>
            </w:r>
            <w:r w:rsidRPr="007B563F">
              <w:rPr>
                <w:b/>
              </w:rPr>
              <w:t xml:space="preserve"> – Projeções DBGG e DLSP</w:t>
            </w:r>
          </w:p>
          <w:p w14:paraId="27AE3E33" w14:textId="58365387" w:rsidR="00A957CE" w:rsidRPr="007B563F" w:rsidRDefault="00B7545E" w:rsidP="00CB5D43">
            <w:pPr>
              <w:spacing w:line="360" w:lineRule="auto"/>
              <w:jc w:val="both"/>
            </w:pPr>
            <w:r>
              <w:rPr>
                <w:noProof/>
                <w:lang w:eastAsia="pt-BR"/>
              </w:rPr>
              <w:drawing>
                <wp:inline distT="0" distB="0" distL="0" distR="0" wp14:anchorId="6D54800E" wp14:editId="65A352FF">
                  <wp:extent cx="2770425" cy="1949570"/>
                  <wp:effectExtent l="0" t="0" r="0" b="0"/>
                  <wp:docPr id="11" name="Image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1187" cy="19993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294F6F4" w14:textId="77777777" w:rsidR="00A957CE" w:rsidRPr="001F3BB2" w:rsidRDefault="00A957CE" w:rsidP="00CB5D43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F3BB2">
              <w:rPr>
                <w:sz w:val="18"/>
                <w:szCs w:val="18"/>
              </w:rPr>
              <w:t>Fonte: BCB e estimativas STN</w:t>
            </w:r>
          </w:p>
        </w:tc>
        <w:tc>
          <w:tcPr>
            <w:tcW w:w="4459" w:type="dxa"/>
          </w:tcPr>
          <w:p w14:paraId="07D2D2F9" w14:textId="028196A1" w:rsidR="00A957CE" w:rsidRPr="007B563F" w:rsidRDefault="00A957CE" w:rsidP="00CB5D43">
            <w:pPr>
              <w:spacing w:line="360" w:lineRule="auto"/>
              <w:jc w:val="both"/>
              <w:rPr>
                <w:b/>
              </w:rPr>
            </w:pPr>
            <w:r w:rsidRPr="007B563F">
              <w:rPr>
                <w:b/>
              </w:rPr>
              <w:t xml:space="preserve">Gráfico </w:t>
            </w:r>
            <w:r w:rsidR="00922547" w:rsidRPr="007B563F">
              <w:rPr>
                <w:b/>
              </w:rPr>
              <w:t>4</w:t>
            </w:r>
            <w:r w:rsidRPr="007B563F">
              <w:rPr>
                <w:b/>
              </w:rPr>
              <w:t xml:space="preserve"> – Projeção com retorno de créditos</w:t>
            </w:r>
            <w:r w:rsidR="009A55DE">
              <w:rPr>
                <w:rStyle w:val="Refdenotaderodap"/>
                <w:b/>
              </w:rPr>
              <w:footnoteReference w:id="3"/>
            </w:r>
          </w:p>
          <w:p w14:paraId="3DF45640" w14:textId="16ECDEBA" w:rsidR="00A957CE" w:rsidRPr="007B563F" w:rsidRDefault="00A04DBE" w:rsidP="00CB5D43">
            <w:pPr>
              <w:spacing w:line="360" w:lineRule="auto"/>
              <w:jc w:val="both"/>
            </w:pPr>
            <w:r>
              <w:rPr>
                <w:noProof/>
                <w:lang w:eastAsia="pt-BR"/>
              </w:rPr>
              <w:drawing>
                <wp:inline distT="0" distB="0" distL="0" distR="0" wp14:anchorId="7126D70B" wp14:editId="49F47C3F">
                  <wp:extent cx="2802358" cy="1983105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4100" cy="20551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19DAD24" w14:textId="47F44ED8" w:rsidR="009A55DE" w:rsidRPr="001F3BB2" w:rsidRDefault="00A957CE" w:rsidP="009A55DE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F3BB2">
              <w:rPr>
                <w:sz w:val="18"/>
                <w:szCs w:val="18"/>
              </w:rPr>
              <w:t>Fonte: BCB e estimativas STN</w:t>
            </w:r>
          </w:p>
        </w:tc>
      </w:tr>
    </w:tbl>
    <w:p w14:paraId="46E93FC6" w14:textId="77777777" w:rsidR="00A957CE" w:rsidRPr="007B563F" w:rsidRDefault="00A957CE" w:rsidP="000C4DAD">
      <w:pPr>
        <w:spacing w:before="240" w:line="360" w:lineRule="auto"/>
        <w:jc w:val="both"/>
      </w:pPr>
      <w:r w:rsidRPr="007B563F">
        <w:rPr>
          <w:b/>
        </w:rPr>
        <w:t>Neste contexto</w:t>
      </w:r>
      <w:r w:rsidR="0009791E" w:rsidRPr="007B563F">
        <w:rPr>
          <w:b/>
        </w:rPr>
        <w:t>, o</w:t>
      </w:r>
      <w:r w:rsidR="00FB4804" w:rsidRPr="007B563F">
        <w:rPr>
          <w:b/>
        </w:rPr>
        <w:t xml:space="preserve"> c</w:t>
      </w:r>
      <w:r w:rsidR="007D3145" w:rsidRPr="007B563F">
        <w:rPr>
          <w:b/>
        </w:rPr>
        <w:t xml:space="preserve">enário </w:t>
      </w:r>
      <w:r w:rsidR="00684C46" w:rsidRPr="007B563F">
        <w:rPr>
          <w:b/>
        </w:rPr>
        <w:t xml:space="preserve">prospectivo mostra superação da recessão, </w:t>
      </w:r>
      <w:r w:rsidR="00FB4804" w:rsidRPr="007B563F">
        <w:rPr>
          <w:b/>
        </w:rPr>
        <w:t xml:space="preserve">com sinais </w:t>
      </w:r>
      <w:r w:rsidR="00280733" w:rsidRPr="007B563F">
        <w:rPr>
          <w:b/>
        </w:rPr>
        <w:t xml:space="preserve">de </w:t>
      </w:r>
      <w:r w:rsidR="00FB4804" w:rsidRPr="007B563F">
        <w:rPr>
          <w:b/>
        </w:rPr>
        <w:t>que novos avanços na atividade</w:t>
      </w:r>
      <w:r w:rsidR="00280733" w:rsidRPr="007B563F">
        <w:rPr>
          <w:b/>
        </w:rPr>
        <w:t xml:space="preserve"> econômica</w:t>
      </w:r>
      <w:r w:rsidR="00FB4804" w:rsidRPr="007B563F">
        <w:rPr>
          <w:b/>
        </w:rPr>
        <w:t xml:space="preserve"> estão a caminho</w:t>
      </w:r>
      <w:r w:rsidR="007D3145" w:rsidRPr="007B563F">
        <w:rPr>
          <w:b/>
        </w:rPr>
        <w:t xml:space="preserve">. </w:t>
      </w:r>
      <w:r w:rsidR="00BB3F99" w:rsidRPr="007B563F">
        <w:t>As</w:t>
      </w:r>
      <w:r w:rsidR="00684C46" w:rsidRPr="007B563F">
        <w:t xml:space="preserve"> melhoras econômicas observadas </w:t>
      </w:r>
      <w:r w:rsidR="00684C46" w:rsidRPr="007B563F">
        <w:lastRenderedPageBreak/>
        <w:t>recentemente,</w:t>
      </w:r>
      <w:r w:rsidR="00BB3F99" w:rsidRPr="007B563F">
        <w:t xml:space="preserve"> como a queda da inflação e o consequente surgimento de um ambiente </w:t>
      </w:r>
      <w:r w:rsidR="0060719D" w:rsidRPr="007B563F">
        <w:t xml:space="preserve">com </w:t>
      </w:r>
      <w:r w:rsidR="00BB3F99" w:rsidRPr="007B563F">
        <w:t xml:space="preserve">juros mais baixos, </w:t>
      </w:r>
      <w:r w:rsidRPr="007B563F">
        <w:t xml:space="preserve">proporcionam </w:t>
      </w:r>
      <w:r w:rsidR="0060719D" w:rsidRPr="007B563F">
        <w:t xml:space="preserve">a recuperação da confiança e do investimento, </w:t>
      </w:r>
      <w:r w:rsidRPr="007B563F">
        <w:t xml:space="preserve">contribuindo para </w:t>
      </w:r>
      <w:r w:rsidR="0060719D" w:rsidRPr="007B563F">
        <w:t xml:space="preserve">a retomada do crescimento e do emprego. Iniciativas para </w:t>
      </w:r>
      <w:r w:rsidRPr="007B563F">
        <w:t xml:space="preserve">aperfeiçoar </w:t>
      </w:r>
      <w:r w:rsidR="0060719D" w:rsidRPr="007B563F">
        <w:t xml:space="preserve">o ambiente de negócios e </w:t>
      </w:r>
      <w:r w:rsidRPr="007B563F">
        <w:t xml:space="preserve">incrementar </w:t>
      </w:r>
      <w:r w:rsidR="0060719D" w:rsidRPr="007B563F">
        <w:t xml:space="preserve">a produtividade são essenciais nesse processo, </w:t>
      </w:r>
      <w:r w:rsidRPr="007B563F">
        <w:t xml:space="preserve">favorecendo a </w:t>
      </w:r>
      <w:r w:rsidR="00BB3F99" w:rsidRPr="007B563F">
        <w:t xml:space="preserve">redução dos custos </w:t>
      </w:r>
      <w:r w:rsidR="0060719D" w:rsidRPr="007B563F">
        <w:t>de financiamento e uma trajetória mais suave da DBGG/PIB</w:t>
      </w:r>
      <w:r w:rsidR="00BB3F99" w:rsidRPr="007B563F">
        <w:t>.</w:t>
      </w:r>
    </w:p>
    <w:p w14:paraId="7D4079D9" w14:textId="622E4B87" w:rsidR="00280733" w:rsidRPr="007B563F" w:rsidRDefault="00280733" w:rsidP="000C4DAD">
      <w:pPr>
        <w:spacing w:before="240" w:line="360" w:lineRule="auto"/>
        <w:jc w:val="both"/>
      </w:pPr>
      <w:r w:rsidRPr="007B563F">
        <w:rPr>
          <w:b/>
        </w:rPr>
        <w:t>As reformas econômicas são importantes para a determinação dos cenários fiscais e da trajetória da dívida.</w:t>
      </w:r>
      <w:r w:rsidRPr="007B563F">
        <w:t xml:space="preserve"> As perspectivas para a DBGG são bastante sensíveis ao efeito das reformas em debate no Congresso Nacional</w:t>
      </w:r>
      <w:r w:rsidR="006A7458" w:rsidRPr="007B563F">
        <w:t xml:space="preserve"> e a</w:t>
      </w:r>
      <w:r w:rsidRPr="007B563F">
        <w:t>o grau de aprovação de seus textos-base (integral, parcial ou rejeição)</w:t>
      </w:r>
      <w:r w:rsidRPr="007B563F">
        <w:rPr>
          <w:rStyle w:val="Refdenotaderodap"/>
        </w:rPr>
        <w:footnoteReference w:id="4"/>
      </w:r>
      <w:r w:rsidRPr="007B563F">
        <w:t xml:space="preserve">. Considerando-se o espectro de risco, as simulações mostram a DBGG estabilizando-se ao redor de </w:t>
      </w:r>
      <w:r w:rsidR="006A7458" w:rsidRPr="007B563F">
        <w:t>80</w:t>
      </w:r>
      <w:r w:rsidRPr="007B563F">
        <w:t xml:space="preserve">% do PIB nos cenários centrais. </w:t>
      </w:r>
      <w:r w:rsidR="0047710A" w:rsidRPr="007B563F">
        <w:t xml:space="preserve">Nas situações em que as reformas sejam implementadas integralmente, a DBGG </w:t>
      </w:r>
      <w:r w:rsidR="006A7458" w:rsidRPr="007B563F">
        <w:t xml:space="preserve">tende a </w:t>
      </w:r>
      <w:r w:rsidR="0047710A" w:rsidRPr="007B563F">
        <w:t>assum</w:t>
      </w:r>
      <w:r w:rsidR="006A7458" w:rsidRPr="007B563F">
        <w:t>ir</w:t>
      </w:r>
      <w:r w:rsidR="0047710A" w:rsidRPr="007B563F">
        <w:t xml:space="preserve"> trajetória decrescente.</w:t>
      </w:r>
      <w:r w:rsidR="0047710A" w:rsidRPr="007B563F">
        <w:rPr>
          <w:b/>
        </w:rPr>
        <w:t xml:space="preserve"> </w:t>
      </w:r>
      <w:r w:rsidR="0047710A" w:rsidRPr="007B563F">
        <w:t>Por outro lado, a</w:t>
      </w:r>
      <w:r w:rsidRPr="007B563F">
        <w:t xml:space="preserve"> ausência de reformas promotoras da consolidação fiscal</w:t>
      </w:r>
      <w:r w:rsidR="006A7458" w:rsidRPr="007B563F">
        <w:t xml:space="preserve"> pode</w:t>
      </w:r>
      <w:r w:rsidRPr="007B563F">
        <w:t xml:space="preserve"> resultar em cenários mais adversos, nos qu</w:t>
      </w:r>
      <w:r w:rsidR="000C4DAD" w:rsidRPr="007B563F">
        <w:t>ais a DBGG poderia superar 90%</w:t>
      </w:r>
      <w:r w:rsidR="00701E1C">
        <w:t xml:space="preserve"> do PIB</w:t>
      </w:r>
      <w:r w:rsidR="000C4DAD" w:rsidRPr="007B563F">
        <w:t>.</w:t>
      </w:r>
    </w:p>
    <w:p w14:paraId="2D8F81C1" w14:textId="77777777" w:rsidR="000C4DAD" w:rsidRPr="007B563F" w:rsidRDefault="000C4DAD" w:rsidP="00121764">
      <w:pPr>
        <w:spacing w:line="360" w:lineRule="auto"/>
        <w:jc w:val="both"/>
        <w:rPr>
          <w:b/>
        </w:rPr>
      </w:pPr>
      <w:r w:rsidRPr="007B563F">
        <w:rPr>
          <w:b/>
        </w:rPr>
        <w:t xml:space="preserve">Gráfico </w:t>
      </w:r>
      <w:r w:rsidR="00922547" w:rsidRPr="007B563F">
        <w:rPr>
          <w:b/>
        </w:rPr>
        <w:t>5</w:t>
      </w:r>
      <w:r w:rsidRPr="007B563F">
        <w:rPr>
          <w:b/>
        </w:rPr>
        <w:t xml:space="preserve"> – Projeção central de DBGG e intervalos de probabilidade</w:t>
      </w:r>
    </w:p>
    <w:p w14:paraId="75718FC5" w14:textId="55C69312" w:rsidR="000C4DAD" w:rsidRPr="007B563F" w:rsidRDefault="00E742FC" w:rsidP="00121764">
      <w:pPr>
        <w:spacing w:line="360" w:lineRule="auto"/>
        <w:jc w:val="center"/>
        <w:rPr>
          <w:b/>
        </w:rPr>
      </w:pPr>
      <w:r>
        <w:rPr>
          <w:b/>
          <w:noProof/>
          <w:lang w:eastAsia="pt-BR"/>
        </w:rPr>
        <w:drawing>
          <wp:inline distT="0" distB="0" distL="0" distR="0" wp14:anchorId="09A4F765" wp14:editId="1535C5F1">
            <wp:extent cx="3527327" cy="2228850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2652" cy="22638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A55D6C" w14:textId="77777777" w:rsidR="00A957CE" w:rsidRPr="000D3B1D" w:rsidRDefault="00A957CE" w:rsidP="0084538F">
      <w:pPr>
        <w:spacing w:line="360" w:lineRule="auto"/>
        <w:ind w:firstLine="708"/>
        <w:jc w:val="both"/>
        <w:rPr>
          <w:b/>
          <w:sz w:val="18"/>
          <w:szCs w:val="18"/>
        </w:rPr>
      </w:pPr>
      <w:r w:rsidRPr="000D3B1D">
        <w:rPr>
          <w:sz w:val="18"/>
          <w:szCs w:val="18"/>
        </w:rPr>
        <w:t>Fonte: BCB e estimativas da STN</w:t>
      </w:r>
    </w:p>
    <w:p w14:paraId="5B859633" w14:textId="77777777" w:rsidR="00E468D3" w:rsidRPr="007B563F" w:rsidRDefault="000058CA" w:rsidP="00CB5D43">
      <w:pPr>
        <w:spacing w:line="360" w:lineRule="auto"/>
        <w:jc w:val="both"/>
        <w:rPr>
          <w:noProof/>
        </w:rPr>
      </w:pPr>
      <w:r w:rsidRPr="007B563F">
        <w:rPr>
          <w:b/>
        </w:rPr>
        <w:t>A reversão dos déficits primários é fundamental para melhorar a necessidade de financiamento do setor público.</w:t>
      </w:r>
      <w:r w:rsidRPr="007B563F">
        <w:t xml:space="preserve"> </w:t>
      </w:r>
      <w:r w:rsidR="00E91155" w:rsidRPr="007B563F">
        <w:t>O</w:t>
      </w:r>
      <w:r w:rsidR="000646B2" w:rsidRPr="007B563F">
        <w:t>s</w:t>
      </w:r>
      <w:r w:rsidR="00471EF1" w:rsidRPr="007B563F">
        <w:t xml:space="preserve"> déficits primários</w:t>
      </w:r>
      <w:r w:rsidR="000646B2" w:rsidRPr="007B563F">
        <w:t xml:space="preserve"> rec</w:t>
      </w:r>
      <w:r w:rsidR="00A775A1" w:rsidRPr="007B563F">
        <w:t>orr</w:t>
      </w:r>
      <w:r w:rsidR="000646B2" w:rsidRPr="007B563F">
        <w:t>entes</w:t>
      </w:r>
      <w:r w:rsidR="00E91155" w:rsidRPr="007B563F">
        <w:t xml:space="preserve">, juntamente com </w:t>
      </w:r>
      <w:r w:rsidRPr="007B563F">
        <w:t>as despesas de</w:t>
      </w:r>
      <w:r w:rsidR="00E91155" w:rsidRPr="007B563F">
        <w:t xml:space="preserve"> juros,</w:t>
      </w:r>
      <w:r w:rsidR="00471EF1" w:rsidRPr="007B563F">
        <w:t xml:space="preserve"> </w:t>
      </w:r>
      <w:r w:rsidR="00A775A1" w:rsidRPr="007B563F">
        <w:t>leva</w:t>
      </w:r>
      <w:r w:rsidR="00AB5A92" w:rsidRPr="007B563F">
        <w:t>ra</w:t>
      </w:r>
      <w:r w:rsidR="00A775A1" w:rsidRPr="007B563F">
        <w:t xml:space="preserve">m </w:t>
      </w:r>
      <w:r w:rsidR="00471EF1" w:rsidRPr="007B563F">
        <w:t xml:space="preserve">a </w:t>
      </w:r>
      <w:r w:rsidR="00471EF1" w:rsidRPr="007B563F">
        <w:lastRenderedPageBreak/>
        <w:t>necessidade de financiamento do setor público</w:t>
      </w:r>
      <w:r w:rsidR="00E91155" w:rsidRPr="007B563F">
        <w:rPr>
          <w:rStyle w:val="Refdenotaderodap"/>
        </w:rPr>
        <w:footnoteReference w:id="5"/>
      </w:r>
      <w:r w:rsidR="002F464D" w:rsidRPr="007B563F">
        <w:t xml:space="preserve"> para </w:t>
      </w:r>
      <w:r w:rsidR="00A775A1" w:rsidRPr="007B563F">
        <w:t xml:space="preserve">níveis </w:t>
      </w:r>
      <w:r w:rsidR="002F464D" w:rsidRPr="007B563F">
        <w:t>historicamente elevados, tornando</w:t>
      </w:r>
      <w:r w:rsidR="00471EF1" w:rsidRPr="007B563F">
        <w:t xml:space="preserve"> </w:t>
      </w:r>
      <w:r w:rsidR="002F464D" w:rsidRPr="007B563F">
        <w:t>a recuperação de superávits primários uma condição necessária para estabilização da dívida pública.</w:t>
      </w:r>
    </w:p>
    <w:tbl>
      <w:tblPr>
        <w:tblStyle w:val="Tabelacomgrade"/>
        <w:tblW w:w="932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0"/>
        <w:gridCol w:w="4717"/>
      </w:tblGrid>
      <w:tr w:rsidR="00EE6006" w:rsidRPr="007B563F" w14:paraId="5783D3A2" w14:textId="77777777" w:rsidTr="001214E6">
        <w:trPr>
          <w:trHeight w:val="2921"/>
          <w:jc w:val="center"/>
        </w:trPr>
        <w:tc>
          <w:tcPr>
            <w:tcW w:w="4610" w:type="dxa"/>
          </w:tcPr>
          <w:p w14:paraId="6168D041" w14:textId="2C90E763" w:rsidR="00CF6A40" w:rsidRPr="007B563F" w:rsidRDefault="00CF6A40" w:rsidP="00CB5D43">
            <w:pPr>
              <w:spacing w:line="360" w:lineRule="auto"/>
              <w:jc w:val="both"/>
              <w:rPr>
                <w:b/>
              </w:rPr>
            </w:pPr>
            <w:r w:rsidRPr="007B563F">
              <w:rPr>
                <w:b/>
              </w:rPr>
              <w:t xml:space="preserve">Gráfico </w:t>
            </w:r>
            <w:r w:rsidR="00922547" w:rsidRPr="007B563F">
              <w:rPr>
                <w:b/>
              </w:rPr>
              <w:t xml:space="preserve">6 </w:t>
            </w:r>
            <w:r w:rsidRPr="007B563F">
              <w:rPr>
                <w:b/>
              </w:rPr>
              <w:t xml:space="preserve">– </w:t>
            </w:r>
            <w:r w:rsidR="00EE6006" w:rsidRPr="007B563F">
              <w:rPr>
                <w:b/>
              </w:rPr>
              <w:t xml:space="preserve">Necessidade de </w:t>
            </w:r>
            <w:r w:rsidR="006158C2">
              <w:rPr>
                <w:b/>
              </w:rPr>
              <w:t>f</w:t>
            </w:r>
            <w:r w:rsidR="00EE6006" w:rsidRPr="007B563F">
              <w:rPr>
                <w:b/>
              </w:rPr>
              <w:t xml:space="preserve">inanciamento </w:t>
            </w:r>
          </w:p>
          <w:p w14:paraId="0D0A3192" w14:textId="711CBE11" w:rsidR="00CA384D" w:rsidRPr="007B563F" w:rsidRDefault="00F4378A" w:rsidP="00CB5D43">
            <w:pPr>
              <w:spacing w:line="360" w:lineRule="auto"/>
              <w:jc w:val="center"/>
              <w:rPr>
                <w:b/>
                <w:noProof/>
              </w:rPr>
            </w:pPr>
            <w:r w:rsidRPr="007B563F">
              <w:rPr>
                <w:b/>
                <w:noProof/>
                <w:lang w:eastAsia="pt-BR"/>
              </w:rPr>
              <w:drawing>
                <wp:inline distT="0" distB="0" distL="0" distR="0" wp14:anchorId="1ABD4348" wp14:editId="7DA4A10F">
                  <wp:extent cx="2604770" cy="1828800"/>
                  <wp:effectExtent l="0" t="0" r="5080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8414" cy="18664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B1C6D5A" w14:textId="77777777" w:rsidR="00CF6A40" w:rsidRPr="001F3BB2" w:rsidRDefault="00CF6A40" w:rsidP="00CB5D43">
            <w:pPr>
              <w:spacing w:line="360" w:lineRule="auto"/>
              <w:jc w:val="both"/>
              <w:rPr>
                <w:noProof/>
                <w:sz w:val="18"/>
                <w:szCs w:val="18"/>
              </w:rPr>
            </w:pPr>
            <w:r w:rsidRPr="001F3BB2">
              <w:rPr>
                <w:noProof/>
                <w:sz w:val="18"/>
                <w:szCs w:val="18"/>
              </w:rPr>
              <w:t>Fonte: BCB</w:t>
            </w:r>
            <w:r w:rsidR="00F06A0D" w:rsidRPr="001F3BB2">
              <w:rPr>
                <w:noProof/>
                <w:sz w:val="18"/>
                <w:szCs w:val="18"/>
              </w:rPr>
              <w:t xml:space="preserve"> e</w:t>
            </w:r>
            <w:r w:rsidRPr="001F3BB2">
              <w:rPr>
                <w:noProof/>
                <w:sz w:val="18"/>
                <w:szCs w:val="18"/>
              </w:rPr>
              <w:t xml:space="preserve"> estimativa</w:t>
            </w:r>
            <w:r w:rsidR="00F06A0D" w:rsidRPr="001F3BB2">
              <w:rPr>
                <w:noProof/>
                <w:sz w:val="18"/>
                <w:szCs w:val="18"/>
              </w:rPr>
              <w:t>s</w:t>
            </w:r>
            <w:r w:rsidRPr="001F3BB2">
              <w:rPr>
                <w:noProof/>
                <w:sz w:val="18"/>
                <w:szCs w:val="18"/>
              </w:rPr>
              <w:t xml:space="preserve"> STN</w:t>
            </w:r>
          </w:p>
        </w:tc>
        <w:tc>
          <w:tcPr>
            <w:tcW w:w="4717" w:type="dxa"/>
          </w:tcPr>
          <w:p w14:paraId="6C9C0230" w14:textId="607F0E46" w:rsidR="00CA384D" w:rsidRPr="007B563F" w:rsidRDefault="00F06A0D" w:rsidP="00CB5D43">
            <w:pPr>
              <w:spacing w:line="360" w:lineRule="auto"/>
              <w:jc w:val="both"/>
              <w:rPr>
                <w:b/>
                <w:noProof/>
              </w:rPr>
            </w:pPr>
            <w:r w:rsidRPr="007B563F">
              <w:rPr>
                <w:b/>
                <w:noProof/>
              </w:rPr>
              <w:t xml:space="preserve">Gráfico </w:t>
            </w:r>
            <w:r w:rsidR="00922547" w:rsidRPr="007B563F">
              <w:rPr>
                <w:b/>
                <w:noProof/>
              </w:rPr>
              <w:t xml:space="preserve">7 </w:t>
            </w:r>
            <w:r w:rsidRPr="007B563F">
              <w:rPr>
                <w:b/>
                <w:noProof/>
              </w:rPr>
              <w:t xml:space="preserve">– Juros </w:t>
            </w:r>
            <w:r w:rsidR="00453231" w:rsidRPr="007B563F">
              <w:rPr>
                <w:b/>
                <w:noProof/>
              </w:rPr>
              <w:t xml:space="preserve">da </w:t>
            </w:r>
            <w:r w:rsidR="006158C2">
              <w:rPr>
                <w:b/>
                <w:noProof/>
              </w:rPr>
              <w:t>d</w:t>
            </w:r>
            <w:r w:rsidR="00453231" w:rsidRPr="007B563F">
              <w:rPr>
                <w:b/>
                <w:noProof/>
              </w:rPr>
              <w:t xml:space="preserve">ívida </w:t>
            </w:r>
            <w:r w:rsidR="006158C2">
              <w:rPr>
                <w:b/>
                <w:noProof/>
              </w:rPr>
              <w:t>p</w:t>
            </w:r>
            <w:r w:rsidR="006158C2" w:rsidRPr="007B563F">
              <w:rPr>
                <w:b/>
                <w:noProof/>
              </w:rPr>
              <w:t>ública</w:t>
            </w:r>
          </w:p>
          <w:p w14:paraId="380CEC3D" w14:textId="2CEFF6A7" w:rsidR="00B87CEA" w:rsidRPr="007B563F" w:rsidRDefault="00F4378A" w:rsidP="00CB5D43">
            <w:pPr>
              <w:spacing w:line="360" w:lineRule="auto"/>
              <w:jc w:val="both"/>
              <w:rPr>
                <w:b/>
                <w:noProof/>
              </w:rPr>
            </w:pPr>
            <w:r w:rsidRPr="007B563F">
              <w:rPr>
                <w:b/>
                <w:noProof/>
                <w:lang w:eastAsia="pt-BR"/>
              </w:rPr>
              <w:drawing>
                <wp:inline distT="0" distB="0" distL="0" distR="0" wp14:anchorId="27DB2360" wp14:editId="4E1C6C33">
                  <wp:extent cx="2753360" cy="1846052"/>
                  <wp:effectExtent l="0" t="0" r="8890" b="1905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908" cy="18839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2CFC34A" w14:textId="77777777" w:rsidR="00F5765D" w:rsidRPr="001F3BB2" w:rsidRDefault="00F5765D" w:rsidP="00CB5D43">
            <w:pPr>
              <w:spacing w:line="360" w:lineRule="auto"/>
              <w:jc w:val="both"/>
              <w:rPr>
                <w:b/>
                <w:noProof/>
                <w:sz w:val="18"/>
                <w:szCs w:val="18"/>
              </w:rPr>
            </w:pPr>
            <w:r w:rsidRPr="001F3BB2">
              <w:rPr>
                <w:sz w:val="18"/>
                <w:szCs w:val="18"/>
              </w:rPr>
              <w:t>Fonte: BCB e estimativas STN</w:t>
            </w:r>
          </w:p>
        </w:tc>
      </w:tr>
    </w:tbl>
    <w:p w14:paraId="775AE150" w14:textId="40350084" w:rsidR="0079272F" w:rsidRPr="007B563F" w:rsidRDefault="00702220" w:rsidP="0079272F">
      <w:pPr>
        <w:spacing w:before="240" w:line="360" w:lineRule="auto"/>
        <w:jc w:val="both"/>
      </w:pPr>
      <w:r w:rsidRPr="007B563F">
        <w:rPr>
          <w:b/>
          <w:noProof/>
        </w:rPr>
        <w:t>Reverter a tendência d</w:t>
      </w:r>
      <w:r w:rsidR="000818FE" w:rsidRPr="007B563F">
        <w:rPr>
          <w:b/>
          <w:noProof/>
        </w:rPr>
        <w:t xml:space="preserve">e crescimento da dívida pública </w:t>
      </w:r>
      <w:r w:rsidRPr="007B563F">
        <w:rPr>
          <w:b/>
          <w:noProof/>
        </w:rPr>
        <w:t xml:space="preserve">é essencial para melhorar a percepção de solvência do país e </w:t>
      </w:r>
      <w:r w:rsidRPr="007B563F">
        <w:rPr>
          <w:b/>
        </w:rPr>
        <w:t>tornar a economia menos suscetível a choques adversos.</w:t>
      </w:r>
      <w:r w:rsidRPr="007B563F">
        <w:t xml:space="preserve"> </w:t>
      </w:r>
      <w:r w:rsidR="001F3473" w:rsidRPr="00FF3A62">
        <w:rPr>
          <w:noProof/>
        </w:rPr>
        <w:t>Considerando a trajetória central</w:t>
      </w:r>
      <w:r w:rsidR="000A32F1" w:rsidRPr="00FF3A62">
        <w:rPr>
          <w:noProof/>
        </w:rPr>
        <w:t xml:space="preserve"> de </w:t>
      </w:r>
      <w:r w:rsidR="00972BD2" w:rsidRPr="00FF3A62">
        <w:rPr>
          <w:noProof/>
        </w:rPr>
        <w:t>previsão</w:t>
      </w:r>
      <w:r w:rsidR="000A32F1" w:rsidRPr="00FF3A62">
        <w:rPr>
          <w:noProof/>
        </w:rPr>
        <w:t xml:space="preserve"> da dívida (Gráfico 5), que contempla projeções de </w:t>
      </w:r>
      <w:r w:rsidR="000C03F6" w:rsidRPr="00FF3A62">
        <w:rPr>
          <w:noProof/>
        </w:rPr>
        <w:t xml:space="preserve">crescimento do </w:t>
      </w:r>
      <w:r w:rsidR="000A32F1" w:rsidRPr="00FF3A62">
        <w:rPr>
          <w:noProof/>
        </w:rPr>
        <w:t xml:space="preserve">PIB e </w:t>
      </w:r>
      <w:r w:rsidR="000C03F6" w:rsidRPr="00FF3A62">
        <w:rPr>
          <w:noProof/>
        </w:rPr>
        <w:t xml:space="preserve">a taxa de juros </w:t>
      </w:r>
      <w:r w:rsidR="000A32F1" w:rsidRPr="00FF3A62">
        <w:rPr>
          <w:noProof/>
        </w:rPr>
        <w:t>Selic convergindo para 2,6% a.a e 8% a.a.</w:t>
      </w:r>
      <w:r w:rsidR="000A32F1" w:rsidRPr="00FF3A62">
        <w:rPr>
          <w:rStyle w:val="Refdenotaderodap"/>
          <w:noProof/>
        </w:rPr>
        <w:footnoteReference w:id="6"/>
      </w:r>
      <w:r w:rsidR="000A32F1" w:rsidRPr="00FF3A62">
        <w:rPr>
          <w:noProof/>
        </w:rPr>
        <w:t xml:space="preserve"> </w:t>
      </w:r>
      <w:r w:rsidR="000C03F6" w:rsidRPr="00FF3A62">
        <w:rPr>
          <w:noProof/>
        </w:rPr>
        <w:t xml:space="preserve">ao final de dez anos, </w:t>
      </w:r>
      <w:r w:rsidR="000A32F1" w:rsidRPr="00FF3A62">
        <w:rPr>
          <w:noProof/>
        </w:rPr>
        <w:t>respectivamente,</w:t>
      </w:r>
      <w:r w:rsidR="001F3473" w:rsidRPr="00FF3A62">
        <w:rPr>
          <w:noProof/>
        </w:rPr>
        <w:t xml:space="preserve"> estim</w:t>
      </w:r>
      <w:r w:rsidR="009337AB" w:rsidRPr="00FF3A62">
        <w:rPr>
          <w:noProof/>
        </w:rPr>
        <w:t xml:space="preserve">ou-se </w:t>
      </w:r>
      <w:r w:rsidR="001F3473" w:rsidRPr="00FF3A62">
        <w:t xml:space="preserve">que o superávit primário requerido para estabilizar </w:t>
      </w:r>
      <w:r w:rsidR="001F3473" w:rsidRPr="00FF3A62">
        <w:rPr>
          <w:noProof/>
        </w:rPr>
        <w:t>a DBGG/PIB</w:t>
      </w:r>
      <w:r w:rsidR="00620454" w:rsidRPr="00FF3A62">
        <w:rPr>
          <w:noProof/>
        </w:rPr>
        <w:t xml:space="preserve"> e a </w:t>
      </w:r>
      <w:r w:rsidR="00620454" w:rsidRPr="00FF3A62">
        <w:t>DLSP/PIB</w:t>
      </w:r>
      <w:r w:rsidR="001F3473" w:rsidRPr="00FF3A62">
        <w:rPr>
          <w:noProof/>
        </w:rPr>
        <w:t xml:space="preserve"> </w:t>
      </w:r>
      <w:r w:rsidR="001F3473" w:rsidRPr="00FF3A62">
        <w:t>a partir de 202</w:t>
      </w:r>
      <w:r w:rsidR="00150272" w:rsidRPr="00FF3A62">
        <w:t>1</w:t>
      </w:r>
      <w:r w:rsidR="001F3473" w:rsidRPr="00FF3A62">
        <w:t xml:space="preserve"> seria de </w:t>
      </w:r>
      <w:r w:rsidR="007A141F" w:rsidRPr="00FF3A62">
        <w:t>0,8</w:t>
      </w:r>
      <w:r w:rsidR="001F3473" w:rsidRPr="00FF3A62">
        <w:t>%</w:t>
      </w:r>
      <w:r w:rsidR="00620454" w:rsidRPr="00FF3A62">
        <w:t xml:space="preserve"> e 1,6% do </w:t>
      </w:r>
      <w:r w:rsidR="001F3473" w:rsidRPr="00FF3A62">
        <w:t>PIB</w:t>
      </w:r>
      <w:r w:rsidR="00620454" w:rsidRPr="00FF3A62">
        <w:t>, respectivamente</w:t>
      </w:r>
      <w:r w:rsidR="00EA54D5" w:rsidRPr="00FF3A62">
        <w:rPr>
          <w:rStyle w:val="Refdenotaderodap"/>
        </w:rPr>
        <w:footnoteReference w:id="7"/>
      </w:r>
      <w:r w:rsidRPr="00FF3A62">
        <w:t>.</w:t>
      </w:r>
      <w:r w:rsidRPr="009A279D">
        <w:rPr>
          <w:color w:val="FF0000"/>
        </w:rPr>
        <w:t xml:space="preserve"> </w:t>
      </w:r>
      <w:r w:rsidRPr="007B563F">
        <w:t xml:space="preserve">Tais parâmetros são sensíveis às hipóteses de juros e crescimento do PIB, mas ainda assim representam </w:t>
      </w:r>
      <w:r w:rsidR="001F3473" w:rsidRPr="007B563F">
        <w:t xml:space="preserve">um esforço fiscal adicional </w:t>
      </w:r>
      <w:r w:rsidRPr="007B563F">
        <w:t>considerável (</w:t>
      </w:r>
      <w:r w:rsidR="007A141F">
        <w:t>1,4</w:t>
      </w:r>
      <w:r w:rsidR="001F3473" w:rsidRPr="007B563F">
        <w:t xml:space="preserve">% </w:t>
      </w:r>
      <w:r w:rsidR="000818FE" w:rsidRPr="007B563F">
        <w:t>e 2,2% do PIB</w:t>
      </w:r>
      <w:r w:rsidR="000058CA" w:rsidRPr="007B563F">
        <w:t xml:space="preserve"> para os respectivos indicadores</w:t>
      </w:r>
      <w:r w:rsidRPr="007B563F">
        <w:t>)</w:t>
      </w:r>
      <w:r w:rsidR="001F3473" w:rsidRPr="007B563F">
        <w:t xml:space="preserve"> </w:t>
      </w:r>
      <w:r w:rsidR="00257F36">
        <w:t xml:space="preserve">quando comparado ao resultado primário programado para </w:t>
      </w:r>
      <w:r w:rsidR="006B4818" w:rsidRPr="007B563F">
        <w:t>2020</w:t>
      </w:r>
      <w:r w:rsidR="001F3473" w:rsidRPr="007B563F">
        <w:t>.</w:t>
      </w:r>
    </w:p>
    <w:tbl>
      <w:tblPr>
        <w:tblStyle w:val="Tabelacomgrade"/>
        <w:tblW w:w="9726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61"/>
        <w:gridCol w:w="4825"/>
      </w:tblGrid>
      <w:tr w:rsidR="0079272F" w:rsidRPr="007B563F" w14:paraId="6588260E" w14:textId="77777777" w:rsidTr="009205AE">
        <w:trPr>
          <w:trHeight w:val="2690"/>
          <w:jc w:val="center"/>
        </w:trPr>
        <w:tc>
          <w:tcPr>
            <w:tcW w:w="4866" w:type="dxa"/>
          </w:tcPr>
          <w:tbl>
            <w:tblPr>
              <w:tblW w:w="4745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84"/>
              <w:gridCol w:w="1186"/>
              <w:gridCol w:w="1185"/>
              <w:gridCol w:w="1190"/>
            </w:tblGrid>
            <w:tr w:rsidR="0079272F" w:rsidRPr="007B563F" w14:paraId="55A97A74" w14:textId="77777777" w:rsidTr="009E7F64">
              <w:trPr>
                <w:trHeight w:val="291"/>
              </w:trPr>
              <w:tc>
                <w:tcPr>
                  <w:tcW w:w="47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82B6BE" w14:textId="05538A92" w:rsidR="0079272F" w:rsidRPr="007B563F" w:rsidRDefault="0079272F" w:rsidP="001214E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7B563F">
                    <w:rPr>
                      <w:rFonts w:ascii="Calibri" w:hAnsi="Calibri" w:cs="Calibri"/>
                      <w:b/>
                      <w:bCs/>
                      <w:color w:val="000000"/>
                    </w:rPr>
                    <w:t>Tabela 1- Pri</w:t>
                  </w:r>
                  <w:r w:rsidR="005654AB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mário que </w:t>
                  </w:r>
                  <w:r w:rsidR="006158C2">
                    <w:rPr>
                      <w:rFonts w:ascii="Calibri" w:hAnsi="Calibri" w:cs="Calibri"/>
                      <w:b/>
                      <w:bCs/>
                      <w:color w:val="000000"/>
                    </w:rPr>
                    <w:t>e</w:t>
                  </w:r>
                  <w:r w:rsidR="005654AB">
                    <w:rPr>
                      <w:rFonts w:ascii="Calibri" w:hAnsi="Calibri" w:cs="Calibri"/>
                      <w:b/>
                      <w:bCs/>
                      <w:color w:val="000000"/>
                    </w:rPr>
                    <w:t>stabiliza a DBGG/PIB</w:t>
                  </w:r>
                  <w:r w:rsidR="009E7F64" w:rsidRPr="007B563F">
                    <w:rPr>
                      <w:rFonts w:ascii="Calibri" w:hAnsi="Calibri" w:cs="Calibri"/>
                      <w:b/>
                      <w:bCs/>
                      <w:color w:val="000000"/>
                    </w:rPr>
                    <w:t>*</w:t>
                  </w:r>
                </w:p>
              </w:tc>
            </w:tr>
            <w:tr w:rsidR="0079272F" w:rsidRPr="007B563F" w14:paraId="271408FF" w14:textId="77777777" w:rsidTr="009E7F64">
              <w:trPr>
                <w:trHeight w:val="470"/>
              </w:trPr>
              <w:tc>
                <w:tcPr>
                  <w:tcW w:w="118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vAlign w:val="center"/>
                </w:tcPr>
                <w:p w14:paraId="61CB8F7A" w14:textId="77777777" w:rsidR="0079272F" w:rsidRPr="007B563F" w:rsidRDefault="0079272F" w:rsidP="009205A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186" w:type="dxa"/>
                  <w:tcBorders>
                    <w:top w:val="single" w:sz="12" w:space="0" w:color="auto"/>
                    <w:left w:val="dashSmallGap" w:sz="6" w:space="0" w:color="auto"/>
                    <w:bottom w:val="single" w:sz="12" w:space="0" w:color="auto"/>
                    <w:right w:val="dashSmallGap" w:sz="6" w:space="0" w:color="auto"/>
                  </w:tcBorders>
                  <w:vAlign w:val="center"/>
                </w:tcPr>
                <w:p w14:paraId="594C2545" w14:textId="77777777" w:rsidR="0079272F" w:rsidRPr="007B563F" w:rsidRDefault="0079272F" w:rsidP="009205A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7B563F">
                    <w:rPr>
                      <w:rFonts w:ascii="Calibri" w:hAnsi="Calibri" w:cs="Calibri"/>
                      <w:color w:val="000000"/>
                    </w:rPr>
                    <w:t>Selic + 1%</w:t>
                  </w:r>
                </w:p>
              </w:tc>
              <w:tc>
                <w:tcPr>
                  <w:tcW w:w="1185" w:type="dxa"/>
                  <w:tcBorders>
                    <w:top w:val="single" w:sz="12" w:space="0" w:color="auto"/>
                    <w:left w:val="dashSmallGap" w:sz="6" w:space="0" w:color="auto"/>
                    <w:bottom w:val="single" w:sz="12" w:space="0" w:color="auto"/>
                    <w:right w:val="dashSmallGap" w:sz="6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93E9BC3" w14:textId="77777777" w:rsidR="0079272F" w:rsidRPr="007B563F" w:rsidRDefault="0079272F" w:rsidP="009205A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7B563F">
                    <w:rPr>
                      <w:rFonts w:ascii="Calibri" w:hAnsi="Calibri" w:cs="Calibri"/>
                      <w:b/>
                      <w:bCs/>
                      <w:color w:val="000000"/>
                    </w:rPr>
                    <w:t>Cenário Base</w:t>
                  </w:r>
                </w:p>
              </w:tc>
              <w:tc>
                <w:tcPr>
                  <w:tcW w:w="1187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vAlign w:val="center"/>
                </w:tcPr>
                <w:p w14:paraId="51EA5D8F" w14:textId="77777777" w:rsidR="0079272F" w:rsidRPr="007B563F" w:rsidRDefault="0079272F" w:rsidP="009205A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7B563F">
                    <w:rPr>
                      <w:rFonts w:ascii="Calibri" w:hAnsi="Calibri" w:cs="Calibri"/>
                      <w:color w:val="000000"/>
                    </w:rPr>
                    <w:t>Selic - 1%</w:t>
                  </w:r>
                </w:p>
              </w:tc>
            </w:tr>
            <w:tr w:rsidR="0079272F" w:rsidRPr="007B563F" w14:paraId="1104B536" w14:textId="77777777" w:rsidTr="009E7F64">
              <w:trPr>
                <w:trHeight w:val="470"/>
              </w:trPr>
              <w:tc>
                <w:tcPr>
                  <w:tcW w:w="1184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vAlign w:val="center"/>
                </w:tcPr>
                <w:p w14:paraId="46A9F481" w14:textId="77777777" w:rsidR="0079272F" w:rsidRPr="007B563F" w:rsidRDefault="0079272F" w:rsidP="009205A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7B563F">
                    <w:rPr>
                      <w:rFonts w:ascii="Calibri" w:hAnsi="Calibri" w:cs="Calibri"/>
                      <w:color w:val="000000"/>
                    </w:rPr>
                    <w:t>PIB + 1%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dashSmallGap" w:sz="6" w:space="0" w:color="auto"/>
                    <w:bottom w:val="single" w:sz="12" w:space="0" w:color="auto"/>
                    <w:right w:val="dashSmallGap" w:sz="6" w:space="0" w:color="auto"/>
                  </w:tcBorders>
                  <w:vAlign w:val="center"/>
                </w:tcPr>
                <w:p w14:paraId="0115D8DA" w14:textId="77777777" w:rsidR="0079272F" w:rsidRPr="007B563F" w:rsidRDefault="0079272F" w:rsidP="009205A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7B563F">
                    <w:rPr>
                      <w:rFonts w:ascii="Calibri" w:hAnsi="Calibri" w:cs="Calibri"/>
                      <w:color w:val="000000"/>
                    </w:rPr>
                    <w:t>0,6%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dashSmallGap" w:sz="6" w:space="0" w:color="auto"/>
                    <w:bottom w:val="single" w:sz="12" w:space="0" w:color="auto"/>
                    <w:right w:val="dashSmallGap" w:sz="6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E2CCA75" w14:textId="60919938" w:rsidR="0079272F" w:rsidRPr="007B563F" w:rsidRDefault="002C428D" w:rsidP="009205A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0,0</w:t>
                  </w:r>
                  <w:r w:rsidR="0079272F" w:rsidRPr="007B563F">
                    <w:rPr>
                      <w:rFonts w:ascii="Calibri" w:hAnsi="Calibri" w:cs="Calibri"/>
                      <w:b/>
                      <w:bCs/>
                      <w:color w:val="000000"/>
                    </w:rPr>
                    <w:t>%</w:t>
                  </w:r>
                </w:p>
              </w:tc>
              <w:tc>
                <w:tcPr>
                  <w:tcW w:w="1187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vAlign w:val="center"/>
                </w:tcPr>
                <w:p w14:paraId="575FCB3D" w14:textId="77777777" w:rsidR="0079272F" w:rsidRPr="007B563F" w:rsidRDefault="0079272F" w:rsidP="009205A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7B563F">
                    <w:rPr>
                      <w:rFonts w:ascii="Calibri" w:hAnsi="Calibri" w:cs="Calibri"/>
                      <w:color w:val="000000"/>
                    </w:rPr>
                    <w:t>-0,6%</w:t>
                  </w:r>
                </w:p>
              </w:tc>
            </w:tr>
            <w:tr w:rsidR="009205AE" w:rsidRPr="007B563F" w14:paraId="144629A1" w14:textId="77777777" w:rsidTr="009E7F64">
              <w:trPr>
                <w:trHeight w:val="470"/>
              </w:trPr>
              <w:tc>
                <w:tcPr>
                  <w:tcW w:w="1184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7CA8881E" w14:textId="77777777" w:rsidR="0079272F" w:rsidRPr="007B563F" w:rsidRDefault="0079272F" w:rsidP="009205A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7B563F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Cenário Base 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dashSmallGap" w:sz="6" w:space="0" w:color="auto"/>
                    <w:bottom w:val="single" w:sz="12" w:space="0" w:color="auto"/>
                    <w:right w:val="dashSmallGap" w:sz="6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87AED3E" w14:textId="77777777" w:rsidR="0079272F" w:rsidRPr="007B563F" w:rsidRDefault="0079272F" w:rsidP="009205A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7B563F">
                    <w:rPr>
                      <w:rFonts w:ascii="Calibri" w:hAnsi="Calibri" w:cs="Calibri"/>
                      <w:b/>
                      <w:bCs/>
                      <w:color w:val="000000"/>
                    </w:rPr>
                    <w:t>1,4%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dashSmallGap" w:sz="6" w:space="0" w:color="auto"/>
                    <w:bottom w:val="single" w:sz="12" w:space="0" w:color="auto"/>
                    <w:right w:val="dashSmallGap" w:sz="6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4EEC5796" w14:textId="4E4C36C1" w:rsidR="0079272F" w:rsidRPr="007B563F" w:rsidRDefault="002C428D" w:rsidP="009205A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0,8</w:t>
                  </w:r>
                  <w:r w:rsidR="0079272F" w:rsidRPr="007B563F">
                    <w:rPr>
                      <w:rFonts w:ascii="Calibri" w:hAnsi="Calibri" w:cs="Calibri"/>
                      <w:b/>
                      <w:bCs/>
                      <w:color w:val="000000"/>
                    </w:rPr>
                    <w:t>%</w:t>
                  </w:r>
                </w:p>
              </w:tc>
              <w:tc>
                <w:tcPr>
                  <w:tcW w:w="1187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5BE8FD31" w14:textId="77777777" w:rsidR="0079272F" w:rsidRPr="007B563F" w:rsidRDefault="0079272F" w:rsidP="009205A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7B563F">
                    <w:rPr>
                      <w:rFonts w:ascii="Calibri" w:hAnsi="Calibri" w:cs="Calibri"/>
                      <w:b/>
                      <w:bCs/>
                      <w:color w:val="000000"/>
                    </w:rPr>
                    <w:t>0,3%</w:t>
                  </w:r>
                </w:p>
              </w:tc>
            </w:tr>
            <w:tr w:rsidR="0079272F" w:rsidRPr="007B563F" w14:paraId="6D2F541E" w14:textId="77777777" w:rsidTr="009E7F64">
              <w:trPr>
                <w:trHeight w:val="470"/>
              </w:trPr>
              <w:tc>
                <w:tcPr>
                  <w:tcW w:w="1184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vAlign w:val="center"/>
                </w:tcPr>
                <w:p w14:paraId="62B7BD62" w14:textId="77777777" w:rsidR="0079272F" w:rsidRPr="007B563F" w:rsidRDefault="0079272F" w:rsidP="009205A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7B563F">
                    <w:rPr>
                      <w:rFonts w:ascii="Calibri" w:hAnsi="Calibri" w:cs="Calibri"/>
                      <w:color w:val="000000"/>
                    </w:rPr>
                    <w:t>PIB - 1%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dashSmallGap" w:sz="6" w:space="0" w:color="auto"/>
                    <w:bottom w:val="single" w:sz="12" w:space="0" w:color="auto"/>
                    <w:right w:val="dashSmallGap" w:sz="6" w:space="0" w:color="auto"/>
                  </w:tcBorders>
                  <w:vAlign w:val="center"/>
                </w:tcPr>
                <w:p w14:paraId="3DE945C6" w14:textId="77777777" w:rsidR="0079272F" w:rsidRPr="007B563F" w:rsidRDefault="0079272F" w:rsidP="009205A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7B563F">
                    <w:rPr>
                      <w:rFonts w:ascii="Calibri" w:hAnsi="Calibri" w:cs="Calibri"/>
                      <w:color w:val="000000"/>
                    </w:rPr>
                    <w:t>2,3%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dashSmallGap" w:sz="6" w:space="0" w:color="auto"/>
                    <w:bottom w:val="single" w:sz="12" w:space="0" w:color="auto"/>
                    <w:right w:val="dashSmallGap" w:sz="6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926895B" w14:textId="747FFF32" w:rsidR="0079272F" w:rsidRPr="007B563F" w:rsidRDefault="002C428D" w:rsidP="009205A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1,6</w:t>
                  </w:r>
                  <w:r w:rsidR="0079272F" w:rsidRPr="007B563F">
                    <w:rPr>
                      <w:rFonts w:ascii="Calibri" w:hAnsi="Calibri" w:cs="Calibri"/>
                      <w:b/>
                      <w:bCs/>
                      <w:color w:val="000000"/>
                    </w:rPr>
                    <w:t>%</w:t>
                  </w:r>
                </w:p>
              </w:tc>
              <w:tc>
                <w:tcPr>
                  <w:tcW w:w="1187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vAlign w:val="center"/>
                </w:tcPr>
                <w:p w14:paraId="16704C64" w14:textId="77777777" w:rsidR="0079272F" w:rsidRPr="007B563F" w:rsidRDefault="0079272F" w:rsidP="009205A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7B563F">
                    <w:rPr>
                      <w:rFonts w:ascii="Calibri" w:hAnsi="Calibri" w:cs="Calibri"/>
                      <w:color w:val="000000"/>
                    </w:rPr>
                    <w:t>1,1%</w:t>
                  </w:r>
                </w:p>
              </w:tc>
            </w:tr>
            <w:tr w:rsidR="009E7F64" w:rsidRPr="001F3BB2" w14:paraId="4A34DFBA" w14:textId="77777777" w:rsidTr="009E7F64">
              <w:trPr>
                <w:trHeight w:val="276"/>
              </w:trPr>
              <w:tc>
                <w:tcPr>
                  <w:tcW w:w="47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0232D1" w14:textId="77777777" w:rsidR="009E7F64" w:rsidRPr="001F3BB2" w:rsidRDefault="009E7F64" w:rsidP="001214E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F3BB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Fonte:</w:t>
                  </w:r>
                  <w:r w:rsidRPr="001F3BB2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1F3BB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 estimativas STN</w:t>
                  </w:r>
                </w:p>
                <w:p w14:paraId="7C364CFF" w14:textId="3613A502" w:rsidR="009E7F64" w:rsidRPr="001F3BB2" w:rsidRDefault="009E7F64" w:rsidP="00A019A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F3BB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*</w:t>
                  </w:r>
                  <w:r w:rsidR="00A019AE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No nível de </w:t>
                  </w:r>
                  <w:r w:rsidR="002C428D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80</w:t>
                  </w:r>
                  <w:r w:rsidR="001214E6" w:rsidRPr="001214E6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%</w:t>
                  </w:r>
                  <w:r w:rsidRPr="001F3BB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 w:rsidR="00A019AE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do PIB </w:t>
                  </w:r>
                  <w:r w:rsidRPr="001F3BB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a partir de 2021.</w:t>
                  </w:r>
                </w:p>
              </w:tc>
            </w:tr>
          </w:tbl>
          <w:p w14:paraId="6977BD9B" w14:textId="77777777" w:rsidR="0079272F" w:rsidRPr="007B563F" w:rsidRDefault="0079272F" w:rsidP="009205AE">
            <w:pPr>
              <w:spacing w:line="360" w:lineRule="auto"/>
              <w:jc w:val="center"/>
            </w:pPr>
          </w:p>
        </w:tc>
        <w:tc>
          <w:tcPr>
            <w:tcW w:w="4860" w:type="dxa"/>
          </w:tcPr>
          <w:tbl>
            <w:tblPr>
              <w:tblW w:w="4608" w:type="dxa"/>
              <w:tblInd w:w="1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50"/>
              <w:gridCol w:w="1153"/>
              <w:gridCol w:w="1151"/>
              <w:gridCol w:w="1154"/>
            </w:tblGrid>
            <w:tr w:rsidR="0079272F" w:rsidRPr="007B563F" w14:paraId="0EAE9E92" w14:textId="77777777" w:rsidTr="009E7F64">
              <w:trPr>
                <w:trHeight w:val="287"/>
              </w:trPr>
              <w:tc>
                <w:tcPr>
                  <w:tcW w:w="460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B1D7C0" w14:textId="70F7AF2B" w:rsidR="0079272F" w:rsidRPr="007B563F" w:rsidRDefault="0079272F" w:rsidP="00A808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7B563F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Tabela 2- Primário que </w:t>
                  </w:r>
                  <w:r w:rsidR="006158C2">
                    <w:rPr>
                      <w:rFonts w:ascii="Calibri" w:hAnsi="Calibri" w:cs="Calibri"/>
                      <w:b/>
                      <w:bCs/>
                      <w:color w:val="000000"/>
                    </w:rPr>
                    <w:t>e</w:t>
                  </w:r>
                  <w:r w:rsidRPr="007B563F">
                    <w:rPr>
                      <w:rFonts w:ascii="Calibri" w:hAnsi="Calibri" w:cs="Calibri"/>
                      <w:b/>
                      <w:bCs/>
                      <w:color w:val="000000"/>
                    </w:rPr>
                    <w:t>stabiliza a DLSP/PIB</w:t>
                  </w:r>
                  <w:r w:rsidR="009E7F64" w:rsidRPr="007B563F">
                    <w:rPr>
                      <w:rFonts w:ascii="Calibri" w:hAnsi="Calibri" w:cs="Calibri"/>
                      <w:b/>
                      <w:bCs/>
                      <w:color w:val="000000"/>
                    </w:rPr>
                    <w:t>*</w:t>
                  </w:r>
                </w:p>
              </w:tc>
            </w:tr>
            <w:tr w:rsidR="009205AE" w:rsidRPr="007B563F" w14:paraId="2A679788" w14:textId="77777777" w:rsidTr="009E7F64">
              <w:trPr>
                <w:trHeight w:val="466"/>
              </w:trPr>
              <w:tc>
                <w:tcPr>
                  <w:tcW w:w="115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vAlign w:val="center"/>
                </w:tcPr>
                <w:p w14:paraId="5C05F4E5" w14:textId="77777777" w:rsidR="0079272F" w:rsidRPr="007B563F" w:rsidRDefault="0079272F" w:rsidP="009205A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153" w:type="dxa"/>
                  <w:tcBorders>
                    <w:top w:val="single" w:sz="12" w:space="0" w:color="auto"/>
                    <w:left w:val="dashSmallGap" w:sz="6" w:space="0" w:color="auto"/>
                    <w:bottom w:val="single" w:sz="12" w:space="0" w:color="auto"/>
                    <w:right w:val="dashSmallGap" w:sz="6" w:space="0" w:color="auto"/>
                  </w:tcBorders>
                  <w:vAlign w:val="center"/>
                </w:tcPr>
                <w:p w14:paraId="6B90D552" w14:textId="77777777" w:rsidR="0079272F" w:rsidRPr="007B563F" w:rsidRDefault="0079272F" w:rsidP="009205A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7B563F">
                    <w:rPr>
                      <w:rFonts w:ascii="Calibri" w:hAnsi="Calibri" w:cs="Calibri"/>
                      <w:color w:val="000000"/>
                    </w:rPr>
                    <w:t>Selic + 1%</w:t>
                  </w:r>
                </w:p>
              </w:tc>
              <w:tc>
                <w:tcPr>
                  <w:tcW w:w="1151" w:type="dxa"/>
                  <w:tcBorders>
                    <w:top w:val="single" w:sz="12" w:space="0" w:color="auto"/>
                    <w:left w:val="dashSmallGap" w:sz="6" w:space="0" w:color="auto"/>
                    <w:bottom w:val="single" w:sz="12" w:space="0" w:color="auto"/>
                    <w:right w:val="dashSmallGap" w:sz="6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E54ACB7" w14:textId="77777777" w:rsidR="0079272F" w:rsidRPr="007B563F" w:rsidRDefault="0079272F" w:rsidP="009205A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7B563F">
                    <w:rPr>
                      <w:rFonts w:ascii="Calibri" w:hAnsi="Calibri" w:cs="Calibri"/>
                      <w:b/>
                      <w:bCs/>
                      <w:color w:val="000000"/>
                    </w:rPr>
                    <w:t>Cenário Base</w:t>
                  </w:r>
                </w:p>
              </w:tc>
              <w:tc>
                <w:tcPr>
                  <w:tcW w:w="11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vAlign w:val="center"/>
                </w:tcPr>
                <w:p w14:paraId="0172C120" w14:textId="77777777" w:rsidR="0079272F" w:rsidRPr="007B563F" w:rsidRDefault="0079272F" w:rsidP="009205A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7B563F">
                    <w:rPr>
                      <w:rFonts w:ascii="Calibri" w:hAnsi="Calibri" w:cs="Calibri"/>
                      <w:color w:val="000000"/>
                    </w:rPr>
                    <w:t>Selic - 1%</w:t>
                  </w:r>
                </w:p>
              </w:tc>
            </w:tr>
            <w:tr w:rsidR="009205AE" w:rsidRPr="007B563F" w14:paraId="2C5781F7" w14:textId="77777777" w:rsidTr="009E7F64">
              <w:trPr>
                <w:trHeight w:val="466"/>
              </w:trPr>
              <w:tc>
                <w:tcPr>
                  <w:tcW w:w="1150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vAlign w:val="center"/>
                </w:tcPr>
                <w:p w14:paraId="632D0B01" w14:textId="77777777" w:rsidR="0079272F" w:rsidRPr="007B563F" w:rsidRDefault="0079272F" w:rsidP="009205A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7B563F">
                    <w:rPr>
                      <w:rFonts w:ascii="Calibri" w:hAnsi="Calibri" w:cs="Calibri"/>
                      <w:color w:val="000000"/>
                    </w:rPr>
                    <w:t>PIB + 1%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dashSmallGap" w:sz="6" w:space="0" w:color="auto"/>
                    <w:bottom w:val="single" w:sz="12" w:space="0" w:color="auto"/>
                    <w:right w:val="dashSmallGap" w:sz="6" w:space="0" w:color="auto"/>
                  </w:tcBorders>
                  <w:vAlign w:val="center"/>
                </w:tcPr>
                <w:p w14:paraId="520C1F75" w14:textId="77777777" w:rsidR="0079272F" w:rsidRPr="007B563F" w:rsidRDefault="0079272F" w:rsidP="009205A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7B563F">
                    <w:rPr>
                      <w:rFonts w:ascii="Calibri" w:hAnsi="Calibri" w:cs="Calibri"/>
                      <w:color w:val="000000"/>
                    </w:rPr>
                    <w:t>1,5%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dashSmallGap" w:sz="6" w:space="0" w:color="auto"/>
                    <w:bottom w:val="single" w:sz="12" w:space="0" w:color="auto"/>
                    <w:right w:val="dashSmallGap" w:sz="6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61FB7DA" w14:textId="77777777" w:rsidR="0079272F" w:rsidRPr="007B563F" w:rsidRDefault="0079272F" w:rsidP="009205A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7B563F">
                    <w:rPr>
                      <w:rFonts w:ascii="Calibri" w:hAnsi="Calibri" w:cs="Calibri"/>
                      <w:b/>
                      <w:bCs/>
                      <w:color w:val="000000"/>
                    </w:rPr>
                    <w:t>1,0%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vAlign w:val="center"/>
                </w:tcPr>
                <w:p w14:paraId="79DCF2B2" w14:textId="77777777" w:rsidR="0079272F" w:rsidRPr="007B563F" w:rsidRDefault="0079272F" w:rsidP="009205A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7B563F">
                    <w:rPr>
                      <w:rFonts w:ascii="Calibri" w:hAnsi="Calibri" w:cs="Calibri"/>
                      <w:color w:val="000000"/>
                    </w:rPr>
                    <w:t>0,4%</w:t>
                  </w:r>
                </w:p>
              </w:tc>
            </w:tr>
            <w:tr w:rsidR="009205AE" w:rsidRPr="007B563F" w14:paraId="3EAEBDA2" w14:textId="77777777" w:rsidTr="009E7F64">
              <w:trPr>
                <w:trHeight w:val="466"/>
              </w:trPr>
              <w:tc>
                <w:tcPr>
                  <w:tcW w:w="1150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34219867" w14:textId="77777777" w:rsidR="0079272F" w:rsidRPr="007B563F" w:rsidRDefault="0079272F" w:rsidP="009205A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7B563F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Cenário Base 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dashSmallGap" w:sz="6" w:space="0" w:color="auto"/>
                    <w:bottom w:val="single" w:sz="12" w:space="0" w:color="auto"/>
                    <w:right w:val="dashSmallGap" w:sz="6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07E07FB0" w14:textId="77777777" w:rsidR="0079272F" w:rsidRPr="007B563F" w:rsidRDefault="0079272F" w:rsidP="009205A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7B563F">
                    <w:rPr>
                      <w:rFonts w:ascii="Calibri" w:hAnsi="Calibri" w:cs="Calibri"/>
                      <w:b/>
                      <w:bCs/>
                      <w:color w:val="000000"/>
                    </w:rPr>
                    <w:t>2,2%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dashSmallGap" w:sz="6" w:space="0" w:color="auto"/>
                    <w:bottom w:val="single" w:sz="12" w:space="0" w:color="auto"/>
                    <w:right w:val="dashSmallGap" w:sz="6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4A8F355D" w14:textId="77777777" w:rsidR="0079272F" w:rsidRPr="007B563F" w:rsidRDefault="0079272F" w:rsidP="009205A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7B563F">
                    <w:rPr>
                      <w:rFonts w:ascii="Calibri" w:hAnsi="Calibri" w:cs="Calibri"/>
                      <w:b/>
                      <w:bCs/>
                      <w:color w:val="000000"/>
                    </w:rPr>
                    <w:t>1,6%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72FF13FD" w14:textId="77777777" w:rsidR="0079272F" w:rsidRPr="007B563F" w:rsidRDefault="0079272F" w:rsidP="009205A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7B563F">
                    <w:rPr>
                      <w:rFonts w:ascii="Calibri" w:hAnsi="Calibri" w:cs="Calibri"/>
                      <w:b/>
                      <w:bCs/>
                      <w:color w:val="000000"/>
                    </w:rPr>
                    <w:t>1,0%</w:t>
                  </w:r>
                </w:p>
              </w:tc>
            </w:tr>
            <w:tr w:rsidR="009205AE" w:rsidRPr="007B563F" w14:paraId="443FBC8C" w14:textId="77777777" w:rsidTr="009E7F64">
              <w:trPr>
                <w:trHeight w:val="466"/>
              </w:trPr>
              <w:tc>
                <w:tcPr>
                  <w:tcW w:w="1150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vAlign w:val="center"/>
                </w:tcPr>
                <w:p w14:paraId="50ADB8E8" w14:textId="77777777" w:rsidR="0079272F" w:rsidRPr="007B563F" w:rsidRDefault="0079272F" w:rsidP="009205A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7B563F">
                    <w:rPr>
                      <w:rFonts w:ascii="Calibri" w:hAnsi="Calibri" w:cs="Calibri"/>
                      <w:color w:val="000000"/>
                    </w:rPr>
                    <w:t>PIB - 1%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dashSmallGap" w:sz="6" w:space="0" w:color="auto"/>
                    <w:bottom w:val="single" w:sz="12" w:space="0" w:color="auto"/>
                    <w:right w:val="dashSmallGap" w:sz="6" w:space="0" w:color="auto"/>
                  </w:tcBorders>
                  <w:vAlign w:val="center"/>
                </w:tcPr>
                <w:p w14:paraId="339B79F1" w14:textId="77777777" w:rsidR="0079272F" w:rsidRPr="007B563F" w:rsidRDefault="0079272F" w:rsidP="009205A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7B563F">
                    <w:rPr>
                      <w:rFonts w:ascii="Calibri" w:hAnsi="Calibri" w:cs="Calibri"/>
                      <w:color w:val="000000"/>
                    </w:rPr>
                    <w:t>2,8%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dashSmallGap" w:sz="6" w:space="0" w:color="auto"/>
                    <w:bottom w:val="single" w:sz="12" w:space="0" w:color="auto"/>
                    <w:right w:val="dashSmallGap" w:sz="6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EA1EE56" w14:textId="77777777" w:rsidR="0079272F" w:rsidRPr="007B563F" w:rsidRDefault="0079272F" w:rsidP="009205A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7B563F">
                    <w:rPr>
                      <w:rFonts w:ascii="Calibri" w:hAnsi="Calibri" w:cs="Calibri"/>
                      <w:b/>
                      <w:bCs/>
                      <w:color w:val="000000"/>
                    </w:rPr>
                    <w:t>2,2%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vAlign w:val="center"/>
                </w:tcPr>
                <w:p w14:paraId="554146A3" w14:textId="77777777" w:rsidR="0079272F" w:rsidRPr="007B563F" w:rsidRDefault="0079272F" w:rsidP="009205A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7B563F">
                    <w:rPr>
                      <w:rFonts w:ascii="Calibri" w:hAnsi="Calibri" w:cs="Calibri"/>
                      <w:color w:val="000000"/>
                    </w:rPr>
                    <w:t>1,7%</w:t>
                  </w:r>
                </w:p>
              </w:tc>
            </w:tr>
            <w:tr w:rsidR="009E7F64" w:rsidRPr="007B563F" w14:paraId="09C3E208" w14:textId="77777777" w:rsidTr="009E7F64">
              <w:trPr>
                <w:trHeight w:val="273"/>
              </w:trPr>
              <w:tc>
                <w:tcPr>
                  <w:tcW w:w="460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6E2FFF" w14:textId="77777777" w:rsidR="009E7F64" w:rsidRPr="001F3BB2" w:rsidRDefault="009E7F64" w:rsidP="009E7F6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F3BB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Fonte:</w:t>
                  </w:r>
                  <w:r w:rsidRPr="001F3BB2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1F3BB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 estimativas STN</w:t>
                  </w:r>
                </w:p>
                <w:p w14:paraId="1D380927" w14:textId="3647B635" w:rsidR="009E7F64" w:rsidRPr="001F3BB2" w:rsidRDefault="009E7F64" w:rsidP="00A019A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F3BB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*</w:t>
                  </w:r>
                  <w:r w:rsidR="00A019AE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No nível de </w:t>
                  </w:r>
                  <w:r w:rsidR="002C428D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60</w:t>
                  </w:r>
                  <w:r w:rsidR="001214E6" w:rsidRPr="001214E6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%</w:t>
                  </w:r>
                  <w:r w:rsidR="00A019AE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 do PIB</w:t>
                  </w:r>
                  <w:r w:rsidRPr="001F3BB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 a partir de 2021.</w:t>
                  </w:r>
                </w:p>
              </w:tc>
            </w:tr>
          </w:tbl>
          <w:p w14:paraId="3AC2FD9C" w14:textId="77777777" w:rsidR="0079272F" w:rsidRPr="007B563F" w:rsidRDefault="0079272F" w:rsidP="009205AE">
            <w:pPr>
              <w:spacing w:line="360" w:lineRule="auto"/>
              <w:jc w:val="center"/>
            </w:pPr>
          </w:p>
        </w:tc>
      </w:tr>
    </w:tbl>
    <w:p w14:paraId="3328E5DE" w14:textId="304BD59D" w:rsidR="00922547" w:rsidRDefault="000058CA" w:rsidP="00A80811">
      <w:pPr>
        <w:spacing w:before="120" w:after="0" w:line="360" w:lineRule="auto"/>
        <w:jc w:val="both"/>
      </w:pPr>
      <w:r w:rsidRPr="00A80811">
        <w:rPr>
          <w:b/>
        </w:rPr>
        <w:lastRenderedPageBreak/>
        <w:t>Após a estabilização da dívida, o</w:t>
      </w:r>
      <w:r w:rsidR="00922547" w:rsidRPr="00A80811">
        <w:rPr>
          <w:b/>
        </w:rPr>
        <w:t xml:space="preserve"> desafio continua.</w:t>
      </w:r>
      <w:r w:rsidR="00922547" w:rsidRPr="00A80811">
        <w:t xml:space="preserve"> </w:t>
      </w:r>
      <w:r w:rsidR="00922547" w:rsidRPr="007B563F">
        <w:t>A</w:t>
      </w:r>
      <w:r w:rsidR="0011454D" w:rsidRPr="007B563F">
        <w:t xml:space="preserve"> </w:t>
      </w:r>
      <w:r w:rsidR="00922547" w:rsidRPr="007B563F">
        <w:t xml:space="preserve">análise comparativa </w:t>
      </w:r>
      <w:r w:rsidR="0011454D" w:rsidRPr="007B563F">
        <w:t xml:space="preserve">entre </w:t>
      </w:r>
      <w:r w:rsidR="00922547" w:rsidRPr="007B563F">
        <w:t>a</w:t>
      </w:r>
      <w:r w:rsidR="009E7F64" w:rsidRPr="007B563F">
        <w:t xml:space="preserve"> trajetória</w:t>
      </w:r>
      <w:r w:rsidR="0011454D" w:rsidRPr="007B563F">
        <w:t xml:space="preserve"> de dívida </w:t>
      </w:r>
      <w:r w:rsidR="009E7F64" w:rsidRPr="007B563F">
        <w:t>de</w:t>
      </w:r>
      <w:r w:rsidR="0011454D" w:rsidRPr="007B563F">
        <w:t xml:space="preserve"> países emergentes com renda </w:t>
      </w:r>
      <w:r w:rsidR="00C813D0" w:rsidRPr="007B563F">
        <w:t>intermediária</w:t>
      </w:r>
      <w:r w:rsidR="009E7F64" w:rsidRPr="007B563F">
        <w:t xml:space="preserve"> </w:t>
      </w:r>
      <w:r w:rsidR="0011454D" w:rsidRPr="007B563F">
        <w:t>re</w:t>
      </w:r>
      <w:r w:rsidR="00DE376E" w:rsidRPr="007B563F">
        <w:t xml:space="preserve">vela </w:t>
      </w:r>
      <w:r w:rsidR="00922547" w:rsidRPr="007B563F">
        <w:t xml:space="preserve">que </w:t>
      </w:r>
      <w:r w:rsidR="009E7F64" w:rsidRPr="007B563F">
        <w:t xml:space="preserve">o indicador </w:t>
      </w:r>
      <w:r w:rsidR="00922547" w:rsidRPr="007B563F">
        <w:t>brasileir</w:t>
      </w:r>
      <w:r w:rsidR="009E7F64" w:rsidRPr="007B563F">
        <w:t>o</w:t>
      </w:r>
      <w:r w:rsidR="00AF3DF4">
        <w:t xml:space="preserve"> </w:t>
      </w:r>
      <w:r w:rsidR="00922547" w:rsidRPr="007B563F">
        <w:t xml:space="preserve">deve estabilizar acima da média </w:t>
      </w:r>
      <w:r w:rsidR="00824EAD" w:rsidRPr="007B563F">
        <w:t xml:space="preserve">de importantes </w:t>
      </w:r>
      <w:r w:rsidR="00922547" w:rsidRPr="007B563F">
        <w:t>pa</w:t>
      </w:r>
      <w:r w:rsidR="00DE376E" w:rsidRPr="007B563F">
        <w:t>re</w:t>
      </w:r>
      <w:r w:rsidR="00922547" w:rsidRPr="007B563F">
        <w:t xml:space="preserve">s </w:t>
      </w:r>
      <w:r w:rsidR="00DE376E" w:rsidRPr="007B563F">
        <w:t>internacionais</w:t>
      </w:r>
      <w:r w:rsidR="009A279D">
        <w:t>.</w:t>
      </w:r>
      <w:r w:rsidR="00922547" w:rsidRPr="007B563F">
        <w:t xml:space="preserve"> </w:t>
      </w:r>
      <w:r w:rsidR="00824EAD" w:rsidRPr="007B563F">
        <w:t>A dívida bruta média dos países da América Latina encerrou o ano de 2016 em 58,3% do PIB, ao passo que o indicador do</w:t>
      </w:r>
      <w:r w:rsidR="006249EA" w:rsidRPr="007B563F">
        <w:t xml:space="preserve">s emergentes pertencentes ao </w:t>
      </w:r>
      <w:r w:rsidR="00824EAD" w:rsidRPr="007B563F">
        <w:t>G20 (Grupo dos 20</w:t>
      </w:r>
      <w:r w:rsidR="006249EA" w:rsidRPr="007B563F">
        <w:t xml:space="preserve">) alcançou 47,9% do PIB. </w:t>
      </w:r>
    </w:p>
    <w:p w14:paraId="43073603" w14:textId="510944EF" w:rsidR="00922547" w:rsidRPr="007B563F" w:rsidRDefault="00922547" w:rsidP="00972BD2">
      <w:pPr>
        <w:spacing w:before="240" w:after="0" w:line="360" w:lineRule="auto"/>
        <w:jc w:val="both"/>
        <w:rPr>
          <w:b/>
          <w:noProof/>
        </w:rPr>
      </w:pPr>
      <w:r w:rsidRPr="00A80811">
        <w:rPr>
          <w:b/>
        </w:rPr>
        <w:t xml:space="preserve">Gráfico 8 – </w:t>
      </w:r>
      <w:r w:rsidR="00026C6A" w:rsidRPr="00A80811">
        <w:rPr>
          <w:b/>
        </w:rPr>
        <w:t>Trajetórias</w:t>
      </w:r>
      <w:r w:rsidRPr="00A80811">
        <w:rPr>
          <w:b/>
        </w:rPr>
        <w:t xml:space="preserve"> </w:t>
      </w:r>
      <w:r w:rsidR="00026C6A" w:rsidRPr="00A80811">
        <w:rPr>
          <w:b/>
        </w:rPr>
        <w:t>médias</w:t>
      </w:r>
      <w:r w:rsidRPr="00A80811">
        <w:rPr>
          <w:b/>
        </w:rPr>
        <w:t xml:space="preserve"> de DBGG por grupos de países</w:t>
      </w:r>
      <w:r w:rsidRPr="007B563F">
        <w:rPr>
          <w:b/>
          <w:noProof/>
        </w:rPr>
        <w:t xml:space="preserve"> emergentes e de renda média</w:t>
      </w:r>
    </w:p>
    <w:p w14:paraId="06AFEC0E" w14:textId="6988FB29" w:rsidR="007B3B8A" w:rsidRPr="007B563F" w:rsidRDefault="009A279D" w:rsidP="005A6C80">
      <w:pPr>
        <w:spacing w:after="0" w:line="360" w:lineRule="auto"/>
        <w:jc w:val="center"/>
        <w:rPr>
          <w:noProof/>
        </w:rPr>
      </w:pPr>
      <w:r>
        <w:rPr>
          <w:noProof/>
          <w:lang w:eastAsia="pt-BR"/>
        </w:rPr>
        <w:drawing>
          <wp:inline distT="0" distB="0" distL="0" distR="0" wp14:anchorId="3006F07F" wp14:editId="707E40B5">
            <wp:extent cx="5050630" cy="2943225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883" cy="30307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9CD770" w14:textId="067F8CE3" w:rsidR="0037118B" w:rsidRDefault="00922547" w:rsidP="0037118B">
      <w:pPr>
        <w:spacing w:after="0" w:line="360" w:lineRule="auto"/>
        <w:ind w:left="708" w:firstLine="708"/>
        <w:rPr>
          <w:noProof/>
          <w:sz w:val="18"/>
          <w:szCs w:val="18"/>
        </w:rPr>
      </w:pPr>
      <w:r w:rsidRPr="000D3B1D">
        <w:rPr>
          <w:noProof/>
          <w:sz w:val="18"/>
          <w:szCs w:val="18"/>
        </w:rPr>
        <w:t>Fonte: FMI</w:t>
      </w:r>
      <w:r w:rsidR="009A279D">
        <w:rPr>
          <w:noProof/>
          <w:sz w:val="18"/>
          <w:szCs w:val="18"/>
        </w:rPr>
        <w:t>; BCB e STN para os dados do Brasil.</w:t>
      </w:r>
    </w:p>
    <w:p w14:paraId="6D88385C" w14:textId="1DE71B8F" w:rsidR="00510EBA" w:rsidRPr="00FF3A62" w:rsidRDefault="00510EBA" w:rsidP="000C03F6">
      <w:pPr>
        <w:spacing w:after="0" w:line="240" w:lineRule="auto"/>
        <w:ind w:left="709" w:right="425"/>
        <w:jc w:val="both"/>
        <w:rPr>
          <w:i/>
          <w:noProof/>
          <w:color w:val="000000" w:themeColor="text1"/>
          <w:sz w:val="18"/>
          <w:szCs w:val="18"/>
        </w:rPr>
      </w:pPr>
      <w:r w:rsidRPr="00FF3A62">
        <w:rPr>
          <w:i/>
          <w:noProof/>
          <w:color w:val="000000" w:themeColor="text1"/>
          <w:sz w:val="18"/>
          <w:szCs w:val="18"/>
        </w:rPr>
        <w:t>Nota:</w:t>
      </w:r>
    </w:p>
    <w:p w14:paraId="6DC6EB2B" w14:textId="707FF5E5" w:rsidR="00510EBA" w:rsidRPr="00FF3A62" w:rsidRDefault="004769D6" w:rsidP="000C03F6">
      <w:pPr>
        <w:spacing w:after="0" w:line="240" w:lineRule="auto"/>
        <w:ind w:left="709" w:right="425"/>
        <w:jc w:val="both"/>
        <w:rPr>
          <w:i/>
          <w:noProof/>
          <w:color w:val="000000" w:themeColor="text1"/>
          <w:sz w:val="18"/>
          <w:szCs w:val="18"/>
        </w:rPr>
      </w:pPr>
      <w:r w:rsidRPr="00FF3A62">
        <w:rPr>
          <w:i/>
          <w:noProof/>
          <w:color w:val="000000" w:themeColor="text1"/>
          <w:sz w:val="18"/>
          <w:szCs w:val="18"/>
        </w:rPr>
        <w:t>No gráfico acima, a</w:t>
      </w:r>
      <w:r w:rsidR="00014CBC" w:rsidRPr="00FF3A62">
        <w:rPr>
          <w:i/>
          <w:noProof/>
          <w:color w:val="000000" w:themeColor="text1"/>
          <w:sz w:val="18"/>
          <w:szCs w:val="18"/>
        </w:rPr>
        <w:t xml:space="preserve"> DBGG para o Brasil segue a estatística oficial apurada pelo Banco Central do Brasil (BCB) para esse indicador. A metodologia aplicada, nesse caso, não inclui o estoque de títulos públicos de responsabilidade do governo federal mantido em carteira pelo BCB, mas adiciona à DBGG o estoque de operações compromissadas de responsabilidade do BCB</w:t>
      </w:r>
      <w:r w:rsidR="00510EBA" w:rsidRPr="00FF3A62">
        <w:rPr>
          <w:i/>
          <w:noProof/>
          <w:color w:val="000000" w:themeColor="text1"/>
          <w:sz w:val="18"/>
          <w:szCs w:val="18"/>
        </w:rPr>
        <w:t xml:space="preserve"> (todas lastreadas em títulos públicos)</w:t>
      </w:r>
      <w:r w:rsidR="00014CBC" w:rsidRPr="00FF3A62">
        <w:rPr>
          <w:i/>
          <w:noProof/>
          <w:color w:val="000000" w:themeColor="text1"/>
          <w:sz w:val="18"/>
          <w:szCs w:val="18"/>
        </w:rPr>
        <w:t xml:space="preserve">. </w:t>
      </w:r>
      <w:r w:rsidRPr="00FF3A62">
        <w:rPr>
          <w:i/>
          <w:noProof/>
          <w:color w:val="000000" w:themeColor="text1"/>
          <w:sz w:val="18"/>
          <w:szCs w:val="18"/>
        </w:rPr>
        <w:t>Toda a análise deste trabalho segue a metodologia do BCB.</w:t>
      </w:r>
    </w:p>
    <w:p w14:paraId="02D6967B" w14:textId="77777777" w:rsidR="000C03F6" w:rsidRPr="00FF3A62" w:rsidRDefault="00014CBC" w:rsidP="000C03F6">
      <w:pPr>
        <w:spacing w:after="0" w:line="240" w:lineRule="auto"/>
        <w:ind w:left="709" w:right="425"/>
        <w:jc w:val="both"/>
        <w:rPr>
          <w:i/>
          <w:noProof/>
          <w:color w:val="000000" w:themeColor="text1"/>
          <w:sz w:val="18"/>
          <w:szCs w:val="18"/>
        </w:rPr>
      </w:pPr>
      <w:r w:rsidRPr="00FF3A62">
        <w:rPr>
          <w:i/>
          <w:noProof/>
          <w:color w:val="000000" w:themeColor="text1"/>
          <w:sz w:val="18"/>
          <w:szCs w:val="18"/>
        </w:rPr>
        <w:t>Outra referência para o cálculo para DBGG é a metodologia aplicada pelo Fundo Monetário Internacional (FMI), que inclui os títulos públicos da carteira do BCB no cômputo da DBGG e não conside</w:t>
      </w:r>
      <w:r w:rsidR="00510EBA" w:rsidRPr="00FF3A62">
        <w:rPr>
          <w:i/>
          <w:noProof/>
          <w:color w:val="000000" w:themeColor="text1"/>
          <w:sz w:val="18"/>
          <w:szCs w:val="18"/>
        </w:rPr>
        <w:t>ra as operações compromissadas. A estatística apurada pela metodologia do FMI é maior do que aquela apurada pelo BCB, sendo a diferença equivalente à carteira livre do BCB, isto é, ao estoque de títulos públicos detidos pelo BCB que não se encontram como lastro nas operações compromissadas</w:t>
      </w:r>
      <w:r w:rsidR="005A5A0C" w:rsidRPr="00FF3A62">
        <w:rPr>
          <w:i/>
          <w:noProof/>
          <w:color w:val="000000" w:themeColor="text1"/>
          <w:sz w:val="18"/>
          <w:szCs w:val="18"/>
        </w:rPr>
        <w:t xml:space="preserve">. </w:t>
      </w:r>
    </w:p>
    <w:p w14:paraId="01CC053E" w14:textId="6ACF495C" w:rsidR="00014CBC" w:rsidRPr="00FF3A62" w:rsidRDefault="005A5A0C" w:rsidP="000C03F6">
      <w:pPr>
        <w:spacing w:after="0" w:line="240" w:lineRule="auto"/>
        <w:ind w:left="709" w:right="425"/>
        <w:jc w:val="both"/>
        <w:rPr>
          <w:i/>
          <w:noProof/>
          <w:color w:val="000000" w:themeColor="text1"/>
          <w:sz w:val="18"/>
          <w:szCs w:val="18"/>
        </w:rPr>
      </w:pPr>
      <w:r w:rsidRPr="00FF3A62">
        <w:rPr>
          <w:i/>
          <w:noProof/>
          <w:color w:val="000000" w:themeColor="text1"/>
          <w:sz w:val="18"/>
          <w:szCs w:val="18"/>
        </w:rPr>
        <w:t>A título de ilustração,</w:t>
      </w:r>
      <w:r w:rsidR="004769D6" w:rsidRPr="00FF3A62">
        <w:rPr>
          <w:i/>
          <w:noProof/>
          <w:color w:val="000000" w:themeColor="text1"/>
          <w:sz w:val="18"/>
          <w:szCs w:val="18"/>
        </w:rPr>
        <w:t xml:space="preserve"> em </w:t>
      </w:r>
      <w:r w:rsidR="0040308F" w:rsidRPr="00FF3A62">
        <w:rPr>
          <w:i/>
          <w:noProof/>
          <w:color w:val="000000" w:themeColor="text1"/>
          <w:sz w:val="18"/>
          <w:szCs w:val="18"/>
        </w:rPr>
        <w:t>setembro</w:t>
      </w:r>
      <w:r w:rsidR="004769D6" w:rsidRPr="00FF3A62">
        <w:rPr>
          <w:i/>
          <w:noProof/>
          <w:color w:val="000000" w:themeColor="text1"/>
          <w:sz w:val="18"/>
          <w:szCs w:val="18"/>
        </w:rPr>
        <w:t xml:space="preserve"> de 2017 </w:t>
      </w:r>
      <w:r w:rsidRPr="00FF3A62">
        <w:rPr>
          <w:i/>
          <w:noProof/>
          <w:color w:val="000000" w:themeColor="text1"/>
          <w:sz w:val="18"/>
          <w:szCs w:val="18"/>
        </w:rPr>
        <w:t xml:space="preserve">a </w:t>
      </w:r>
      <w:r w:rsidR="004769D6" w:rsidRPr="00FF3A62">
        <w:rPr>
          <w:i/>
          <w:noProof/>
          <w:color w:val="000000" w:themeColor="text1"/>
          <w:sz w:val="18"/>
          <w:szCs w:val="18"/>
        </w:rPr>
        <w:t xml:space="preserve">DBGG era de </w:t>
      </w:r>
      <w:r w:rsidR="0040308F" w:rsidRPr="00FF3A62">
        <w:rPr>
          <w:i/>
          <w:noProof/>
          <w:color w:val="000000" w:themeColor="text1"/>
          <w:sz w:val="18"/>
          <w:szCs w:val="18"/>
        </w:rPr>
        <w:t>73,9</w:t>
      </w:r>
      <w:r w:rsidR="004769D6" w:rsidRPr="00FF3A62">
        <w:rPr>
          <w:i/>
          <w:noProof/>
          <w:color w:val="000000" w:themeColor="text1"/>
          <w:sz w:val="18"/>
          <w:szCs w:val="18"/>
        </w:rPr>
        <w:t>% do PIB</w:t>
      </w:r>
      <w:r w:rsidRPr="00FF3A62">
        <w:rPr>
          <w:i/>
          <w:noProof/>
          <w:color w:val="000000" w:themeColor="text1"/>
          <w:sz w:val="18"/>
          <w:szCs w:val="18"/>
        </w:rPr>
        <w:t>, pela estatística do BCB, e</w:t>
      </w:r>
      <w:r w:rsidR="004769D6" w:rsidRPr="00FF3A62">
        <w:rPr>
          <w:i/>
          <w:noProof/>
          <w:color w:val="000000" w:themeColor="text1"/>
          <w:sz w:val="18"/>
          <w:szCs w:val="18"/>
        </w:rPr>
        <w:t xml:space="preserve"> </w:t>
      </w:r>
      <w:r w:rsidRPr="00FF3A62">
        <w:rPr>
          <w:i/>
          <w:noProof/>
          <w:color w:val="000000" w:themeColor="text1"/>
          <w:sz w:val="18"/>
          <w:szCs w:val="18"/>
        </w:rPr>
        <w:t>d</w:t>
      </w:r>
      <w:r w:rsidR="0040308F" w:rsidRPr="00FF3A62">
        <w:rPr>
          <w:i/>
          <w:noProof/>
          <w:color w:val="000000" w:themeColor="text1"/>
          <w:sz w:val="18"/>
          <w:szCs w:val="18"/>
        </w:rPr>
        <w:t>e 81,6</w:t>
      </w:r>
      <w:r w:rsidR="004769D6" w:rsidRPr="00FF3A62">
        <w:rPr>
          <w:i/>
          <w:noProof/>
          <w:color w:val="000000" w:themeColor="text1"/>
          <w:sz w:val="18"/>
          <w:szCs w:val="18"/>
        </w:rPr>
        <w:t xml:space="preserve">% do PIB, </w:t>
      </w:r>
      <w:r w:rsidRPr="00FF3A62">
        <w:rPr>
          <w:i/>
          <w:noProof/>
          <w:color w:val="000000" w:themeColor="text1"/>
          <w:sz w:val="18"/>
          <w:szCs w:val="18"/>
        </w:rPr>
        <w:t xml:space="preserve">pelo critério </w:t>
      </w:r>
      <w:r w:rsidR="004769D6" w:rsidRPr="00FF3A62">
        <w:rPr>
          <w:i/>
          <w:noProof/>
          <w:color w:val="000000" w:themeColor="text1"/>
          <w:sz w:val="18"/>
          <w:szCs w:val="18"/>
        </w:rPr>
        <w:t>do FMI</w:t>
      </w:r>
      <w:r w:rsidRPr="00FF3A62">
        <w:rPr>
          <w:i/>
          <w:noProof/>
          <w:color w:val="000000" w:themeColor="text1"/>
          <w:sz w:val="18"/>
          <w:szCs w:val="18"/>
        </w:rPr>
        <w:t>, sendo a carteir</w:t>
      </w:r>
      <w:r w:rsidR="0040308F" w:rsidRPr="00FF3A62">
        <w:rPr>
          <w:i/>
          <w:noProof/>
          <w:color w:val="000000" w:themeColor="text1"/>
          <w:sz w:val="18"/>
          <w:szCs w:val="18"/>
        </w:rPr>
        <w:t>a livre do BCB equivalente a 7,7</w:t>
      </w:r>
      <w:r w:rsidRPr="00FF3A62">
        <w:rPr>
          <w:i/>
          <w:noProof/>
          <w:color w:val="000000" w:themeColor="text1"/>
          <w:sz w:val="18"/>
          <w:szCs w:val="18"/>
        </w:rPr>
        <w:t>% do PIB</w:t>
      </w:r>
      <w:r w:rsidR="004769D6" w:rsidRPr="00FF3A62">
        <w:rPr>
          <w:i/>
          <w:noProof/>
          <w:color w:val="000000" w:themeColor="text1"/>
          <w:sz w:val="18"/>
          <w:szCs w:val="18"/>
        </w:rPr>
        <w:t>.</w:t>
      </w:r>
    </w:p>
    <w:p w14:paraId="1DAF5AA1" w14:textId="734470C0" w:rsidR="00B07ECF" w:rsidRPr="007B563F" w:rsidRDefault="00D9298D" w:rsidP="008A2BD9">
      <w:pPr>
        <w:spacing w:before="240" w:line="360" w:lineRule="auto"/>
        <w:jc w:val="both"/>
        <w:rPr>
          <w:b/>
          <w:color w:val="FF0000"/>
        </w:rPr>
      </w:pPr>
      <w:r w:rsidRPr="007B563F">
        <w:rPr>
          <w:b/>
        </w:rPr>
        <w:t xml:space="preserve">Para que </w:t>
      </w:r>
      <w:r w:rsidR="008A2BD9" w:rsidRPr="007B563F">
        <w:rPr>
          <w:b/>
        </w:rPr>
        <w:t>a DBGG/PIB brasileira</w:t>
      </w:r>
      <w:r w:rsidRPr="007B563F">
        <w:rPr>
          <w:b/>
        </w:rPr>
        <w:t xml:space="preserve"> convirja</w:t>
      </w:r>
      <w:r w:rsidR="00CE5E9F" w:rsidRPr="007B563F">
        <w:rPr>
          <w:b/>
        </w:rPr>
        <w:t xml:space="preserve"> para níveis compatíveis com pares internacionais, </w:t>
      </w:r>
      <w:r w:rsidRPr="007B563F">
        <w:rPr>
          <w:b/>
        </w:rPr>
        <w:t>resultados primários</w:t>
      </w:r>
      <w:r w:rsidR="000571FE">
        <w:rPr>
          <w:b/>
        </w:rPr>
        <w:t xml:space="preserve"> em níveis semelhantes aos </w:t>
      </w:r>
      <w:r w:rsidR="009C1D74">
        <w:rPr>
          <w:b/>
        </w:rPr>
        <w:t>do início d</w:t>
      </w:r>
      <w:r w:rsidR="000571FE">
        <w:rPr>
          <w:b/>
        </w:rPr>
        <w:t>a década de 2000 devem ser alcançados</w:t>
      </w:r>
      <w:r w:rsidR="00CE5E9F" w:rsidRPr="007B563F">
        <w:rPr>
          <w:b/>
        </w:rPr>
        <w:t>.</w:t>
      </w:r>
      <w:r w:rsidR="00CE5E9F" w:rsidRPr="007B563F">
        <w:t xml:space="preserve"> Com efeito, </w:t>
      </w:r>
      <w:r w:rsidRPr="007B563F">
        <w:t xml:space="preserve">considerando que as metas fiscais até o ano de 2020 estão estabelecidas, caso o governo queira ajustar o resultado primário para </w:t>
      </w:r>
      <w:r w:rsidR="00CE5E9F" w:rsidRPr="007B563F">
        <w:t>alcan</w:t>
      </w:r>
      <w:r w:rsidR="008A2BD9" w:rsidRPr="007B563F">
        <w:t>çar o</w:t>
      </w:r>
      <w:r w:rsidR="00CE5E9F" w:rsidRPr="007B563F">
        <w:t xml:space="preserve"> patamar</w:t>
      </w:r>
      <w:r w:rsidR="002678ED">
        <w:t xml:space="preserve"> esperado</w:t>
      </w:r>
      <w:r w:rsidRPr="007B563F">
        <w:t xml:space="preserve"> de DBGG/PIB</w:t>
      </w:r>
      <w:r w:rsidR="00CE5E9F" w:rsidRPr="007B563F">
        <w:t xml:space="preserve"> dos países emergentes</w:t>
      </w:r>
      <w:r w:rsidRPr="007B563F">
        <w:t xml:space="preserve"> do G20</w:t>
      </w:r>
      <w:r w:rsidR="006E63A6" w:rsidRPr="007B563F">
        <w:t xml:space="preserve"> </w:t>
      </w:r>
      <w:r w:rsidR="005A0C26" w:rsidRPr="007B563F">
        <w:t>(</w:t>
      </w:r>
      <w:r w:rsidR="005A6EB8">
        <w:t>em torno de 55</w:t>
      </w:r>
      <w:r w:rsidR="005A0C26" w:rsidRPr="007B563F">
        <w:t>% do PIB)</w:t>
      </w:r>
      <w:r w:rsidR="00C529E9">
        <w:t xml:space="preserve"> </w:t>
      </w:r>
      <w:r w:rsidR="00C529E9" w:rsidRPr="007B563F">
        <w:t>até 2030</w:t>
      </w:r>
      <w:r w:rsidR="00CE5E9F" w:rsidRPr="007B563F">
        <w:t xml:space="preserve">, o </w:t>
      </w:r>
      <w:r w:rsidRPr="007B563F">
        <w:t xml:space="preserve">resultado </w:t>
      </w:r>
      <w:r w:rsidR="00CE5E9F" w:rsidRPr="007B563F">
        <w:t xml:space="preserve">primário </w:t>
      </w:r>
      <w:r w:rsidRPr="007B563F">
        <w:t xml:space="preserve">requerido </w:t>
      </w:r>
      <w:r w:rsidR="008A2BD9" w:rsidRPr="007B563F">
        <w:t xml:space="preserve">seria de </w:t>
      </w:r>
      <w:r w:rsidR="005A6EB8">
        <w:t>3,2</w:t>
      </w:r>
      <w:r w:rsidR="008A2BD9" w:rsidRPr="000D3B1D">
        <w:t>% do PIB</w:t>
      </w:r>
      <w:r w:rsidR="006E63A6" w:rsidRPr="000D3B1D">
        <w:t xml:space="preserve"> a partir de 2021</w:t>
      </w:r>
      <w:r w:rsidR="008A2BD9" w:rsidRPr="000D3B1D">
        <w:t xml:space="preserve">. Caso o objetivo seja reduzir a distância pela metade, ou seja, trazer a </w:t>
      </w:r>
      <w:r w:rsidRPr="000D3B1D">
        <w:t>DBGG/PIB bras</w:t>
      </w:r>
      <w:r w:rsidR="008A2BD9" w:rsidRPr="000D3B1D">
        <w:t>ileira para 6</w:t>
      </w:r>
      <w:r w:rsidR="005A6EB8">
        <w:t>7</w:t>
      </w:r>
      <w:r w:rsidR="008A2BD9" w:rsidRPr="000D3B1D">
        <w:t>,</w:t>
      </w:r>
      <w:r w:rsidR="005A6EB8">
        <w:t>5</w:t>
      </w:r>
      <w:r w:rsidR="008A2BD9" w:rsidRPr="000D3B1D">
        <w:t>% do PIB</w:t>
      </w:r>
      <w:r w:rsidR="006E63A6" w:rsidRPr="000D3B1D">
        <w:t xml:space="preserve"> no mesmo horizonte de tempo</w:t>
      </w:r>
      <w:r w:rsidR="008A2BD9" w:rsidRPr="000D3B1D">
        <w:t>, o resultado primário requerido deve</w:t>
      </w:r>
      <w:r w:rsidR="008C2678" w:rsidRPr="000D3B1D">
        <w:t>ria</w:t>
      </w:r>
      <w:r w:rsidR="008A2BD9" w:rsidRPr="000D3B1D">
        <w:t xml:space="preserve"> ser de </w:t>
      </w:r>
      <w:r w:rsidR="00C529E9">
        <w:t>2,0</w:t>
      </w:r>
      <w:r w:rsidR="008A2BD9" w:rsidRPr="000D3B1D">
        <w:t>%</w:t>
      </w:r>
      <w:r w:rsidR="008A2BD9" w:rsidRPr="007B563F">
        <w:t xml:space="preserve"> do PIB.</w:t>
      </w:r>
    </w:p>
    <w:p w14:paraId="5A17EC1A" w14:textId="22EE4B86" w:rsidR="007B3B8A" w:rsidRDefault="00E47DF0" w:rsidP="0001455E">
      <w:pPr>
        <w:spacing w:before="240" w:line="360" w:lineRule="auto"/>
        <w:jc w:val="both"/>
      </w:pPr>
      <w:r w:rsidRPr="007B563F">
        <w:rPr>
          <w:b/>
        </w:rPr>
        <w:lastRenderedPageBreak/>
        <w:t>Em suma,</w:t>
      </w:r>
      <w:r w:rsidR="00280733" w:rsidRPr="007B563F">
        <w:rPr>
          <w:b/>
        </w:rPr>
        <w:t xml:space="preserve"> e</w:t>
      </w:r>
      <w:r w:rsidR="00AD3EA8" w:rsidRPr="007B563F">
        <w:rPr>
          <w:b/>
        </w:rPr>
        <w:t xml:space="preserve">sforços </w:t>
      </w:r>
      <w:r w:rsidR="00B344DE" w:rsidRPr="007B563F">
        <w:rPr>
          <w:b/>
        </w:rPr>
        <w:t xml:space="preserve">adicionais </w:t>
      </w:r>
      <w:r w:rsidR="00802350" w:rsidRPr="007B563F">
        <w:rPr>
          <w:b/>
        </w:rPr>
        <w:t xml:space="preserve">devem ser realizados </w:t>
      </w:r>
      <w:r w:rsidR="00B344DE" w:rsidRPr="007B563F">
        <w:rPr>
          <w:b/>
        </w:rPr>
        <w:t>para</w:t>
      </w:r>
      <w:r w:rsidR="00AD3EA8" w:rsidRPr="007B563F">
        <w:rPr>
          <w:b/>
        </w:rPr>
        <w:t xml:space="preserve"> melhorar </w:t>
      </w:r>
      <w:r w:rsidR="00BC0774" w:rsidRPr="007B563F">
        <w:rPr>
          <w:b/>
        </w:rPr>
        <w:t>a</w:t>
      </w:r>
      <w:r w:rsidR="00802350" w:rsidRPr="007B563F">
        <w:rPr>
          <w:b/>
        </w:rPr>
        <w:t xml:space="preserve">s condições econômicas, em particular na área fiscal, com o objetivo de assegurar uma </w:t>
      </w:r>
      <w:r w:rsidR="00BC0774" w:rsidRPr="007B563F">
        <w:rPr>
          <w:b/>
        </w:rPr>
        <w:t xml:space="preserve">trajetória </w:t>
      </w:r>
      <w:r w:rsidR="00802350" w:rsidRPr="007B563F">
        <w:rPr>
          <w:b/>
        </w:rPr>
        <w:t xml:space="preserve">sustentável </w:t>
      </w:r>
      <w:r w:rsidR="00AD3EA8" w:rsidRPr="007B563F">
        <w:rPr>
          <w:b/>
        </w:rPr>
        <w:t>da dívida pública</w:t>
      </w:r>
      <w:r w:rsidR="00802350" w:rsidRPr="007B563F">
        <w:rPr>
          <w:b/>
        </w:rPr>
        <w:t>,</w:t>
      </w:r>
      <w:r w:rsidR="00871D98" w:rsidRPr="007B563F">
        <w:rPr>
          <w:b/>
        </w:rPr>
        <w:t xml:space="preserve"> com menores custos e riscos</w:t>
      </w:r>
      <w:r w:rsidR="00B344DE" w:rsidRPr="007B563F">
        <w:rPr>
          <w:b/>
        </w:rPr>
        <w:t>.</w:t>
      </w:r>
      <w:r w:rsidR="00B344DE" w:rsidRPr="007B563F">
        <w:t xml:space="preserve"> </w:t>
      </w:r>
      <w:r w:rsidR="00152078" w:rsidRPr="007B563F">
        <w:t xml:space="preserve">Nesse sentido, </w:t>
      </w:r>
      <w:r w:rsidR="00802350" w:rsidRPr="007B563F">
        <w:t>ações direcionadas</w:t>
      </w:r>
      <w:r w:rsidR="00152078" w:rsidRPr="007B563F">
        <w:t xml:space="preserve"> para </w:t>
      </w:r>
      <w:r w:rsidRPr="007B563F">
        <w:t xml:space="preserve">a aprovação de reformas estruturais e para a recuperação da confiança dos investidores se fazem necessárias para favorecer a conjuntura e </w:t>
      </w:r>
      <w:r w:rsidR="00152078" w:rsidRPr="007B563F">
        <w:t>o desempenho do</w:t>
      </w:r>
      <w:r w:rsidR="00B344DE" w:rsidRPr="007B563F">
        <w:t>s condicionantes do endividamento público</w:t>
      </w:r>
      <w:r w:rsidRPr="007B563F">
        <w:t>.</w:t>
      </w:r>
    </w:p>
    <w:tbl>
      <w:tblPr>
        <w:tblStyle w:val="Tabelacomgrade"/>
        <w:tblpPr w:leftFromText="141" w:rightFromText="141" w:vertAnchor="text" w:horzAnchor="margin" w:tblpY="153"/>
        <w:tblW w:w="0" w:type="auto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shd w:val="solid" w:color="BDD6EE" w:themeColor="accent1" w:themeTint="66" w:fill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0"/>
      </w:tblGrid>
      <w:tr w:rsidR="00007ED3" w:rsidRPr="007B563F" w14:paraId="7C13C6E7" w14:textId="77777777" w:rsidTr="00007ED3">
        <w:tc>
          <w:tcPr>
            <w:tcW w:w="9060" w:type="dxa"/>
            <w:shd w:val="solid" w:color="BDD6EE" w:themeColor="accent1" w:themeTint="66" w:fill="auto"/>
          </w:tcPr>
          <w:p w14:paraId="6A773056" w14:textId="149E7ED9" w:rsidR="00007ED3" w:rsidRPr="007B563F" w:rsidRDefault="00007ED3" w:rsidP="00007ED3">
            <w:pPr>
              <w:pStyle w:val="Ttulo1"/>
              <w:spacing w:line="360" w:lineRule="auto"/>
              <w:jc w:val="center"/>
              <w:outlineLvl w:val="0"/>
              <w:rPr>
                <w:rFonts w:asciiTheme="minorHAnsi" w:hAnsiTheme="minorHAnsi" w:cs="Times New Roman"/>
                <w:b/>
                <w:color w:val="auto"/>
                <w:sz w:val="22"/>
                <w:szCs w:val="22"/>
              </w:rPr>
            </w:pPr>
            <w:r w:rsidRPr="007B563F">
              <w:rPr>
                <w:rFonts w:asciiTheme="minorHAnsi" w:hAnsiTheme="minorHAnsi" w:cs="Times New Roman"/>
                <w:b/>
                <w:color w:val="auto"/>
                <w:sz w:val="22"/>
                <w:szCs w:val="22"/>
              </w:rPr>
              <w:t>BOX</w:t>
            </w:r>
            <w:r w:rsidR="00FF3A62">
              <w:rPr>
                <w:rFonts w:asciiTheme="minorHAnsi" w:hAnsiTheme="minorHAnsi" w:cs="Times New Roman"/>
                <w:b/>
                <w:color w:val="auto"/>
                <w:sz w:val="22"/>
                <w:szCs w:val="22"/>
              </w:rPr>
              <w:t>E</w:t>
            </w:r>
            <w:r w:rsidRPr="007B563F">
              <w:rPr>
                <w:rFonts w:asciiTheme="minorHAnsi" w:hAnsiTheme="minorHAnsi" w:cs="Times New Roman"/>
                <w:b/>
                <w:color w:val="auto"/>
                <w:sz w:val="22"/>
                <w:szCs w:val="22"/>
              </w:rPr>
              <w:t>: Projeções de mercado</w:t>
            </w:r>
            <w:r>
              <w:rPr>
                <w:rFonts w:asciiTheme="minorHAnsi" w:hAnsiTheme="minorHAnsi" w:cs="Times New Roman"/>
                <w:b/>
                <w:color w:val="auto"/>
                <w:sz w:val="22"/>
                <w:szCs w:val="22"/>
              </w:rPr>
              <w:t xml:space="preserve"> -</w:t>
            </w:r>
            <w:r w:rsidRPr="007B563F">
              <w:rPr>
                <w:rFonts w:asciiTheme="minorHAnsi" w:hAnsiTheme="minorHAnsi" w:cs="Times New Roman"/>
                <w:b/>
                <w:color w:val="auto"/>
                <w:sz w:val="22"/>
                <w:szCs w:val="22"/>
              </w:rPr>
              <w:t xml:space="preserve"> aspectos metodológicos </w:t>
            </w:r>
          </w:p>
          <w:p w14:paraId="79864C40" w14:textId="77777777" w:rsidR="00007ED3" w:rsidRPr="007B563F" w:rsidRDefault="00007ED3" w:rsidP="00007ED3">
            <w:pPr>
              <w:spacing w:before="240" w:line="360" w:lineRule="auto"/>
              <w:jc w:val="both"/>
              <w:rPr>
                <w:rFonts w:cs="Times New Roman"/>
              </w:rPr>
            </w:pPr>
            <w:r w:rsidRPr="007B563F">
              <w:rPr>
                <w:rFonts w:cs="Times New Roman"/>
              </w:rPr>
              <w:t>A prospecção da trajetória futura da dívida pública depende dos modelos e parâmetros que definem a evolução das variáveis econômicas subjacentes e a própria dinâmica do endividamento. O trabalho de modelagem invariavelmente envolve simplificações, cujo grau pode variar de instituição para instituição, mas o debate público dos resultados em geral contribui para a convergência de diagnósticos e perspectivas.</w:t>
            </w:r>
          </w:p>
          <w:p w14:paraId="30281A81" w14:textId="77777777" w:rsidR="00007ED3" w:rsidRPr="007B563F" w:rsidRDefault="00007ED3" w:rsidP="00007ED3">
            <w:pPr>
              <w:spacing w:before="120" w:line="360" w:lineRule="auto"/>
              <w:jc w:val="both"/>
              <w:rPr>
                <w:rFonts w:cs="Times New Roman"/>
              </w:rPr>
            </w:pPr>
            <w:r w:rsidRPr="007B563F">
              <w:rPr>
                <w:rFonts w:cs="Times New Roman"/>
              </w:rPr>
              <w:t>Nesse contexto, recentemente tem sido veiculado na imprensa ou em relatórios de distintas instituições (inclusive financeiras) projeções em que a DBGG/PIB supera o patamar de 90% do PIB no médio prazo, para parâmetros próximos daqueles utilizados nos cenários oficiais. O que poderia justificar tamanha discrepância (que supera 10% do PIB no mesmo horizonte) em relação às projeções do governo?</w:t>
            </w:r>
          </w:p>
          <w:p w14:paraId="0D8D8608" w14:textId="77777777" w:rsidR="00007ED3" w:rsidRPr="007B563F" w:rsidRDefault="00007ED3" w:rsidP="00007ED3">
            <w:pPr>
              <w:spacing w:before="120" w:line="360" w:lineRule="auto"/>
              <w:jc w:val="both"/>
              <w:rPr>
                <w:rFonts w:cs="Times New Roman"/>
              </w:rPr>
            </w:pPr>
            <w:r w:rsidRPr="007B563F">
              <w:rPr>
                <w:rFonts w:cs="Times New Roman"/>
              </w:rPr>
              <w:t>Uma maneira simplificada (embora diferente do modelo adotado pela STN) de se avaliar a dinâmica do endividamento público é dada pela seguinte equação, que é tradicional na literatura de dívida e amplamente empregada por vários analistas quando se buscam projeções mais imediatas:</w:t>
            </w:r>
          </w:p>
          <w:p w14:paraId="095B991B" w14:textId="77777777" w:rsidR="00007ED3" w:rsidRPr="007B563F" w:rsidRDefault="005477C6" w:rsidP="00007ED3">
            <w:pPr>
              <w:spacing w:line="360" w:lineRule="auto"/>
              <w:jc w:val="center"/>
              <w:rPr>
                <w:rFonts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t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+1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(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1+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</w:rPr>
                      <m:t>+pr</m:t>
                    </m:r>
                    <m:r>
                      <w:rPr>
                        <w:rFonts w:ascii="Cambria Math" w:hAnsi="Cambria Math" w:cs="Times New Roman"/>
                      </w:rPr>
                      <m:t>)(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1+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</w:rPr>
                          <m:t>π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</w:rPr>
                          <m:t>ipca</m:t>
                        </m:r>
                      </m:sup>
                    </m:sSubSup>
                    <m:r>
                      <w:rPr>
                        <w:rFonts w:ascii="Cambria Math" w:hAnsi="Cambria Math" w:cs="Times New Roman"/>
                      </w:rPr>
                      <m:t>)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 w:cs="Times New Roma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1+</m:t>
                        </m:r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t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</w:rPr>
                              <m:t>r</m:t>
                            </m:r>
                          </m:sup>
                        </m:sSubSup>
                      </m:e>
                    </m:d>
                    <m:d>
                      <m:dPr>
                        <m:ctrlPr>
                          <w:rPr>
                            <w:rFonts w:ascii="Cambria Math" w:hAnsi="Cambria Math" w:cs="Times New Roma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1+</m:t>
                        </m:r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π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t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</w:rPr>
                              <m:t>def</m:t>
                            </m:r>
                          </m:sup>
                        </m:sSubSup>
                      </m:e>
                    </m:d>
                  </m:den>
                </m:f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t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-∆</m:t>
                </m:r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t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+1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t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+1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τ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t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+1</m:t>
                    </m:r>
                  </m:sub>
                </m:sSub>
              </m:oMath>
            </m:oMathPara>
          </w:p>
          <w:p w14:paraId="1A0D5D21" w14:textId="77777777" w:rsidR="00007ED3" w:rsidRPr="007B563F" w:rsidRDefault="00007ED3" w:rsidP="00007ED3">
            <w:pPr>
              <w:spacing w:line="360" w:lineRule="auto"/>
              <w:jc w:val="both"/>
              <w:rPr>
                <w:rFonts w:cs="Times New Roman"/>
              </w:rPr>
            </w:pPr>
            <w:r w:rsidRPr="007B563F">
              <w:rPr>
                <w:rFonts w:cs="Times New Roman"/>
              </w:rPr>
              <w:t xml:space="preserve">em que as variáveis </w:t>
            </w:r>
            <m:oMath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t</m:t>
                  </m:r>
                </m:sub>
              </m:sSub>
            </m:oMath>
            <w:r w:rsidRPr="007B563F">
              <w:rPr>
                <w:rFonts w:cs="Times New Roman"/>
              </w:rPr>
              <w:t xml:space="preserve"> (estoque da dívida),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t</m:t>
                  </m:r>
                </m:sub>
              </m:sSub>
            </m:oMath>
            <w:r w:rsidRPr="007B563F">
              <w:rPr>
                <w:rFonts w:eastAsiaTheme="minorEastAsia" w:cs="Times New Roman"/>
              </w:rPr>
              <w:t xml:space="preserve"> (estoque de moeda),</w:t>
            </w:r>
            <w:r w:rsidRPr="007B563F">
              <w:rPr>
                <w:rFonts w:cs="Times New Roma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g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t</m:t>
                  </m:r>
                </m:sub>
              </m:sSub>
            </m:oMath>
            <w:r w:rsidRPr="007B563F">
              <w:rPr>
                <w:rFonts w:eastAsiaTheme="minorEastAsia" w:cs="Times New Roman"/>
              </w:rPr>
              <w:t xml:space="preserve"> (</w:t>
            </w:r>
            <w:r w:rsidRPr="007B563F">
              <w:rPr>
                <w:rFonts w:cs="Times New Roman"/>
              </w:rPr>
              <w:t xml:space="preserve">gastos governamentais) e </w:t>
            </w:r>
            <m:oMath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t</m:t>
                  </m:r>
                </m:sub>
              </m:sSub>
            </m:oMath>
            <w:r w:rsidRPr="007B563F">
              <w:rPr>
                <w:rFonts w:cs="Times New Roman"/>
              </w:rPr>
              <w:t xml:space="preserve"> (receitas governamentais) estão escritas como proporção do PIB. </w:t>
            </w:r>
            <w:r w:rsidRPr="007B563F">
              <w:rPr>
                <w:rFonts w:eastAsiaTheme="minorEastAsia" w:cs="Times New Roman"/>
              </w:rPr>
              <w:t xml:space="preserve">Já </w:t>
            </w:r>
            <m:oMath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t</m:t>
                  </m:r>
                </m:sub>
              </m:sSub>
            </m:oMath>
            <w:r w:rsidRPr="007B563F">
              <w:rPr>
                <w:rFonts w:eastAsiaTheme="minorEastAsia" w:cs="Times New Roman"/>
              </w:rPr>
              <w:t xml:space="preserve"> denota a taxa real de juros</w:t>
            </w:r>
            <w:r>
              <w:rPr>
                <w:rFonts w:eastAsiaTheme="minorEastAsia" w:cs="Times New Roman"/>
              </w:rPr>
              <w:t xml:space="preserve">, </w:t>
            </w:r>
            <m:oMath>
              <m:r>
                <w:rPr>
                  <w:rFonts w:ascii="Cambria Math" w:eastAsiaTheme="minorEastAsia" w:hAnsi="Cambria Math" w:cs="Times New Roman"/>
                </w:rPr>
                <m:t>pr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 xml:space="preserve"> </m:t>
              </m:r>
            </m:oMath>
            <w:r>
              <w:rPr>
                <w:rFonts w:eastAsiaTheme="minorEastAsia" w:cs="Times New Roman"/>
              </w:rPr>
              <w:t>o prêmio de risco e</w:t>
            </w:r>
            <w:r w:rsidRPr="007B563F">
              <w:rPr>
                <w:rFonts w:eastAsiaTheme="minorEastAsia" w:cs="Times New Roman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π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t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ipca</m:t>
                  </m:r>
                </m:sup>
              </m:sSubSup>
            </m:oMath>
            <w:r w:rsidRPr="007B563F">
              <w:rPr>
                <w:rFonts w:eastAsiaTheme="minorEastAsia" w:cs="Times New Roman"/>
              </w:rPr>
              <w:t xml:space="preserve"> a taxa de inflação medida pelo IPCA (Índice Nacional de Preços ao Consumidor – Amplo).</w:t>
            </w:r>
            <w:r w:rsidRPr="007B563F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Além disso,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t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r</m:t>
                  </m:r>
                </m:sup>
              </m:sSubSup>
            </m:oMath>
            <w:r w:rsidRPr="007B563F">
              <w:rPr>
                <w:rFonts w:eastAsiaTheme="minorEastAsia" w:cs="Times New Roman"/>
              </w:rPr>
              <w:t xml:space="preserve"> corresponde à variação percentual real do PIB, enquanto o termo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π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t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def</m:t>
                  </m:r>
                </m:sup>
              </m:sSubSup>
            </m:oMath>
            <w:r w:rsidRPr="007B563F">
              <w:rPr>
                <w:rFonts w:eastAsiaTheme="minorEastAsia" w:cs="Times New Roman"/>
              </w:rPr>
              <w:t>corresponde à variação percentual do deflator implícito do PIB.</w:t>
            </w:r>
          </w:p>
          <w:p w14:paraId="0DBA76EF" w14:textId="77777777" w:rsidR="00007ED3" w:rsidRDefault="00007ED3" w:rsidP="00007ED3">
            <w:pPr>
              <w:spacing w:before="120" w:line="360" w:lineRule="auto"/>
              <w:jc w:val="both"/>
              <w:rPr>
                <w:rFonts w:eastAsiaTheme="minorEastAsia" w:cs="Times New Roman"/>
              </w:rPr>
            </w:pPr>
            <w:r w:rsidRPr="007B563F">
              <w:rPr>
                <w:rFonts w:cs="Times New Roman"/>
              </w:rPr>
              <w:t xml:space="preserve">Essa equação explicita um aspecto que por vezes é desprezado nas projeções de dívida, relativo à potencial diferença entre o deflator implícito e </w:t>
            </w:r>
            <w:r>
              <w:rPr>
                <w:rFonts w:cs="Times New Roman"/>
              </w:rPr>
              <w:t>o</w:t>
            </w:r>
            <w:r w:rsidRPr="007B563F">
              <w:rPr>
                <w:rFonts w:cs="Times New Roman"/>
              </w:rPr>
              <w:t xml:space="preserve"> IPCA. Com efeito, toda vez que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π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t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def</m:t>
                  </m:r>
                </m:sup>
              </m:sSubSup>
              <m:r>
                <w:rPr>
                  <w:rFonts w:ascii="Cambria Math" w:hAnsi="Cambria Math" w:cs="Times New Roman"/>
                </w:rPr>
                <m:t>&gt;</m:t>
              </m:r>
              <m:sSubSup>
                <m:sSubSupPr>
                  <m:ctrlPr>
                    <w:rPr>
                      <w:rFonts w:ascii="Cambria Math" w:hAnsi="Cambria Math" w:cs="Times New Roman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π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t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ipca</m:t>
                  </m:r>
                </m:sup>
              </m:sSubSup>
            </m:oMath>
            <w:r w:rsidRPr="007B563F">
              <w:rPr>
                <w:rFonts w:eastAsiaTheme="minorEastAsia" w:cs="Times New Roman"/>
              </w:rPr>
              <w:t xml:space="preserve">, a trajetória da dívida tende a ser beneficiada por essa diferença, uma vez que há ampliação do denominador em relação ao numerador do componente de carregamento na equação dinâmica da dívida. Importa registrar que, entre 1996 e 2016, a inflação captada pelo deflator do PIB brasileiro </w:t>
            </w:r>
            <w:r w:rsidRPr="007B563F">
              <w:rPr>
                <w:rFonts w:eastAsiaTheme="minorEastAsia" w:cs="Times New Roman"/>
              </w:rPr>
              <w:lastRenderedPageBreak/>
              <w:t>foi 1,46 ponto porcentual (p.p.), em média, maior do que a apurada pelo IPCA a cada ano. Essa diferença também é importante para o resultado primário do governo, uma vez que o IPCA é um parâmetro relevante para se projetar a elevação das despesas primárias do governo central, em função do teto dos gastos. Por sua vez, o deflator impacta a base de incidência tributária, com repercussão sobre as receitas do governo.</w:t>
            </w:r>
          </w:p>
          <w:p w14:paraId="45716E4A" w14:textId="77777777" w:rsidR="00007ED3" w:rsidRDefault="00007ED3" w:rsidP="00007ED3">
            <w:pPr>
              <w:keepNext/>
              <w:spacing w:line="360" w:lineRule="auto"/>
              <w:rPr>
                <w:b/>
                <w:noProof/>
              </w:rPr>
            </w:pPr>
          </w:p>
          <w:p w14:paraId="2BA0E0F4" w14:textId="77777777" w:rsidR="00007ED3" w:rsidRDefault="00007ED3" w:rsidP="00007ED3">
            <w:pPr>
              <w:keepNext/>
              <w:spacing w:line="360" w:lineRule="auto"/>
              <w:rPr>
                <w:b/>
                <w:noProof/>
              </w:rPr>
            </w:pPr>
            <w:r w:rsidRPr="007B563F">
              <w:rPr>
                <w:b/>
                <w:noProof/>
              </w:rPr>
              <w:t xml:space="preserve">Gráfico </w:t>
            </w:r>
            <w:r>
              <w:rPr>
                <w:b/>
                <w:noProof/>
              </w:rPr>
              <w:t>9</w:t>
            </w:r>
            <w:r w:rsidRPr="007B563F">
              <w:rPr>
                <w:b/>
                <w:noProof/>
              </w:rPr>
              <w:t xml:space="preserve"> – </w:t>
            </w:r>
            <w:r>
              <w:rPr>
                <w:b/>
                <w:noProof/>
              </w:rPr>
              <w:t xml:space="preserve">Efeitos da divergência entre ipca e deflator nas </w:t>
            </w:r>
            <w:r w:rsidRPr="007B563F">
              <w:rPr>
                <w:b/>
                <w:noProof/>
              </w:rPr>
              <w:t>trajetórias de DBGG</w:t>
            </w:r>
            <w:r>
              <w:rPr>
                <w:b/>
                <w:noProof/>
              </w:rPr>
              <w:t>/PIB</w:t>
            </w:r>
            <w:r w:rsidRPr="007B563F">
              <w:rPr>
                <w:b/>
                <w:noProof/>
              </w:rPr>
              <w:t xml:space="preserve"> </w:t>
            </w: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814"/>
            </w:tblGrid>
            <w:tr w:rsidR="00007ED3" w14:paraId="77596F8B" w14:textId="77777777" w:rsidTr="009F0E79">
              <w:trPr>
                <w:trHeight w:val="3464"/>
              </w:trPr>
              <w:tc>
                <w:tcPr>
                  <w:tcW w:w="8814" w:type="dxa"/>
                </w:tcPr>
                <w:p w14:paraId="55E2C2D6" w14:textId="77777777" w:rsidR="00007ED3" w:rsidRDefault="00007ED3" w:rsidP="00E2424F">
                  <w:pPr>
                    <w:framePr w:hSpace="141" w:wrap="around" w:vAnchor="text" w:hAnchor="margin" w:y="153"/>
                    <w:spacing w:line="360" w:lineRule="auto"/>
                    <w:jc w:val="center"/>
                    <w:rPr>
                      <w:rFonts w:eastAsiaTheme="minorEastAsia" w:cs="Times New Roman"/>
                      <w:color w:val="FF0000"/>
                    </w:rPr>
                  </w:pPr>
                  <w:r>
                    <w:rPr>
                      <w:noProof/>
                      <w:lang w:eastAsia="pt-BR"/>
                    </w:rPr>
                    <w:drawing>
                      <wp:inline distT="0" distB="0" distL="0" distR="0" wp14:anchorId="1DC27AF7" wp14:editId="6D74ADEE">
                        <wp:extent cx="3847254" cy="2411306"/>
                        <wp:effectExtent l="0" t="0" r="1270" b="0"/>
                        <wp:docPr id="1" name="Gráfico 1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6"/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D19259A" w14:textId="77777777" w:rsidR="00007ED3" w:rsidRPr="00A80811" w:rsidRDefault="00007ED3" w:rsidP="00007ED3">
            <w:pPr>
              <w:spacing w:line="360" w:lineRule="auto"/>
              <w:rPr>
                <w:noProof/>
                <w:sz w:val="18"/>
                <w:szCs w:val="18"/>
              </w:rPr>
            </w:pPr>
            <w:r>
              <w:rPr>
                <w:rFonts w:eastAsiaTheme="minorEastAsia" w:cs="Times New Roman"/>
                <w:color w:val="FF0000"/>
                <w:sz w:val="18"/>
                <w:szCs w:val="18"/>
              </w:rPr>
              <w:t xml:space="preserve">                          </w:t>
            </w:r>
            <w:r w:rsidRPr="00A80811">
              <w:rPr>
                <w:noProof/>
                <w:sz w:val="18"/>
                <w:szCs w:val="18"/>
              </w:rPr>
              <w:t>Fonte: BCB e projeção STN</w:t>
            </w:r>
          </w:p>
          <w:tbl>
            <w:tblPr>
              <w:tblStyle w:val="Tabelacomgrade"/>
              <w:tblW w:w="0" w:type="auto"/>
              <w:tblInd w:w="95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705"/>
            </w:tblGrid>
            <w:tr w:rsidR="00007ED3" w14:paraId="6EC02A59" w14:textId="77777777" w:rsidTr="009F0E79">
              <w:trPr>
                <w:trHeight w:hRule="exact" w:val="514"/>
              </w:trPr>
              <w:tc>
                <w:tcPr>
                  <w:tcW w:w="6705" w:type="dxa"/>
                </w:tcPr>
                <w:p w14:paraId="08C45366" w14:textId="77777777" w:rsidR="00007ED3" w:rsidRPr="009431E6" w:rsidRDefault="00007ED3" w:rsidP="00E2424F">
                  <w:pPr>
                    <w:framePr w:hSpace="141" w:wrap="around" w:vAnchor="text" w:hAnchor="margin" w:y="153"/>
                    <w:jc w:val="both"/>
                    <w:rPr>
                      <w:noProof/>
                    </w:rPr>
                  </w:pPr>
                  <w:r w:rsidRPr="00A9018E">
                    <w:rPr>
                      <w:noProof/>
                      <w:sz w:val="18"/>
                      <w:szCs w:val="18"/>
                    </w:rPr>
                    <w:t>*Projeção ilustrativa, com a formulação teórica da equação dinâmica da dívida</w:t>
                  </w:r>
                  <w:r>
                    <w:rPr>
                      <w:noProof/>
                      <w:sz w:val="18"/>
                      <w:szCs w:val="18"/>
                    </w:rPr>
                    <w:t xml:space="preserve"> apresentada</w:t>
                  </w:r>
                  <w:r w:rsidRPr="00A9018E">
                    <w:rPr>
                      <w:noProof/>
                      <w:sz w:val="18"/>
                      <w:szCs w:val="18"/>
                    </w:rPr>
                    <w:t>, considerando</w:t>
                  </w:r>
                  <w:r>
                    <w:rPr>
                      <w:noProof/>
                      <w:sz w:val="18"/>
                      <w:szCs w:val="18"/>
                    </w:rPr>
                    <w:t xml:space="preserve"> para as projeções a grade de parâmetros anexada</w:t>
                  </w:r>
                  <w:r w:rsidRPr="00A9018E">
                    <w:rPr>
                      <w:noProof/>
                      <w:sz w:val="18"/>
                      <w:szCs w:val="18"/>
                    </w:rPr>
                    <w:t>.</w:t>
                  </w:r>
                </w:p>
              </w:tc>
            </w:tr>
          </w:tbl>
          <w:p w14:paraId="5D257E4F" w14:textId="77777777" w:rsidR="00007ED3" w:rsidRDefault="00007ED3" w:rsidP="00007ED3">
            <w:pPr>
              <w:spacing w:before="120" w:line="360" w:lineRule="auto"/>
              <w:jc w:val="both"/>
              <w:rPr>
                <w:rFonts w:eastAsiaTheme="minorEastAsia" w:cs="Times New Roman"/>
                <w:color w:val="FF0000"/>
              </w:rPr>
            </w:pPr>
            <w:r>
              <w:rPr>
                <w:rFonts w:eastAsiaTheme="minorEastAsia" w:cs="Times New Roman"/>
              </w:rPr>
              <w:t xml:space="preserve">Outro fator desconsiderado, por vezes, nas análises da dinâmica da dívida pública é a variação da base monetária. </w:t>
            </w:r>
            <w:r w:rsidRPr="00282DB2">
              <w:rPr>
                <w:rFonts w:eastAsiaTheme="minorEastAsia" w:cs="Times New Roman"/>
              </w:rPr>
              <w:t>Em resumo, ampliações da base monetária restrita (papel moeda emitido mais reservas bancárias) produzem reduções de mesma magnitude na conta de operações compromissadas do BCB (redução liquidez), tudo mais constante. Como o BCB utiliza títulos do Tesouro Nacional para operacionalização destas operações e estes títulos são computados como DBGG, na prática tem-se uma redução do endividamento sempre que ocorrem elevaçõ</w:t>
            </w:r>
            <w:r>
              <w:rPr>
                <w:rFonts w:eastAsiaTheme="minorEastAsia" w:cs="Times New Roman"/>
              </w:rPr>
              <w:t xml:space="preserve">es na base monetária restrita. Em média, a variação da base monetária sobre o PIB </w:t>
            </w:r>
            <w:r w:rsidRPr="00B16265">
              <w:rPr>
                <w:rFonts w:eastAsiaTheme="minorEastAsia" w:cs="Times New Roman"/>
              </w:rPr>
              <w:t>(</w:t>
            </w:r>
            <m:oMath>
              <m:r>
                <w:rPr>
                  <w:rFonts w:ascii="Cambria Math" w:hAnsi="Cambria Math" w:cs="Times New Roman"/>
                </w:rPr>
                <m:t>∆</m:t>
              </m:r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+1</m:t>
                  </m:r>
                </m:sub>
              </m:sSub>
            </m:oMath>
            <w:r w:rsidRPr="00B16265">
              <w:rPr>
                <w:rFonts w:eastAsiaTheme="minorEastAsia" w:cs="Times New Roman"/>
              </w:rPr>
              <w:t>) contribuiu para uma redução de 0,4</w:t>
            </w:r>
            <w:r>
              <w:rPr>
                <w:rFonts w:eastAsiaTheme="minorEastAsia" w:cs="Times New Roman"/>
              </w:rPr>
              <w:t xml:space="preserve">6 p.p. </w:t>
            </w:r>
            <w:r w:rsidRPr="00B16265">
              <w:rPr>
                <w:rFonts w:eastAsiaTheme="minorEastAsia" w:cs="Times New Roman"/>
              </w:rPr>
              <w:t xml:space="preserve">da dívida ao </w:t>
            </w:r>
            <w:r>
              <w:rPr>
                <w:rFonts w:eastAsiaTheme="minorEastAsia" w:cs="Times New Roman"/>
              </w:rPr>
              <w:t>ano, desde o ano de</w:t>
            </w:r>
            <w:r w:rsidRPr="00B16265">
              <w:rPr>
                <w:rFonts w:eastAsiaTheme="minorEastAsia" w:cs="Times New Roman"/>
              </w:rPr>
              <w:t xml:space="preserve"> implementação do regime de metas de inflação em 1999. Embora esse efeito seja pequeno, é importante quando o horizonte de avaliação relevante é longo, como no caso da análise de sustentabilidade da dívida.</w:t>
            </w:r>
          </w:p>
          <w:p w14:paraId="019E9820" w14:textId="57DB96C0" w:rsidR="00007ED3" w:rsidRPr="00007ED3" w:rsidRDefault="00007ED3" w:rsidP="00007ED3">
            <w:pPr>
              <w:spacing w:line="360" w:lineRule="auto"/>
              <w:jc w:val="both"/>
              <w:rPr>
                <w:b/>
                <w:noProof/>
              </w:rPr>
            </w:pPr>
          </w:p>
          <w:p w14:paraId="70EB8F93" w14:textId="2982A19E" w:rsidR="00007ED3" w:rsidRDefault="00007ED3" w:rsidP="00007ED3">
            <w:pPr>
              <w:spacing w:line="360" w:lineRule="auto"/>
              <w:jc w:val="center"/>
              <w:rPr>
                <w:rFonts w:eastAsiaTheme="minorEastAsia" w:cs="Times New Roman"/>
              </w:rPr>
            </w:pPr>
            <w:r>
              <w:rPr>
                <w:b/>
                <w:noProof/>
              </w:rPr>
              <w:lastRenderedPageBreak/>
              <w:br/>
            </w:r>
            <w:r w:rsidRPr="007B563F">
              <w:rPr>
                <w:b/>
                <w:noProof/>
              </w:rPr>
              <w:t xml:space="preserve">Gráfico </w:t>
            </w:r>
            <w:r>
              <w:rPr>
                <w:b/>
                <w:noProof/>
              </w:rPr>
              <w:t>10</w:t>
            </w:r>
            <w:r w:rsidRPr="007B563F">
              <w:rPr>
                <w:b/>
                <w:noProof/>
              </w:rPr>
              <w:t xml:space="preserve"> – </w:t>
            </w:r>
            <w:r>
              <w:rPr>
                <w:b/>
                <w:noProof/>
              </w:rPr>
              <w:t>Impacto da variação da base monetária</w:t>
            </w:r>
            <w:r>
              <w:rPr>
                <w:rFonts w:eastAsiaTheme="minorEastAsia" w:cs="Times New Roman"/>
              </w:rPr>
              <w:br/>
            </w:r>
            <w:r>
              <w:rPr>
                <w:noProof/>
                <w:lang w:eastAsia="pt-BR"/>
              </w:rPr>
              <w:drawing>
                <wp:inline distT="0" distB="0" distL="0" distR="0" wp14:anchorId="56317AFE" wp14:editId="4348458E">
                  <wp:extent cx="3542453" cy="2140373"/>
                  <wp:effectExtent l="0" t="0" r="0" b="0"/>
                  <wp:docPr id="7" name="Gráfico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  <w:p w14:paraId="17F00134" w14:textId="77777777" w:rsidR="00007ED3" w:rsidRDefault="00007ED3" w:rsidP="00007ED3">
            <w:pPr>
              <w:spacing w:line="360" w:lineRule="auto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eastAsiaTheme="minorEastAsia" w:cs="Times New Roman"/>
              </w:rPr>
              <w:t xml:space="preserve">                                         </w:t>
            </w:r>
            <w:r w:rsidRPr="009431E6">
              <w:rPr>
                <w:rFonts w:eastAsiaTheme="minorEastAsia" w:cs="Times New Roman"/>
                <w:sz w:val="18"/>
                <w:szCs w:val="18"/>
              </w:rPr>
              <w:t>Fonte: BCB</w:t>
            </w:r>
          </w:p>
          <w:p w14:paraId="6D6AE99A" w14:textId="77777777" w:rsidR="00007ED3" w:rsidRPr="009431E6" w:rsidRDefault="00007ED3" w:rsidP="00007ED3">
            <w:pPr>
              <w:spacing w:line="360" w:lineRule="auto"/>
              <w:rPr>
                <w:rFonts w:eastAsiaTheme="minorEastAsia" w:cs="Times New Roman"/>
                <w:sz w:val="18"/>
                <w:szCs w:val="18"/>
              </w:rPr>
            </w:pPr>
          </w:p>
          <w:p w14:paraId="39909E40" w14:textId="77777777" w:rsidR="00007ED3" w:rsidRPr="007B563F" w:rsidRDefault="00007ED3" w:rsidP="00007ED3">
            <w:pPr>
              <w:spacing w:before="120" w:line="360" w:lineRule="auto"/>
              <w:jc w:val="both"/>
              <w:rPr>
                <w:b/>
                <w:noProof/>
              </w:rPr>
            </w:pPr>
            <w:r w:rsidRPr="007B563F">
              <w:rPr>
                <w:rFonts w:eastAsiaTheme="minorEastAsia" w:cs="Times New Roman"/>
              </w:rPr>
              <w:t>Portanto, a caracterização dos elementos condicionantes do endividamento público é fundamental para delinear a trajetória da dívida uma vez que as perspectivas podem divergir de maneira expressiva a depender das suposições do cenário macroeconômico e da estrutura de modelagem.</w:t>
            </w:r>
          </w:p>
        </w:tc>
      </w:tr>
    </w:tbl>
    <w:p w14:paraId="2F558576" w14:textId="77777777" w:rsidR="00007ED3" w:rsidRDefault="00007ED3" w:rsidP="0001455E">
      <w:pPr>
        <w:spacing w:before="240" w:line="360" w:lineRule="auto"/>
        <w:jc w:val="both"/>
      </w:pPr>
    </w:p>
    <w:p w14:paraId="7FFDCD78" w14:textId="77777777" w:rsidR="007968A3" w:rsidRDefault="007968A3" w:rsidP="000C4DAD">
      <w:pPr>
        <w:spacing w:before="240"/>
        <w:rPr>
          <w:b/>
          <w:noProof/>
        </w:rPr>
      </w:pPr>
    </w:p>
    <w:p w14:paraId="492C632E" w14:textId="77777777" w:rsidR="00776C51" w:rsidRPr="007B563F" w:rsidRDefault="00776C51" w:rsidP="000C4DAD">
      <w:pPr>
        <w:spacing w:before="240"/>
        <w:rPr>
          <w:b/>
          <w:noProof/>
        </w:rPr>
      </w:pPr>
      <w:r w:rsidRPr="007B563F">
        <w:rPr>
          <w:b/>
          <w:noProof/>
        </w:rPr>
        <w:t>ANEXO</w:t>
      </w:r>
    </w:p>
    <w:p w14:paraId="46E5BD7E" w14:textId="77777777" w:rsidR="001A7A9B" w:rsidRPr="007B563F" w:rsidRDefault="00776C51" w:rsidP="000C4DAD">
      <w:pPr>
        <w:spacing w:before="240"/>
        <w:rPr>
          <w:b/>
          <w:noProof/>
        </w:rPr>
      </w:pPr>
      <w:r w:rsidRPr="007B563F">
        <w:rPr>
          <w:b/>
          <w:noProof/>
        </w:rPr>
        <w:lastRenderedPageBreak/>
        <w:t>Cenário Macroeconômico</w:t>
      </w:r>
    </w:p>
    <w:tbl>
      <w:tblPr>
        <w:tblW w:w="95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1"/>
        <w:gridCol w:w="615"/>
        <w:gridCol w:w="613"/>
        <w:gridCol w:w="613"/>
        <w:gridCol w:w="613"/>
        <w:gridCol w:w="617"/>
        <w:gridCol w:w="613"/>
        <w:gridCol w:w="615"/>
        <w:gridCol w:w="613"/>
        <w:gridCol w:w="613"/>
        <w:gridCol w:w="613"/>
        <w:gridCol w:w="153"/>
      </w:tblGrid>
      <w:tr w:rsidR="00440D01" w:rsidRPr="007B563F" w14:paraId="4962A6C2" w14:textId="77777777" w:rsidTr="007E6980">
        <w:trPr>
          <w:gridAfter w:val="1"/>
          <w:wAfter w:w="153" w:type="dxa"/>
          <w:trHeight w:val="378"/>
        </w:trPr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3662F" w14:textId="77777777" w:rsidR="002610A0" w:rsidRPr="007B563F" w:rsidRDefault="002610A0" w:rsidP="002610A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  <w:r w:rsidRPr="007B563F">
              <w:rPr>
                <w:rFonts w:ascii="Calibri" w:eastAsia="Times New Roman" w:hAnsi="Calibri" w:cs="Times New Roman"/>
                <w:b/>
                <w:bCs/>
                <w:lang w:eastAsia="pt-BR"/>
              </w:rPr>
              <w:t>Cenário SPE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409FD" w14:textId="77777777" w:rsidR="002610A0" w:rsidRPr="007B563F" w:rsidRDefault="002610A0" w:rsidP="002610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  <w:r w:rsidRPr="007B563F">
              <w:rPr>
                <w:rFonts w:ascii="Calibri" w:eastAsia="Times New Roman" w:hAnsi="Calibri" w:cs="Times New Roman"/>
                <w:b/>
                <w:bCs/>
                <w:lang w:eastAsia="pt-BR"/>
              </w:rPr>
              <w:t>2017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024EC" w14:textId="77777777" w:rsidR="002610A0" w:rsidRPr="007B563F" w:rsidRDefault="002610A0" w:rsidP="002610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  <w:r w:rsidRPr="007B563F">
              <w:rPr>
                <w:rFonts w:ascii="Calibri" w:eastAsia="Times New Roman" w:hAnsi="Calibri" w:cs="Times New Roman"/>
                <w:b/>
                <w:bCs/>
                <w:lang w:eastAsia="pt-BR"/>
              </w:rPr>
              <w:t>2018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54EDE" w14:textId="77777777" w:rsidR="002610A0" w:rsidRPr="007B563F" w:rsidRDefault="002610A0" w:rsidP="002610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  <w:r w:rsidRPr="007B563F">
              <w:rPr>
                <w:rFonts w:ascii="Calibri" w:eastAsia="Times New Roman" w:hAnsi="Calibri" w:cs="Times New Roman"/>
                <w:b/>
                <w:bCs/>
                <w:lang w:eastAsia="pt-BR"/>
              </w:rPr>
              <w:t>2019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9262" w14:textId="77777777" w:rsidR="002610A0" w:rsidRPr="007B563F" w:rsidRDefault="002610A0" w:rsidP="002610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  <w:r w:rsidRPr="007B563F">
              <w:rPr>
                <w:rFonts w:ascii="Calibri" w:eastAsia="Times New Roman" w:hAnsi="Calibri" w:cs="Times New Roman"/>
                <w:b/>
                <w:bCs/>
                <w:lang w:eastAsia="pt-BR"/>
              </w:rPr>
              <w:t>2020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F9D7B" w14:textId="77777777" w:rsidR="002610A0" w:rsidRPr="007B563F" w:rsidRDefault="002610A0" w:rsidP="002610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  <w:r w:rsidRPr="007B563F">
              <w:rPr>
                <w:rFonts w:ascii="Calibri" w:eastAsia="Times New Roman" w:hAnsi="Calibri" w:cs="Times New Roman"/>
                <w:b/>
                <w:bCs/>
                <w:lang w:eastAsia="pt-BR"/>
              </w:rPr>
              <w:t>2021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95666" w14:textId="77777777" w:rsidR="002610A0" w:rsidRPr="007B563F" w:rsidRDefault="002610A0" w:rsidP="002610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  <w:r w:rsidRPr="007B563F">
              <w:rPr>
                <w:rFonts w:ascii="Calibri" w:eastAsia="Times New Roman" w:hAnsi="Calibri" w:cs="Times New Roman"/>
                <w:b/>
                <w:bCs/>
                <w:lang w:eastAsia="pt-BR"/>
              </w:rPr>
              <w:t>2022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42AF1" w14:textId="77777777" w:rsidR="002610A0" w:rsidRPr="007B563F" w:rsidRDefault="002610A0" w:rsidP="002610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  <w:r w:rsidRPr="007B563F">
              <w:rPr>
                <w:rFonts w:ascii="Calibri" w:eastAsia="Times New Roman" w:hAnsi="Calibri" w:cs="Times New Roman"/>
                <w:b/>
                <w:bCs/>
                <w:lang w:eastAsia="pt-BR"/>
              </w:rPr>
              <w:t>2023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05FFB" w14:textId="77777777" w:rsidR="002610A0" w:rsidRPr="007B563F" w:rsidRDefault="002610A0" w:rsidP="002610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  <w:r w:rsidRPr="007B563F">
              <w:rPr>
                <w:rFonts w:ascii="Calibri" w:eastAsia="Times New Roman" w:hAnsi="Calibri" w:cs="Times New Roman"/>
                <w:b/>
                <w:bCs/>
                <w:lang w:eastAsia="pt-BR"/>
              </w:rPr>
              <w:t>2024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EE08D" w14:textId="77777777" w:rsidR="002610A0" w:rsidRPr="007B563F" w:rsidRDefault="002610A0" w:rsidP="002610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  <w:r w:rsidRPr="007B563F">
              <w:rPr>
                <w:rFonts w:ascii="Calibri" w:eastAsia="Times New Roman" w:hAnsi="Calibri" w:cs="Times New Roman"/>
                <w:b/>
                <w:bCs/>
                <w:lang w:eastAsia="pt-BR"/>
              </w:rPr>
              <w:t>2025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0935D3" w14:textId="77777777" w:rsidR="002610A0" w:rsidRPr="007B563F" w:rsidRDefault="002610A0" w:rsidP="002610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  <w:r w:rsidRPr="007B563F">
              <w:rPr>
                <w:rFonts w:ascii="Calibri" w:eastAsia="Times New Roman" w:hAnsi="Calibri" w:cs="Times New Roman"/>
                <w:b/>
                <w:bCs/>
                <w:lang w:eastAsia="pt-BR"/>
              </w:rPr>
              <w:t>2026</w:t>
            </w:r>
          </w:p>
        </w:tc>
      </w:tr>
      <w:tr w:rsidR="00440D01" w:rsidRPr="007B563F" w14:paraId="53C07572" w14:textId="77777777" w:rsidTr="007E6980">
        <w:trPr>
          <w:gridAfter w:val="1"/>
          <w:wAfter w:w="153" w:type="dxa"/>
          <w:trHeight w:val="302"/>
        </w:trPr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48C6" w14:textId="77777777" w:rsidR="002610A0" w:rsidRPr="007B563F" w:rsidRDefault="002610A0" w:rsidP="002610A0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7B563F">
              <w:rPr>
                <w:rFonts w:ascii="Calibri" w:eastAsia="Times New Roman" w:hAnsi="Calibri" w:cs="Times New Roman"/>
                <w:lang w:eastAsia="pt-BR"/>
              </w:rPr>
              <w:t>Câmbio - final período (R$/US$)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8CE24" w14:textId="77777777" w:rsidR="002610A0" w:rsidRPr="007B563F" w:rsidRDefault="002610A0" w:rsidP="002610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B563F">
              <w:rPr>
                <w:rFonts w:ascii="Calibri" w:eastAsia="Times New Roman" w:hAnsi="Calibri" w:cs="Times New Roman"/>
                <w:lang w:eastAsia="pt-BR"/>
              </w:rPr>
              <w:t>3,2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F85E" w14:textId="77777777" w:rsidR="002610A0" w:rsidRPr="007B563F" w:rsidRDefault="002610A0" w:rsidP="002610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B563F">
              <w:rPr>
                <w:rFonts w:ascii="Calibri" w:eastAsia="Times New Roman" w:hAnsi="Calibri" w:cs="Times New Roman"/>
                <w:lang w:eastAsia="pt-BR"/>
              </w:rPr>
              <w:t>3,3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1E52" w14:textId="77777777" w:rsidR="002610A0" w:rsidRPr="007B563F" w:rsidRDefault="002610A0" w:rsidP="002610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B563F">
              <w:rPr>
                <w:rFonts w:ascii="Calibri" w:eastAsia="Times New Roman" w:hAnsi="Calibri" w:cs="Times New Roman"/>
                <w:lang w:eastAsia="pt-BR"/>
              </w:rPr>
              <w:t>3,4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0EBA9" w14:textId="77777777" w:rsidR="002610A0" w:rsidRPr="007B563F" w:rsidRDefault="002610A0" w:rsidP="002610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B563F">
              <w:rPr>
                <w:rFonts w:ascii="Calibri" w:eastAsia="Times New Roman" w:hAnsi="Calibri" w:cs="Times New Roman"/>
                <w:lang w:eastAsia="pt-BR"/>
              </w:rPr>
              <w:t>3,5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6AE4" w14:textId="77777777" w:rsidR="002610A0" w:rsidRPr="007B563F" w:rsidRDefault="002610A0" w:rsidP="002610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B563F">
              <w:rPr>
                <w:rFonts w:ascii="Calibri" w:eastAsia="Times New Roman" w:hAnsi="Calibri" w:cs="Times New Roman"/>
                <w:lang w:eastAsia="pt-BR"/>
              </w:rPr>
              <w:t>3,6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A8505" w14:textId="77777777" w:rsidR="002610A0" w:rsidRPr="007B563F" w:rsidRDefault="002610A0" w:rsidP="002610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B563F">
              <w:rPr>
                <w:rFonts w:ascii="Calibri" w:eastAsia="Times New Roman" w:hAnsi="Calibri" w:cs="Times New Roman"/>
                <w:lang w:eastAsia="pt-BR"/>
              </w:rPr>
              <w:t>3,6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E2A3" w14:textId="77777777" w:rsidR="002610A0" w:rsidRPr="007B563F" w:rsidRDefault="002610A0" w:rsidP="002610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B563F">
              <w:rPr>
                <w:rFonts w:ascii="Calibri" w:eastAsia="Times New Roman" w:hAnsi="Calibri" w:cs="Times New Roman"/>
                <w:lang w:eastAsia="pt-BR"/>
              </w:rPr>
              <w:t>3,7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6E8A" w14:textId="77777777" w:rsidR="002610A0" w:rsidRPr="007B563F" w:rsidRDefault="002610A0" w:rsidP="002610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B563F">
              <w:rPr>
                <w:rFonts w:ascii="Calibri" w:eastAsia="Times New Roman" w:hAnsi="Calibri" w:cs="Times New Roman"/>
                <w:lang w:eastAsia="pt-BR"/>
              </w:rPr>
              <w:t>3,8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907A" w14:textId="77777777" w:rsidR="002610A0" w:rsidRPr="007B563F" w:rsidRDefault="002610A0" w:rsidP="002610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B563F">
              <w:rPr>
                <w:rFonts w:ascii="Calibri" w:eastAsia="Times New Roman" w:hAnsi="Calibri" w:cs="Times New Roman"/>
                <w:lang w:eastAsia="pt-BR"/>
              </w:rPr>
              <w:t>3,8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B88B2F" w14:textId="77777777" w:rsidR="002610A0" w:rsidRPr="007B563F" w:rsidRDefault="002610A0" w:rsidP="002610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B563F">
              <w:rPr>
                <w:rFonts w:ascii="Calibri" w:eastAsia="Times New Roman" w:hAnsi="Calibri" w:cs="Times New Roman"/>
                <w:lang w:eastAsia="pt-BR"/>
              </w:rPr>
              <w:t>3,9</w:t>
            </w:r>
          </w:p>
        </w:tc>
      </w:tr>
      <w:tr w:rsidR="00440D01" w:rsidRPr="007B563F" w14:paraId="5EC16404" w14:textId="77777777" w:rsidTr="007E6980">
        <w:trPr>
          <w:gridAfter w:val="1"/>
          <w:wAfter w:w="153" w:type="dxa"/>
          <w:trHeight w:val="302"/>
        </w:trPr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7B6C" w14:textId="77777777" w:rsidR="002610A0" w:rsidRPr="007B563F" w:rsidRDefault="002610A0" w:rsidP="002610A0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7B563F">
              <w:rPr>
                <w:rFonts w:ascii="Calibri" w:eastAsia="Times New Roman" w:hAnsi="Calibri" w:cs="Times New Roman"/>
                <w:lang w:eastAsia="pt-BR"/>
              </w:rPr>
              <w:t>Crescimento real do PIB (% a.a.)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8C05" w14:textId="77777777" w:rsidR="002610A0" w:rsidRPr="007B563F" w:rsidRDefault="002610A0" w:rsidP="002610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B563F">
              <w:rPr>
                <w:rFonts w:ascii="Calibri" w:eastAsia="Times New Roman" w:hAnsi="Calibri" w:cs="Times New Roman"/>
                <w:lang w:eastAsia="pt-BR"/>
              </w:rPr>
              <w:t>0,5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4E9F" w14:textId="77777777" w:rsidR="002610A0" w:rsidRPr="007B563F" w:rsidRDefault="002610A0" w:rsidP="002610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B563F">
              <w:rPr>
                <w:rFonts w:ascii="Calibri" w:eastAsia="Times New Roman" w:hAnsi="Calibri" w:cs="Times New Roman"/>
                <w:lang w:eastAsia="pt-BR"/>
              </w:rPr>
              <w:t>2,0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DE315" w14:textId="77777777" w:rsidR="002610A0" w:rsidRPr="007B563F" w:rsidRDefault="002610A0" w:rsidP="002610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B563F">
              <w:rPr>
                <w:rFonts w:ascii="Calibri" w:eastAsia="Times New Roman" w:hAnsi="Calibri" w:cs="Times New Roman"/>
                <w:lang w:eastAsia="pt-BR"/>
              </w:rPr>
              <w:t>2,5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74BF" w14:textId="77777777" w:rsidR="002610A0" w:rsidRPr="007B563F" w:rsidRDefault="002610A0" w:rsidP="002610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B563F">
              <w:rPr>
                <w:rFonts w:ascii="Calibri" w:eastAsia="Times New Roman" w:hAnsi="Calibri" w:cs="Times New Roman"/>
                <w:lang w:eastAsia="pt-BR"/>
              </w:rPr>
              <w:t>2,6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8E3E" w14:textId="77777777" w:rsidR="002610A0" w:rsidRPr="007B563F" w:rsidRDefault="002610A0" w:rsidP="002610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B563F">
              <w:rPr>
                <w:rFonts w:ascii="Calibri" w:eastAsia="Times New Roman" w:hAnsi="Calibri" w:cs="Times New Roman"/>
                <w:lang w:eastAsia="pt-BR"/>
              </w:rPr>
              <w:t>2,6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A59C" w14:textId="77777777" w:rsidR="002610A0" w:rsidRPr="007B563F" w:rsidRDefault="002610A0" w:rsidP="002610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B563F">
              <w:rPr>
                <w:rFonts w:ascii="Calibri" w:eastAsia="Times New Roman" w:hAnsi="Calibri" w:cs="Times New Roman"/>
                <w:lang w:eastAsia="pt-BR"/>
              </w:rPr>
              <w:t>2,6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B1748" w14:textId="77777777" w:rsidR="002610A0" w:rsidRPr="007B563F" w:rsidRDefault="002610A0" w:rsidP="002610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B563F">
              <w:rPr>
                <w:rFonts w:ascii="Calibri" w:eastAsia="Times New Roman" w:hAnsi="Calibri" w:cs="Times New Roman"/>
                <w:lang w:eastAsia="pt-BR"/>
              </w:rPr>
              <w:t>2,6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8F52D" w14:textId="77777777" w:rsidR="002610A0" w:rsidRPr="007B563F" w:rsidRDefault="002610A0" w:rsidP="002610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B563F">
              <w:rPr>
                <w:rFonts w:ascii="Calibri" w:eastAsia="Times New Roman" w:hAnsi="Calibri" w:cs="Times New Roman"/>
                <w:lang w:eastAsia="pt-BR"/>
              </w:rPr>
              <w:t>2,6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BF40" w14:textId="77777777" w:rsidR="002610A0" w:rsidRPr="007B563F" w:rsidRDefault="002610A0" w:rsidP="002610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B563F">
              <w:rPr>
                <w:rFonts w:ascii="Calibri" w:eastAsia="Times New Roman" w:hAnsi="Calibri" w:cs="Times New Roman"/>
                <w:lang w:eastAsia="pt-BR"/>
              </w:rPr>
              <w:t>2,6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AFD669" w14:textId="77777777" w:rsidR="002610A0" w:rsidRPr="007B563F" w:rsidRDefault="002610A0" w:rsidP="002610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B563F">
              <w:rPr>
                <w:rFonts w:ascii="Calibri" w:eastAsia="Times New Roman" w:hAnsi="Calibri" w:cs="Times New Roman"/>
                <w:lang w:eastAsia="pt-BR"/>
              </w:rPr>
              <w:t>2,6</w:t>
            </w:r>
          </w:p>
        </w:tc>
      </w:tr>
      <w:tr w:rsidR="00440D01" w:rsidRPr="007B563F" w14:paraId="474F796E" w14:textId="77777777" w:rsidTr="007E6980">
        <w:trPr>
          <w:gridAfter w:val="1"/>
          <w:wAfter w:w="153" w:type="dxa"/>
          <w:trHeight w:val="302"/>
        </w:trPr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6E09E" w14:textId="7EA6C137" w:rsidR="002610A0" w:rsidRPr="007B563F" w:rsidRDefault="002610A0" w:rsidP="002610A0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7B563F">
              <w:rPr>
                <w:rFonts w:ascii="Calibri" w:eastAsia="Times New Roman" w:hAnsi="Calibri" w:cs="Times New Roman"/>
                <w:lang w:eastAsia="pt-BR"/>
              </w:rPr>
              <w:t>Deflator (%</w:t>
            </w:r>
            <w:r w:rsidR="00603C35">
              <w:rPr>
                <w:rFonts w:ascii="Calibri" w:eastAsia="Times New Roman" w:hAnsi="Calibri" w:cs="Times New Roman"/>
                <w:lang w:eastAsia="pt-BR"/>
              </w:rPr>
              <w:t xml:space="preserve"> </w:t>
            </w:r>
            <w:r w:rsidRPr="007B563F">
              <w:rPr>
                <w:rFonts w:ascii="Calibri" w:eastAsia="Times New Roman" w:hAnsi="Calibri" w:cs="Times New Roman"/>
                <w:lang w:eastAsia="pt-BR"/>
              </w:rPr>
              <w:t>a.a.)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EE35" w14:textId="77777777" w:rsidR="002610A0" w:rsidRPr="007B563F" w:rsidRDefault="002610A0" w:rsidP="002610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B563F">
              <w:rPr>
                <w:rFonts w:ascii="Calibri" w:eastAsia="Times New Roman" w:hAnsi="Calibri" w:cs="Times New Roman"/>
                <w:lang w:eastAsia="pt-BR"/>
              </w:rPr>
              <w:t>5,4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34CD" w14:textId="77777777" w:rsidR="002610A0" w:rsidRPr="007B563F" w:rsidRDefault="002610A0" w:rsidP="002610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B563F">
              <w:rPr>
                <w:rFonts w:ascii="Calibri" w:eastAsia="Times New Roman" w:hAnsi="Calibri" w:cs="Times New Roman"/>
                <w:lang w:eastAsia="pt-BR"/>
              </w:rPr>
              <w:t>5,3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9C99" w14:textId="77777777" w:rsidR="002610A0" w:rsidRPr="007B563F" w:rsidRDefault="002610A0" w:rsidP="002610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B563F">
              <w:rPr>
                <w:rFonts w:ascii="Calibri" w:eastAsia="Times New Roman" w:hAnsi="Calibri" w:cs="Times New Roman"/>
                <w:lang w:eastAsia="pt-BR"/>
              </w:rPr>
              <w:t>5,2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8ACD" w14:textId="77777777" w:rsidR="002610A0" w:rsidRPr="007B563F" w:rsidRDefault="002610A0" w:rsidP="002610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B563F">
              <w:rPr>
                <w:rFonts w:ascii="Calibri" w:eastAsia="Times New Roman" w:hAnsi="Calibri" w:cs="Times New Roman"/>
                <w:lang w:eastAsia="pt-BR"/>
              </w:rPr>
              <w:t>5,0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9FA2" w14:textId="77777777" w:rsidR="002610A0" w:rsidRPr="007B563F" w:rsidRDefault="002610A0" w:rsidP="002610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B563F">
              <w:rPr>
                <w:rFonts w:ascii="Calibri" w:eastAsia="Times New Roman" w:hAnsi="Calibri" w:cs="Times New Roman"/>
                <w:lang w:eastAsia="pt-BR"/>
              </w:rPr>
              <w:t>4,6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D66E" w14:textId="77777777" w:rsidR="002610A0" w:rsidRPr="007B563F" w:rsidRDefault="002610A0" w:rsidP="002610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B563F">
              <w:rPr>
                <w:rFonts w:ascii="Calibri" w:eastAsia="Times New Roman" w:hAnsi="Calibri" w:cs="Times New Roman"/>
                <w:lang w:eastAsia="pt-BR"/>
              </w:rPr>
              <w:t>4,5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05DC" w14:textId="77777777" w:rsidR="002610A0" w:rsidRPr="007B563F" w:rsidRDefault="002610A0" w:rsidP="002610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B563F">
              <w:rPr>
                <w:rFonts w:ascii="Calibri" w:eastAsia="Times New Roman" w:hAnsi="Calibri" w:cs="Times New Roman"/>
                <w:lang w:eastAsia="pt-BR"/>
              </w:rPr>
              <w:t>4,4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C934" w14:textId="77777777" w:rsidR="002610A0" w:rsidRPr="007B563F" w:rsidRDefault="002610A0" w:rsidP="002610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B563F">
              <w:rPr>
                <w:rFonts w:ascii="Calibri" w:eastAsia="Times New Roman" w:hAnsi="Calibri" w:cs="Times New Roman"/>
                <w:lang w:eastAsia="pt-BR"/>
              </w:rPr>
              <w:t>4,3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C822B" w14:textId="77777777" w:rsidR="002610A0" w:rsidRPr="007B563F" w:rsidRDefault="002610A0" w:rsidP="002610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B563F">
              <w:rPr>
                <w:rFonts w:ascii="Calibri" w:eastAsia="Times New Roman" w:hAnsi="Calibri" w:cs="Times New Roman"/>
                <w:lang w:eastAsia="pt-BR"/>
              </w:rPr>
              <w:t>4,3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9A80E4" w14:textId="77777777" w:rsidR="002610A0" w:rsidRPr="007B563F" w:rsidRDefault="002610A0" w:rsidP="002610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B563F">
              <w:rPr>
                <w:rFonts w:ascii="Calibri" w:eastAsia="Times New Roman" w:hAnsi="Calibri" w:cs="Times New Roman"/>
                <w:lang w:eastAsia="pt-BR"/>
              </w:rPr>
              <w:t>4,2</w:t>
            </w:r>
          </w:p>
        </w:tc>
      </w:tr>
      <w:tr w:rsidR="00440D01" w:rsidRPr="007B563F" w14:paraId="6DCAF19F" w14:textId="77777777" w:rsidTr="007E6980">
        <w:trPr>
          <w:gridAfter w:val="1"/>
          <w:wAfter w:w="153" w:type="dxa"/>
          <w:trHeight w:val="302"/>
        </w:trPr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3931" w14:textId="77777777" w:rsidR="002610A0" w:rsidRPr="007B563F" w:rsidRDefault="002610A0" w:rsidP="002610A0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7B563F">
              <w:rPr>
                <w:rFonts w:ascii="Calibri" w:eastAsia="Times New Roman" w:hAnsi="Calibri" w:cs="Times New Roman"/>
                <w:lang w:eastAsia="pt-BR"/>
              </w:rPr>
              <w:t>IGP-DI (% a.a.)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8EA89" w14:textId="77777777" w:rsidR="002610A0" w:rsidRPr="007B563F" w:rsidRDefault="002610A0" w:rsidP="002610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B563F">
              <w:rPr>
                <w:rFonts w:ascii="Calibri" w:eastAsia="Times New Roman" w:hAnsi="Calibri" w:cs="Times New Roman"/>
                <w:lang w:eastAsia="pt-BR"/>
              </w:rPr>
              <w:t>-1,0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6C86" w14:textId="77777777" w:rsidR="002610A0" w:rsidRPr="007B563F" w:rsidRDefault="002610A0" w:rsidP="002610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B563F">
              <w:rPr>
                <w:rFonts w:ascii="Calibri" w:eastAsia="Times New Roman" w:hAnsi="Calibri" w:cs="Times New Roman"/>
                <w:lang w:eastAsia="pt-BR"/>
              </w:rPr>
              <w:t>4,5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39F4" w14:textId="77777777" w:rsidR="002610A0" w:rsidRPr="007B563F" w:rsidRDefault="002610A0" w:rsidP="002610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B563F">
              <w:rPr>
                <w:rFonts w:ascii="Calibri" w:eastAsia="Times New Roman" w:hAnsi="Calibri" w:cs="Times New Roman"/>
                <w:lang w:eastAsia="pt-BR"/>
              </w:rPr>
              <w:t>4,2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62758" w14:textId="77777777" w:rsidR="002610A0" w:rsidRPr="007B563F" w:rsidRDefault="002610A0" w:rsidP="002610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B563F">
              <w:rPr>
                <w:rFonts w:ascii="Calibri" w:eastAsia="Times New Roman" w:hAnsi="Calibri" w:cs="Times New Roman"/>
                <w:lang w:eastAsia="pt-BR"/>
              </w:rPr>
              <w:t>4,0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055C7" w14:textId="77777777" w:rsidR="002610A0" w:rsidRPr="007B563F" w:rsidRDefault="002610A0" w:rsidP="002610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B563F">
              <w:rPr>
                <w:rFonts w:ascii="Calibri" w:eastAsia="Times New Roman" w:hAnsi="Calibri" w:cs="Times New Roman"/>
                <w:lang w:eastAsia="pt-BR"/>
              </w:rPr>
              <w:t>4,0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820A" w14:textId="77777777" w:rsidR="002610A0" w:rsidRPr="007B563F" w:rsidRDefault="002610A0" w:rsidP="002610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B563F">
              <w:rPr>
                <w:rFonts w:ascii="Calibri" w:eastAsia="Times New Roman" w:hAnsi="Calibri" w:cs="Times New Roman"/>
                <w:lang w:eastAsia="pt-BR"/>
              </w:rPr>
              <w:t>4,0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B629" w14:textId="77777777" w:rsidR="002610A0" w:rsidRPr="007B563F" w:rsidRDefault="002610A0" w:rsidP="002610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B563F">
              <w:rPr>
                <w:rFonts w:ascii="Calibri" w:eastAsia="Times New Roman" w:hAnsi="Calibri" w:cs="Times New Roman"/>
                <w:lang w:eastAsia="pt-BR"/>
              </w:rPr>
              <w:t>4,0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3EE6" w14:textId="77777777" w:rsidR="002610A0" w:rsidRPr="007B563F" w:rsidRDefault="002610A0" w:rsidP="002610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B563F">
              <w:rPr>
                <w:rFonts w:ascii="Calibri" w:eastAsia="Times New Roman" w:hAnsi="Calibri" w:cs="Times New Roman"/>
                <w:lang w:eastAsia="pt-BR"/>
              </w:rPr>
              <w:t>4,0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2EF13" w14:textId="77777777" w:rsidR="002610A0" w:rsidRPr="007B563F" w:rsidRDefault="002610A0" w:rsidP="002610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B563F">
              <w:rPr>
                <w:rFonts w:ascii="Calibri" w:eastAsia="Times New Roman" w:hAnsi="Calibri" w:cs="Times New Roman"/>
                <w:lang w:eastAsia="pt-BR"/>
              </w:rPr>
              <w:t>4,0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CA6680" w14:textId="77777777" w:rsidR="002610A0" w:rsidRPr="007B563F" w:rsidRDefault="002610A0" w:rsidP="002610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B563F">
              <w:rPr>
                <w:rFonts w:ascii="Calibri" w:eastAsia="Times New Roman" w:hAnsi="Calibri" w:cs="Times New Roman"/>
                <w:lang w:eastAsia="pt-BR"/>
              </w:rPr>
              <w:t>4,0</w:t>
            </w:r>
          </w:p>
        </w:tc>
      </w:tr>
      <w:tr w:rsidR="00440D01" w:rsidRPr="007B563F" w14:paraId="4C0FD640" w14:textId="77777777" w:rsidTr="007E6980">
        <w:trPr>
          <w:gridAfter w:val="1"/>
          <w:wAfter w:w="153" w:type="dxa"/>
          <w:trHeight w:val="302"/>
        </w:trPr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458A6" w14:textId="77777777" w:rsidR="002610A0" w:rsidRPr="007B563F" w:rsidRDefault="002610A0" w:rsidP="002610A0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7B563F">
              <w:rPr>
                <w:rFonts w:ascii="Calibri" w:eastAsia="Times New Roman" w:hAnsi="Calibri" w:cs="Times New Roman"/>
                <w:lang w:eastAsia="pt-BR"/>
              </w:rPr>
              <w:t>IPCA (% a.a.)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9A3C2" w14:textId="77777777" w:rsidR="002610A0" w:rsidRPr="007B563F" w:rsidRDefault="002610A0" w:rsidP="002610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B563F">
              <w:rPr>
                <w:rFonts w:ascii="Calibri" w:eastAsia="Times New Roman" w:hAnsi="Calibri" w:cs="Times New Roman"/>
                <w:lang w:eastAsia="pt-BR"/>
              </w:rPr>
              <w:t>3,5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1FF1" w14:textId="77777777" w:rsidR="002610A0" w:rsidRPr="007B563F" w:rsidRDefault="002610A0" w:rsidP="002610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B563F">
              <w:rPr>
                <w:rFonts w:ascii="Calibri" w:eastAsia="Times New Roman" w:hAnsi="Calibri" w:cs="Times New Roman"/>
                <w:lang w:eastAsia="pt-BR"/>
              </w:rPr>
              <w:t>4,2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51EA" w14:textId="77777777" w:rsidR="002610A0" w:rsidRPr="007B563F" w:rsidRDefault="002610A0" w:rsidP="002610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B563F">
              <w:rPr>
                <w:rFonts w:ascii="Calibri" w:eastAsia="Times New Roman" w:hAnsi="Calibri" w:cs="Times New Roman"/>
                <w:lang w:eastAsia="pt-BR"/>
              </w:rPr>
              <w:t>4,2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7764" w14:textId="77777777" w:rsidR="002610A0" w:rsidRPr="007B563F" w:rsidRDefault="002610A0" w:rsidP="002610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B563F">
              <w:rPr>
                <w:rFonts w:ascii="Calibri" w:eastAsia="Times New Roman" w:hAnsi="Calibri" w:cs="Times New Roman"/>
                <w:lang w:eastAsia="pt-BR"/>
              </w:rPr>
              <w:t>4,0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1B0F" w14:textId="77777777" w:rsidR="002610A0" w:rsidRPr="007B563F" w:rsidRDefault="002610A0" w:rsidP="002610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B563F">
              <w:rPr>
                <w:rFonts w:ascii="Calibri" w:eastAsia="Times New Roman" w:hAnsi="Calibri" w:cs="Times New Roman"/>
                <w:lang w:eastAsia="pt-BR"/>
              </w:rPr>
              <w:t>4,0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DF38" w14:textId="77777777" w:rsidR="002610A0" w:rsidRPr="007B563F" w:rsidRDefault="002610A0" w:rsidP="002610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B563F">
              <w:rPr>
                <w:rFonts w:ascii="Calibri" w:eastAsia="Times New Roman" w:hAnsi="Calibri" w:cs="Times New Roman"/>
                <w:lang w:eastAsia="pt-BR"/>
              </w:rPr>
              <w:t>4,0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C6035" w14:textId="77777777" w:rsidR="002610A0" w:rsidRPr="007B563F" w:rsidRDefault="002610A0" w:rsidP="002610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B563F">
              <w:rPr>
                <w:rFonts w:ascii="Calibri" w:eastAsia="Times New Roman" w:hAnsi="Calibri" w:cs="Times New Roman"/>
                <w:lang w:eastAsia="pt-BR"/>
              </w:rPr>
              <w:t>4,0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8447" w14:textId="77777777" w:rsidR="002610A0" w:rsidRPr="007B563F" w:rsidRDefault="002610A0" w:rsidP="002610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B563F">
              <w:rPr>
                <w:rFonts w:ascii="Calibri" w:eastAsia="Times New Roman" w:hAnsi="Calibri" w:cs="Times New Roman"/>
                <w:lang w:eastAsia="pt-BR"/>
              </w:rPr>
              <w:t>4,0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8C63" w14:textId="77777777" w:rsidR="002610A0" w:rsidRPr="007B563F" w:rsidRDefault="002610A0" w:rsidP="002610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B563F">
              <w:rPr>
                <w:rFonts w:ascii="Calibri" w:eastAsia="Times New Roman" w:hAnsi="Calibri" w:cs="Times New Roman"/>
                <w:lang w:eastAsia="pt-BR"/>
              </w:rPr>
              <w:t>4,0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C462D2" w14:textId="77777777" w:rsidR="002610A0" w:rsidRPr="007B563F" w:rsidRDefault="002610A0" w:rsidP="002610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B563F">
              <w:rPr>
                <w:rFonts w:ascii="Calibri" w:eastAsia="Times New Roman" w:hAnsi="Calibri" w:cs="Times New Roman"/>
                <w:lang w:eastAsia="pt-BR"/>
              </w:rPr>
              <w:t>4,0</w:t>
            </w:r>
          </w:p>
        </w:tc>
      </w:tr>
      <w:tr w:rsidR="00440D01" w:rsidRPr="007B563F" w14:paraId="0E5D6067" w14:textId="77777777" w:rsidTr="007E6980">
        <w:trPr>
          <w:gridAfter w:val="1"/>
          <w:wAfter w:w="153" w:type="dxa"/>
          <w:trHeight w:val="302"/>
        </w:trPr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B256D" w14:textId="342CC859" w:rsidR="002610A0" w:rsidRPr="007B563F" w:rsidRDefault="002610A0" w:rsidP="002610A0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7B563F">
              <w:rPr>
                <w:rFonts w:ascii="Calibri" w:eastAsia="Times New Roman" w:hAnsi="Calibri" w:cs="Times New Roman"/>
                <w:lang w:eastAsia="pt-BR"/>
              </w:rPr>
              <w:t>Resultado Primário (% do PIB)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87B6" w14:textId="77777777" w:rsidR="002610A0" w:rsidRPr="007B563F" w:rsidRDefault="002610A0" w:rsidP="002610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B563F">
              <w:rPr>
                <w:rFonts w:ascii="Calibri" w:eastAsia="Times New Roman" w:hAnsi="Calibri" w:cs="Times New Roman"/>
                <w:lang w:eastAsia="pt-BR"/>
              </w:rPr>
              <w:t>-2,5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250A" w14:textId="77777777" w:rsidR="002610A0" w:rsidRPr="007B563F" w:rsidRDefault="002610A0" w:rsidP="002610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B563F">
              <w:rPr>
                <w:rFonts w:ascii="Calibri" w:eastAsia="Times New Roman" w:hAnsi="Calibri" w:cs="Times New Roman"/>
                <w:lang w:eastAsia="pt-BR"/>
              </w:rPr>
              <w:t>-2,3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B4E5" w14:textId="77777777" w:rsidR="002610A0" w:rsidRPr="007B563F" w:rsidRDefault="002610A0" w:rsidP="002610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B563F">
              <w:rPr>
                <w:rFonts w:ascii="Calibri" w:eastAsia="Times New Roman" w:hAnsi="Calibri" w:cs="Times New Roman"/>
                <w:lang w:eastAsia="pt-BR"/>
              </w:rPr>
              <w:t>-1,8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7AE0" w14:textId="77777777" w:rsidR="002610A0" w:rsidRPr="007B563F" w:rsidRDefault="002610A0" w:rsidP="002610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B563F">
              <w:rPr>
                <w:rFonts w:ascii="Calibri" w:eastAsia="Times New Roman" w:hAnsi="Calibri" w:cs="Times New Roman"/>
                <w:lang w:eastAsia="pt-BR"/>
              </w:rPr>
              <w:t>-0,6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BA5E" w14:textId="77777777" w:rsidR="002610A0" w:rsidRPr="007B563F" w:rsidRDefault="002610A0" w:rsidP="002610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B563F">
              <w:rPr>
                <w:rFonts w:ascii="Calibri" w:eastAsia="Times New Roman" w:hAnsi="Calibri" w:cs="Times New Roman"/>
                <w:lang w:eastAsia="pt-BR"/>
              </w:rPr>
              <w:t>0,1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B7D91" w14:textId="77777777" w:rsidR="002610A0" w:rsidRPr="007B563F" w:rsidRDefault="002610A0" w:rsidP="002610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B563F">
              <w:rPr>
                <w:rFonts w:ascii="Calibri" w:eastAsia="Times New Roman" w:hAnsi="Calibri" w:cs="Times New Roman"/>
                <w:lang w:eastAsia="pt-BR"/>
              </w:rPr>
              <w:t>0,4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0035" w14:textId="77777777" w:rsidR="002610A0" w:rsidRPr="007B563F" w:rsidRDefault="002610A0" w:rsidP="002610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B563F">
              <w:rPr>
                <w:rFonts w:ascii="Calibri" w:eastAsia="Times New Roman" w:hAnsi="Calibri" w:cs="Times New Roman"/>
                <w:lang w:eastAsia="pt-BR"/>
              </w:rPr>
              <w:t>0,7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FDF7" w14:textId="77777777" w:rsidR="002610A0" w:rsidRPr="007B563F" w:rsidRDefault="002610A0" w:rsidP="002610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B563F">
              <w:rPr>
                <w:rFonts w:ascii="Calibri" w:eastAsia="Times New Roman" w:hAnsi="Calibri" w:cs="Times New Roman"/>
                <w:lang w:eastAsia="pt-BR"/>
              </w:rPr>
              <w:t>1,0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F1BA" w14:textId="77777777" w:rsidR="002610A0" w:rsidRPr="007B563F" w:rsidRDefault="002610A0" w:rsidP="002610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B563F">
              <w:rPr>
                <w:rFonts w:ascii="Calibri" w:eastAsia="Times New Roman" w:hAnsi="Calibri" w:cs="Times New Roman"/>
                <w:lang w:eastAsia="pt-BR"/>
              </w:rPr>
              <w:t>1,1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CA564C" w14:textId="77777777" w:rsidR="002610A0" w:rsidRPr="007B563F" w:rsidRDefault="002610A0" w:rsidP="002610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B563F">
              <w:rPr>
                <w:rFonts w:ascii="Calibri" w:eastAsia="Times New Roman" w:hAnsi="Calibri" w:cs="Times New Roman"/>
                <w:lang w:eastAsia="pt-BR"/>
              </w:rPr>
              <w:t>1,2</w:t>
            </w:r>
          </w:p>
        </w:tc>
      </w:tr>
      <w:tr w:rsidR="00440D01" w:rsidRPr="007B563F" w14:paraId="6DB74425" w14:textId="77777777" w:rsidTr="007E6980">
        <w:trPr>
          <w:gridAfter w:val="1"/>
          <w:wAfter w:w="153" w:type="dxa"/>
          <w:trHeight w:val="302"/>
        </w:trPr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0B23" w14:textId="77777777" w:rsidR="002610A0" w:rsidRPr="007B563F" w:rsidRDefault="002610A0" w:rsidP="002610A0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7B563F">
              <w:rPr>
                <w:rFonts w:ascii="Calibri" w:eastAsia="Times New Roman" w:hAnsi="Calibri" w:cs="Times New Roman"/>
                <w:lang w:eastAsia="pt-BR"/>
              </w:rPr>
              <w:t>Taxa Selic (% a.a.)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0EA2" w14:textId="77777777" w:rsidR="002610A0" w:rsidRPr="007B563F" w:rsidRDefault="002610A0" w:rsidP="002610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B563F">
              <w:rPr>
                <w:rFonts w:ascii="Calibri" w:eastAsia="Times New Roman" w:hAnsi="Calibri" w:cs="Times New Roman"/>
                <w:lang w:eastAsia="pt-BR"/>
              </w:rPr>
              <w:t>10,0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E63A6" w14:textId="77777777" w:rsidR="002610A0" w:rsidRPr="007B563F" w:rsidRDefault="002610A0" w:rsidP="002610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B563F">
              <w:rPr>
                <w:rFonts w:ascii="Calibri" w:eastAsia="Times New Roman" w:hAnsi="Calibri" w:cs="Times New Roman"/>
                <w:lang w:eastAsia="pt-BR"/>
              </w:rPr>
              <w:t>7,0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A875" w14:textId="77777777" w:rsidR="002610A0" w:rsidRPr="007B563F" w:rsidRDefault="002610A0" w:rsidP="002610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B563F">
              <w:rPr>
                <w:rFonts w:ascii="Calibri" w:eastAsia="Times New Roman" w:hAnsi="Calibri" w:cs="Times New Roman"/>
                <w:lang w:eastAsia="pt-BR"/>
              </w:rPr>
              <w:t>7,5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391D" w14:textId="77777777" w:rsidR="002610A0" w:rsidRPr="007B563F" w:rsidRDefault="002610A0" w:rsidP="002610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B563F">
              <w:rPr>
                <w:rFonts w:ascii="Calibri" w:eastAsia="Times New Roman" w:hAnsi="Calibri" w:cs="Times New Roman"/>
                <w:lang w:eastAsia="pt-BR"/>
              </w:rPr>
              <w:t>8,0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3F89C" w14:textId="77777777" w:rsidR="002610A0" w:rsidRPr="007B563F" w:rsidRDefault="002610A0" w:rsidP="002610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B563F">
              <w:rPr>
                <w:rFonts w:ascii="Calibri" w:eastAsia="Times New Roman" w:hAnsi="Calibri" w:cs="Times New Roman"/>
                <w:lang w:eastAsia="pt-BR"/>
              </w:rPr>
              <w:t>8,0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41CE" w14:textId="77777777" w:rsidR="002610A0" w:rsidRPr="007B563F" w:rsidRDefault="002610A0" w:rsidP="002610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B563F">
              <w:rPr>
                <w:rFonts w:ascii="Calibri" w:eastAsia="Times New Roman" w:hAnsi="Calibri" w:cs="Times New Roman"/>
                <w:lang w:eastAsia="pt-BR"/>
              </w:rPr>
              <w:t>8,0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3A1A" w14:textId="77777777" w:rsidR="002610A0" w:rsidRPr="007B563F" w:rsidRDefault="002610A0" w:rsidP="002610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B563F">
              <w:rPr>
                <w:rFonts w:ascii="Calibri" w:eastAsia="Times New Roman" w:hAnsi="Calibri" w:cs="Times New Roman"/>
                <w:lang w:eastAsia="pt-BR"/>
              </w:rPr>
              <w:t>8,0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3CF1C" w14:textId="77777777" w:rsidR="002610A0" w:rsidRPr="007B563F" w:rsidRDefault="002610A0" w:rsidP="002610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B563F">
              <w:rPr>
                <w:rFonts w:ascii="Calibri" w:eastAsia="Times New Roman" w:hAnsi="Calibri" w:cs="Times New Roman"/>
                <w:lang w:eastAsia="pt-BR"/>
              </w:rPr>
              <w:t>8,0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52F1" w14:textId="77777777" w:rsidR="002610A0" w:rsidRPr="007B563F" w:rsidRDefault="002610A0" w:rsidP="002610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B563F">
              <w:rPr>
                <w:rFonts w:ascii="Calibri" w:eastAsia="Times New Roman" w:hAnsi="Calibri" w:cs="Times New Roman"/>
                <w:lang w:eastAsia="pt-BR"/>
              </w:rPr>
              <w:t>8,0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03C55D" w14:textId="77777777" w:rsidR="002610A0" w:rsidRPr="007B563F" w:rsidRDefault="002610A0" w:rsidP="002610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7B563F">
              <w:rPr>
                <w:rFonts w:ascii="Calibri" w:eastAsia="Times New Roman" w:hAnsi="Calibri" w:cs="Times New Roman"/>
                <w:lang w:eastAsia="pt-BR"/>
              </w:rPr>
              <w:t>8,0</w:t>
            </w:r>
          </w:p>
        </w:tc>
      </w:tr>
      <w:tr w:rsidR="00F71ECE" w:rsidRPr="007B563F" w14:paraId="426D6246" w14:textId="77777777" w:rsidTr="00732B83">
        <w:trPr>
          <w:trHeight w:val="302"/>
        </w:trPr>
        <w:tc>
          <w:tcPr>
            <w:tcW w:w="937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C1C68" w14:textId="51F74C23" w:rsidR="00F71ECE" w:rsidRPr="007B563F" w:rsidRDefault="00F71ECE" w:rsidP="002610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7B563F">
              <w:rPr>
                <w:rFonts w:ascii="Calibri" w:eastAsia="Times New Roman" w:hAnsi="Calibri" w:cs="Times New Roman"/>
                <w:lang w:eastAsia="pt-BR"/>
              </w:rPr>
              <w:t>Fonte: Grade de Parâmetros da SPE</w:t>
            </w:r>
            <w:r>
              <w:rPr>
                <w:rFonts w:ascii="Calibri" w:eastAsia="Times New Roman" w:hAnsi="Calibri" w:cs="Times New Roman"/>
                <w:lang w:eastAsia="pt-BR"/>
              </w:rPr>
              <w:t xml:space="preserve"> até 2020</w:t>
            </w:r>
            <w:r w:rsidRPr="007B563F">
              <w:rPr>
                <w:rFonts w:ascii="Calibri" w:eastAsia="Times New Roman" w:hAnsi="Calibri" w:cs="Times New Roman"/>
                <w:lang w:eastAsia="pt-BR"/>
              </w:rPr>
              <w:t>. A</w:t>
            </w:r>
            <w:r>
              <w:rPr>
                <w:rFonts w:ascii="Calibri" w:eastAsia="Times New Roman" w:hAnsi="Calibri" w:cs="Times New Roman"/>
                <w:lang w:eastAsia="pt-BR"/>
              </w:rPr>
              <w:t xml:space="preserve">s projeções de 2021 em diante são da </w:t>
            </w:r>
            <w:r w:rsidRPr="007B563F">
              <w:rPr>
                <w:rFonts w:ascii="Calibri" w:eastAsia="Times New Roman" w:hAnsi="Calibri" w:cs="Times New Roman"/>
                <w:lang w:eastAsia="pt-BR"/>
              </w:rPr>
              <w:t>STN.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A9399" w14:textId="77777777" w:rsidR="00F71ECE" w:rsidRPr="007B563F" w:rsidRDefault="00F71ECE" w:rsidP="002610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610A0" w:rsidRPr="007B563F" w14:paraId="49064C8C" w14:textId="77777777" w:rsidTr="007E6980">
        <w:trPr>
          <w:trHeight w:val="302"/>
        </w:trPr>
        <w:tc>
          <w:tcPr>
            <w:tcW w:w="63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FDD7C" w14:textId="27B05EAD" w:rsidR="002610A0" w:rsidRPr="007B563F" w:rsidRDefault="002610A0" w:rsidP="00F71ECE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0D7E1" w14:textId="77777777" w:rsidR="002610A0" w:rsidRPr="007B563F" w:rsidRDefault="002610A0" w:rsidP="002610A0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6BA11" w14:textId="77777777" w:rsidR="002610A0" w:rsidRPr="007B563F" w:rsidRDefault="002610A0" w:rsidP="002610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CE43C" w14:textId="77777777" w:rsidR="002610A0" w:rsidRPr="007B563F" w:rsidRDefault="002610A0" w:rsidP="002610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CA545" w14:textId="77777777" w:rsidR="002610A0" w:rsidRPr="007B563F" w:rsidRDefault="002610A0" w:rsidP="002610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D08E0" w14:textId="77777777" w:rsidR="002610A0" w:rsidRPr="007B563F" w:rsidRDefault="002610A0" w:rsidP="002610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A7E25" w14:textId="77777777" w:rsidR="002610A0" w:rsidRPr="007B563F" w:rsidRDefault="002610A0" w:rsidP="002610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</w:tbl>
    <w:p w14:paraId="11B3817C" w14:textId="30175893" w:rsidR="001A7A9B" w:rsidRPr="007B563F" w:rsidRDefault="001A7A9B" w:rsidP="007E6980">
      <w:pPr>
        <w:spacing w:after="0" w:line="240" w:lineRule="auto"/>
        <w:rPr>
          <w:noProof/>
        </w:rPr>
      </w:pPr>
    </w:p>
    <w:sectPr w:rsidR="001A7A9B" w:rsidRPr="007B563F" w:rsidSect="0079272F">
      <w:headerReference w:type="default" r:id="rId18"/>
      <w:footerReference w:type="default" r:id="rId19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EA24FE" w14:textId="77777777" w:rsidR="005477C6" w:rsidRDefault="005477C6" w:rsidP="00B723F9">
      <w:pPr>
        <w:spacing w:after="0" w:line="240" w:lineRule="auto"/>
      </w:pPr>
      <w:r>
        <w:separator/>
      </w:r>
    </w:p>
  </w:endnote>
  <w:endnote w:type="continuationSeparator" w:id="0">
    <w:p w14:paraId="07431E5D" w14:textId="77777777" w:rsidR="005477C6" w:rsidRDefault="005477C6" w:rsidP="00B72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116368"/>
      <w:docPartObj>
        <w:docPartGallery w:val="Page Numbers (Bottom of Page)"/>
        <w:docPartUnique/>
      </w:docPartObj>
    </w:sdtPr>
    <w:sdtEndPr/>
    <w:sdtContent>
      <w:p w14:paraId="35794D69" w14:textId="2D50C7AC" w:rsidR="00387981" w:rsidRDefault="00387981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424F">
          <w:rPr>
            <w:noProof/>
          </w:rPr>
          <w:t>6</w:t>
        </w:r>
        <w:r>
          <w:fldChar w:fldCharType="end"/>
        </w:r>
      </w:p>
    </w:sdtContent>
  </w:sdt>
  <w:p w14:paraId="1AC5C8FC" w14:textId="77777777" w:rsidR="00387981" w:rsidRDefault="0038798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805713" w14:textId="77777777" w:rsidR="005477C6" w:rsidRDefault="005477C6" w:rsidP="00B723F9">
      <w:pPr>
        <w:spacing w:after="0" w:line="240" w:lineRule="auto"/>
      </w:pPr>
      <w:r>
        <w:separator/>
      </w:r>
    </w:p>
  </w:footnote>
  <w:footnote w:type="continuationSeparator" w:id="0">
    <w:p w14:paraId="5E6D7681" w14:textId="77777777" w:rsidR="005477C6" w:rsidRDefault="005477C6" w:rsidP="00B723F9">
      <w:pPr>
        <w:spacing w:after="0" w:line="240" w:lineRule="auto"/>
      </w:pPr>
      <w:r>
        <w:continuationSeparator/>
      </w:r>
    </w:p>
  </w:footnote>
  <w:footnote w:id="1">
    <w:p w14:paraId="40A8E084" w14:textId="77777777" w:rsidR="00776C51" w:rsidRPr="00A80811" w:rsidRDefault="00776C51" w:rsidP="004D7994">
      <w:pPr>
        <w:pStyle w:val="Textodenotaderodap"/>
        <w:jc w:val="both"/>
        <w:rPr>
          <w:sz w:val="18"/>
          <w:szCs w:val="18"/>
        </w:rPr>
      </w:pPr>
      <w:r w:rsidRPr="00A80811">
        <w:rPr>
          <w:rStyle w:val="Refdenotaderodap"/>
          <w:sz w:val="18"/>
          <w:szCs w:val="18"/>
        </w:rPr>
        <w:footnoteRef/>
      </w:r>
      <w:r w:rsidRPr="00A80811">
        <w:rPr>
          <w:sz w:val="18"/>
          <w:szCs w:val="18"/>
        </w:rPr>
        <w:t xml:space="preserve"> Os subsídios implícitos têm origem na diferença entre o custo de financiamento da STN e a remuneração dos empréstimos pelas instituições oficiais. </w:t>
      </w:r>
    </w:p>
  </w:footnote>
  <w:footnote w:id="2">
    <w:p w14:paraId="6EF6412D" w14:textId="32EF7319" w:rsidR="00853D03" w:rsidRPr="00A80811" w:rsidRDefault="00853D03" w:rsidP="00A80811">
      <w:pPr>
        <w:pStyle w:val="Textodenotaderodap"/>
        <w:jc w:val="both"/>
        <w:rPr>
          <w:sz w:val="18"/>
          <w:szCs w:val="18"/>
        </w:rPr>
      </w:pPr>
      <w:r w:rsidRPr="00A80811">
        <w:rPr>
          <w:rStyle w:val="Refdenotaderodap"/>
          <w:sz w:val="18"/>
          <w:szCs w:val="18"/>
        </w:rPr>
        <w:footnoteRef/>
      </w:r>
      <w:r w:rsidRPr="00A80811">
        <w:rPr>
          <w:sz w:val="18"/>
          <w:szCs w:val="18"/>
        </w:rPr>
        <w:t xml:space="preserve"> Os cenários foram construídos com base na grade de parâmetros da Secretaria de Política Econômica (SPE)</w:t>
      </w:r>
      <w:r w:rsidR="001A1B64">
        <w:rPr>
          <w:sz w:val="18"/>
          <w:szCs w:val="18"/>
        </w:rPr>
        <w:t xml:space="preserve"> e da STN</w:t>
      </w:r>
      <w:r w:rsidRPr="00A80811">
        <w:rPr>
          <w:sz w:val="18"/>
          <w:szCs w:val="18"/>
        </w:rPr>
        <w:t xml:space="preserve">, conforme </w:t>
      </w:r>
      <w:r w:rsidR="00586C7E">
        <w:rPr>
          <w:sz w:val="18"/>
          <w:szCs w:val="18"/>
        </w:rPr>
        <w:t xml:space="preserve">se </w:t>
      </w:r>
      <w:r w:rsidRPr="00A80811">
        <w:rPr>
          <w:sz w:val="18"/>
          <w:szCs w:val="18"/>
        </w:rPr>
        <w:t>pode observa</w:t>
      </w:r>
      <w:r w:rsidR="00586C7E">
        <w:rPr>
          <w:sz w:val="18"/>
          <w:szCs w:val="18"/>
        </w:rPr>
        <w:t>r</w:t>
      </w:r>
      <w:r w:rsidRPr="00A80811">
        <w:rPr>
          <w:sz w:val="18"/>
          <w:szCs w:val="18"/>
        </w:rPr>
        <w:t xml:space="preserve"> no Anexo.</w:t>
      </w:r>
    </w:p>
  </w:footnote>
  <w:footnote w:id="3">
    <w:p w14:paraId="47A11F5A" w14:textId="3113008A" w:rsidR="009A55DE" w:rsidRPr="00A80811" w:rsidRDefault="009A55DE" w:rsidP="00A80811">
      <w:pPr>
        <w:pStyle w:val="Textodenotaderodap"/>
        <w:jc w:val="both"/>
        <w:rPr>
          <w:sz w:val="18"/>
          <w:szCs w:val="18"/>
        </w:rPr>
      </w:pPr>
      <w:r w:rsidRPr="00A80811">
        <w:rPr>
          <w:rStyle w:val="Refdenotaderodap"/>
          <w:sz w:val="18"/>
          <w:szCs w:val="18"/>
        </w:rPr>
        <w:footnoteRef/>
      </w:r>
      <w:r w:rsidRPr="00A80811">
        <w:rPr>
          <w:sz w:val="18"/>
          <w:szCs w:val="18"/>
        </w:rPr>
        <w:t xml:space="preserve"> Os cenários foram traçados de acordo com as seguintes premissas sobre a volta dos ativos do BNDES para a STN, tudo o mais constante:</w:t>
      </w:r>
    </w:p>
    <w:p w14:paraId="0B3C8ED3" w14:textId="77777777" w:rsidR="009A55DE" w:rsidRPr="00A80811" w:rsidRDefault="009A55DE" w:rsidP="00A80811">
      <w:pPr>
        <w:pStyle w:val="Textodenotaderodap"/>
        <w:jc w:val="both"/>
        <w:rPr>
          <w:sz w:val="18"/>
          <w:szCs w:val="18"/>
        </w:rPr>
      </w:pPr>
      <w:r w:rsidRPr="00A80811">
        <w:rPr>
          <w:sz w:val="18"/>
          <w:szCs w:val="18"/>
        </w:rPr>
        <w:t>i) Em dezembro 2015 retornaram R$ 30,5 bilhões do BNDES.</w:t>
      </w:r>
    </w:p>
    <w:p w14:paraId="2D3FE0F0" w14:textId="77777777" w:rsidR="009A55DE" w:rsidRPr="00A80811" w:rsidRDefault="009A55DE" w:rsidP="00A80811">
      <w:pPr>
        <w:pStyle w:val="Textodenotaderodap"/>
        <w:jc w:val="both"/>
        <w:rPr>
          <w:sz w:val="18"/>
          <w:szCs w:val="18"/>
        </w:rPr>
      </w:pPr>
      <w:r w:rsidRPr="00A80811">
        <w:rPr>
          <w:sz w:val="18"/>
          <w:szCs w:val="18"/>
        </w:rPr>
        <w:t>ii) Em dezembro de 2016 retornaram R$ 100 bilhões do BNDES.</w:t>
      </w:r>
    </w:p>
    <w:p w14:paraId="06A51814" w14:textId="074FF9E6" w:rsidR="009A55DE" w:rsidRPr="00A80811" w:rsidRDefault="009A55DE" w:rsidP="00A80811">
      <w:pPr>
        <w:pStyle w:val="Textodenotaderodap"/>
        <w:jc w:val="both"/>
        <w:rPr>
          <w:sz w:val="18"/>
          <w:szCs w:val="18"/>
        </w:rPr>
      </w:pPr>
      <w:r w:rsidRPr="00A80811">
        <w:rPr>
          <w:sz w:val="18"/>
          <w:szCs w:val="18"/>
        </w:rPr>
        <w:t xml:space="preserve">iii) </w:t>
      </w:r>
      <w:r w:rsidR="00502255">
        <w:rPr>
          <w:sz w:val="18"/>
          <w:szCs w:val="18"/>
        </w:rPr>
        <w:t xml:space="preserve">Em </w:t>
      </w:r>
      <w:r w:rsidRPr="00A80811">
        <w:rPr>
          <w:sz w:val="18"/>
          <w:szCs w:val="18"/>
        </w:rPr>
        <w:t>2017</w:t>
      </w:r>
      <w:r w:rsidR="00502255">
        <w:rPr>
          <w:sz w:val="18"/>
          <w:szCs w:val="18"/>
        </w:rPr>
        <w:t xml:space="preserve"> houve</w:t>
      </w:r>
      <w:r w:rsidRPr="00A80811">
        <w:rPr>
          <w:sz w:val="18"/>
          <w:szCs w:val="18"/>
        </w:rPr>
        <w:t xml:space="preserve"> retorn</w:t>
      </w:r>
      <w:r w:rsidR="00502255">
        <w:rPr>
          <w:sz w:val="18"/>
          <w:szCs w:val="18"/>
        </w:rPr>
        <w:t xml:space="preserve">o de </w:t>
      </w:r>
      <w:r w:rsidRPr="00A80811">
        <w:rPr>
          <w:sz w:val="18"/>
          <w:szCs w:val="18"/>
        </w:rPr>
        <w:t>R$ 50 bilhões do BNDES.</w:t>
      </w:r>
    </w:p>
    <w:p w14:paraId="407C5004" w14:textId="06997649" w:rsidR="009A55DE" w:rsidRPr="00A80811" w:rsidRDefault="009A55DE" w:rsidP="00A80811">
      <w:pPr>
        <w:pStyle w:val="Textodenotaderodap"/>
        <w:jc w:val="both"/>
        <w:rPr>
          <w:sz w:val="18"/>
          <w:szCs w:val="18"/>
        </w:rPr>
      </w:pPr>
      <w:r w:rsidRPr="00A80811">
        <w:rPr>
          <w:sz w:val="18"/>
          <w:szCs w:val="18"/>
        </w:rPr>
        <w:t>iv) Há expectativa de que até dezembro de 2018 retorne mais R$ 130 bilhões do BNDES.</w:t>
      </w:r>
    </w:p>
  </w:footnote>
  <w:footnote w:id="4">
    <w:p w14:paraId="29B9F4C2" w14:textId="2042ECE8" w:rsidR="00280733" w:rsidRPr="00A80811" w:rsidRDefault="00280733" w:rsidP="00A80811">
      <w:pPr>
        <w:pStyle w:val="Textodenotaderodap"/>
        <w:jc w:val="both"/>
        <w:rPr>
          <w:sz w:val="18"/>
          <w:szCs w:val="18"/>
        </w:rPr>
      </w:pPr>
      <w:r w:rsidRPr="00A80811">
        <w:rPr>
          <w:rStyle w:val="Refdenotaderodap"/>
          <w:sz w:val="18"/>
          <w:szCs w:val="18"/>
        </w:rPr>
        <w:footnoteRef/>
      </w:r>
      <w:r w:rsidRPr="00A80811">
        <w:rPr>
          <w:sz w:val="18"/>
          <w:szCs w:val="18"/>
        </w:rPr>
        <w:t xml:space="preserve"> Sob essa perspectiva, avaliou-se a trajetória da DBGG considerando </w:t>
      </w:r>
      <w:r w:rsidR="0047710A" w:rsidRPr="00A80811">
        <w:rPr>
          <w:sz w:val="18"/>
          <w:szCs w:val="18"/>
        </w:rPr>
        <w:t>simulações de risco</w:t>
      </w:r>
      <w:r w:rsidRPr="00A80811">
        <w:rPr>
          <w:sz w:val="18"/>
          <w:szCs w:val="18"/>
        </w:rPr>
        <w:t xml:space="preserve">, que apresentam a vantagem de combinar diversos cenários alternativos de PIB e de resultado primário. Esta forma de avaliação contempla tanto cenários de crescimento do PIB com melhora do resultado fiscal, quanto cenários de piora do PIB e do resultado primário, além de cenários intermediários, com estas variáveis se movendo em direções contrárias. Com isso é possível obter intervalos de confiança em torno de uma trajetória central e atribuir probabilidades para o nível da dívida ao longo do tempo. As trajetórias de dívida que se encontram na região central do Gráfico </w:t>
      </w:r>
      <w:r w:rsidR="006411F3" w:rsidRPr="00A80811">
        <w:rPr>
          <w:sz w:val="18"/>
          <w:szCs w:val="18"/>
        </w:rPr>
        <w:t xml:space="preserve">5 </w:t>
      </w:r>
      <w:r w:rsidRPr="00A80811">
        <w:rPr>
          <w:sz w:val="18"/>
          <w:szCs w:val="18"/>
        </w:rPr>
        <w:t xml:space="preserve">têm maior probabilidade de ocorrência, consequentemente, quanto mais próximo das extremidades do leque de projeções, menor a probabilidade de ocorrência das projeções. </w:t>
      </w:r>
    </w:p>
  </w:footnote>
  <w:footnote w:id="5">
    <w:p w14:paraId="5DEF70EB" w14:textId="77777777" w:rsidR="00E91155" w:rsidRPr="00A80811" w:rsidRDefault="00E91155" w:rsidP="00A80811">
      <w:pPr>
        <w:pStyle w:val="Textodenotaderodap"/>
        <w:jc w:val="both"/>
        <w:rPr>
          <w:sz w:val="18"/>
          <w:szCs w:val="18"/>
        </w:rPr>
      </w:pPr>
      <w:r w:rsidRPr="00A80811">
        <w:rPr>
          <w:rStyle w:val="Refdenotaderodap"/>
          <w:sz w:val="18"/>
          <w:szCs w:val="18"/>
        </w:rPr>
        <w:footnoteRef/>
      </w:r>
      <w:r w:rsidRPr="00A80811">
        <w:rPr>
          <w:sz w:val="18"/>
          <w:szCs w:val="18"/>
        </w:rPr>
        <w:t xml:space="preserve"> As </w:t>
      </w:r>
      <w:r w:rsidR="00787EF0" w:rsidRPr="00A80811">
        <w:rPr>
          <w:sz w:val="18"/>
          <w:szCs w:val="18"/>
        </w:rPr>
        <w:t>n</w:t>
      </w:r>
      <w:r w:rsidRPr="00A80811">
        <w:rPr>
          <w:sz w:val="18"/>
          <w:szCs w:val="18"/>
        </w:rPr>
        <w:t xml:space="preserve">ecessidades de financiamento </w:t>
      </w:r>
      <w:r w:rsidR="00787EF0" w:rsidRPr="00A80811">
        <w:rPr>
          <w:sz w:val="18"/>
          <w:szCs w:val="18"/>
        </w:rPr>
        <w:t xml:space="preserve">do setor público (NFSP) </w:t>
      </w:r>
      <w:r w:rsidRPr="00A80811">
        <w:rPr>
          <w:sz w:val="18"/>
          <w:szCs w:val="18"/>
        </w:rPr>
        <w:t>no conceito nominal correspondem à variação nominal dos saldos</w:t>
      </w:r>
      <w:r w:rsidR="00787EF0" w:rsidRPr="00A80811">
        <w:rPr>
          <w:sz w:val="18"/>
          <w:szCs w:val="18"/>
        </w:rPr>
        <w:t xml:space="preserve"> </w:t>
      </w:r>
      <w:r w:rsidRPr="00A80811">
        <w:rPr>
          <w:sz w:val="18"/>
          <w:szCs w:val="18"/>
        </w:rPr>
        <w:t>da dívida líquida, deduzidos os ajustes patrimoniais efetuados no período (privatizações e reconhecimento de dívidas). Em outra perspectiva, as necessidades de financiamento podem ser decompostas em juros e resultados primário – NFSP = Juros + Déficit Primário (ou - Superávit Primário).</w:t>
      </w:r>
    </w:p>
  </w:footnote>
  <w:footnote w:id="6">
    <w:p w14:paraId="34D66EFA" w14:textId="1BA443E9" w:rsidR="000A32F1" w:rsidRDefault="000A32F1">
      <w:pPr>
        <w:pStyle w:val="Textodenotaderodap"/>
      </w:pPr>
      <w:r>
        <w:rPr>
          <w:rStyle w:val="Refdenotaderodap"/>
        </w:rPr>
        <w:footnoteRef/>
      </w:r>
      <w:r>
        <w:t xml:space="preserve"> A grade </w:t>
      </w:r>
      <w:r w:rsidR="00024B04">
        <w:t>com os</w:t>
      </w:r>
      <w:r>
        <w:t xml:space="preserve"> parâmetros utilizados na projeção central de dívida encontra-se no Anexo.</w:t>
      </w:r>
    </w:p>
  </w:footnote>
  <w:footnote w:id="7">
    <w:p w14:paraId="45CBDB49" w14:textId="1BFD3B9B" w:rsidR="00EA54D5" w:rsidRPr="00A80811" w:rsidRDefault="00EA54D5" w:rsidP="00A80811">
      <w:pPr>
        <w:pStyle w:val="Textodenotaderodap"/>
        <w:jc w:val="both"/>
        <w:rPr>
          <w:sz w:val="18"/>
          <w:szCs w:val="18"/>
        </w:rPr>
      </w:pPr>
      <w:r w:rsidRPr="00A80811">
        <w:rPr>
          <w:rStyle w:val="Refdenotaderodap"/>
          <w:sz w:val="18"/>
          <w:szCs w:val="18"/>
        </w:rPr>
        <w:footnoteRef/>
      </w:r>
      <w:r w:rsidRPr="00A80811">
        <w:rPr>
          <w:sz w:val="18"/>
          <w:szCs w:val="18"/>
        </w:rPr>
        <w:t xml:space="preserve"> O diferencial de remuneração entre os principais ativos do governo (notadamente reservas internacionais e créditos concedidos às instituições oficiais) e os passivos é o principal fator d</w:t>
      </w:r>
      <w:r w:rsidR="003F4C28" w:rsidRPr="00A80811">
        <w:rPr>
          <w:sz w:val="18"/>
          <w:szCs w:val="18"/>
        </w:rPr>
        <w:t>e</w:t>
      </w:r>
      <w:r w:rsidRPr="00A80811">
        <w:rPr>
          <w:sz w:val="18"/>
          <w:szCs w:val="18"/>
        </w:rPr>
        <w:t xml:space="preserve"> diferença entre o</w:t>
      </w:r>
      <w:r w:rsidR="003F4C28" w:rsidRPr="00A80811">
        <w:rPr>
          <w:sz w:val="18"/>
          <w:szCs w:val="18"/>
        </w:rPr>
        <w:t>s</w:t>
      </w:r>
      <w:r w:rsidRPr="00A80811">
        <w:rPr>
          <w:sz w:val="18"/>
          <w:szCs w:val="18"/>
        </w:rPr>
        <w:t xml:space="preserve"> resultado</w:t>
      </w:r>
      <w:r w:rsidR="003F4C28" w:rsidRPr="00A80811">
        <w:rPr>
          <w:sz w:val="18"/>
          <w:szCs w:val="18"/>
        </w:rPr>
        <w:t>s</w:t>
      </w:r>
      <w:r w:rsidRPr="00A80811">
        <w:rPr>
          <w:sz w:val="18"/>
          <w:szCs w:val="18"/>
        </w:rPr>
        <w:t xml:space="preserve"> primário</w:t>
      </w:r>
      <w:r w:rsidR="003F4C28" w:rsidRPr="00A80811">
        <w:rPr>
          <w:sz w:val="18"/>
          <w:szCs w:val="18"/>
        </w:rPr>
        <w:t>s</w:t>
      </w:r>
      <w:r w:rsidRPr="00A80811">
        <w:rPr>
          <w:sz w:val="18"/>
          <w:szCs w:val="18"/>
        </w:rPr>
        <w:t xml:space="preserve"> requerido</w:t>
      </w:r>
      <w:r w:rsidR="003F4C28" w:rsidRPr="00A80811">
        <w:rPr>
          <w:sz w:val="18"/>
          <w:szCs w:val="18"/>
        </w:rPr>
        <w:t>s</w:t>
      </w:r>
      <w:r w:rsidRPr="00A80811">
        <w:rPr>
          <w:sz w:val="18"/>
          <w:szCs w:val="18"/>
        </w:rPr>
        <w:t xml:space="preserve"> para estabilizar a DLSP</w:t>
      </w:r>
      <w:r w:rsidR="00620454" w:rsidRPr="00A80811">
        <w:rPr>
          <w:sz w:val="18"/>
          <w:szCs w:val="18"/>
        </w:rPr>
        <w:t>/PIB</w:t>
      </w:r>
      <w:r w:rsidRPr="00A80811">
        <w:rPr>
          <w:sz w:val="18"/>
          <w:szCs w:val="18"/>
        </w:rPr>
        <w:t xml:space="preserve"> e a DBGG</w:t>
      </w:r>
      <w:r w:rsidR="00620454" w:rsidRPr="00A80811">
        <w:rPr>
          <w:sz w:val="18"/>
          <w:szCs w:val="18"/>
        </w:rPr>
        <w:t>/PIB</w:t>
      </w:r>
      <w:r w:rsidRPr="00A80811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51F0E9" w14:textId="601F873E" w:rsidR="001217B4" w:rsidRPr="003A3A68" w:rsidRDefault="00F0122C" w:rsidP="003A3A68">
    <w:pPr>
      <w:pStyle w:val="Cabealho"/>
    </w:pPr>
    <w:r>
      <w:rPr>
        <w:noProof/>
        <w:lang w:eastAsia="pt-BR"/>
      </w:rPr>
      <w:drawing>
        <wp:inline distT="0" distB="0" distL="0" distR="0" wp14:anchorId="34944A43" wp14:editId="37F1C608">
          <wp:extent cx="1354455" cy="308610"/>
          <wp:effectExtent l="19050" t="0" r="0" b="0"/>
          <wp:docPr id="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4455" cy="3086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C42F16"/>
    <w:multiLevelType w:val="hybridMultilevel"/>
    <w:tmpl w:val="08DADC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5E4FD6"/>
    <w:multiLevelType w:val="hybridMultilevel"/>
    <w:tmpl w:val="08FE5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A0C"/>
    <w:rsid w:val="00000FB9"/>
    <w:rsid w:val="00001728"/>
    <w:rsid w:val="000058CA"/>
    <w:rsid w:val="00007158"/>
    <w:rsid w:val="000071A7"/>
    <w:rsid w:val="00007ED3"/>
    <w:rsid w:val="0001455E"/>
    <w:rsid w:val="00014CBC"/>
    <w:rsid w:val="00016664"/>
    <w:rsid w:val="00020802"/>
    <w:rsid w:val="00020C4A"/>
    <w:rsid w:val="00024B04"/>
    <w:rsid w:val="00026C6A"/>
    <w:rsid w:val="000446C6"/>
    <w:rsid w:val="00046FFC"/>
    <w:rsid w:val="00050B39"/>
    <w:rsid w:val="000571FE"/>
    <w:rsid w:val="00060927"/>
    <w:rsid w:val="000646B2"/>
    <w:rsid w:val="0006546F"/>
    <w:rsid w:val="00073E60"/>
    <w:rsid w:val="000818FE"/>
    <w:rsid w:val="00086224"/>
    <w:rsid w:val="00087C38"/>
    <w:rsid w:val="0009791E"/>
    <w:rsid w:val="000A103C"/>
    <w:rsid w:val="000A32F1"/>
    <w:rsid w:val="000A5CE9"/>
    <w:rsid w:val="000C03F6"/>
    <w:rsid w:val="000C4DAD"/>
    <w:rsid w:val="000D3B1D"/>
    <w:rsid w:val="000D5235"/>
    <w:rsid w:val="000D7CE0"/>
    <w:rsid w:val="000E3F2C"/>
    <w:rsid w:val="000F37ED"/>
    <w:rsid w:val="001010E8"/>
    <w:rsid w:val="0010117F"/>
    <w:rsid w:val="00103CA6"/>
    <w:rsid w:val="0011454D"/>
    <w:rsid w:val="00114BA9"/>
    <w:rsid w:val="00114F2F"/>
    <w:rsid w:val="001171F3"/>
    <w:rsid w:val="001214E6"/>
    <w:rsid w:val="00121764"/>
    <w:rsid w:val="001217B4"/>
    <w:rsid w:val="00142B4B"/>
    <w:rsid w:val="00144DE6"/>
    <w:rsid w:val="0014544C"/>
    <w:rsid w:val="00150272"/>
    <w:rsid w:val="00152078"/>
    <w:rsid w:val="00153595"/>
    <w:rsid w:val="0016077C"/>
    <w:rsid w:val="001612DA"/>
    <w:rsid w:val="00170156"/>
    <w:rsid w:val="00170826"/>
    <w:rsid w:val="00181421"/>
    <w:rsid w:val="00191EDF"/>
    <w:rsid w:val="001A00F2"/>
    <w:rsid w:val="001A1B64"/>
    <w:rsid w:val="001A395A"/>
    <w:rsid w:val="001A7A9B"/>
    <w:rsid w:val="001B15A1"/>
    <w:rsid w:val="001C0B74"/>
    <w:rsid w:val="001D37E1"/>
    <w:rsid w:val="001E4FAA"/>
    <w:rsid w:val="001F09FF"/>
    <w:rsid w:val="001F3473"/>
    <w:rsid w:val="001F3BB2"/>
    <w:rsid w:val="00201193"/>
    <w:rsid w:val="0021516E"/>
    <w:rsid w:val="00220936"/>
    <w:rsid w:val="00226DA7"/>
    <w:rsid w:val="0022700E"/>
    <w:rsid w:val="0023652B"/>
    <w:rsid w:val="002407D2"/>
    <w:rsid w:val="002428B3"/>
    <w:rsid w:val="00257F36"/>
    <w:rsid w:val="002610A0"/>
    <w:rsid w:val="00261F4A"/>
    <w:rsid w:val="002626A1"/>
    <w:rsid w:val="002678ED"/>
    <w:rsid w:val="002772DC"/>
    <w:rsid w:val="00280733"/>
    <w:rsid w:val="002822C4"/>
    <w:rsid w:val="00282DB2"/>
    <w:rsid w:val="00293F5F"/>
    <w:rsid w:val="0029551C"/>
    <w:rsid w:val="002A0081"/>
    <w:rsid w:val="002A0967"/>
    <w:rsid w:val="002A3CE7"/>
    <w:rsid w:val="002B5CCD"/>
    <w:rsid w:val="002C428D"/>
    <w:rsid w:val="002C664B"/>
    <w:rsid w:val="002F02FE"/>
    <w:rsid w:val="002F110A"/>
    <w:rsid w:val="002F2C2F"/>
    <w:rsid w:val="002F464D"/>
    <w:rsid w:val="002F4A54"/>
    <w:rsid w:val="0030190B"/>
    <w:rsid w:val="00312092"/>
    <w:rsid w:val="00324A06"/>
    <w:rsid w:val="0033332B"/>
    <w:rsid w:val="00335F2C"/>
    <w:rsid w:val="0033775E"/>
    <w:rsid w:val="00337EAB"/>
    <w:rsid w:val="00363A02"/>
    <w:rsid w:val="00367254"/>
    <w:rsid w:val="003706CC"/>
    <w:rsid w:val="003709F4"/>
    <w:rsid w:val="0037118B"/>
    <w:rsid w:val="00374BE0"/>
    <w:rsid w:val="00387981"/>
    <w:rsid w:val="00387E56"/>
    <w:rsid w:val="0039245A"/>
    <w:rsid w:val="003929D6"/>
    <w:rsid w:val="003951C2"/>
    <w:rsid w:val="003A3A68"/>
    <w:rsid w:val="003A5F27"/>
    <w:rsid w:val="003B5E1A"/>
    <w:rsid w:val="003B6FBB"/>
    <w:rsid w:val="003E45D5"/>
    <w:rsid w:val="003F1F5A"/>
    <w:rsid w:val="003F4C28"/>
    <w:rsid w:val="003F745F"/>
    <w:rsid w:val="003F7EE5"/>
    <w:rsid w:val="0040308F"/>
    <w:rsid w:val="004076C5"/>
    <w:rsid w:val="00407973"/>
    <w:rsid w:val="00414CE7"/>
    <w:rsid w:val="00440D01"/>
    <w:rsid w:val="0044572E"/>
    <w:rsid w:val="00450A39"/>
    <w:rsid w:val="00453231"/>
    <w:rsid w:val="00465AD0"/>
    <w:rsid w:val="00466411"/>
    <w:rsid w:val="004704F1"/>
    <w:rsid w:val="00471EF1"/>
    <w:rsid w:val="004769D6"/>
    <w:rsid w:val="0047710A"/>
    <w:rsid w:val="00483E6F"/>
    <w:rsid w:val="00484C87"/>
    <w:rsid w:val="004910BF"/>
    <w:rsid w:val="0049381B"/>
    <w:rsid w:val="0049739B"/>
    <w:rsid w:val="004A08DC"/>
    <w:rsid w:val="004C74A7"/>
    <w:rsid w:val="004D4154"/>
    <w:rsid w:val="004D4607"/>
    <w:rsid w:val="004D7994"/>
    <w:rsid w:val="004D7ADB"/>
    <w:rsid w:val="004E5FB3"/>
    <w:rsid w:val="004F26EF"/>
    <w:rsid w:val="004F4DDB"/>
    <w:rsid w:val="00502255"/>
    <w:rsid w:val="00502978"/>
    <w:rsid w:val="005045D7"/>
    <w:rsid w:val="00510C40"/>
    <w:rsid w:val="00510EBA"/>
    <w:rsid w:val="00510EE7"/>
    <w:rsid w:val="0051203B"/>
    <w:rsid w:val="005251E7"/>
    <w:rsid w:val="00530A3B"/>
    <w:rsid w:val="005354C6"/>
    <w:rsid w:val="005477C6"/>
    <w:rsid w:val="00564BE3"/>
    <w:rsid w:val="00565361"/>
    <w:rsid w:val="005654AB"/>
    <w:rsid w:val="00565709"/>
    <w:rsid w:val="00566D72"/>
    <w:rsid w:val="00573BFF"/>
    <w:rsid w:val="0058258E"/>
    <w:rsid w:val="0058289D"/>
    <w:rsid w:val="00586C7E"/>
    <w:rsid w:val="00591167"/>
    <w:rsid w:val="00592786"/>
    <w:rsid w:val="005A0C26"/>
    <w:rsid w:val="005A1745"/>
    <w:rsid w:val="005A1EA1"/>
    <w:rsid w:val="005A5A0C"/>
    <w:rsid w:val="005A6C80"/>
    <w:rsid w:val="005A6EB8"/>
    <w:rsid w:val="005B64D2"/>
    <w:rsid w:val="005C40B2"/>
    <w:rsid w:val="005C5B85"/>
    <w:rsid w:val="005D60F6"/>
    <w:rsid w:val="005E4EF3"/>
    <w:rsid w:val="005E7C2E"/>
    <w:rsid w:val="005F55D0"/>
    <w:rsid w:val="00603C35"/>
    <w:rsid w:val="0060719D"/>
    <w:rsid w:val="0061124A"/>
    <w:rsid w:val="00612913"/>
    <w:rsid w:val="00613092"/>
    <w:rsid w:val="00613AB6"/>
    <w:rsid w:val="006158C2"/>
    <w:rsid w:val="00620454"/>
    <w:rsid w:val="00620DB5"/>
    <w:rsid w:val="006249EA"/>
    <w:rsid w:val="00626728"/>
    <w:rsid w:val="0063017A"/>
    <w:rsid w:val="00634AE1"/>
    <w:rsid w:val="00637D10"/>
    <w:rsid w:val="006411F3"/>
    <w:rsid w:val="00643137"/>
    <w:rsid w:val="00646D3F"/>
    <w:rsid w:val="00646E51"/>
    <w:rsid w:val="0066553C"/>
    <w:rsid w:val="00677DDE"/>
    <w:rsid w:val="00677F73"/>
    <w:rsid w:val="00684C46"/>
    <w:rsid w:val="0069028D"/>
    <w:rsid w:val="006A51D5"/>
    <w:rsid w:val="006A568A"/>
    <w:rsid w:val="006A7458"/>
    <w:rsid w:val="006B4818"/>
    <w:rsid w:val="006C4582"/>
    <w:rsid w:val="006D2486"/>
    <w:rsid w:val="006E63A6"/>
    <w:rsid w:val="006F1B3C"/>
    <w:rsid w:val="006F3326"/>
    <w:rsid w:val="006F6D5F"/>
    <w:rsid w:val="006F71ED"/>
    <w:rsid w:val="00700839"/>
    <w:rsid w:val="00701E1C"/>
    <w:rsid w:val="00702220"/>
    <w:rsid w:val="007038DC"/>
    <w:rsid w:val="00706786"/>
    <w:rsid w:val="00727D37"/>
    <w:rsid w:val="0074078A"/>
    <w:rsid w:val="00747246"/>
    <w:rsid w:val="007539CF"/>
    <w:rsid w:val="00756642"/>
    <w:rsid w:val="00761D61"/>
    <w:rsid w:val="00770370"/>
    <w:rsid w:val="00770C3E"/>
    <w:rsid w:val="00774FD2"/>
    <w:rsid w:val="00776B89"/>
    <w:rsid w:val="00776C51"/>
    <w:rsid w:val="007830FF"/>
    <w:rsid w:val="00784EBE"/>
    <w:rsid w:val="00787EF0"/>
    <w:rsid w:val="00792538"/>
    <w:rsid w:val="007925EE"/>
    <w:rsid w:val="0079272F"/>
    <w:rsid w:val="00792795"/>
    <w:rsid w:val="007960D2"/>
    <w:rsid w:val="007968A3"/>
    <w:rsid w:val="00796FA5"/>
    <w:rsid w:val="007A141F"/>
    <w:rsid w:val="007A26D3"/>
    <w:rsid w:val="007A727D"/>
    <w:rsid w:val="007A7F2D"/>
    <w:rsid w:val="007B1386"/>
    <w:rsid w:val="007B20FA"/>
    <w:rsid w:val="007B38C6"/>
    <w:rsid w:val="007B3B8A"/>
    <w:rsid w:val="007B563F"/>
    <w:rsid w:val="007C0044"/>
    <w:rsid w:val="007C459D"/>
    <w:rsid w:val="007C7724"/>
    <w:rsid w:val="007D3145"/>
    <w:rsid w:val="007D38A6"/>
    <w:rsid w:val="007E23DE"/>
    <w:rsid w:val="007E6980"/>
    <w:rsid w:val="007F10D5"/>
    <w:rsid w:val="007F3319"/>
    <w:rsid w:val="007F361C"/>
    <w:rsid w:val="007F6285"/>
    <w:rsid w:val="00802350"/>
    <w:rsid w:val="00813AFA"/>
    <w:rsid w:val="00816231"/>
    <w:rsid w:val="00824EAD"/>
    <w:rsid w:val="00830952"/>
    <w:rsid w:val="00833DD8"/>
    <w:rsid w:val="00834DED"/>
    <w:rsid w:val="00836CA8"/>
    <w:rsid w:val="00844777"/>
    <w:rsid w:val="0084538F"/>
    <w:rsid w:val="00853D03"/>
    <w:rsid w:val="008711B8"/>
    <w:rsid w:val="00871D98"/>
    <w:rsid w:val="0087428E"/>
    <w:rsid w:val="00875E24"/>
    <w:rsid w:val="00876007"/>
    <w:rsid w:val="008820DD"/>
    <w:rsid w:val="00882B89"/>
    <w:rsid w:val="0088472C"/>
    <w:rsid w:val="008A0F93"/>
    <w:rsid w:val="008A2BD9"/>
    <w:rsid w:val="008B2A64"/>
    <w:rsid w:val="008B4BD8"/>
    <w:rsid w:val="008B5CD4"/>
    <w:rsid w:val="008C0179"/>
    <w:rsid w:val="008C2678"/>
    <w:rsid w:val="008D41DC"/>
    <w:rsid w:val="008E5972"/>
    <w:rsid w:val="00901AB2"/>
    <w:rsid w:val="00903702"/>
    <w:rsid w:val="009044CB"/>
    <w:rsid w:val="009205AE"/>
    <w:rsid w:val="00922547"/>
    <w:rsid w:val="009324A3"/>
    <w:rsid w:val="00933396"/>
    <w:rsid w:val="009337AB"/>
    <w:rsid w:val="0093416B"/>
    <w:rsid w:val="0093513F"/>
    <w:rsid w:val="0093795F"/>
    <w:rsid w:val="00937D5E"/>
    <w:rsid w:val="00940299"/>
    <w:rsid w:val="009431E6"/>
    <w:rsid w:val="0094361B"/>
    <w:rsid w:val="00944485"/>
    <w:rsid w:val="009475F5"/>
    <w:rsid w:val="00950E59"/>
    <w:rsid w:val="00950E72"/>
    <w:rsid w:val="009527D6"/>
    <w:rsid w:val="00953D38"/>
    <w:rsid w:val="00961968"/>
    <w:rsid w:val="00961D50"/>
    <w:rsid w:val="00972BD2"/>
    <w:rsid w:val="00985866"/>
    <w:rsid w:val="009A279D"/>
    <w:rsid w:val="009A55DE"/>
    <w:rsid w:val="009A717B"/>
    <w:rsid w:val="009B6E3A"/>
    <w:rsid w:val="009C11E0"/>
    <w:rsid w:val="009C1D74"/>
    <w:rsid w:val="009D1D9F"/>
    <w:rsid w:val="009D1FF0"/>
    <w:rsid w:val="009D2AE5"/>
    <w:rsid w:val="009E7F64"/>
    <w:rsid w:val="009F3015"/>
    <w:rsid w:val="009F6F6C"/>
    <w:rsid w:val="00A019AE"/>
    <w:rsid w:val="00A04DBE"/>
    <w:rsid w:val="00A10483"/>
    <w:rsid w:val="00A1770C"/>
    <w:rsid w:val="00A2027A"/>
    <w:rsid w:val="00A30213"/>
    <w:rsid w:val="00A31A65"/>
    <w:rsid w:val="00A36CFD"/>
    <w:rsid w:val="00A42674"/>
    <w:rsid w:val="00A444C1"/>
    <w:rsid w:val="00A63A24"/>
    <w:rsid w:val="00A70A22"/>
    <w:rsid w:val="00A74EA3"/>
    <w:rsid w:val="00A775A1"/>
    <w:rsid w:val="00A80811"/>
    <w:rsid w:val="00A8083B"/>
    <w:rsid w:val="00A8216C"/>
    <w:rsid w:val="00A9018E"/>
    <w:rsid w:val="00A95484"/>
    <w:rsid w:val="00A957CE"/>
    <w:rsid w:val="00A95F29"/>
    <w:rsid w:val="00A96F9E"/>
    <w:rsid w:val="00AA4E71"/>
    <w:rsid w:val="00AB3C83"/>
    <w:rsid w:val="00AB5A92"/>
    <w:rsid w:val="00AC0F55"/>
    <w:rsid w:val="00AC4491"/>
    <w:rsid w:val="00AC6F63"/>
    <w:rsid w:val="00AD2FCF"/>
    <w:rsid w:val="00AD3EA8"/>
    <w:rsid w:val="00AD51B0"/>
    <w:rsid w:val="00AD5456"/>
    <w:rsid w:val="00AF3DF4"/>
    <w:rsid w:val="00AF462B"/>
    <w:rsid w:val="00AF609E"/>
    <w:rsid w:val="00AF72FF"/>
    <w:rsid w:val="00B03733"/>
    <w:rsid w:val="00B0437F"/>
    <w:rsid w:val="00B07ECF"/>
    <w:rsid w:val="00B10BC4"/>
    <w:rsid w:val="00B16265"/>
    <w:rsid w:val="00B22F0D"/>
    <w:rsid w:val="00B271B4"/>
    <w:rsid w:val="00B30876"/>
    <w:rsid w:val="00B344DE"/>
    <w:rsid w:val="00B468C9"/>
    <w:rsid w:val="00B5449B"/>
    <w:rsid w:val="00B60E08"/>
    <w:rsid w:val="00B61826"/>
    <w:rsid w:val="00B67ABB"/>
    <w:rsid w:val="00B723F9"/>
    <w:rsid w:val="00B73B79"/>
    <w:rsid w:val="00B73C28"/>
    <w:rsid w:val="00B73E21"/>
    <w:rsid w:val="00B7481D"/>
    <w:rsid w:val="00B7545E"/>
    <w:rsid w:val="00B80EB5"/>
    <w:rsid w:val="00B828AE"/>
    <w:rsid w:val="00B859DA"/>
    <w:rsid w:val="00B87CEA"/>
    <w:rsid w:val="00BB2160"/>
    <w:rsid w:val="00BB3F99"/>
    <w:rsid w:val="00BC0774"/>
    <w:rsid w:val="00BC17EB"/>
    <w:rsid w:val="00BD1C05"/>
    <w:rsid w:val="00BD3C9A"/>
    <w:rsid w:val="00BD70A1"/>
    <w:rsid w:val="00BE00B7"/>
    <w:rsid w:val="00C00111"/>
    <w:rsid w:val="00C17E91"/>
    <w:rsid w:val="00C50200"/>
    <w:rsid w:val="00C529E9"/>
    <w:rsid w:val="00C54D07"/>
    <w:rsid w:val="00C55D7A"/>
    <w:rsid w:val="00C56235"/>
    <w:rsid w:val="00C5772F"/>
    <w:rsid w:val="00C57A98"/>
    <w:rsid w:val="00C609B8"/>
    <w:rsid w:val="00C64156"/>
    <w:rsid w:val="00C72CD4"/>
    <w:rsid w:val="00C7641C"/>
    <w:rsid w:val="00C771D3"/>
    <w:rsid w:val="00C80013"/>
    <w:rsid w:val="00C813D0"/>
    <w:rsid w:val="00C92B04"/>
    <w:rsid w:val="00C97B4A"/>
    <w:rsid w:val="00CA23FD"/>
    <w:rsid w:val="00CA2434"/>
    <w:rsid w:val="00CA384D"/>
    <w:rsid w:val="00CA579C"/>
    <w:rsid w:val="00CB5D43"/>
    <w:rsid w:val="00CB72A1"/>
    <w:rsid w:val="00CD3473"/>
    <w:rsid w:val="00CD5DAB"/>
    <w:rsid w:val="00CD6E80"/>
    <w:rsid w:val="00CE5E9F"/>
    <w:rsid w:val="00CF0B32"/>
    <w:rsid w:val="00CF63F2"/>
    <w:rsid w:val="00CF6A40"/>
    <w:rsid w:val="00D01362"/>
    <w:rsid w:val="00D050DA"/>
    <w:rsid w:val="00D10256"/>
    <w:rsid w:val="00D12D87"/>
    <w:rsid w:val="00D14927"/>
    <w:rsid w:val="00D2244A"/>
    <w:rsid w:val="00D310FD"/>
    <w:rsid w:val="00D423D1"/>
    <w:rsid w:val="00D449E7"/>
    <w:rsid w:val="00D65DFE"/>
    <w:rsid w:val="00D72160"/>
    <w:rsid w:val="00D73C50"/>
    <w:rsid w:val="00D762D1"/>
    <w:rsid w:val="00D82776"/>
    <w:rsid w:val="00D9298D"/>
    <w:rsid w:val="00D97FF3"/>
    <w:rsid w:val="00DA0A5C"/>
    <w:rsid w:val="00DB403D"/>
    <w:rsid w:val="00DB653D"/>
    <w:rsid w:val="00DC7E2E"/>
    <w:rsid w:val="00DD3DC5"/>
    <w:rsid w:val="00DD6E0C"/>
    <w:rsid w:val="00DE376E"/>
    <w:rsid w:val="00DE4E6D"/>
    <w:rsid w:val="00DF0BB8"/>
    <w:rsid w:val="00DF41AE"/>
    <w:rsid w:val="00DF5608"/>
    <w:rsid w:val="00E011F3"/>
    <w:rsid w:val="00E16CF5"/>
    <w:rsid w:val="00E2237D"/>
    <w:rsid w:val="00E2424F"/>
    <w:rsid w:val="00E318F7"/>
    <w:rsid w:val="00E449E4"/>
    <w:rsid w:val="00E453AE"/>
    <w:rsid w:val="00E468D3"/>
    <w:rsid w:val="00E47DF0"/>
    <w:rsid w:val="00E673F8"/>
    <w:rsid w:val="00E7080B"/>
    <w:rsid w:val="00E713ED"/>
    <w:rsid w:val="00E73E0E"/>
    <w:rsid w:val="00E742FC"/>
    <w:rsid w:val="00E74AC2"/>
    <w:rsid w:val="00E76A90"/>
    <w:rsid w:val="00E90AFE"/>
    <w:rsid w:val="00E91155"/>
    <w:rsid w:val="00E91258"/>
    <w:rsid w:val="00E91AA6"/>
    <w:rsid w:val="00EA08B9"/>
    <w:rsid w:val="00EA54D5"/>
    <w:rsid w:val="00EB2297"/>
    <w:rsid w:val="00EB74D5"/>
    <w:rsid w:val="00EE07CB"/>
    <w:rsid w:val="00EE1751"/>
    <w:rsid w:val="00EE6006"/>
    <w:rsid w:val="00EF7B64"/>
    <w:rsid w:val="00F0122C"/>
    <w:rsid w:val="00F05686"/>
    <w:rsid w:val="00F06A0D"/>
    <w:rsid w:val="00F16637"/>
    <w:rsid w:val="00F22F7B"/>
    <w:rsid w:val="00F23902"/>
    <w:rsid w:val="00F32474"/>
    <w:rsid w:val="00F4378A"/>
    <w:rsid w:val="00F514C7"/>
    <w:rsid w:val="00F56FC4"/>
    <w:rsid w:val="00F5765D"/>
    <w:rsid w:val="00F67446"/>
    <w:rsid w:val="00F67ED5"/>
    <w:rsid w:val="00F71ECE"/>
    <w:rsid w:val="00F74454"/>
    <w:rsid w:val="00F76D0F"/>
    <w:rsid w:val="00F91AA4"/>
    <w:rsid w:val="00F95054"/>
    <w:rsid w:val="00FA03DD"/>
    <w:rsid w:val="00FA3055"/>
    <w:rsid w:val="00FA6107"/>
    <w:rsid w:val="00FB4804"/>
    <w:rsid w:val="00FC536E"/>
    <w:rsid w:val="00FD3B55"/>
    <w:rsid w:val="00FD40B2"/>
    <w:rsid w:val="00FD5A0C"/>
    <w:rsid w:val="00FE15DC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CE8A31"/>
  <w15:chartTrackingRefBased/>
  <w15:docId w15:val="{ED88A7BB-36D3-4216-851C-9F7EF45B3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A7F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B723F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723F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723F9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1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17EB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7C004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C004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C004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C004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C0044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7C0044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9F30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9278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E3F2C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A7F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9A55D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217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17B4"/>
  </w:style>
  <w:style w:type="paragraph" w:styleId="Rodap">
    <w:name w:val="footer"/>
    <w:basedOn w:val="Normal"/>
    <w:link w:val="RodapChar"/>
    <w:uiPriority w:val="99"/>
    <w:unhideWhenUsed/>
    <w:rsid w:val="001217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1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chart" Target="charts/chart2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w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5" Type="http://schemas.openxmlformats.org/officeDocument/2006/relationships/chartUserShapes" Target="../drawings/drawing1.xml"/><Relationship Id="rId4" Type="http://schemas.openxmlformats.org/officeDocument/2006/relationships/oleObject" Target="file:///\\real\Software\Grupos\COGEP\GERIS\03%20-%20Risco%20e%20Sustentabilidade\8.1%20-%20Boletim%20de%20Proje&#231;&#245;es%20de%20D&#237;vida\2017%20-%20Proje&#231;&#245;es%20de%20D&#237;vida\201709\RTN\EQ%20DIN&#194;MICA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ell\Desktop\RTN\EQ%20DIN&#194;MICA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5904621389781898"/>
          <c:y val="6.8356663750364532E-2"/>
          <c:w val="0.81039825643096386"/>
          <c:h val="0.64464182830804684"/>
        </c:manualLayout>
      </c:layout>
      <c:lineChart>
        <c:grouping val="standard"/>
        <c:varyColors val="0"/>
        <c:ser>
          <c:idx val="0"/>
          <c:order val="0"/>
          <c:tx>
            <c:strRef>
              <c:f>Plan1!$B$19</c:f>
              <c:strCache>
                <c:ptCount val="1"/>
                <c:pt idx="0">
                  <c:v>DEFLATOR=IPCA</c:v>
                </c:pt>
              </c:strCache>
            </c:strRef>
          </c:tx>
          <c:spPr>
            <a:ln w="28575" cap="rnd">
              <a:solidFill>
                <a:schemeClr val="accent1">
                  <a:lumMod val="50000"/>
                </a:schemeClr>
              </a:solidFill>
              <a:round/>
            </a:ln>
            <a:effectLst/>
          </c:spPr>
          <c:marker>
            <c:symbol val="square"/>
            <c:size val="5"/>
            <c:spPr>
              <a:solidFill>
                <a:schemeClr val="accent1">
                  <a:lumMod val="50000"/>
                </a:schemeClr>
              </a:solidFill>
              <a:ln w="9525">
                <a:noFill/>
              </a:ln>
              <a:effectLst/>
            </c:spPr>
          </c:marker>
          <c:cat>
            <c:numRef>
              <c:f>Plan1!$A$20:$A$33</c:f>
              <c:numCache>
                <c:formatCode>General</c:formatCode>
                <c:ptCount val="14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  <c:pt idx="10">
                  <c:v>2023</c:v>
                </c:pt>
                <c:pt idx="11">
                  <c:v>2024</c:v>
                </c:pt>
                <c:pt idx="12">
                  <c:v>2025</c:v>
                </c:pt>
                <c:pt idx="13">
                  <c:v>2026</c:v>
                </c:pt>
              </c:numCache>
            </c:numRef>
          </c:cat>
          <c:val>
            <c:numRef>
              <c:f>Plan1!$B$20:$B$33</c:f>
              <c:numCache>
                <c:formatCode>General</c:formatCode>
                <c:ptCount val="14"/>
                <c:pt idx="0">
                  <c:v>51.541505601346906</c:v>
                </c:pt>
                <c:pt idx="1">
                  <c:v>56.280930979222376</c:v>
                </c:pt>
                <c:pt idx="2">
                  <c:v>65.452494707231608</c:v>
                </c:pt>
                <c:pt idx="3">
                  <c:v>69.866918066638476</c:v>
                </c:pt>
                <c:pt idx="4">
                  <c:v>77.130508509305912</c:v>
                </c:pt>
                <c:pt idx="5">
                  <c:v>80.059911125606817</c:v>
                </c:pt>
                <c:pt idx="6">
                  <c:v>82.501840590343349</c:v>
                </c:pt>
                <c:pt idx="7">
                  <c:v>84.312555945427832</c:v>
                </c:pt>
                <c:pt idx="8">
                  <c:v>85.429659723006282</c:v>
                </c:pt>
                <c:pt idx="9">
                  <c:v>86.241052492632065</c:v>
                </c:pt>
                <c:pt idx="10">
                  <c:v>86.757122677675966</c:v>
                </c:pt>
                <c:pt idx="11">
                  <c:v>87.06354890318859</c:v>
                </c:pt>
                <c:pt idx="12">
                  <c:v>87.274808094048467</c:v>
                </c:pt>
                <c:pt idx="13">
                  <c:v>87.302816012610577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Plan1!$C$19</c:f>
              <c:strCache>
                <c:ptCount val="1"/>
                <c:pt idx="0">
                  <c:v>DEFLATOR&gt;IPCA</c:v>
                </c:pt>
              </c:strCache>
            </c:strRef>
          </c:tx>
          <c:spPr>
            <a:ln w="28575" cap="rnd">
              <a:solidFill>
                <a:sysClr val="windowText" lastClr="000000">
                  <a:lumMod val="95000"/>
                  <a:lumOff val="5000"/>
                </a:sysClr>
              </a:solidFill>
              <a:round/>
            </a:ln>
            <a:effectLst/>
          </c:spPr>
          <c:marker>
            <c:symbol val="diamond"/>
            <c:size val="7"/>
            <c:spPr>
              <a:solidFill>
                <a:sysClr val="windowText" lastClr="000000"/>
              </a:solidFill>
              <a:ln w="9525">
                <a:solidFill>
                  <a:sysClr val="windowText" lastClr="000000">
                    <a:lumMod val="95000"/>
                    <a:lumOff val="5000"/>
                  </a:sysClr>
                </a:solidFill>
              </a:ln>
              <a:effectLst/>
            </c:spPr>
          </c:marker>
          <c:cat>
            <c:numRef>
              <c:f>Plan1!$A$20:$A$33</c:f>
              <c:numCache>
                <c:formatCode>General</c:formatCode>
                <c:ptCount val="14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  <c:pt idx="10">
                  <c:v>2023</c:v>
                </c:pt>
                <c:pt idx="11">
                  <c:v>2024</c:v>
                </c:pt>
                <c:pt idx="12">
                  <c:v>2025</c:v>
                </c:pt>
                <c:pt idx="13">
                  <c:v>2026</c:v>
                </c:pt>
              </c:numCache>
            </c:numRef>
          </c:cat>
          <c:val>
            <c:numRef>
              <c:f>Plan1!$C$20:$C$33</c:f>
              <c:numCache>
                <c:formatCode>General</c:formatCode>
                <c:ptCount val="14"/>
                <c:pt idx="3">
                  <c:v>69.866918066638476</c:v>
                </c:pt>
                <c:pt idx="4">
                  <c:v>75.80166817623082</c:v>
                </c:pt>
                <c:pt idx="5">
                  <c:v>77.890400409061044</c:v>
                </c:pt>
                <c:pt idx="6">
                  <c:v>79.590983414550038</c:v>
                </c:pt>
                <c:pt idx="7">
                  <c:v>80.542136961845372</c:v>
                </c:pt>
                <c:pt idx="8">
                  <c:v>81.107092049871696</c:v>
                </c:pt>
                <c:pt idx="9">
                  <c:v>81.445821967024216</c:v>
                </c:pt>
                <c:pt idx="10">
                  <c:v>81.55757195353749</c:v>
                </c:pt>
                <c:pt idx="11">
                  <c:v>81.514910045168307</c:v>
                </c:pt>
                <c:pt idx="12">
                  <c:v>81.418101428194461</c:v>
                </c:pt>
                <c:pt idx="13">
                  <c:v>81.17201535751073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73264352"/>
        <c:axId val="373265136"/>
      </c:lineChart>
      <c:catAx>
        <c:axId val="373264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73265136"/>
        <c:crosses val="autoZero"/>
        <c:auto val="1"/>
        <c:lblAlgn val="ctr"/>
        <c:lblOffset val="100"/>
        <c:noMultiLvlLbl val="0"/>
      </c:catAx>
      <c:valAx>
        <c:axId val="373265136"/>
        <c:scaling>
          <c:orientation val="minMax"/>
          <c:max val="95"/>
          <c:min val="5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t-BR"/>
                  <a:t>% do PIB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1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</c:title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73264352"/>
        <c:crosses val="autoZero"/>
        <c:crossBetween val="between"/>
        <c:maj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389768754942318"/>
          <c:y val="0.89600719880799284"/>
          <c:w val="0.79689751757063354"/>
          <c:h val="0.1000439042712761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100"/>
      </a:pPr>
      <a:endParaRPr lang="pt-BR"/>
    </a:p>
  </c:txPr>
  <c:externalData r:id="rId4">
    <c:autoUpdate val="0"/>
  </c:externalData>
  <c:userShapes r:id="rId5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1"/>
          <c:order val="0"/>
          <c:spPr>
            <a:solidFill>
              <a:srgbClr val="002060"/>
            </a:solidFill>
            <a:ln>
              <a:noFill/>
            </a:ln>
            <a:effectLst/>
          </c:spPr>
          <c:invertIfNegative val="0"/>
          <c:cat>
            <c:numRef>
              <c:f>Plan2!$G$4:$G$21</c:f>
              <c:numCache>
                <c:formatCode>General</c:formatCode>
                <c:ptCount val="18"/>
                <c:pt idx="0">
                  <c:v>1999</c:v>
                </c:pt>
                <c:pt idx="1">
                  <c:v>2000</c:v>
                </c:pt>
                <c:pt idx="2">
                  <c:v>2001</c:v>
                </c:pt>
                <c:pt idx="3">
                  <c:v>2002</c:v>
                </c:pt>
                <c:pt idx="4">
                  <c:v>2003</c:v>
                </c:pt>
                <c:pt idx="5">
                  <c:v>2004</c:v>
                </c:pt>
                <c:pt idx="6">
                  <c:v>2005</c:v>
                </c:pt>
                <c:pt idx="7">
                  <c:v>2006</c:v>
                </c:pt>
                <c:pt idx="8">
                  <c:v>2007</c:v>
                </c:pt>
                <c:pt idx="9">
                  <c:v>2008</c:v>
                </c:pt>
                <c:pt idx="10">
                  <c:v>2009</c:v>
                </c:pt>
                <c:pt idx="11">
                  <c:v>2010</c:v>
                </c:pt>
                <c:pt idx="12">
                  <c:v>2011</c:v>
                </c:pt>
                <c:pt idx="13">
                  <c:v>2012</c:v>
                </c:pt>
                <c:pt idx="14">
                  <c:v>2013</c:v>
                </c:pt>
                <c:pt idx="15">
                  <c:v>2014</c:v>
                </c:pt>
                <c:pt idx="16">
                  <c:v>2015</c:v>
                </c:pt>
                <c:pt idx="17">
                  <c:v>2016</c:v>
                </c:pt>
              </c:numCache>
            </c:numRef>
          </c:cat>
          <c:val>
            <c:numRef>
              <c:f>Plan2!$K$4:$K$21</c:f>
              <c:numCache>
                <c:formatCode>_(* #,##0.00_);_(* \(#,##0.00\);_(* "-"??_);_(@_)</c:formatCode>
                <c:ptCount val="18"/>
                <c:pt idx="0">
                  <c:v>0.56282733319205813</c:v>
                </c:pt>
                <c:pt idx="1">
                  <c:v>7.4739963677519089E-2</c:v>
                </c:pt>
                <c:pt idx="2">
                  <c:v>0.49725765919276033</c:v>
                </c:pt>
                <c:pt idx="3">
                  <c:v>1.1455199812626025</c:v>
                </c:pt>
                <c:pt idx="4">
                  <c:v>5.2445053128425352E-2</c:v>
                </c:pt>
                <c:pt idx="5">
                  <c:v>0.84496523358024223</c:v>
                </c:pt>
                <c:pt idx="6">
                  <c:v>0.50505092061608292</c:v>
                </c:pt>
                <c:pt idx="7">
                  <c:v>0.8299842217096941</c:v>
                </c:pt>
                <c:pt idx="8">
                  <c:v>0.93143787683168411</c:v>
                </c:pt>
                <c:pt idx="9">
                  <c:v>6.7516235995777454E-2</c:v>
                </c:pt>
                <c:pt idx="10">
                  <c:v>0.64982169127673661</c:v>
                </c:pt>
                <c:pt idx="11">
                  <c:v>0.7717187269596566</c:v>
                </c:pt>
                <c:pt idx="12">
                  <c:v>0.19625553710804935</c:v>
                </c:pt>
                <c:pt idx="13">
                  <c:v>0.5169886557170037</c:v>
                </c:pt>
                <c:pt idx="14">
                  <c:v>0.17777502480953744</c:v>
                </c:pt>
                <c:pt idx="15">
                  <c:v>0.32310077621326866</c:v>
                </c:pt>
                <c:pt idx="16">
                  <c:v>-4.4474321233289212E-2</c:v>
                </c:pt>
                <c:pt idx="17">
                  <c:v>0.14392072041676376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73270232"/>
        <c:axId val="373266312"/>
      </c:barChart>
      <c:catAx>
        <c:axId val="373270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73266312"/>
        <c:crosses val="autoZero"/>
        <c:auto val="1"/>
        <c:lblAlgn val="ctr"/>
        <c:lblOffset val="100"/>
        <c:tickLblSkip val="1"/>
        <c:noMultiLvlLbl val="0"/>
      </c:catAx>
      <c:valAx>
        <c:axId val="3732663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t-BR"/>
                  <a:t>% do PIB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</c:title>
        <c:numFmt formatCode="_(* #,##0.00_);_(* \(#,##0.0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732702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200"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0.39337</cdr:x>
      <cdr:y>0.03576</cdr:y>
    </cdr:from>
    <cdr:to>
      <cdr:x>0.98393</cdr:x>
      <cdr:y>0.90109</cdr:y>
    </cdr:to>
    <cdr:sp macro="" textlink="">
      <cdr:nvSpPr>
        <cdr:cNvPr id="3" name="Retângulo 2"/>
        <cdr:cNvSpPr/>
      </cdr:nvSpPr>
      <cdr:spPr>
        <a:xfrm xmlns:a="http://schemas.openxmlformats.org/drawingml/2006/main">
          <a:off x="2129116" y="115007"/>
          <a:ext cx="3196346" cy="2782978"/>
        </a:xfrm>
        <a:prstGeom xmlns:a="http://schemas.openxmlformats.org/drawingml/2006/main" prst="rect">
          <a:avLst/>
        </a:prstGeom>
        <a:solidFill xmlns:a="http://schemas.openxmlformats.org/drawingml/2006/main">
          <a:schemeClr val="accent1">
            <a:alpha val="30000"/>
          </a:schemeClr>
        </a:solidFill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t-BR"/>
        </a:p>
      </cdr:txBody>
    </cdr:sp>
  </cdr:relSizeAnchor>
</c:userShape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Escritório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2DCE0-E556-4E75-92B8-BA0BEEBC5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3097</Words>
  <Characters>16727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Gabriela Ribarczyk</dc:creator>
  <cp:keywords/>
  <dc:description/>
  <cp:lastModifiedBy>Guilherme Ferraz Silva</cp:lastModifiedBy>
  <cp:revision>2</cp:revision>
  <cp:lastPrinted>2017-11-08T16:55:00Z</cp:lastPrinted>
  <dcterms:created xsi:type="dcterms:W3CDTF">2017-11-09T12:13:00Z</dcterms:created>
  <dcterms:modified xsi:type="dcterms:W3CDTF">2017-11-09T12:13:00Z</dcterms:modified>
</cp:coreProperties>
</file>