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5EE7" w:rsidRPr="00B86001" w:rsidRDefault="00065EE7" w:rsidP="00065EE7">
      <w:pPr>
        <w:pStyle w:val="Padro"/>
        <w:spacing w:line="360" w:lineRule="atLeast"/>
        <w:jc w:val="center"/>
        <w:rPr>
          <w:rFonts w:ascii="Mangal" w:hAnsi="Mangal" w:cs="Mangal" w:hint="eastAsia"/>
          <w:u w:val="single"/>
        </w:rPr>
      </w:pPr>
      <w:r w:rsidRPr="00B86001">
        <w:rPr>
          <w:rFonts w:ascii="Calibri" w:hAnsi="Calibri" w:cs="Calibri"/>
          <w:b/>
          <w:bCs/>
          <w:u w:val="single"/>
        </w:rPr>
        <w:t xml:space="preserve">ATA DE REUNIÃO DA COMISSÃO </w:t>
      </w:r>
      <w:r w:rsidR="00AA4BF0">
        <w:rPr>
          <w:rFonts w:ascii="Calibri" w:hAnsi="Calibri" w:cs="Calibri"/>
          <w:b/>
          <w:bCs/>
          <w:u w:val="single"/>
        </w:rPr>
        <w:t xml:space="preserve">ATUARIAL </w:t>
      </w:r>
      <w:r>
        <w:rPr>
          <w:rFonts w:ascii="Calibri" w:hAnsi="Calibri" w:cs="Calibri"/>
          <w:b/>
          <w:bCs/>
          <w:u w:val="single"/>
        </w:rPr>
        <w:t>DA SUSEP</w:t>
      </w:r>
    </w:p>
    <w:p w:rsidR="00065EE7" w:rsidRDefault="0021711A" w:rsidP="00065EE7">
      <w:pPr>
        <w:pStyle w:val="Padro"/>
        <w:spacing w:line="360" w:lineRule="atLeast"/>
        <w:jc w:val="center"/>
        <w:rPr>
          <w:rFonts w:ascii="Mangal" w:hAnsi="Mangal" w:cs="Mangal" w:hint="eastAsia"/>
        </w:rPr>
      </w:pPr>
      <w:r>
        <w:rPr>
          <w:rFonts w:ascii="Calibri" w:hAnsi="Calibri" w:cs="Calibri"/>
          <w:b/>
          <w:bCs/>
        </w:rPr>
        <w:t>16</w:t>
      </w:r>
      <w:r w:rsidR="00065EE7">
        <w:rPr>
          <w:rFonts w:ascii="Calibri" w:hAnsi="Calibri" w:cs="Calibri"/>
          <w:b/>
          <w:bCs/>
        </w:rPr>
        <w:t xml:space="preserve"> de </w:t>
      </w:r>
      <w:r>
        <w:rPr>
          <w:rFonts w:ascii="Calibri" w:hAnsi="Calibri" w:cs="Calibri"/>
          <w:b/>
          <w:bCs/>
        </w:rPr>
        <w:t>abril</w:t>
      </w:r>
      <w:r w:rsidR="00F01D95">
        <w:rPr>
          <w:rFonts w:ascii="Calibri" w:hAnsi="Calibri" w:cs="Calibri"/>
          <w:b/>
          <w:bCs/>
        </w:rPr>
        <w:t xml:space="preserve"> de 2019</w:t>
      </w:r>
      <w:r w:rsidR="00065EE7">
        <w:rPr>
          <w:rFonts w:ascii="Calibri" w:hAnsi="Calibri" w:cs="Calibri"/>
          <w:b/>
          <w:bCs/>
        </w:rPr>
        <w:t xml:space="preserve"> (INÍCIO: 14:30h – TÉRMINO: 1</w:t>
      </w:r>
      <w:r w:rsidR="002664B2">
        <w:rPr>
          <w:rFonts w:ascii="Calibri" w:hAnsi="Calibri" w:cs="Calibri"/>
          <w:b/>
          <w:bCs/>
        </w:rPr>
        <w:t>6</w:t>
      </w:r>
      <w:r w:rsidR="00065EE7">
        <w:rPr>
          <w:rFonts w:ascii="Calibri" w:hAnsi="Calibri" w:cs="Calibri"/>
          <w:b/>
          <w:bCs/>
        </w:rPr>
        <w:t>:00h)</w:t>
      </w:r>
    </w:p>
    <w:p w:rsidR="00065EE7" w:rsidRDefault="00065EE7" w:rsidP="00065EE7">
      <w:pPr>
        <w:pStyle w:val="Padro"/>
        <w:spacing w:line="360" w:lineRule="atLeast"/>
        <w:rPr>
          <w:rFonts w:ascii="Mangal" w:hAnsi="Mangal" w:cs="Mangal" w:hint="eastAsia"/>
        </w:rPr>
      </w:pPr>
    </w:p>
    <w:p w:rsidR="0032115C" w:rsidRDefault="0032115C" w:rsidP="00065EE7">
      <w:pPr>
        <w:pStyle w:val="Padro"/>
        <w:spacing w:line="360" w:lineRule="atLeast"/>
        <w:rPr>
          <w:rFonts w:ascii="Mangal" w:hAnsi="Mangal" w:cs="Mangal" w:hint="eastAsia"/>
        </w:rPr>
      </w:pPr>
    </w:p>
    <w:p w:rsidR="00065EE7" w:rsidRPr="006C5DA9" w:rsidRDefault="00065EE7" w:rsidP="00065EE7">
      <w:pPr>
        <w:pStyle w:val="Padro"/>
        <w:spacing w:line="360" w:lineRule="atLeast"/>
        <w:rPr>
          <w:rFonts w:ascii="Calibri" w:hAnsi="Calibri" w:cs="Calibri"/>
          <w:b/>
          <w:bCs/>
          <w:u w:val="single"/>
        </w:rPr>
      </w:pPr>
      <w:r>
        <w:rPr>
          <w:rFonts w:ascii="Calibri" w:hAnsi="Calibri" w:cs="Calibri"/>
          <w:b/>
          <w:bCs/>
          <w:u w:val="single"/>
        </w:rPr>
        <w:t xml:space="preserve">PARTICIPANTES: </w:t>
      </w:r>
    </w:p>
    <w:p w:rsidR="00065EE7" w:rsidRDefault="00065EE7" w:rsidP="00065EE7">
      <w:pPr>
        <w:pStyle w:val="Padro"/>
        <w:spacing w:line="360" w:lineRule="atLeast"/>
        <w:rPr>
          <w:rFonts w:ascii="Calibri" w:hAnsi="Calibri" w:cs="Calibri"/>
          <w:b/>
          <w:bCs/>
        </w:rPr>
      </w:pPr>
      <w:r>
        <w:rPr>
          <w:rFonts w:ascii="Calibri" w:hAnsi="Calibri" w:cs="Calibri"/>
          <w:b/>
          <w:bCs/>
        </w:rPr>
        <w:t>Susep</w:t>
      </w:r>
    </w:p>
    <w:p w:rsidR="00065EE7" w:rsidRPr="00845545" w:rsidRDefault="00065EE7" w:rsidP="00065EE7">
      <w:pPr>
        <w:pStyle w:val="Padro"/>
        <w:spacing w:line="360" w:lineRule="atLeast"/>
        <w:rPr>
          <w:rFonts w:ascii="Calibri" w:hAnsi="Calibri" w:cs="Calibri"/>
        </w:rPr>
      </w:pPr>
      <w:r w:rsidRPr="00845545">
        <w:rPr>
          <w:rFonts w:ascii="Calibri" w:hAnsi="Calibri" w:cs="Calibri"/>
        </w:rPr>
        <w:t>Roberto Seabra</w:t>
      </w:r>
      <w:r w:rsidR="00BC4231">
        <w:rPr>
          <w:rFonts w:ascii="Calibri" w:hAnsi="Calibri" w:cs="Calibri"/>
        </w:rPr>
        <w:t xml:space="preserve"> (CGMOP/COPRA)</w:t>
      </w:r>
    </w:p>
    <w:p w:rsidR="00065EE7" w:rsidRDefault="00996765" w:rsidP="00065EE7">
      <w:pPr>
        <w:pStyle w:val="Padro"/>
        <w:spacing w:line="360" w:lineRule="atLeast"/>
        <w:rPr>
          <w:rFonts w:ascii="Calibri" w:hAnsi="Calibri" w:cs="Calibri"/>
        </w:rPr>
      </w:pPr>
      <w:r>
        <w:rPr>
          <w:rFonts w:ascii="Calibri" w:hAnsi="Calibri" w:cs="Calibri"/>
        </w:rPr>
        <w:t>Thiago Barata</w:t>
      </w:r>
      <w:r w:rsidR="00BC4231">
        <w:rPr>
          <w:rFonts w:ascii="Calibri" w:hAnsi="Calibri" w:cs="Calibri"/>
        </w:rPr>
        <w:t xml:space="preserve"> (CGMOP/CORIS)</w:t>
      </w:r>
    </w:p>
    <w:p w:rsidR="001B5C91" w:rsidRDefault="001B5C91" w:rsidP="00065EE7">
      <w:pPr>
        <w:pStyle w:val="Padro"/>
        <w:spacing w:line="360" w:lineRule="atLeast"/>
        <w:rPr>
          <w:rFonts w:ascii="Calibri" w:hAnsi="Calibri" w:cs="Calibri"/>
        </w:rPr>
      </w:pPr>
      <w:r>
        <w:rPr>
          <w:rFonts w:ascii="Calibri" w:hAnsi="Calibri" w:cs="Calibri"/>
        </w:rPr>
        <w:t>Paloma Gomes</w:t>
      </w:r>
      <w:r w:rsidR="00BC4231">
        <w:rPr>
          <w:rFonts w:ascii="Calibri" w:hAnsi="Calibri" w:cs="Calibri"/>
        </w:rPr>
        <w:t xml:space="preserve"> (CGMOP/COPRA/DIMP2)</w:t>
      </w:r>
    </w:p>
    <w:p w:rsidR="001B5C91" w:rsidRDefault="001B5C91" w:rsidP="00065EE7">
      <w:pPr>
        <w:pStyle w:val="Padro"/>
        <w:spacing w:line="360" w:lineRule="atLeast"/>
        <w:rPr>
          <w:rFonts w:ascii="Calibri" w:hAnsi="Calibri" w:cs="Calibri"/>
        </w:rPr>
      </w:pPr>
      <w:r>
        <w:rPr>
          <w:rFonts w:ascii="Calibri" w:hAnsi="Calibri" w:cs="Calibri"/>
        </w:rPr>
        <w:t>Carolina Pereira</w:t>
      </w:r>
      <w:r w:rsidR="00BC4231">
        <w:rPr>
          <w:rFonts w:ascii="Calibri" w:hAnsi="Calibri" w:cs="Calibri"/>
        </w:rPr>
        <w:t xml:space="preserve"> (CGMOP/COPRA/DIMP1)</w:t>
      </w:r>
    </w:p>
    <w:p w:rsidR="00080FC2" w:rsidRDefault="00080FC2" w:rsidP="00065EE7">
      <w:pPr>
        <w:pStyle w:val="Padro"/>
        <w:spacing w:line="360" w:lineRule="atLeast"/>
        <w:rPr>
          <w:rFonts w:ascii="Calibri" w:hAnsi="Calibri" w:cs="Calibri"/>
        </w:rPr>
      </w:pPr>
      <w:r>
        <w:rPr>
          <w:rFonts w:ascii="Calibri" w:hAnsi="Calibri" w:cs="Calibri"/>
        </w:rPr>
        <w:t>Felipe Nunes (CGMOP/COPRA/DIMP1)</w:t>
      </w:r>
    </w:p>
    <w:p w:rsidR="00065EE7" w:rsidRDefault="00065EE7" w:rsidP="00065EE7">
      <w:pPr>
        <w:pStyle w:val="Padro"/>
        <w:spacing w:line="360" w:lineRule="atLeast"/>
        <w:rPr>
          <w:rFonts w:ascii="Calibri" w:hAnsi="Calibri" w:cs="Calibri"/>
        </w:rPr>
      </w:pPr>
      <w:r>
        <w:rPr>
          <w:rFonts w:ascii="Calibri" w:hAnsi="Calibri" w:cs="Calibri"/>
        </w:rPr>
        <w:t>Geraldo Neves Filho</w:t>
      </w:r>
      <w:r w:rsidR="00BC4231">
        <w:rPr>
          <w:rFonts w:ascii="Calibri" w:hAnsi="Calibri" w:cs="Calibri"/>
        </w:rPr>
        <w:t xml:space="preserve"> (CGMOP)</w:t>
      </w:r>
    </w:p>
    <w:p w:rsidR="00080FC2" w:rsidRPr="00845545" w:rsidRDefault="00080FC2" w:rsidP="00065EE7">
      <w:pPr>
        <w:pStyle w:val="Padro"/>
        <w:spacing w:line="360" w:lineRule="atLeast"/>
        <w:rPr>
          <w:rFonts w:ascii="Calibri" w:hAnsi="Calibri" w:cs="Calibri"/>
        </w:rPr>
      </w:pPr>
      <w:r>
        <w:rPr>
          <w:rFonts w:ascii="Calibri" w:hAnsi="Calibri" w:cs="Calibri"/>
        </w:rPr>
        <w:t>Mariana Arozo (CGCOM/COPEP)</w:t>
      </w:r>
      <w:bookmarkStart w:id="0" w:name="_GoBack"/>
      <w:bookmarkEnd w:id="0"/>
    </w:p>
    <w:p w:rsidR="00065EE7" w:rsidRDefault="00065EE7" w:rsidP="00065EE7">
      <w:pPr>
        <w:pStyle w:val="Padro"/>
        <w:spacing w:line="360" w:lineRule="atLeast"/>
        <w:rPr>
          <w:rFonts w:ascii="Calibri" w:hAnsi="Calibri" w:cs="Calibri"/>
          <w:b/>
          <w:bCs/>
        </w:rPr>
      </w:pPr>
    </w:p>
    <w:p w:rsidR="00065EE7" w:rsidRDefault="00065EE7" w:rsidP="00065EE7">
      <w:pPr>
        <w:pStyle w:val="Padro"/>
        <w:spacing w:line="360" w:lineRule="atLeast"/>
        <w:rPr>
          <w:rFonts w:ascii="Calibri" w:hAnsi="Calibri" w:cs="Calibri"/>
          <w:b/>
          <w:bCs/>
        </w:rPr>
      </w:pPr>
      <w:r>
        <w:rPr>
          <w:rFonts w:ascii="Calibri" w:hAnsi="Calibri" w:cs="Calibri"/>
          <w:b/>
          <w:bCs/>
        </w:rPr>
        <w:t>CNseg</w:t>
      </w:r>
    </w:p>
    <w:p w:rsidR="001173B4" w:rsidRDefault="00080FC2" w:rsidP="00065EE7">
      <w:pPr>
        <w:pStyle w:val="Padro"/>
        <w:spacing w:line="360" w:lineRule="atLeast"/>
        <w:rPr>
          <w:rFonts w:ascii="Calibri" w:hAnsi="Calibri" w:cs="Calibri"/>
        </w:rPr>
      </w:pPr>
      <w:r>
        <w:rPr>
          <w:rFonts w:ascii="Calibri" w:hAnsi="Calibri" w:cs="Calibri"/>
        </w:rPr>
        <w:t>Karini Madeira</w:t>
      </w:r>
    </w:p>
    <w:p w:rsidR="001B5C91" w:rsidRDefault="001B5C91" w:rsidP="00065EE7">
      <w:pPr>
        <w:pStyle w:val="Padro"/>
        <w:spacing w:line="360" w:lineRule="atLeast"/>
        <w:rPr>
          <w:rFonts w:ascii="Calibri" w:hAnsi="Calibri" w:cs="Calibri"/>
        </w:rPr>
      </w:pPr>
    </w:p>
    <w:p w:rsidR="001B5C91" w:rsidRPr="001B5C91" w:rsidRDefault="001B5C91" w:rsidP="00065EE7">
      <w:pPr>
        <w:pStyle w:val="Padro"/>
        <w:spacing w:line="360" w:lineRule="atLeast"/>
        <w:rPr>
          <w:rFonts w:ascii="Calibri" w:hAnsi="Calibri" w:cs="Calibri"/>
          <w:b/>
        </w:rPr>
      </w:pPr>
      <w:r w:rsidRPr="001B5C91">
        <w:rPr>
          <w:rFonts w:ascii="Calibri" w:hAnsi="Calibri" w:cs="Calibri"/>
          <w:b/>
        </w:rPr>
        <w:t>FenSeg</w:t>
      </w:r>
    </w:p>
    <w:p w:rsidR="001173B4" w:rsidRDefault="001173B4" w:rsidP="001173B4">
      <w:pPr>
        <w:pStyle w:val="Padro"/>
        <w:spacing w:line="360" w:lineRule="atLeast"/>
        <w:rPr>
          <w:rFonts w:ascii="Calibri" w:hAnsi="Calibri" w:cs="Calibri"/>
        </w:rPr>
      </w:pPr>
      <w:r>
        <w:rPr>
          <w:rFonts w:ascii="Calibri" w:hAnsi="Calibri" w:cs="Calibri"/>
        </w:rPr>
        <w:t>Leonardo Diamante</w:t>
      </w:r>
    </w:p>
    <w:p w:rsidR="00996765" w:rsidRPr="007A0BBF" w:rsidRDefault="00996765" w:rsidP="00065EE7">
      <w:pPr>
        <w:pStyle w:val="Padro"/>
        <w:spacing w:line="360" w:lineRule="atLeast"/>
        <w:rPr>
          <w:rFonts w:ascii="Calibri" w:hAnsi="Calibri" w:cs="Calibri"/>
          <w:b/>
          <w:bCs/>
        </w:rPr>
      </w:pPr>
    </w:p>
    <w:p w:rsidR="00065EE7" w:rsidRPr="007A0BBF" w:rsidRDefault="001B5C91" w:rsidP="00065EE7">
      <w:pPr>
        <w:pStyle w:val="Padro"/>
        <w:spacing w:line="360" w:lineRule="atLeast"/>
        <w:rPr>
          <w:rFonts w:ascii="Calibri" w:hAnsi="Calibri" w:cs="Calibri"/>
          <w:b/>
          <w:bCs/>
        </w:rPr>
      </w:pPr>
      <w:r>
        <w:rPr>
          <w:rFonts w:ascii="Calibri" w:hAnsi="Calibri" w:cs="Calibri"/>
          <w:b/>
          <w:bCs/>
        </w:rPr>
        <w:t>FenaP</w:t>
      </w:r>
      <w:r w:rsidR="00065EE7" w:rsidRPr="007A0BBF">
        <w:rPr>
          <w:rFonts w:ascii="Calibri" w:hAnsi="Calibri" w:cs="Calibri"/>
          <w:b/>
          <w:bCs/>
        </w:rPr>
        <w:t>revi</w:t>
      </w:r>
    </w:p>
    <w:p w:rsidR="001173B4" w:rsidRPr="001173B4" w:rsidRDefault="00080FC2" w:rsidP="00065EE7">
      <w:pPr>
        <w:pStyle w:val="Padro"/>
        <w:spacing w:line="360" w:lineRule="atLeast"/>
        <w:rPr>
          <w:rFonts w:ascii="Calibri" w:hAnsi="Calibri" w:cs="Calibri"/>
        </w:rPr>
      </w:pPr>
      <w:r>
        <w:rPr>
          <w:rFonts w:ascii="Calibri" w:hAnsi="Calibri" w:cs="Calibri"/>
          <w:bCs/>
        </w:rPr>
        <w:t>Juliana Botelho</w:t>
      </w:r>
    </w:p>
    <w:p w:rsidR="00065EE7" w:rsidRDefault="00065EE7" w:rsidP="00065EE7">
      <w:pPr>
        <w:pStyle w:val="Padro"/>
        <w:spacing w:line="360" w:lineRule="atLeast"/>
        <w:rPr>
          <w:rFonts w:ascii="Calibri" w:hAnsi="Calibri" w:cs="Calibri"/>
          <w:bCs/>
        </w:rPr>
      </w:pPr>
    </w:p>
    <w:p w:rsidR="001B5C91" w:rsidRPr="007A0BBF" w:rsidRDefault="001B5C91" w:rsidP="001B5C91">
      <w:pPr>
        <w:pStyle w:val="Padro"/>
        <w:spacing w:line="360" w:lineRule="atLeast"/>
        <w:rPr>
          <w:rFonts w:ascii="Calibri" w:hAnsi="Calibri" w:cs="Calibri"/>
          <w:b/>
          <w:bCs/>
        </w:rPr>
      </w:pPr>
      <w:r>
        <w:rPr>
          <w:rFonts w:ascii="Calibri" w:hAnsi="Calibri" w:cs="Calibri"/>
          <w:b/>
          <w:bCs/>
        </w:rPr>
        <w:t>FenaCap</w:t>
      </w:r>
    </w:p>
    <w:p w:rsidR="001B5C91" w:rsidRDefault="00080FC2" w:rsidP="001B5C91">
      <w:pPr>
        <w:pStyle w:val="Padro"/>
        <w:spacing w:line="360" w:lineRule="atLeast"/>
        <w:rPr>
          <w:rFonts w:ascii="Calibri" w:hAnsi="Calibri" w:cs="Calibri"/>
          <w:bCs/>
        </w:rPr>
      </w:pPr>
      <w:r>
        <w:rPr>
          <w:rFonts w:ascii="Calibri" w:hAnsi="Calibri" w:cs="Calibri"/>
          <w:bCs/>
        </w:rPr>
        <w:t>Jacqueline Lana</w:t>
      </w:r>
    </w:p>
    <w:p w:rsidR="001B5C91" w:rsidRDefault="001B5C91" w:rsidP="001B5C91">
      <w:pPr>
        <w:pStyle w:val="Padro"/>
        <w:spacing w:line="360" w:lineRule="atLeast"/>
        <w:rPr>
          <w:rFonts w:ascii="Calibri" w:hAnsi="Calibri" w:cs="Calibri"/>
          <w:bCs/>
        </w:rPr>
      </w:pPr>
    </w:p>
    <w:p w:rsidR="001B5C91" w:rsidRPr="007A0BBF" w:rsidRDefault="001B5C91" w:rsidP="001B5C91">
      <w:pPr>
        <w:pStyle w:val="Padro"/>
        <w:spacing w:line="360" w:lineRule="atLeast"/>
        <w:rPr>
          <w:rFonts w:ascii="Mangal" w:hAnsi="Mangal" w:cs="Mangal" w:hint="eastAsia"/>
        </w:rPr>
      </w:pPr>
      <w:r w:rsidRPr="007A0BBF">
        <w:rPr>
          <w:rFonts w:ascii="Calibri" w:hAnsi="Calibri" w:cs="Calibri"/>
          <w:b/>
          <w:bCs/>
        </w:rPr>
        <w:t>Fenaber</w:t>
      </w:r>
    </w:p>
    <w:p w:rsidR="00080FC2" w:rsidRDefault="00080FC2" w:rsidP="001B5C91">
      <w:pPr>
        <w:pStyle w:val="Padro"/>
        <w:spacing w:line="360" w:lineRule="atLeast"/>
        <w:rPr>
          <w:rFonts w:ascii="Calibri" w:hAnsi="Calibri" w:cs="Calibri"/>
          <w:bCs/>
        </w:rPr>
      </w:pPr>
      <w:r>
        <w:rPr>
          <w:rFonts w:ascii="Calibri" w:hAnsi="Calibri" w:cs="Calibri"/>
          <w:bCs/>
        </w:rPr>
        <w:t>Fredi Curquejo</w:t>
      </w:r>
    </w:p>
    <w:p w:rsidR="001B5C91" w:rsidRDefault="001B5C91" w:rsidP="001B5C91">
      <w:pPr>
        <w:pStyle w:val="Padro"/>
        <w:spacing w:line="360" w:lineRule="atLeast"/>
        <w:rPr>
          <w:rFonts w:ascii="Calibri" w:hAnsi="Calibri" w:cs="Calibri"/>
          <w:bCs/>
        </w:rPr>
      </w:pPr>
      <w:r>
        <w:rPr>
          <w:rFonts w:ascii="Calibri" w:hAnsi="Calibri" w:cs="Calibri"/>
          <w:bCs/>
        </w:rPr>
        <w:t>Delvo Santiago</w:t>
      </w:r>
    </w:p>
    <w:p w:rsidR="001B5C91" w:rsidRDefault="001B5C91" w:rsidP="00065EE7">
      <w:pPr>
        <w:pStyle w:val="Padro"/>
        <w:spacing w:line="360" w:lineRule="atLeast"/>
        <w:rPr>
          <w:rFonts w:ascii="Calibri" w:hAnsi="Calibri" w:cs="Calibri"/>
          <w:bCs/>
        </w:rPr>
      </w:pPr>
    </w:p>
    <w:p w:rsidR="00065EE7" w:rsidRPr="007A0BBF" w:rsidRDefault="00065EE7" w:rsidP="00065EE7">
      <w:pPr>
        <w:pStyle w:val="Padro"/>
        <w:spacing w:line="360" w:lineRule="atLeast"/>
        <w:rPr>
          <w:rFonts w:ascii="Calibri" w:hAnsi="Calibri" w:cs="Calibri"/>
          <w:b/>
          <w:bCs/>
        </w:rPr>
      </w:pPr>
      <w:r>
        <w:rPr>
          <w:rFonts w:ascii="Calibri" w:hAnsi="Calibri" w:cs="Calibri"/>
          <w:b/>
          <w:bCs/>
        </w:rPr>
        <w:t>IBA</w:t>
      </w:r>
    </w:p>
    <w:p w:rsidR="001F4A5E" w:rsidRDefault="00AA4BF0" w:rsidP="001B5C91">
      <w:pPr>
        <w:pStyle w:val="Padro"/>
        <w:spacing w:line="360" w:lineRule="atLeast"/>
        <w:rPr>
          <w:rFonts w:ascii="Calibri" w:hAnsi="Calibri" w:cs="Calibri"/>
          <w:bCs/>
        </w:rPr>
      </w:pPr>
      <w:r>
        <w:rPr>
          <w:rFonts w:ascii="Calibri" w:hAnsi="Calibri" w:cs="Calibri"/>
          <w:bCs/>
        </w:rPr>
        <w:t xml:space="preserve">Gabriela </w:t>
      </w:r>
      <w:r w:rsidR="00B41CB9">
        <w:rPr>
          <w:rFonts w:ascii="Calibri" w:hAnsi="Calibri" w:cs="Calibri"/>
          <w:bCs/>
        </w:rPr>
        <w:t>Ribeiro</w:t>
      </w:r>
    </w:p>
    <w:p w:rsidR="00080FC2" w:rsidRDefault="00080FC2" w:rsidP="001B5C91">
      <w:pPr>
        <w:pStyle w:val="Padro"/>
        <w:spacing w:line="360" w:lineRule="atLeast"/>
        <w:rPr>
          <w:rFonts w:ascii="Calibri" w:hAnsi="Calibri" w:cs="Calibri"/>
          <w:bCs/>
        </w:rPr>
      </w:pPr>
    </w:p>
    <w:p w:rsidR="00080FC2" w:rsidRPr="007A0BBF" w:rsidRDefault="00080FC2" w:rsidP="00080FC2">
      <w:pPr>
        <w:pStyle w:val="Padro"/>
        <w:spacing w:line="360" w:lineRule="atLeast"/>
        <w:rPr>
          <w:rFonts w:ascii="Calibri" w:hAnsi="Calibri" w:cs="Calibri"/>
          <w:b/>
          <w:bCs/>
        </w:rPr>
      </w:pPr>
      <w:r>
        <w:rPr>
          <w:rFonts w:ascii="Calibri" w:hAnsi="Calibri" w:cs="Calibri"/>
          <w:b/>
          <w:bCs/>
        </w:rPr>
        <w:t>Auditores Atuariais</w:t>
      </w:r>
    </w:p>
    <w:p w:rsidR="00080FC2" w:rsidRDefault="00080FC2" w:rsidP="00080FC2">
      <w:pPr>
        <w:pStyle w:val="Padro"/>
        <w:spacing w:line="360" w:lineRule="atLeast"/>
        <w:rPr>
          <w:rFonts w:ascii="Calibri" w:hAnsi="Calibri" w:cs="Calibri"/>
          <w:bCs/>
        </w:rPr>
      </w:pPr>
      <w:r>
        <w:rPr>
          <w:rFonts w:ascii="Calibri" w:hAnsi="Calibri" w:cs="Calibri"/>
          <w:bCs/>
        </w:rPr>
        <w:t>Carlos Teixeira</w:t>
      </w:r>
    </w:p>
    <w:p w:rsidR="00080FC2" w:rsidRDefault="00080FC2" w:rsidP="001B5C91">
      <w:pPr>
        <w:pStyle w:val="Padro"/>
        <w:spacing w:line="360" w:lineRule="atLeast"/>
        <w:rPr>
          <w:rFonts w:ascii="Calibri" w:hAnsi="Calibri" w:cs="Calibri"/>
          <w:bCs/>
        </w:rPr>
      </w:pPr>
    </w:p>
    <w:p w:rsidR="00F851C3" w:rsidRDefault="00F851C3" w:rsidP="001B5C91">
      <w:pPr>
        <w:pStyle w:val="Padro"/>
        <w:spacing w:line="360" w:lineRule="atLeast"/>
        <w:rPr>
          <w:rFonts w:ascii="Calibri" w:hAnsi="Calibri" w:cs="Calibri"/>
          <w:bCs/>
        </w:rPr>
      </w:pPr>
    </w:p>
    <w:p w:rsidR="00532999" w:rsidRPr="00C1622C" w:rsidRDefault="00532999" w:rsidP="001E4291">
      <w:pPr>
        <w:pStyle w:val="Padro"/>
        <w:spacing w:line="360" w:lineRule="auto"/>
        <w:jc w:val="both"/>
        <w:rPr>
          <w:rFonts w:ascii="Calibri" w:hAnsi="Calibri" w:cs="Calibri"/>
          <w:bCs/>
        </w:rPr>
      </w:pPr>
      <w:r w:rsidRPr="00C1622C">
        <w:rPr>
          <w:rFonts w:ascii="Calibri" w:hAnsi="Calibri" w:cs="Calibri"/>
          <w:bCs/>
        </w:rPr>
        <w:tab/>
      </w:r>
    </w:p>
    <w:p w:rsidR="00ED3273" w:rsidRPr="001B5C91" w:rsidRDefault="00532999" w:rsidP="001B5C91">
      <w:pPr>
        <w:pStyle w:val="Padro"/>
        <w:spacing w:line="360" w:lineRule="atLeast"/>
        <w:rPr>
          <w:rFonts w:ascii="Calibri" w:hAnsi="Calibri" w:cs="Calibri"/>
          <w:bCs/>
        </w:rPr>
      </w:pPr>
      <w:r w:rsidRPr="001B5C91">
        <w:rPr>
          <w:rFonts w:ascii="Calibri" w:hAnsi="Calibri" w:cs="Calibri"/>
          <w:bCs/>
        </w:rPr>
        <w:lastRenderedPageBreak/>
        <w:t xml:space="preserve"> </w:t>
      </w:r>
    </w:p>
    <w:p w:rsidR="008938C6" w:rsidRDefault="008938C6" w:rsidP="008938C6">
      <w:pPr>
        <w:spacing w:after="200" w:line="360" w:lineRule="auto"/>
        <w:rPr>
          <w:b/>
          <w:bCs/>
          <w:sz w:val="24"/>
          <w:szCs w:val="24"/>
          <w:u w:val="single"/>
        </w:rPr>
      </w:pPr>
      <w:r>
        <w:rPr>
          <w:b/>
          <w:bCs/>
          <w:sz w:val="24"/>
          <w:szCs w:val="24"/>
          <w:u w:val="single"/>
        </w:rPr>
        <w:t xml:space="preserve">1. </w:t>
      </w:r>
      <w:r w:rsidR="00F01D95">
        <w:rPr>
          <w:b/>
          <w:bCs/>
          <w:sz w:val="24"/>
          <w:szCs w:val="24"/>
          <w:u w:val="single"/>
        </w:rPr>
        <w:t>Agenda de ajustes normativos - COPRA</w:t>
      </w:r>
    </w:p>
    <w:p w:rsidR="001E6BE6" w:rsidRPr="001E6BE6" w:rsidRDefault="001E6BE6" w:rsidP="001E6BE6">
      <w:pPr>
        <w:spacing w:line="360" w:lineRule="auto"/>
        <w:ind w:firstLine="708"/>
        <w:jc w:val="both"/>
        <w:rPr>
          <w:rFonts w:asciiTheme="minorHAnsi" w:eastAsia="SimSun" w:hAnsiTheme="minorHAnsi"/>
          <w:sz w:val="24"/>
          <w:szCs w:val="24"/>
          <w:lang w:eastAsia="zh-CN"/>
        </w:rPr>
      </w:pPr>
      <w:r w:rsidRPr="001E6BE6">
        <w:rPr>
          <w:rFonts w:asciiTheme="minorHAnsi" w:eastAsia="SimSun" w:hAnsiTheme="minorHAnsi"/>
          <w:sz w:val="24"/>
          <w:szCs w:val="24"/>
          <w:lang w:eastAsia="zh-CN"/>
        </w:rPr>
        <w:t xml:space="preserve">O representante da </w:t>
      </w:r>
      <w:r w:rsidR="00F25A73">
        <w:rPr>
          <w:rFonts w:asciiTheme="minorHAnsi" w:eastAsia="SimSun" w:hAnsiTheme="minorHAnsi"/>
          <w:sz w:val="24"/>
          <w:szCs w:val="24"/>
          <w:lang w:eastAsia="zh-CN"/>
        </w:rPr>
        <w:t>COPRA</w:t>
      </w:r>
      <w:r w:rsidRPr="001E6BE6">
        <w:rPr>
          <w:rFonts w:asciiTheme="minorHAnsi" w:eastAsia="SimSun" w:hAnsiTheme="minorHAnsi"/>
          <w:sz w:val="24"/>
          <w:szCs w:val="24"/>
          <w:lang w:eastAsia="zh-CN"/>
        </w:rPr>
        <w:t xml:space="preserve"> indicou que já existe uma minuta inicial com as propostas de alteração, a qual será enviada aos representantes do mercado logo após o alinhamento interno entre as áreas de provisões técnicas e de produtos da Susep. Destacou-se que há 3 grupos principais de alterações: novos CPAs, ajustes em alguns dispositivos de provisões, e alinhamento entre normas de produtos e provisões. Foi ressaltado que o objetivo principal não é rever todos os dispositivos, mas principalmente suprir algumas lacunas, dirimir algumas divergências em relação a procedimentos já adotados e padronizar alguns entendimentos. Os representantes do mercado ficaram de enviar os nomes que comporão o grupo de trabalho que discutirá a minuta, e o representante da Susep indicou que deve enviar a minuta no prazo de até 3 semanas.</w:t>
      </w:r>
    </w:p>
    <w:p w:rsidR="001D56B5" w:rsidRPr="008938C6" w:rsidRDefault="00BE0C7C" w:rsidP="00BE0C7C">
      <w:pPr>
        <w:spacing w:line="360" w:lineRule="auto"/>
        <w:ind w:firstLine="708"/>
        <w:jc w:val="both"/>
        <w:rPr>
          <w:rFonts w:asciiTheme="minorHAnsi" w:eastAsia="SimSun" w:hAnsiTheme="minorHAnsi"/>
          <w:sz w:val="24"/>
          <w:szCs w:val="24"/>
          <w:lang w:eastAsia="zh-CN"/>
        </w:rPr>
      </w:pPr>
      <w:r w:rsidRPr="008938C6">
        <w:rPr>
          <w:rFonts w:asciiTheme="minorHAnsi" w:eastAsia="SimSun" w:hAnsiTheme="minorHAnsi"/>
          <w:sz w:val="24"/>
          <w:szCs w:val="24"/>
          <w:lang w:eastAsia="zh-CN"/>
        </w:rPr>
        <w:t xml:space="preserve"> </w:t>
      </w:r>
    </w:p>
    <w:p w:rsidR="008938C6" w:rsidRPr="001E6BE6" w:rsidRDefault="008938C6" w:rsidP="001E6BE6">
      <w:pPr>
        <w:spacing w:after="200" w:line="360" w:lineRule="auto"/>
        <w:rPr>
          <w:b/>
          <w:bCs/>
          <w:sz w:val="24"/>
          <w:szCs w:val="24"/>
          <w:u w:val="single"/>
        </w:rPr>
      </w:pPr>
      <w:r>
        <w:rPr>
          <w:b/>
          <w:bCs/>
          <w:sz w:val="24"/>
          <w:szCs w:val="24"/>
          <w:u w:val="single"/>
        </w:rPr>
        <w:t xml:space="preserve">2. </w:t>
      </w:r>
      <w:r w:rsidR="001E6BE6" w:rsidRPr="001E6BE6">
        <w:rPr>
          <w:b/>
          <w:bCs/>
          <w:sz w:val="24"/>
          <w:szCs w:val="24"/>
          <w:u w:val="single"/>
        </w:rPr>
        <w:t>Convênio UFRJ (tábuas biométricas)</w:t>
      </w:r>
    </w:p>
    <w:p w:rsidR="001E6BE6" w:rsidRPr="001E6BE6" w:rsidRDefault="001E6BE6" w:rsidP="001E6BE6">
      <w:pPr>
        <w:spacing w:line="360" w:lineRule="auto"/>
        <w:ind w:firstLine="708"/>
        <w:jc w:val="both"/>
        <w:rPr>
          <w:rFonts w:asciiTheme="minorHAnsi" w:eastAsia="SimSun" w:hAnsiTheme="minorHAnsi"/>
          <w:sz w:val="24"/>
          <w:szCs w:val="24"/>
          <w:lang w:eastAsia="zh-CN"/>
        </w:rPr>
      </w:pPr>
      <w:r w:rsidRPr="001E6BE6">
        <w:rPr>
          <w:rFonts w:asciiTheme="minorHAnsi" w:eastAsia="SimSun" w:hAnsiTheme="minorHAnsi"/>
          <w:sz w:val="24"/>
          <w:szCs w:val="24"/>
          <w:lang w:eastAsia="zh-CN"/>
        </w:rPr>
        <w:t xml:space="preserve">O representante da </w:t>
      </w:r>
      <w:r w:rsidR="00F25A73">
        <w:rPr>
          <w:rFonts w:asciiTheme="minorHAnsi" w:eastAsia="SimSun" w:hAnsiTheme="minorHAnsi"/>
          <w:sz w:val="24"/>
          <w:szCs w:val="24"/>
          <w:lang w:eastAsia="zh-CN"/>
        </w:rPr>
        <w:t>COPRA</w:t>
      </w:r>
      <w:r w:rsidRPr="001E6BE6">
        <w:rPr>
          <w:rFonts w:asciiTheme="minorHAnsi" w:eastAsia="SimSun" w:hAnsiTheme="minorHAnsi"/>
          <w:sz w:val="24"/>
          <w:szCs w:val="24"/>
          <w:lang w:eastAsia="zh-CN"/>
        </w:rPr>
        <w:t xml:space="preserve"> indicou que foi encaminhada à UFRJ uma minuta de Convênio e destacou que a ideia é que o Acordo formal envolva diretamente apenas a Susep e a UFRJ, e que as contratantes das tábuas </w:t>
      </w:r>
      <w:r w:rsidR="00F25A73">
        <w:rPr>
          <w:rFonts w:asciiTheme="minorHAnsi" w:eastAsia="SimSun" w:hAnsiTheme="minorHAnsi"/>
          <w:sz w:val="24"/>
          <w:szCs w:val="24"/>
          <w:lang w:eastAsia="zh-CN"/>
        </w:rPr>
        <w:t>sejam</w:t>
      </w:r>
      <w:r w:rsidRPr="001E6BE6">
        <w:rPr>
          <w:rFonts w:asciiTheme="minorHAnsi" w:eastAsia="SimSun" w:hAnsiTheme="minorHAnsi"/>
          <w:sz w:val="24"/>
          <w:szCs w:val="24"/>
          <w:lang w:eastAsia="zh-CN"/>
        </w:rPr>
        <w:t xml:space="preserve"> incluídas nos planos de trabalho. Inicialmente havia se cogitado a possibilidade de incluir formalmente a FenaPrevi no Convênio, uma vez que esta é a contratante da tábua BR-EMS. No entanto, o objetivo do Acordo é abranger não somente questões relativas à atualização da BR-EMS, mas também procedimentos para aprovação de tábuas próprias.</w:t>
      </w:r>
    </w:p>
    <w:p w:rsidR="007C4C63" w:rsidRPr="004776F8" w:rsidRDefault="007C4C63" w:rsidP="004776F8">
      <w:pPr>
        <w:spacing w:line="360" w:lineRule="auto"/>
        <w:ind w:firstLine="708"/>
        <w:jc w:val="both"/>
        <w:rPr>
          <w:rFonts w:asciiTheme="minorHAnsi" w:eastAsia="SimSun" w:hAnsiTheme="minorHAnsi"/>
          <w:sz w:val="24"/>
          <w:szCs w:val="24"/>
          <w:lang w:eastAsia="zh-CN"/>
        </w:rPr>
      </w:pPr>
    </w:p>
    <w:p w:rsidR="008938C6" w:rsidRPr="003D6437" w:rsidRDefault="008938C6" w:rsidP="008938C6">
      <w:pPr>
        <w:spacing w:after="200" w:line="360" w:lineRule="auto"/>
        <w:rPr>
          <w:b/>
          <w:bCs/>
          <w:sz w:val="24"/>
          <w:szCs w:val="24"/>
          <w:u w:val="single"/>
        </w:rPr>
      </w:pPr>
      <w:r>
        <w:rPr>
          <w:b/>
          <w:bCs/>
          <w:sz w:val="24"/>
          <w:szCs w:val="24"/>
          <w:u w:val="single"/>
        </w:rPr>
        <w:t xml:space="preserve">3. </w:t>
      </w:r>
      <w:r w:rsidR="001E6BE6">
        <w:rPr>
          <w:b/>
          <w:bCs/>
          <w:sz w:val="24"/>
          <w:szCs w:val="24"/>
          <w:u w:val="single"/>
        </w:rPr>
        <w:t>Orientações de preenchimento do FIP (renda reversível e renda com mínimo garantido)</w:t>
      </w:r>
    </w:p>
    <w:p w:rsidR="001E6BE6" w:rsidRPr="001E6BE6" w:rsidRDefault="001E6BE6" w:rsidP="001E6BE6">
      <w:pPr>
        <w:spacing w:line="360" w:lineRule="auto"/>
        <w:ind w:firstLine="708"/>
        <w:jc w:val="both"/>
        <w:rPr>
          <w:rFonts w:asciiTheme="minorHAnsi" w:eastAsia="SimSun" w:hAnsiTheme="minorHAnsi"/>
          <w:sz w:val="24"/>
          <w:szCs w:val="24"/>
          <w:lang w:eastAsia="zh-CN"/>
        </w:rPr>
      </w:pPr>
      <w:r w:rsidRPr="001E6BE6">
        <w:rPr>
          <w:rFonts w:asciiTheme="minorHAnsi" w:eastAsia="SimSun" w:hAnsiTheme="minorHAnsi"/>
          <w:sz w:val="24"/>
          <w:szCs w:val="24"/>
          <w:lang w:eastAsia="zh-CN"/>
        </w:rPr>
        <w:t>A Susep indicou que está revendo os arquivos de cálculo da PMBC e, durante essa revisão, percebeu algumas distorções no preenchimento das idades referentes a participantes e/ou beneficiários de rendas reversíveis ou rendas vitalícias com mínimo garantido. A orientação contida no Manual de Preenchimento do FIP e</w:t>
      </w:r>
      <w:r w:rsidR="00F25A73">
        <w:rPr>
          <w:rFonts w:asciiTheme="minorHAnsi" w:eastAsia="SimSun" w:hAnsiTheme="minorHAnsi"/>
          <w:sz w:val="24"/>
          <w:szCs w:val="24"/>
          <w:lang w:eastAsia="zh-CN"/>
        </w:rPr>
        <w:t>xplicita</w:t>
      </w:r>
      <w:r w:rsidRPr="001E6BE6">
        <w:rPr>
          <w:rFonts w:asciiTheme="minorHAnsi" w:eastAsia="SimSun" w:hAnsiTheme="minorHAnsi"/>
          <w:sz w:val="24"/>
          <w:szCs w:val="24"/>
          <w:lang w:eastAsia="zh-CN"/>
        </w:rPr>
        <w:t xml:space="preserve"> que se o beneficiário ou o titular de uma renda reversível falecer, o campo de idade referente ao falecido deve ser preenchido com zero. Da mesma forma</w:t>
      </w:r>
      <w:r w:rsidR="00F25A73">
        <w:rPr>
          <w:rFonts w:asciiTheme="minorHAnsi" w:eastAsia="SimSun" w:hAnsiTheme="minorHAnsi"/>
          <w:sz w:val="24"/>
          <w:szCs w:val="24"/>
          <w:lang w:eastAsia="zh-CN"/>
        </w:rPr>
        <w:t>,</w:t>
      </w:r>
      <w:r w:rsidRPr="001E6BE6">
        <w:rPr>
          <w:rFonts w:asciiTheme="minorHAnsi" w:eastAsia="SimSun" w:hAnsiTheme="minorHAnsi"/>
          <w:sz w:val="24"/>
          <w:szCs w:val="24"/>
          <w:lang w:eastAsia="zh-CN"/>
        </w:rPr>
        <w:t xml:space="preserve"> se o participante de uma renda com mínimo garantido falecer antes do prazo mínimo, o campo de idade também </w:t>
      </w:r>
      <w:r w:rsidRPr="001E6BE6">
        <w:rPr>
          <w:rFonts w:asciiTheme="minorHAnsi" w:eastAsia="SimSun" w:hAnsiTheme="minorHAnsi"/>
          <w:sz w:val="24"/>
          <w:szCs w:val="24"/>
          <w:lang w:eastAsia="zh-CN"/>
        </w:rPr>
        <w:lastRenderedPageBreak/>
        <w:t>deve ser preenchido com zero. Os representantes do mercado ficaram de avaliar internamente se havia alguma dúvida de entendimento/preenchimento relativa a essas informações.</w:t>
      </w:r>
    </w:p>
    <w:p w:rsidR="008938C6" w:rsidRPr="008938C6" w:rsidRDefault="008938C6" w:rsidP="008938C6">
      <w:pPr>
        <w:spacing w:line="360" w:lineRule="auto"/>
        <w:ind w:firstLine="708"/>
        <w:jc w:val="both"/>
        <w:rPr>
          <w:rFonts w:asciiTheme="minorHAnsi" w:eastAsia="SimSun" w:hAnsiTheme="minorHAnsi"/>
          <w:sz w:val="24"/>
          <w:szCs w:val="24"/>
          <w:lang w:eastAsia="zh-CN"/>
        </w:rPr>
      </w:pPr>
    </w:p>
    <w:p w:rsidR="00DB6251" w:rsidRPr="003D6437" w:rsidRDefault="00DB6251" w:rsidP="00DB6251">
      <w:pPr>
        <w:spacing w:after="200" w:line="360" w:lineRule="auto"/>
        <w:rPr>
          <w:b/>
          <w:bCs/>
          <w:sz w:val="24"/>
          <w:szCs w:val="24"/>
          <w:u w:val="single"/>
        </w:rPr>
      </w:pPr>
      <w:r>
        <w:rPr>
          <w:b/>
          <w:bCs/>
          <w:sz w:val="24"/>
          <w:szCs w:val="24"/>
          <w:u w:val="single"/>
        </w:rPr>
        <w:t xml:space="preserve">4. </w:t>
      </w:r>
      <w:r w:rsidR="001E6BE6">
        <w:rPr>
          <w:b/>
          <w:bCs/>
          <w:sz w:val="24"/>
          <w:szCs w:val="24"/>
          <w:u w:val="single"/>
        </w:rPr>
        <w:t>Novos relatórios de monitoramento (COPRA)</w:t>
      </w:r>
    </w:p>
    <w:p w:rsidR="001E6BE6" w:rsidRPr="001E6BE6" w:rsidRDefault="001E6BE6" w:rsidP="00F25A73">
      <w:pPr>
        <w:spacing w:line="360" w:lineRule="auto"/>
        <w:ind w:firstLine="708"/>
        <w:jc w:val="both"/>
        <w:rPr>
          <w:rFonts w:asciiTheme="minorHAnsi" w:eastAsia="SimSun" w:hAnsiTheme="minorHAnsi"/>
          <w:sz w:val="24"/>
          <w:szCs w:val="24"/>
          <w:lang w:eastAsia="zh-CN"/>
        </w:rPr>
      </w:pPr>
      <w:r w:rsidRPr="001E6BE6">
        <w:rPr>
          <w:rFonts w:asciiTheme="minorHAnsi" w:eastAsia="SimSun" w:hAnsiTheme="minorHAnsi"/>
          <w:sz w:val="24"/>
          <w:szCs w:val="24"/>
          <w:lang w:eastAsia="zh-CN"/>
        </w:rPr>
        <w:t>O representante da Susep informou que a COPRA</w:t>
      </w:r>
      <w:r w:rsidR="00F25A73">
        <w:rPr>
          <w:rFonts w:asciiTheme="minorHAnsi" w:eastAsia="SimSun" w:hAnsiTheme="minorHAnsi"/>
          <w:sz w:val="24"/>
          <w:szCs w:val="24"/>
          <w:lang w:eastAsia="zh-CN"/>
        </w:rPr>
        <w:t>,</w:t>
      </w:r>
      <w:r w:rsidRPr="001E6BE6">
        <w:rPr>
          <w:rFonts w:asciiTheme="minorHAnsi" w:eastAsia="SimSun" w:hAnsiTheme="minorHAnsi"/>
          <w:sz w:val="24"/>
          <w:szCs w:val="24"/>
          <w:lang w:eastAsia="zh-CN"/>
        </w:rPr>
        <w:t xml:space="preserve"> em conjunto com a área de TI da Susep</w:t>
      </w:r>
      <w:r w:rsidR="00F25A73">
        <w:rPr>
          <w:rFonts w:asciiTheme="minorHAnsi" w:eastAsia="SimSun" w:hAnsiTheme="minorHAnsi"/>
          <w:sz w:val="24"/>
          <w:szCs w:val="24"/>
          <w:lang w:eastAsia="zh-CN"/>
        </w:rPr>
        <w:t>,</w:t>
      </w:r>
      <w:r w:rsidRPr="001E6BE6">
        <w:rPr>
          <w:rFonts w:asciiTheme="minorHAnsi" w:eastAsia="SimSun" w:hAnsiTheme="minorHAnsi"/>
          <w:sz w:val="24"/>
          <w:szCs w:val="24"/>
          <w:lang w:eastAsia="zh-CN"/>
        </w:rPr>
        <w:t xml:space="preserve"> finalizou um projeto para processamento automático de todos os principais arquivos de análise utilizados no monitoramento realizado pela COPRA. Isso permitirá o envio automático às supervisionadas dos relatórios gerados pela área. Além disso, informou que as memórias de cálculo dos valores processados automaticamente estão disponíveis no site da Susep, na página de Provisões Técnicas (Informações ao Mercado &gt;&gt; Solvência &gt;&gt; Provisões Técnicas). A ideia da Susep é fazer uma apresentação ao mercado para apresentar os novos procedimentos e prestar alguns esclarecimentos e orientações sobre periodicidade e ações esperadas. O representante da Susep indicou que a expectativa é que com a disponibilização total e frequente de todos os arquivos de análise e memórias de cálculos da COPRA, as supervisionadas terão possibilidade de se antecipar aos questionamentos da área, aumentando a proatividade das companhias e reduzindo, assim, a quantidade de questionamentos do supervisor; otimizando tanto o trabalho da Susep quanto das supervisionadas.</w:t>
      </w:r>
    </w:p>
    <w:p w:rsidR="00EB3A90" w:rsidRDefault="00EB3A90" w:rsidP="00DB6251">
      <w:pPr>
        <w:spacing w:line="360" w:lineRule="auto"/>
        <w:ind w:firstLine="708"/>
        <w:jc w:val="both"/>
        <w:rPr>
          <w:rFonts w:asciiTheme="minorHAnsi" w:eastAsia="SimSun" w:hAnsiTheme="minorHAnsi"/>
          <w:sz w:val="24"/>
          <w:szCs w:val="24"/>
          <w:lang w:eastAsia="zh-CN"/>
        </w:rPr>
      </w:pPr>
    </w:p>
    <w:p w:rsidR="00DB6251" w:rsidRPr="003D6437" w:rsidRDefault="00DB6251" w:rsidP="00DB6251">
      <w:pPr>
        <w:spacing w:after="200" w:line="360" w:lineRule="auto"/>
        <w:rPr>
          <w:b/>
          <w:bCs/>
          <w:sz w:val="24"/>
          <w:szCs w:val="24"/>
          <w:u w:val="single"/>
        </w:rPr>
      </w:pPr>
      <w:r>
        <w:rPr>
          <w:b/>
          <w:bCs/>
          <w:sz w:val="24"/>
          <w:szCs w:val="24"/>
          <w:u w:val="single"/>
        </w:rPr>
        <w:t xml:space="preserve">5. </w:t>
      </w:r>
      <w:r w:rsidR="00F01C45">
        <w:rPr>
          <w:b/>
          <w:bCs/>
          <w:sz w:val="24"/>
          <w:szCs w:val="24"/>
          <w:u w:val="single"/>
        </w:rPr>
        <w:t>Reporte da Subcomissão de Riscos</w:t>
      </w:r>
    </w:p>
    <w:p w:rsidR="00B961B0" w:rsidRDefault="00B961B0" w:rsidP="00B961B0">
      <w:pPr>
        <w:spacing w:line="360" w:lineRule="auto"/>
        <w:ind w:firstLine="708"/>
        <w:jc w:val="both"/>
        <w:rPr>
          <w:rFonts w:asciiTheme="minorHAnsi" w:eastAsia="SimSun" w:hAnsiTheme="minorHAnsi"/>
          <w:sz w:val="24"/>
          <w:szCs w:val="24"/>
          <w:lang w:eastAsia="zh-CN"/>
        </w:rPr>
      </w:pPr>
      <w:r>
        <w:rPr>
          <w:rFonts w:asciiTheme="minorHAnsi" w:eastAsia="SimSun" w:hAnsiTheme="minorHAnsi"/>
          <w:sz w:val="24"/>
          <w:szCs w:val="24"/>
          <w:lang w:eastAsia="zh-CN"/>
        </w:rPr>
        <w:t xml:space="preserve">O representante da CORIS informou que na última reunião da Subcomissão de Riscos foi concluída a minuta de ajustes na </w:t>
      </w:r>
      <w:r w:rsidRPr="0076538E">
        <w:rPr>
          <w:rFonts w:asciiTheme="minorHAnsi" w:eastAsia="SimSun" w:hAnsiTheme="minorHAnsi"/>
          <w:sz w:val="24"/>
          <w:szCs w:val="24"/>
          <w:lang w:eastAsia="zh-CN"/>
        </w:rPr>
        <w:t>Seção III</w:t>
      </w:r>
      <w:r>
        <w:rPr>
          <w:rFonts w:asciiTheme="minorHAnsi" w:eastAsia="SimSun" w:hAnsiTheme="minorHAnsi"/>
          <w:sz w:val="24"/>
          <w:szCs w:val="24"/>
          <w:lang w:eastAsia="zh-CN"/>
        </w:rPr>
        <w:t xml:space="preserve"> do Capítulo IV do título I da Circular Susep 517 de 2015 (</w:t>
      </w:r>
      <w:r w:rsidRPr="0076538E">
        <w:rPr>
          <w:rFonts w:asciiTheme="minorHAnsi" w:eastAsia="SimSun" w:hAnsiTheme="minorHAnsi"/>
          <w:sz w:val="24"/>
          <w:szCs w:val="24"/>
          <w:lang w:eastAsia="zh-CN"/>
        </w:rPr>
        <w:t>Dos Critérios que Permitem a Utilização de Fatores Reduzidos de Risco no</w:t>
      </w:r>
      <w:r>
        <w:rPr>
          <w:rFonts w:asciiTheme="minorHAnsi" w:eastAsia="SimSun" w:hAnsiTheme="minorHAnsi"/>
          <w:sz w:val="24"/>
          <w:szCs w:val="24"/>
          <w:lang w:eastAsia="zh-CN"/>
        </w:rPr>
        <w:t xml:space="preserve"> </w:t>
      </w:r>
      <w:r w:rsidRPr="0076538E">
        <w:rPr>
          <w:rFonts w:asciiTheme="minorHAnsi" w:eastAsia="SimSun" w:hAnsiTheme="minorHAnsi"/>
          <w:sz w:val="24"/>
          <w:szCs w:val="24"/>
          <w:lang w:eastAsia="zh-CN"/>
        </w:rPr>
        <w:t>Cálculo dos Capitais de Risco</w:t>
      </w:r>
      <w:r>
        <w:rPr>
          <w:rFonts w:asciiTheme="minorHAnsi" w:eastAsia="SimSun" w:hAnsiTheme="minorHAnsi"/>
          <w:sz w:val="24"/>
          <w:szCs w:val="24"/>
          <w:lang w:eastAsia="zh-CN"/>
        </w:rPr>
        <w:t>). A última versão foi enviada por e-mail para todos os membros e não houve objeções ao novo texto. Na sequência, o texto seguirá os trâmites internos com previsão de, em breve, ser publicado. O mesmo recordou que o objetivo principal destes ajustes é aprimorar a norma baseando-se na experiência do primeiro ano de submissão dos pedidos, buscando agilizar o andamento dos processos e também dirimir pontos que suscitaram dúvidas.</w:t>
      </w:r>
    </w:p>
    <w:p w:rsidR="00B961B0" w:rsidRDefault="00B961B0" w:rsidP="00B961B0">
      <w:pPr>
        <w:spacing w:line="360" w:lineRule="auto"/>
        <w:ind w:firstLine="708"/>
        <w:jc w:val="both"/>
        <w:rPr>
          <w:rFonts w:asciiTheme="minorHAnsi" w:eastAsia="SimSun" w:hAnsiTheme="minorHAnsi"/>
          <w:sz w:val="24"/>
          <w:szCs w:val="24"/>
          <w:lang w:eastAsia="zh-CN"/>
        </w:rPr>
      </w:pPr>
      <w:r>
        <w:rPr>
          <w:rFonts w:asciiTheme="minorHAnsi" w:eastAsia="SimSun" w:hAnsiTheme="minorHAnsi"/>
          <w:sz w:val="24"/>
          <w:szCs w:val="24"/>
          <w:lang w:eastAsia="zh-CN"/>
        </w:rPr>
        <w:lastRenderedPageBreak/>
        <w:t xml:space="preserve">Na sequência, o representante da CORIS informou que houve retorno do debate sobre a política de remuneração na Subcomissão de Riscos. Na última reunião, a Susep trouxe um retorno sobre os pontos que tinham sido anteriormente questionados: citou a redução do escopo da norma (limitando-se aos cargos estatutários), definiu a manutenção de alguns pontos como, por exemplo, a previsão de “Regra de </w:t>
      </w:r>
      <w:proofErr w:type="spellStart"/>
      <w:r>
        <w:rPr>
          <w:rFonts w:asciiTheme="minorHAnsi" w:eastAsia="SimSun" w:hAnsiTheme="minorHAnsi"/>
          <w:sz w:val="24"/>
          <w:szCs w:val="24"/>
          <w:lang w:eastAsia="zh-CN"/>
        </w:rPr>
        <w:t>Malus</w:t>
      </w:r>
      <w:proofErr w:type="spellEnd"/>
      <w:r>
        <w:rPr>
          <w:rFonts w:asciiTheme="minorHAnsi" w:eastAsia="SimSun" w:hAnsiTheme="minorHAnsi"/>
          <w:sz w:val="24"/>
          <w:szCs w:val="24"/>
          <w:lang w:eastAsia="zh-CN"/>
        </w:rPr>
        <w:t>”, e evoluiu com a inclusão de itens (como, por exemplo, a segregação de métricas financeiras e não financeiras). O assunto será debatido nas próximas reuniões da Subcomissão com previsão de se definir uma minuta de norma ainda neste ano.</w:t>
      </w:r>
    </w:p>
    <w:p w:rsidR="00B961B0" w:rsidRDefault="00B961B0" w:rsidP="00B961B0">
      <w:pPr>
        <w:spacing w:line="360" w:lineRule="auto"/>
        <w:ind w:firstLine="708"/>
        <w:jc w:val="both"/>
        <w:rPr>
          <w:rFonts w:asciiTheme="minorHAnsi" w:eastAsia="SimSun" w:hAnsiTheme="minorHAnsi"/>
          <w:sz w:val="24"/>
          <w:szCs w:val="24"/>
          <w:lang w:eastAsia="zh-CN"/>
        </w:rPr>
      </w:pPr>
      <w:r>
        <w:rPr>
          <w:rFonts w:asciiTheme="minorHAnsi" w:eastAsia="SimSun" w:hAnsiTheme="minorHAnsi"/>
          <w:sz w:val="24"/>
          <w:szCs w:val="24"/>
          <w:lang w:eastAsia="zh-CN"/>
        </w:rPr>
        <w:t>Nas próximas reuniões, entre outros temas, será dado um retorno sobre o BDPO incluindo estatísticas e possíveis pontos de ajustes, baseado na experiência do primeiro ano de recepção, e também será finalizado o Manual de Boas Práticas do ORSA.</w:t>
      </w:r>
    </w:p>
    <w:p w:rsidR="00F01C45" w:rsidRDefault="00F01C45" w:rsidP="00F01C45">
      <w:pPr>
        <w:spacing w:line="360" w:lineRule="auto"/>
        <w:ind w:firstLine="708"/>
        <w:jc w:val="both"/>
        <w:rPr>
          <w:rFonts w:asciiTheme="minorHAnsi" w:eastAsia="SimSun" w:hAnsiTheme="minorHAnsi"/>
          <w:sz w:val="24"/>
          <w:szCs w:val="24"/>
          <w:lang w:eastAsia="zh-CN"/>
        </w:rPr>
      </w:pPr>
    </w:p>
    <w:p w:rsidR="009430AD" w:rsidRPr="003D6437" w:rsidRDefault="009430AD" w:rsidP="009430AD">
      <w:pPr>
        <w:spacing w:after="200" w:line="360" w:lineRule="auto"/>
        <w:rPr>
          <w:b/>
          <w:bCs/>
          <w:sz w:val="24"/>
          <w:szCs w:val="24"/>
          <w:u w:val="single"/>
        </w:rPr>
      </w:pPr>
      <w:r>
        <w:rPr>
          <w:b/>
          <w:bCs/>
          <w:sz w:val="24"/>
          <w:szCs w:val="24"/>
          <w:u w:val="single"/>
        </w:rPr>
        <w:t xml:space="preserve">6. </w:t>
      </w:r>
      <w:r w:rsidR="00F01C45">
        <w:rPr>
          <w:b/>
          <w:bCs/>
          <w:sz w:val="24"/>
          <w:szCs w:val="24"/>
          <w:u w:val="single"/>
        </w:rPr>
        <w:t>Ajustes Q28, QE420 e QE423</w:t>
      </w:r>
    </w:p>
    <w:p w:rsidR="00F01C45" w:rsidRDefault="00B961B0" w:rsidP="00B961B0">
      <w:pPr>
        <w:spacing w:line="360" w:lineRule="auto"/>
        <w:ind w:firstLine="708"/>
        <w:jc w:val="both"/>
        <w:rPr>
          <w:rFonts w:asciiTheme="minorHAnsi" w:eastAsia="SimSun" w:hAnsiTheme="minorHAnsi"/>
          <w:sz w:val="24"/>
          <w:szCs w:val="24"/>
          <w:lang w:eastAsia="zh-CN"/>
        </w:rPr>
      </w:pPr>
      <w:r>
        <w:rPr>
          <w:rFonts w:asciiTheme="minorHAnsi" w:eastAsia="SimSun" w:hAnsiTheme="minorHAnsi"/>
          <w:sz w:val="24"/>
          <w:szCs w:val="24"/>
          <w:lang w:eastAsia="zh-CN"/>
        </w:rPr>
        <w:t>O representante da CORIS informou que o grupo foi concluído e acredita que todos os objetivos foram alcançados. Os quadros foram ajustados, para a data-base 06/2019, buscando uma compatibilidade entre os mesmos e o TAP; e já foram disponibilizados os executáveis do FIP com os ajustes dos quadros, estando somente pendentes as críticas do Q28. Adicionalmente, foram disponibilizados uma prévia do Manual do FIP e um documento de FAQ no site do subgrupo, e os mesmos foram submetidos por e-mail para os diretores de relações com a Susep de todas as supervisionadas.</w:t>
      </w:r>
    </w:p>
    <w:p w:rsidR="00B961B0" w:rsidRDefault="00B961B0" w:rsidP="00B961B0">
      <w:pPr>
        <w:spacing w:line="360" w:lineRule="auto"/>
        <w:ind w:firstLine="708"/>
        <w:jc w:val="both"/>
        <w:rPr>
          <w:rFonts w:asciiTheme="minorHAnsi" w:eastAsia="SimSun" w:hAnsiTheme="minorHAnsi"/>
          <w:sz w:val="24"/>
          <w:szCs w:val="24"/>
          <w:lang w:eastAsia="zh-CN"/>
        </w:rPr>
      </w:pPr>
    </w:p>
    <w:p w:rsidR="0026152B" w:rsidRPr="00BA66E1" w:rsidRDefault="00F01C45" w:rsidP="00F01C45">
      <w:pPr>
        <w:spacing w:after="200" w:line="360" w:lineRule="auto"/>
        <w:rPr>
          <w:b/>
          <w:bCs/>
          <w:sz w:val="24"/>
          <w:szCs w:val="24"/>
          <w:u w:val="single"/>
        </w:rPr>
      </w:pPr>
      <w:r>
        <w:rPr>
          <w:b/>
          <w:bCs/>
          <w:sz w:val="24"/>
          <w:szCs w:val="24"/>
          <w:u w:val="single"/>
        </w:rPr>
        <w:t>7</w:t>
      </w:r>
      <w:r w:rsidR="0026152B" w:rsidRPr="00BA66E1">
        <w:rPr>
          <w:b/>
          <w:bCs/>
          <w:sz w:val="24"/>
          <w:szCs w:val="24"/>
          <w:u w:val="single"/>
        </w:rPr>
        <w:t>. Outros assuntos</w:t>
      </w:r>
    </w:p>
    <w:p w:rsidR="00F01C45" w:rsidRPr="00F01C45" w:rsidRDefault="00F01C45" w:rsidP="00F01C45">
      <w:pPr>
        <w:spacing w:line="360" w:lineRule="auto"/>
        <w:ind w:firstLine="708"/>
        <w:jc w:val="both"/>
        <w:rPr>
          <w:rFonts w:asciiTheme="minorHAnsi" w:eastAsia="SimSun" w:hAnsiTheme="minorHAnsi"/>
          <w:sz w:val="24"/>
          <w:szCs w:val="24"/>
          <w:lang w:eastAsia="zh-CN"/>
        </w:rPr>
      </w:pPr>
      <w:r w:rsidRPr="00F01C45">
        <w:rPr>
          <w:rFonts w:asciiTheme="minorHAnsi" w:eastAsia="SimSun" w:hAnsiTheme="minorHAnsi"/>
          <w:b/>
          <w:sz w:val="24"/>
          <w:szCs w:val="24"/>
          <w:u w:val="single"/>
          <w:lang w:eastAsia="zh-CN"/>
        </w:rPr>
        <w:t>7.1. PDA-DPVAT</w:t>
      </w:r>
      <w:r>
        <w:rPr>
          <w:rFonts w:asciiTheme="minorHAnsi" w:eastAsia="SimSun" w:hAnsiTheme="minorHAnsi"/>
          <w:sz w:val="24"/>
          <w:szCs w:val="24"/>
          <w:lang w:eastAsia="zh-CN"/>
        </w:rPr>
        <w:t xml:space="preserve">: </w:t>
      </w:r>
      <w:r w:rsidRPr="00F01C45">
        <w:rPr>
          <w:rFonts w:asciiTheme="minorHAnsi" w:eastAsia="SimSun" w:hAnsiTheme="minorHAnsi"/>
          <w:sz w:val="24"/>
          <w:szCs w:val="24"/>
          <w:lang w:eastAsia="zh-CN"/>
        </w:rPr>
        <w:t xml:space="preserve">Os representantes da Susep esclareceram que o novo campo de PDA-DPVAT foi criado em função da alteração na contabilização do DPVAT prevista para entrar em vigor no próximo ano (criando novas provisões aplicáveis à operação, incluindo a PDR; </w:t>
      </w:r>
      <w:r w:rsidR="00F25A73">
        <w:rPr>
          <w:rFonts w:asciiTheme="minorHAnsi" w:eastAsia="SimSun" w:hAnsiTheme="minorHAnsi"/>
          <w:sz w:val="24"/>
          <w:szCs w:val="24"/>
          <w:lang w:eastAsia="zh-CN"/>
        </w:rPr>
        <w:t xml:space="preserve">inviabilizando, assim, a </w:t>
      </w:r>
      <w:r w:rsidR="00E0637D">
        <w:rPr>
          <w:rFonts w:asciiTheme="minorHAnsi" w:eastAsia="SimSun" w:hAnsiTheme="minorHAnsi"/>
          <w:sz w:val="24"/>
          <w:szCs w:val="24"/>
          <w:lang w:eastAsia="zh-CN"/>
        </w:rPr>
        <w:t>a</w:t>
      </w:r>
      <w:r w:rsidR="00F25A73">
        <w:rPr>
          <w:rFonts w:asciiTheme="minorHAnsi" w:eastAsia="SimSun" w:hAnsiTheme="minorHAnsi"/>
          <w:sz w:val="24"/>
          <w:szCs w:val="24"/>
          <w:lang w:eastAsia="zh-CN"/>
        </w:rPr>
        <w:t>locação</w:t>
      </w:r>
      <w:r w:rsidRPr="00F01C45">
        <w:rPr>
          <w:rFonts w:asciiTheme="minorHAnsi" w:eastAsia="SimSun" w:hAnsiTheme="minorHAnsi"/>
          <w:sz w:val="24"/>
          <w:szCs w:val="24"/>
          <w:lang w:eastAsia="zh-CN"/>
        </w:rPr>
        <w:t xml:space="preserve"> </w:t>
      </w:r>
      <w:r w:rsidR="00F25A73">
        <w:rPr>
          <w:rFonts w:asciiTheme="minorHAnsi" w:eastAsia="SimSun" w:hAnsiTheme="minorHAnsi"/>
          <w:sz w:val="24"/>
          <w:szCs w:val="24"/>
          <w:lang w:eastAsia="zh-CN"/>
        </w:rPr>
        <w:t>d</w:t>
      </w:r>
      <w:r w:rsidRPr="00F01C45">
        <w:rPr>
          <w:rFonts w:asciiTheme="minorHAnsi" w:eastAsia="SimSun" w:hAnsiTheme="minorHAnsi"/>
          <w:sz w:val="24"/>
          <w:szCs w:val="24"/>
          <w:lang w:eastAsia="zh-CN"/>
        </w:rPr>
        <w:t xml:space="preserve">os valores da PDA no campo de PDR), mas que foi objeto de solicitação para antecipação dos seus efeitos para este ano por parte da Seguradora Líder. A solicitação não teve prosseguimento, mas o campo já havia sido criado. Durante este ano, não é obrigatória a utilização do novo campo para registrar a PDA do DPVAT. No entanto, se o novo campo de PDA-DPVAT for utilizado, o </w:t>
      </w:r>
      <w:r w:rsidRPr="00F01C45">
        <w:rPr>
          <w:rFonts w:asciiTheme="minorHAnsi" w:eastAsia="SimSun" w:hAnsiTheme="minorHAnsi"/>
          <w:sz w:val="24"/>
          <w:szCs w:val="24"/>
          <w:lang w:eastAsia="zh-CN"/>
        </w:rPr>
        <w:lastRenderedPageBreak/>
        <w:t xml:space="preserve">campo de PDR deve deixar de ser utilizado para abranger tais valores (seja no Q3, no Q7 ou no Q16). O Manual de Preenchimento do FIP foi ajustado para retirar a menção </w:t>
      </w:r>
      <w:r w:rsidR="00E0637D">
        <w:rPr>
          <w:rFonts w:asciiTheme="minorHAnsi" w:eastAsia="SimSun" w:hAnsiTheme="minorHAnsi"/>
          <w:sz w:val="24"/>
          <w:szCs w:val="24"/>
          <w:lang w:eastAsia="zh-CN"/>
        </w:rPr>
        <w:t>à</w:t>
      </w:r>
      <w:r w:rsidRPr="00F01C45">
        <w:rPr>
          <w:rFonts w:asciiTheme="minorHAnsi" w:eastAsia="SimSun" w:hAnsiTheme="minorHAnsi"/>
          <w:sz w:val="24"/>
          <w:szCs w:val="24"/>
          <w:lang w:eastAsia="zh-CN"/>
        </w:rPr>
        <w:t xml:space="preserve"> PDA de DPVAT da descrição da PDR.</w:t>
      </w:r>
    </w:p>
    <w:p w:rsidR="00F01C45" w:rsidRPr="00F01C45" w:rsidRDefault="00F01C45" w:rsidP="00F01C45">
      <w:pPr>
        <w:spacing w:line="360" w:lineRule="auto"/>
        <w:ind w:firstLine="708"/>
        <w:jc w:val="both"/>
        <w:rPr>
          <w:rFonts w:asciiTheme="minorHAnsi" w:eastAsia="SimSun" w:hAnsiTheme="minorHAnsi"/>
          <w:sz w:val="24"/>
          <w:szCs w:val="24"/>
          <w:lang w:eastAsia="zh-CN"/>
        </w:rPr>
      </w:pPr>
    </w:p>
    <w:p w:rsidR="00F01C45" w:rsidRPr="00F01C45" w:rsidRDefault="00F01C45" w:rsidP="00F01C45">
      <w:pPr>
        <w:spacing w:line="360" w:lineRule="auto"/>
        <w:ind w:firstLine="708"/>
        <w:jc w:val="both"/>
        <w:rPr>
          <w:rFonts w:asciiTheme="minorHAnsi" w:eastAsia="SimSun" w:hAnsiTheme="minorHAnsi"/>
          <w:sz w:val="24"/>
          <w:szCs w:val="24"/>
          <w:lang w:eastAsia="zh-CN"/>
        </w:rPr>
      </w:pPr>
      <w:r w:rsidRPr="00F01C45">
        <w:rPr>
          <w:rFonts w:asciiTheme="minorHAnsi" w:eastAsia="SimSun" w:hAnsiTheme="minorHAnsi"/>
          <w:b/>
          <w:sz w:val="24"/>
          <w:szCs w:val="24"/>
          <w:u w:val="single"/>
          <w:lang w:eastAsia="zh-CN"/>
        </w:rPr>
        <w:t xml:space="preserve">7.2. </w:t>
      </w:r>
      <w:r w:rsidR="00786DAC">
        <w:rPr>
          <w:rFonts w:asciiTheme="minorHAnsi" w:eastAsia="SimSun" w:hAnsiTheme="minorHAnsi"/>
          <w:b/>
          <w:sz w:val="24"/>
          <w:szCs w:val="24"/>
          <w:u w:val="single"/>
          <w:lang w:eastAsia="zh-CN"/>
        </w:rPr>
        <w:t>Pagamentos Financeiros P</w:t>
      </w:r>
      <w:r w:rsidRPr="00F01C45">
        <w:rPr>
          <w:rFonts w:asciiTheme="minorHAnsi" w:eastAsia="SimSun" w:hAnsiTheme="minorHAnsi"/>
          <w:b/>
          <w:sz w:val="24"/>
          <w:szCs w:val="24"/>
          <w:u w:val="single"/>
          <w:lang w:eastAsia="zh-CN"/>
        </w:rPr>
        <w:t>rogramado</w:t>
      </w:r>
      <w:r w:rsidR="00786DAC">
        <w:rPr>
          <w:rFonts w:asciiTheme="minorHAnsi" w:eastAsia="SimSun" w:hAnsiTheme="minorHAnsi"/>
          <w:b/>
          <w:sz w:val="24"/>
          <w:szCs w:val="24"/>
          <w:u w:val="single"/>
          <w:lang w:eastAsia="zh-CN"/>
        </w:rPr>
        <w:t>s</w:t>
      </w:r>
      <w:r w:rsidRPr="00F01C45">
        <w:rPr>
          <w:rFonts w:asciiTheme="minorHAnsi" w:eastAsia="SimSun" w:hAnsiTheme="minorHAnsi"/>
          <w:b/>
          <w:sz w:val="24"/>
          <w:szCs w:val="24"/>
          <w:u w:val="single"/>
          <w:lang w:eastAsia="zh-CN"/>
        </w:rPr>
        <w:t>:</w:t>
      </w:r>
      <w:r>
        <w:rPr>
          <w:rFonts w:asciiTheme="minorHAnsi" w:eastAsia="SimSun" w:hAnsiTheme="minorHAnsi"/>
          <w:sz w:val="24"/>
          <w:szCs w:val="24"/>
          <w:lang w:eastAsia="zh-CN"/>
        </w:rPr>
        <w:t xml:space="preserve"> </w:t>
      </w:r>
      <w:r w:rsidRPr="00F01C45">
        <w:rPr>
          <w:rFonts w:asciiTheme="minorHAnsi" w:eastAsia="SimSun" w:hAnsiTheme="minorHAnsi"/>
          <w:sz w:val="24"/>
          <w:szCs w:val="24"/>
          <w:lang w:eastAsia="zh-CN"/>
        </w:rPr>
        <w:t xml:space="preserve">Os representantes do mercado solicitaram a criação de um campo </w:t>
      </w:r>
      <w:r w:rsidR="00786DAC">
        <w:rPr>
          <w:rFonts w:asciiTheme="minorHAnsi" w:eastAsia="SimSun" w:hAnsiTheme="minorHAnsi"/>
          <w:sz w:val="24"/>
          <w:szCs w:val="24"/>
          <w:lang w:eastAsia="zh-CN"/>
        </w:rPr>
        <w:t>específico para “pagamentos financeiros</w:t>
      </w:r>
      <w:r w:rsidRPr="00F01C45">
        <w:rPr>
          <w:rFonts w:asciiTheme="minorHAnsi" w:eastAsia="SimSun" w:hAnsiTheme="minorHAnsi"/>
          <w:sz w:val="24"/>
          <w:szCs w:val="24"/>
          <w:lang w:eastAsia="zh-CN"/>
        </w:rPr>
        <w:t xml:space="preserve"> programado</w:t>
      </w:r>
      <w:r w:rsidR="00786DAC">
        <w:rPr>
          <w:rFonts w:asciiTheme="minorHAnsi" w:eastAsia="SimSun" w:hAnsiTheme="minorHAnsi"/>
          <w:sz w:val="24"/>
          <w:szCs w:val="24"/>
          <w:lang w:eastAsia="zh-CN"/>
        </w:rPr>
        <w:t>s”</w:t>
      </w:r>
      <w:r w:rsidRPr="00F01C45">
        <w:rPr>
          <w:rFonts w:asciiTheme="minorHAnsi" w:eastAsia="SimSun" w:hAnsiTheme="minorHAnsi"/>
          <w:sz w:val="24"/>
          <w:szCs w:val="24"/>
          <w:lang w:eastAsia="zh-CN"/>
        </w:rPr>
        <w:t xml:space="preserve"> nos quadros de resgates pagos de PGBL e VGBL, em função da alteração normativa que regulamentou formalmente essa possibilidade. Os representantes da Susep não vislumbraram óbices, mas solicitaram que o pedido fosse protocolado para que pudesse ser formalizado e priorizado junto à área de TI da Autarquia, além de ser circularizado entre as áreas envolvidas na utilização dessas informações.</w:t>
      </w:r>
    </w:p>
    <w:p w:rsidR="00F01C45" w:rsidRPr="00F01C45" w:rsidRDefault="00F01C45" w:rsidP="00F01C45">
      <w:pPr>
        <w:spacing w:line="360" w:lineRule="auto"/>
        <w:ind w:firstLine="708"/>
        <w:jc w:val="both"/>
        <w:rPr>
          <w:rFonts w:asciiTheme="minorHAnsi" w:eastAsia="SimSun" w:hAnsiTheme="minorHAnsi"/>
          <w:sz w:val="24"/>
          <w:szCs w:val="24"/>
          <w:lang w:eastAsia="zh-CN"/>
        </w:rPr>
      </w:pPr>
    </w:p>
    <w:p w:rsidR="00F01C45" w:rsidRPr="00F01C45" w:rsidRDefault="00F01C45" w:rsidP="00F01C45">
      <w:pPr>
        <w:spacing w:line="360" w:lineRule="auto"/>
        <w:ind w:firstLine="708"/>
        <w:jc w:val="both"/>
        <w:rPr>
          <w:rFonts w:asciiTheme="minorHAnsi" w:eastAsia="SimSun" w:hAnsiTheme="minorHAnsi"/>
          <w:sz w:val="24"/>
          <w:szCs w:val="24"/>
          <w:lang w:eastAsia="zh-CN"/>
        </w:rPr>
      </w:pPr>
      <w:r w:rsidRPr="00F01C45">
        <w:rPr>
          <w:rFonts w:asciiTheme="minorHAnsi" w:eastAsia="SimSun" w:hAnsiTheme="minorHAnsi"/>
          <w:b/>
          <w:sz w:val="24"/>
          <w:szCs w:val="24"/>
          <w:u w:val="single"/>
          <w:lang w:eastAsia="zh-CN"/>
        </w:rPr>
        <w:t>7.3. TAP:</w:t>
      </w:r>
      <w:r>
        <w:rPr>
          <w:rFonts w:asciiTheme="minorHAnsi" w:eastAsia="SimSun" w:hAnsiTheme="minorHAnsi"/>
          <w:sz w:val="24"/>
          <w:szCs w:val="24"/>
          <w:lang w:eastAsia="zh-CN"/>
        </w:rPr>
        <w:t xml:space="preserve"> </w:t>
      </w:r>
      <w:r w:rsidRPr="00F01C45">
        <w:rPr>
          <w:rFonts w:asciiTheme="minorHAnsi" w:eastAsia="SimSun" w:hAnsiTheme="minorHAnsi"/>
          <w:sz w:val="24"/>
          <w:szCs w:val="24"/>
          <w:lang w:eastAsia="zh-CN"/>
        </w:rPr>
        <w:t>Os representantes da Susep informaram que no ano passado verificaram muitos problemas conceituais na elaboração do TAP, com reflexos também no Q28. Dessa forma, questionaram se seria pertinente a Susep preparar uma apresentação para tentar dirimir as principais dúvidas das supervisionadas. A princípio, os representantes do mercado indicaram que uma apresentação para esclarecimentos e orientações é sempre válida, e ficaram de avaliar internamente os principais pontos de dúvidas; assim como os representantes da Susep ficaram de avaliar a qualidade das informações recebidas neste ano. Após esse levantamento, a COPRA vai decidir se, de fato, será necessária a apresentação.</w:t>
      </w:r>
    </w:p>
    <w:p w:rsidR="0026152B" w:rsidRDefault="0026152B" w:rsidP="0026152B">
      <w:pPr>
        <w:spacing w:line="360" w:lineRule="auto"/>
        <w:ind w:firstLine="708"/>
        <w:jc w:val="both"/>
        <w:rPr>
          <w:rFonts w:asciiTheme="minorHAnsi" w:eastAsia="SimSun" w:hAnsiTheme="minorHAnsi"/>
          <w:sz w:val="24"/>
          <w:szCs w:val="24"/>
          <w:lang w:eastAsia="zh-CN"/>
        </w:rPr>
      </w:pPr>
    </w:p>
    <w:p w:rsidR="0026152B" w:rsidRPr="00197A33" w:rsidRDefault="0026152B" w:rsidP="0026152B">
      <w:pPr>
        <w:pStyle w:val="Corpodetextorecuado"/>
        <w:spacing w:line="360" w:lineRule="auto"/>
        <w:ind w:left="0" w:firstLine="0"/>
        <w:rPr>
          <w:rFonts w:ascii="Calibri" w:hAnsi="Calibri" w:cs="Calibri"/>
        </w:rPr>
      </w:pPr>
      <w:r w:rsidRPr="00336B8F">
        <w:rPr>
          <w:rFonts w:ascii="Calibri" w:hAnsi="Calibri" w:cs="Calibri"/>
          <w:b/>
          <w:bCs/>
          <w:u w:val="single"/>
        </w:rPr>
        <w:t>Próxima reuni</w:t>
      </w:r>
      <w:r>
        <w:rPr>
          <w:rFonts w:ascii="Calibri" w:hAnsi="Calibri" w:cs="Calibri"/>
          <w:b/>
          <w:bCs/>
          <w:u w:val="single"/>
        </w:rPr>
        <w:t>ão da Comissão Atuarial</w:t>
      </w:r>
      <w:r w:rsidR="001E6BE6">
        <w:rPr>
          <w:rFonts w:ascii="Calibri" w:hAnsi="Calibri" w:cs="Calibri"/>
          <w:b/>
          <w:bCs/>
          <w:u w:val="single"/>
        </w:rPr>
        <w:t xml:space="preserve"> (Comissão Conjunta)</w:t>
      </w:r>
      <w:r>
        <w:rPr>
          <w:rFonts w:ascii="Calibri" w:hAnsi="Calibri" w:cs="Calibri"/>
          <w:b/>
          <w:bCs/>
        </w:rPr>
        <w:t xml:space="preserve">: </w:t>
      </w:r>
      <w:r>
        <w:rPr>
          <w:rFonts w:ascii="Calibri" w:hAnsi="Calibri" w:cs="Calibri"/>
        </w:rPr>
        <w:t>1</w:t>
      </w:r>
      <w:r w:rsidR="001E6BE6">
        <w:rPr>
          <w:rFonts w:ascii="Calibri" w:hAnsi="Calibri" w:cs="Calibri"/>
        </w:rPr>
        <w:t>8</w:t>
      </w:r>
      <w:r>
        <w:rPr>
          <w:rFonts w:ascii="Calibri" w:hAnsi="Calibri" w:cs="Calibri"/>
        </w:rPr>
        <w:t xml:space="preserve"> de </w:t>
      </w:r>
      <w:r w:rsidR="001E6BE6">
        <w:rPr>
          <w:rFonts w:ascii="Calibri" w:hAnsi="Calibri" w:cs="Calibri"/>
        </w:rPr>
        <w:t>junho</w:t>
      </w:r>
      <w:r>
        <w:rPr>
          <w:rFonts w:ascii="Calibri" w:hAnsi="Calibri" w:cs="Calibri"/>
        </w:rPr>
        <w:t xml:space="preserve"> de 2019 – 14:30h.</w:t>
      </w:r>
    </w:p>
    <w:p w:rsidR="000E7189" w:rsidRDefault="000E7189"/>
    <w:sectPr w:rsidR="000E718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FC6314"/>
    <w:multiLevelType w:val="hybridMultilevel"/>
    <w:tmpl w:val="A24E0DD6"/>
    <w:lvl w:ilvl="0" w:tplc="0416000F">
      <w:start w:val="1"/>
      <w:numFmt w:val="decimal"/>
      <w:lvlText w:val="%1."/>
      <w:lvlJc w:val="left"/>
      <w:pPr>
        <w:ind w:left="1428" w:hanging="360"/>
      </w:pPr>
    </w:lvl>
    <w:lvl w:ilvl="1" w:tplc="04090019">
      <w:start w:val="1"/>
      <w:numFmt w:val="lowerLetter"/>
      <w:lvlText w:val="%2."/>
      <w:lvlJc w:val="left"/>
      <w:pPr>
        <w:ind w:left="2148" w:hanging="360"/>
      </w:pPr>
    </w:lvl>
    <w:lvl w:ilvl="2" w:tplc="0409001B">
      <w:start w:val="1"/>
      <w:numFmt w:val="lowerRoman"/>
      <w:lvlText w:val="%3."/>
      <w:lvlJc w:val="right"/>
      <w:pPr>
        <w:ind w:left="2868" w:hanging="180"/>
      </w:pPr>
    </w:lvl>
    <w:lvl w:ilvl="3" w:tplc="0409000F">
      <w:start w:val="1"/>
      <w:numFmt w:val="decimal"/>
      <w:lvlText w:val="%4."/>
      <w:lvlJc w:val="left"/>
      <w:pPr>
        <w:ind w:left="3588" w:hanging="360"/>
      </w:pPr>
    </w:lvl>
    <w:lvl w:ilvl="4" w:tplc="04090019">
      <w:start w:val="1"/>
      <w:numFmt w:val="lowerLetter"/>
      <w:lvlText w:val="%5."/>
      <w:lvlJc w:val="left"/>
      <w:pPr>
        <w:ind w:left="4308" w:hanging="360"/>
      </w:pPr>
    </w:lvl>
    <w:lvl w:ilvl="5" w:tplc="0409001B">
      <w:start w:val="1"/>
      <w:numFmt w:val="lowerRoman"/>
      <w:lvlText w:val="%6."/>
      <w:lvlJc w:val="right"/>
      <w:pPr>
        <w:ind w:left="5028" w:hanging="180"/>
      </w:pPr>
    </w:lvl>
    <w:lvl w:ilvl="6" w:tplc="0409000F">
      <w:start w:val="1"/>
      <w:numFmt w:val="decimal"/>
      <w:lvlText w:val="%7."/>
      <w:lvlJc w:val="left"/>
      <w:pPr>
        <w:ind w:left="5748" w:hanging="360"/>
      </w:pPr>
    </w:lvl>
    <w:lvl w:ilvl="7" w:tplc="04090019">
      <w:start w:val="1"/>
      <w:numFmt w:val="lowerLetter"/>
      <w:lvlText w:val="%8."/>
      <w:lvlJc w:val="left"/>
      <w:pPr>
        <w:ind w:left="6468" w:hanging="360"/>
      </w:pPr>
    </w:lvl>
    <w:lvl w:ilvl="8" w:tplc="0409001B">
      <w:start w:val="1"/>
      <w:numFmt w:val="lowerRoman"/>
      <w:lvlText w:val="%9."/>
      <w:lvlJc w:val="right"/>
      <w:pPr>
        <w:ind w:left="7188" w:hanging="180"/>
      </w:pPr>
    </w:lvl>
  </w:abstractNum>
  <w:abstractNum w:abstractNumId="1" w15:restartNumberingAfterBreak="0">
    <w:nsid w:val="22850728"/>
    <w:multiLevelType w:val="hybridMultilevel"/>
    <w:tmpl w:val="4FB2F754"/>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2C7A121E"/>
    <w:multiLevelType w:val="hybridMultilevel"/>
    <w:tmpl w:val="1108D67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49841F55"/>
    <w:multiLevelType w:val="hybridMultilevel"/>
    <w:tmpl w:val="5E66C7EC"/>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4" w15:restartNumberingAfterBreak="0">
    <w:nsid w:val="57B91628"/>
    <w:multiLevelType w:val="hybridMultilevel"/>
    <w:tmpl w:val="89BEA7E2"/>
    <w:lvl w:ilvl="0" w:tplc="E8A00404">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5" w15:restartNumberingAfterBreak="0">
    <w:nsid w:val="5C16096A"/>
    <w:multiLevelType w:val="hybridMultilevel"/>
    <w:tmpl w:val="D480E14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5D030A73"/>
    <w:multiLevelType w:val="hybridMultilevel"/>
    <w:tmpl w:val="1DCC655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64C7028B"/>
    <w:multiLevelType w:val="hybridMultilevel"/>
    <w:tmpl w:val="1DCC655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7A99140A"/>
    <w:multiLevelType w:val="hybridMultilevel"/>
    <w:tmpl w:val="0414DCC2"/>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9" w15:restartNumberingAfterBreak="0">
    <w:nsid w:val="7E9D1AA4"/>
    <w:multiLevelType w:val="hybridMultilevel"/>
    <w:tmpl w:val="79F408F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9"/>
  </w:num>
  <w:num w:numId="4">
    <w:abstractNumId w:val="4"/>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0"/>
  </w:num>
  <w:num w:numId="8">
    <w:abstractNumId w:val="6"/>
  </w:num>
  <w:num w:numId="9">
    <w:abstractNumId w:val="2"/>
  </w:num>
  <w:num w:numId="10">
    <w:abstractNumId w:val="3"/>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D4C"/>
    <w:rsid w:val="00016B29"/>
    <w:rsid w:val="000428F0"/>
    <w:rsid w:val="00053341"/>
    <w:rsid w:val="00065EE7"/>
    <w:rsid w:val="00071223"/>
    <w:rsid w:val="00080FC2"/>
    <w:rsid w:val="000868F9"/>
    <w:rsid w:val="000D74C7"/>
    <w:rsid w:val="000E0933"/>
    <w:rsid w:val="000E7189"/>
    <w:rsid w:val="000F7B13"/>
    <w:rsid w:val="00100D4C"/>
    <w:rsid w:val="001021F8"/>
    <w:rsid w:val="001173B4"/>
    <w:rsid w:val="00121569"/>
    <w:rsid w:val="00124DA3"/>
    <w:rsid w:val="00135FCE"/>
    <w:rsid w:val="00136F6D"/>
    <w:rsid w:val="00137115"/>
    <w:rsid w:val="00145F27"/>
    <w:rsid w:val="00154431"/>
    <w:rsid w:val="001778A7"/>
    <w:rsid w:val="001910A8"/>
    <w:rsid w:val="0019507D"/>
    <w:rsid w:val="001B5C91"/>
    <w:rsid w:val="001B70DD"/>
    <w:rsid w:val="001D56B5"/>
    <w:rsid w:val="001E4291"/>
    <w:rsid w:val="001E6BE6"/>
    <w:rsid w:val="001F301B"/>
    <w:rsid w:val="001F4A5E"/>
    <w:rsid w:val="001F6405"/>
    <w:rsid w:val="002042BA"/>
    <w:rsid w:val="0021711A"/>
    <w:rsid w:val="00252315"/>
    <w:rsid w:val="0026152B"/>
    <w:rsid w:val="002664B2"/>
    <w:rsid w:val="00273028"/>
    <w:rsid w:val="00283A73"/>
    <w:rsid w:val="002878DA"/>
    <w:rsid w:val="002A4BE2"/>
    <w:rsid w:val="002B7393"/>
    <w:rsid w:val="002D7EE5"/>
    <w:rsid w:val="002E7DE2"/>
    <w:rsid w:val="00315FF3"/>
    <w:rsid w:val="0032115C"/>
    <w:rsid w:val="00362420"/>
    <w:rsid w:val="00396077"/>
    <w:rsid w:val="003963F7"/>
    <w:rsid w:val="003D6EB4"/>
    <w:rsid w:val="00414A67"/>
    <w:rsid w:val="004167B2"/>
    <w:rsid w:val="0043446D"/>
    <w:rsid w:val="004776F8"/>
    <w:rsid w:val="004918EB"/>
    <w:rsid w:val="004A34A8"/>
    <w:rsid w:val="004A6CC8"/>
    <w:rsid w:val="004B3FE3"/>
    <w:rsid w:val="004E3380"/>
    <w:rsid w:val="00532999"/>
    <w:rsid w:val="00543921"/>
    <w:rsid w:val="00571C47"/>
    <w:rsid w:val="0058621E"/>
    <w:rsid w:val="005B4F41"/>
    <w:rsid w:val="005B71A8"/>
    <w:rsid w:val="005C51E4"/>
    <w:rsid w:val="005C67E0"/>
    <w:rsid w:val="00605221"/>
    <w:rsid w:val="006307D8"/>
    <w:rsid w:val="00644427"/>
    <w:rsid w:val="00666AA0"/>
    <w:rsid w:val="006D1040"/>
    <w:rsid w:val="0070094F"/>
    <w:rsid w:val="00725722"/>
    <w:rsid w:val="00732A82"/>
    <w:rsid w:val="00733BE2"/>
    <w:rsid w:val="00741CE5"/>
    <w:rsid w:val="00745DA7"/>
    <w:rsid w:val="00784052"/>
    <w:rsid w:val="00786DAC"/>
    <w:rsid w:val="007B2000"/>
    <w:rsid w:val="007B2B0A"/>
    <w:rsid w:val="007C14E5"/>
    <w:rsid w:val="007C1562"/>
    <w:rsid w:val="007C4C63"/>
    <w:rsid w:val="007C740A"/>
    <w:rsid w:val="007E19DC"/>
    <w:rsid w:val="007E625F"/>
    <w:rsid w:val="007F0645"/>
    <w:rsid w:val="00800EC2"/>
    <w:rsid w:val="00814DFD"/>
    <w:rsid w:val="00835EF3"/>
    <w:rsid w:val="0085563F"/>
    <w:rsid w:val="00873F3F"/>
    <w:rsid w:val="00876876"/>
    <w:rsid w:val="00891624"/>
    <w:rsid w:val="008938C6"/>
    <w:rsid w:val="008A688A"/>
    <w:rsid w:val="008B510F"/>
    <w:rsid w:val="008C091B"/>
    <w:rsid w:val="008C1790"/>
    <w:rsid w:val="008D3675"/>
    <w:rsid w:val="0090459E"/>
    <w:rsid w:val="009424D7"/>
    <w:rsid w:val="009430AD"/>
    <w:rsid w:val="0094483B"/>
    <w:rsid w:val="00951966"/>
    <w:rsid w:val="00953C81"/>
    <w:rsid w:val="00955015"/>
    <w:rsid w:val="00962BF4"/>
    <w:rsid w:val="00977D94"/>
    <w:rsid w:val="00981C19"/>
    <w:rsid w:val="00982911"/>
    <w:rsid w:val="00995163"/>
    <w:rsid w:val="00996765"/>
    <w:rsid w:val="009D077D"/>
    <w:rsid w:val="009E0178"/>
    <w:rsid w:val="00A22B10"/>
    <w:rsid w:val="00A257D8"/>
    <w:rsid w:val="00A82B3D"/>
    <w:rsid w:val="00A82C5A"/>
    <w:rsid w:val="00A93AAC"/>
    <w:rsid w:val="00AA446D"/>
    <w:rsid w:val="00AA4BF0"/>
    <w:rsid w:val="00AC3D84"/>
    <w:rsid w:val="00B05A08"/>
    <w:rsid w:val="00B41CB9"/>
    <w:rsid w:val="00B608EF"/>
    <w:rsid w:val="00B7112C"/>
    <w:rsid w:val="00B91EA5"/>
    <w:rsid w:val="00B961B0"/>
    <w:rsid w:val="00BA66E1"/>
    <w:rsid w:val="00BB719F"/>
    <w:rsid w:val="00BC09DA"/>
    <w:rsid w:val="00BC4231"/>
    <w:rsid w:val="00BD4DAB"/>
    <w:rsid w:val="00BE0C7C"/>
    <w:rsid w:val="00BF1CB4"/>
    <w:rsid w:val="00BF7A47"/>
    <w:rsid w:val="00BF7C25"/>
    <w:rsid w:val="00C075E2"/>
    <w:rsid w:val="00C1622C"/>
    <w:rsid w:val="00D108B3"/>
    <w:rsid w:val="00D32A13"/>
    <w:rsid w:val="00D41069"/>
    <w:rsid w:val="00D62457"/>
    <w:rsid w:val="00D8420A"/>
    <w:rsid w:val="00D90E84"/>
    <w:rsid w:val="00D97503"/>
    <w:rsid w:val="00DA4D3E"/>
    <w:rsid w:val="00DB26E3"/>
    <w:rsid w:val="00DB31B5"/>
    <w:rsid w:val="00DB6251"/>
    <w:rsid w:val="00DF5640"/>
    <w:rsid w:val="00E0637D"/>
    <w:rsid w:val="00E06A5B"/>
    <w:rsid w:val="00E156A5"/>
    <w:rsid w:val="00E24C69"/>
    <w:rsid w:val="00E34C8C"/>
    <w:rsid w:val="00E36A31"/>
    <w:rsid w:val="00E46B5F"/>
    <w:rsid w:val="00E622B5"/>
    <w:rsid w:val="00E650B6"/>
    <w:rsid w:val="00EB3A90"/>
    <w:rsid w:val="00EC1203"/>
    <w:rsid w:val="00EC70FA"/>
    <w:rsid w:val="00ED1CB3"/>
    <w:rsid w:val="00ED3273"/>
    <w:rsid w:val="00EE2907"/>
    <w:rsid w:val="00EE57E9"/>
    <w:rsid w:val="00F01C45"/>
    <w:rsid w:val="00F01D95"/>
    <w:rsid w:val="00F25A73"/>
    <w:rsid w:val="00F33AB8"/>
    <w:rsid w:val="00F46470"/>
    <w:rsid w:val="00F5194A"/>
    <w:rsid w:val="00F51E80"/>
    <w:rsid w:val="00F554BD"/>
    <w:rsid w:val="00F61DC1"/>
    <w:rsid w:val="00F66222"/>
    <w:rsid w:val="00F74A78"/>
    <w:rsid w:val="00F77A13"/>
    <w:rsid w:val="00F77C1A"/>
    <w:rsid w:val="00F83FCE"/>
    <w:rsid w:val="00F851C3"/>
    <w:rsid w:val="00F86A73"/>
    <w:rsid w:val="00FA1ADE"/>
    <w:rsid w:val="00FB4AE5"/>
    <w:rsid w:val="00FC2E9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2DD18E-A1CA-45AD-832A-679B6606C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5EE7"/>
    <w:pPr>
      <w:spacing w:after="0" w:line="240" w:lineRule="auto"/>
    </w:pPr>
    <w:rPr>
      <w:rFonts w:ascii="Calibri" w:eastAsia="Times New Roman" w:hAnsi="Calibri" w:cs="Calibri"/>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dro">
    <w:name w:val="Padrão"/>
    <w:uiPriority w:val="99"/>
    <w:rsid w:val="00065EE7"/>
    <w:pPr>
      <w:tabs>
        <w:tab w:val="left" w:pos="708"/>
      </w:tabs>
      <w:suppressAutoHyphens/>
      <w:spacing w:after="0" w:line="240" w:lineRule="auto"/>
    </w:pPr>
    <w:rPr>
      <w:rFonts w:ascii="Times New Roman" w:eastAsia="SimSun" w:hAnsi="Times New Roman" w:cs="Times New Roman"/>
      <w:sz w:val="24"/>
      <w:szCs w:val="24"/>
      <w:lang w:eastAsia="zh-CN"/>
    </w:rPr>
  </w:style>
  <w:style w:type="paragraph" w:styleId="PargrafodaLista">
    <w:name w:val="List Paragraph"/>
    <w:basedOn w:val="Normal"/>
    <w:uiPriority w:val="34"/>
    <w:qFormat/>
    <w:rsid w:val="00065EE7"/>
    <w:pPr>
      <w:ind w:left="720"/>
      <w:contextualSpacing/>
    </w:pPr>
  </w:style>
  <w:style w:type="paragraph" w:customStyle="1" w:styleId="Corpodetextorecuado">
    <w:name w:val="Corpo de texto recuado"/>
    <w:basedOn w:val="Padro"/>
    <w:uiPriority w:val="99"/>
    <w:rsid w:val="009424D7"/>
    <w:pPr>
      <w:ind w:left="283" w:firstLine="708"/>
      <w:jc w:val="both"/>
    </w:pPr>
  </w:style>
  <w:style w:type="paragraph" w:styleId="Textodebalo">
    <w:name w:val="Balloon Text"/>
    <w:basedOn w:val="Normal"/>
    <w:link w:val="TextodebaloChar"/>
    <w:uiPriority w:val="99"/>
    <w:semiHidden/>
    <w:unhideWhenUsed/>
    <w:rsid w:val="005B71A8"/>
    <w:rPr>
      <w:rFonts w:ascii="Segoe UI" w:hAnsi="Segoe UI" w:cs="Segoe UI"/>
      <w:sz w:val="18"/>
      <w:szCs w:val="18"/>
    </w:rPr>
  </w:style>
  <w:style w:type="character" w:customStyle="1" w:styleId="TextodebaloChar">
    <w:name w:val="Texto de balão Char"/>
    <w:basedOn w:val="Fontepargpadro"/>
    <w:link w:val="Textodebalo"/>
    <w:uiPriority w:val="99"/>
    <w:semiHidden/>
    <w:rsid w:val="005B71A8"/>
    <w:rPr>
      <w:rFonts w:ascii="Segoe UI" w:eastAsia="Times New Roman" w:hAnsi="Segoe UI" w:cs="Segoe UI"/>
      <w:sz w:val="18"/>
      <w:szCs w:val="18"/>
      <w:lang w:eastAsia="pt-BR"/>
    </w:rPr>
  </w:style>
  <w:style w:type="paragraph" w:styleId="NormalWeb">
    <w:name w:val="Normal (Web)"/>
    <w:basedOn w:val="Normal"/>
    <w:uiPriority w:val="99"/>
    <w:unhideWhenUsed/>
    <w:rsid w:val="004167B2"/>
    <w:pPr>
      <w:spacing w:before="100" w:beforeAutospacing="1" w:after="100" w:afterAutospacing="1"/>
    </w:pPr>
    <w:rPr>
      <w:rFonts w:ascii="Times New Roman" w:eastAsiaTheme="minorHAns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549577">
      <w:bodyDiv w:val="1"/>
      <w:marLeft w:val="0"/>
      <w:marRight w:val="0"/>
      <w:marTop w:val="0"/>
      <w:marBottom w:val="0"/>
      <w:divBdr>
        <w:top w:val="none" w:sz="0" w:space="0" w:color="auto"/>
        <w:left w:val="none" w:sz="0" w:space="0" w:color="auto"/>
        <w:bottom w:val="none" w:sz="0" w:space="0" w:color="auto"/>
        <w:right w:val="none" w:sz="0" w:space="0" w:color="auto"/>
      </w:divBdr>
      <w:divsChild>
        <w:div w:id="190339133">
          <w:marLeft w:val="0"/>
          <w:marRight w:val="0"/>
          <w:marTop w:val="0"/>
          <w:marBottom w:val="0"/>
          <w:divBdr>
            <w:top w:val="none" w:sz="0" w:space="0" w:color="auto"/>
            <w:left w:val="none" w:sz="0" w:space="0" w:color="auto"/>
            <w:bottom w:val="none" w:sz="0" w:space="0" w:color="auto"/>
            <w:right w:val="none" w:sz="0" w:space="0" w:color="auto"/>
          </w:divBdr>
        </w:div>
        <w:div w:id="779185054">
          <w:marLeft w:val="0"/>
          <w:marRight w:val="0"/>
          <w:marTop w:val="0"/>
          <w:marBottom w:val="0"/>
          <w:divBdr>
            <w:top w:val="none" w:sz="0" w:space="0" w:color="auto"/>
            <w:left w:val="none" w:sz="0" w:space="0" w:color="auto"/>
            <w:bottom w:val="none" w:sz="0" w:space="0" w:color="auto"/>
            <w:right w:val="none" w:sz="0" w:space="0" w:color="auto"/>
          </w:divBdr>
        </w:div>
        <w:div w:id="590742816">
          <w:marLeft w:val="0"/>
          <w:marRight w:val="0"/>
          <w:marTop w:val="0"/>
          <w:marBottom w:val="0"/>
          <w:divBdr>
            <w:top w:val="none" w:sz="0" w:space="0" w:color="auto"/>
            <w:left w:val="none" w:sz="0" w:space="0" w:color="auto"/>
            <w:bottom w:val="none" w:sz="0" w:space="0" w:color="auto"/>
            <w:right w:val="none" w:sz="0" w:space="0" w:color="auto"/>
          </w:divBdr>
        </w:div>
        <w:div w:id="424425582">
          <w:marLeft w:val="0"/>
          <w:marRight w:val="0"/>
          <w:marTop w:val="0"/>
          <w:marBottom w:val="0"/>
          <w:divBdr>
            <w:top w:val="none" w:sz="0" w:space="0" w:color="auto"/>
            <w:left w:val="none" w:sz="0" w:space="0" w:color="auto"/>
            <w:bottom w:val="none" w:sz="0" w:space="0" w:color="auto"/>
            <w:right w:val="none" w:sz="0" w:space="0" w:color="auto"/>
          </w:divBdr>
        </w:div>
        <w:div w:id="1636640340">
          <w:marLeft w:val="0"/>
          <w:marRight w:val="0"/>
          <w:marTop w:val="0"/>
          <w:marBottom w:val="0"/>
          <w:divBdr>
            <w:top w:val="none" w:sz="0" w:space="0" w:color="auto"/>
            <w:left w:val="none" w:sz="0" w:space="0" w:color="auto"/>
            <w:bottom w:val="none" w:sz="0" w:space="0" w:color="auto"/>
            <w:right w:val="none" w:sz="0" w:space="0" w:color="auto"/>
          </w:divBdr>
        </w:div>
        <w:div w:id="1973316900">
          <w:marLeft w:val="0"/>
          <w:marRight w:val="0"/>
          <w:marTop w:val="0"/>
          <w:marBottom w:val="0"/>
          <w:divBdr>
            <w:top w:val="none" w:sz="0" w:space="0" w:color="auto"/>
            <w:left w:val="none" w:sz="0" w:space="0" w:color="auto"/>
            <w:bottom w:val="none" w:sz="0" w:space="0" w:color="auto"/>
            <w:right w:val="none" w:sz="0" w:space="0" w:color="auto"/>
          </w:divBdr>
        </w:div>
        <w:div w:id="577404651">
          <w:marLeft w:val="0"/>
          <w:marRight w:val="0"/>
          <w:marTop w:val="0"/>
          <w:marBottom w:val="0"/>
          <w:divBdr>
            <w:top w:val="none" w:sz="0" w:space="0" w:color="auto"/>
            <w:left w:val="none" w:sz="0" w:space="0" w:color="auto"/>
            <w:bottom w:val="none" w:sz="0" w:space="0" w:color="auto"/>
            <w:right w:val="none" w:sz="0" w:space="0" w:color="auto"/>
          </w:divBdr>
        </w:div>
        <w:div w:id="989794533">
          <w:marLeft w:val="0"/>
          <w:marRight w:val="0"/>
          <w:marTop w:val="0"/>
          <w:marBottom w:val="0"/>
          <w:divBdr>
            <w:top w:val="none" w:sz="0" w:space="0" w:color="auto"/>
            <w:left w:val="none" w:sz="0" w:space="0" w:color="auto"/>
            <w:bottom w:val="none" w:sz="0" w:space="0" w:color="auto"/>
            <w:right w:val="none" w:sz="0" w:space="0" w:color="auto"/>
          </w:divBdr>
        </w:div>
        <w:div w:id="797920141">
          <w:marLeft w:val="0"/>
          <w:marRight w:val="0"/>
          <w:marTop w:val="0"/>
          <w:marBottom w:val="0"/>
          <w:divBdr>
            <w:top w:val="none" w:sz="0" w:space="0" w:color="auto"/>
            <w:left w:val="none" w:sz="0" w:space="0" w:color="auto"/>
            <w:bottom w:val="none" w:sz="0" w:space="0" w:color="auto"/>
            <w:right w:val="none" w:sz="0" w:space="0" w:color="auto"/>
          </w:divBdr>
        </w:div>
      </w:divsChild>
    </w:div>
    <w:div w:id="255405712">
      <w:bodyDiv w:val="1"/>
      <w:marLeft w:val="0"/>
      <w:marRight w:val="0"/>
      <w:marTop w:val="0"/>
      <w:marBottom w:val="0"/>
      <w:divBdr>
        <w:top w:val="none" w:sz="0" w:space="0" w:color="auto"/>
        <w:left w:val="none" w:sz="0" w:space="0" w:color="auto"/>
        <w:bottom w:val="none" w:sz="0" w:space="0" w:color="auto"/>
        <w:right w:val="none" w:sz="0" w:space="0" w:color="auto"/>
      </w:divBdr>
    </w:div>
    <w:div w:id="337319490">
      <w:bodyDiv w:val="1"/>
      <w:marLeft w:val="0"/>
      <w:marRight w:val="0"/>
      <w:marTop w:val="0"/>
      <w:marBottom w:val="0"/>
      <w:divBdr>
        <w:top w:val="none" w:sz="0" w:space="0" w:color="auto"/>
        <w:left w:val="none" w:sz="0" w:space="0" w:color="auto"/>
        <w:bottom w:val="none" w:sz="0" w:space="0" w:color="auto"/>
        <w:right w:val="none" w:sz="0" w:space="0" w:color="auto"/>
      </w:divBdr>
    </w:div>
    <w:div w:id="991980683">
      <w:bodyDiv w:val="1"/>
      <w:marLeft w:val="0"/>
      <w:marRight w:val="0"/>
      <w:marTop w:val="0"/>
      <w:marBottom w:val="0"/>
      <w:divBdr>
        <w:top w:val="none" w:sz="0" w:space="0" w:color="auto"/>
        <w:left w:val="none" w:sz="0" w:space="0" w:color="auto"/>
        <w:bottom w:val="none" w:sz="0" w:space="0" w:color="auto"/>
        <w:right w:val="none" w:sz="0" w:space="0" w:color="auto"/>
      </w:divBdr>
    </w:div>
    <w:div w:id="1035623029">
      <w:bodyDiv w:val="1"/>
      <w:marLeft w:val="0"/>
      <w:marRight w:val="0"/>
      <w:marTop w:val="0"/>
      <w:marBottom w:val="0"/>
      <w:divBdr>
        <w:top w:val="none" w:sz="0" w:space="0" w:color="auto"/>
        <w:left w:val="none" w:sz="0" w:space="0" w:color="auto"/>
        <w:bottom w:val="none" w:sz="0" w:space="0" w:color="auto"/>
        <w:right w:val="none" w:sz="0" w:space="0" w:color="auto"/>
      </w:divBdr>
    </w:div>
    <w:div w:id="1288388222">
      <w:bodyDiv w:val="1"/>
      <w:marLeft w:val="0"/>
      <w:marRight w:val="0"/>
      <w:marTop w:val="0"/>
      <w:marBottom w:val="0"/>
      <w:divBdr>
        <w:top w:val="none" w:sz="0" w:space="0" w:color="auto"/>
        <w:left w:val="none" w:sz="0" w:space="0" w:color="auto"/>
        <w:bottom w:val="none" w:sz="0" w:space="0" w:color="auto"/>
        <w:right w:val="none" w:sz="0" w:space="0" w:color="auto"/>
      </w:divBdr>
    </w:div>
    <w:div w:id="1808817447">
      <w:bodyDiv w:val="1"/>
      <w:marLeft w:val="0"/>
      <w:marRight w:val="0"/>
      <w:marTop w:val="0"/>
      <w:marBottom w:val="0"/>
      <w:divBdr>
        <w:top w:val="none" w:sz="0" w:space="0" w:color="auto"/>
        <w:left w:val="none" w:sz="0" w:space="0" w:color="auto"/>
        <w:bottom w:val="none" w:sz="0" w:space="0" w:color="auto"/>
        <w:right w:val="none" w:sz="0" w:space="0" w:color="auto"/>
      </w:divBdr>
    </w:div>
    <w:div w:id="2036927944">
      <w:bodyDiv w:val="1"/>
      <w:marLeft w:val="0"/>
      <w:marRight w:val="0"/>
      <w:marTop w:val="0"/>
      <w:marBottom w:val="0"/>
      <w:divBdr>
        <w:top w:val="none" w:sz="0" w:space="0" w:color="auto"/>
        <w:left w:val="none" w:sz="0" w:space="0" w:color="auto"/>
        <w:bottom w:val="none" w:sz="0" w:space="0" w:color="auto"/>
        <w:right w:val="none" w:sz="0" w:space="0" w:color="auto"/>
      </w:divBdr>
    </w:div>
    <w:div w:id="211871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1323</Words>
  <Characters>7150</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Roberto Suarez Seabra</dc:creator>
  <cp:keywords/>
  <dc:description/>
  <cp:lastModifiedBy>Francisco Thiago Vitorino Barbosa</cp:lastModifiedBy>
  <cp:revision>2</cp:revision>
  <dcterms:created xsi:type="dcterms:W3CDTF">2019-05-06T20:57:00Z</dcterms:created>
  <dcterms:modified xsi:type="dcterms:W3CDTF">2019-05-06T20:57:00Z</dcterms:modified>
</cp:coreProperties>
</file>