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97E" w:rsidRPr="00B86001" w:rsidRDefault="00B9297E" w:rsidP="00897D98">
      <w:pPr>
        <w:pStyle w:val="Padro"/>
        <w:spacing w:line="360" w:lineRule="atLeast"/>
        <w:jc w:val="center"/>
        <w:rPr>
          <w:rFonts w:ascii="Mangal" w:hAnsi="Mangal" w:cs="Mangal" w:hint="eastAsia"/>
          <w:u w:val="single"/>
        </w:rPr>
      </w:pPr>
      <w:r w:rsidRPr="00B86001">
        <w:rPr>
          <w:rFonts w:ascii="Calibri" w:hAnsi="Calibri" w:cs="Calibri"/>
          <w:b/>
          <w:bCs/>
          <w:u w:val="single"/>
        </w:rPr>
        <w:t>ATA DE REUNIÃO DA COMISSÃO ATUARIAL</w:t>
      </w:r>
      <w:r>
        <w:rPr>
          <w:rFonts w:ascii="Calibri" w:hAnsi="Calibri" w:cs="Calibri"/>
          <w:b/>
          <w:bCs/>
          <w:u w:val="single"/>
        </w:rPr>
        <w:t xml:space="preserve"> </w:t>
      </w:r>
      <w:r w:rsidR="002B1E52">
        <w:rPr>
          <w:rFonts w:ascii="Calibri" w:hAnsi="Calibri" w:cs="Calibri"/>
          <w:b/>
          <w:bCs/>
          <w:u w:val="single"/>
        </w:rPr>
        <w:t xml:space="preserve">E CONTÁBIL </w:t>
      </w:r>
      <w:r>
        <w:rPr>
          <w:rFonts w:ascii="Calibri" w:hAnsi="Calibri" w:cs="Calibri"/>
          <w:b/>
          <w:bCs/>
          <w:u w:val="single"/>
        </w:rPr>
        <w:t>DA SUSEP</w:t>
      </w:r>
    </w:p>
    <w:p w:rsidR="00B9297E" w:rsidRDefault="00CB2A69" w:rsidP="00897D98">
      <w:pPr>
        <w:pStyle w:val="Padro"/>
        <w:spacing w:line="360" w:lineRule="atLeast"/>
        <w:jc w:val="center"/>
        <w:rPr>
          <w:rFonts w:ascii="Mangal" w:hAnsi="Mangal" w:cs="Mangal" w:hint="eastAsia"/>
        </w:rPr>
      </w:pPr>
      <w:r>
        <w:rPr>
          <w:rFonts w:ascii="Calibri" w:hAnsi="Calibri" w:cs="Calibri"/>
          <w:b/>
          <w:bCs/>
        </w:rPr>
        <w:t>20</w:t>
      </w:r>
      <w:r w:rsidR="0076674E">
        <w:rPr>
          <w:rFonts w:ascii="Calibri" w:hAnsi="Calibri" w:cs="Calibri"/>
          <w:b/>
          <w:bCs/>
        </w:rPr>
        <w:t xml:space="preserve"> de</w:t>
      </w:r>
      <w:r w:rsidR="00C1533B">
        <w:rPr>
          <w:rFonts w:ascii="Calibri" w:hAnsi="Calibri" w:cs="Calibri"/>
          <w:b/>
          <w:bCs/>
        </w:rPr>
        <w:t xml:space="preserve"> </w:t>
      </w:r>
      <w:r>
        <w:rPr>
          <w:rFonts w:ascii="Calibri" w:hAnsi="Calibri" w:cs="Calibri"/>
          <w:b/>
          <w:bCs/>
        </w:rPr>
        <w:t>junho</w:t>
      </w:r>
      <w:r w:rsidR="00B9297E">
        <w:rPr>
          <w:rFonts w:ascii="Calibri" w:hAnsi="Calibri" w:cs="Calibri"/>
          <w:b/>
          <w:bCs/>
        </w:rPr>
        <w:t xml:space="preserve"> de 201</w:t>
      </w:r>
      <w:r w:rsidR="002A39BE">
        <w:rPr>
          <w:rFonts w:ascii="Calibri" w:hAnsi="Calibri" w:cs="Calibri"/>
          <w:b/>
          <w:bCs/>
        </w:rPr>
        <w:t>7</w:t>
      </w:r>
      <w:r w:rsidR="00B9297E">
        <w:rPr>
          <w:rFonts w:ascii="Calibri" w:hAnsi="Calibri" w:cs="Calibri"/>
          <w:b/>
          <w:bCs/>
        </w:rPr>
        <w:t xml:space="preserve"> (INÍCIO: 1</w:t>
      </w:r>
      <w:r>
        <w:rPr>
          <w:rFonts w:ascii="Calibri" w:hAnsi="Calibri" w:cs="Calibri"/>
          <w:b/>
          <w:bCs/>
        </w:rPr>
        <w:t>4</w:t>
      </w:r>
      <w:r w:rsidR="00B9297E">
        <w:rPr>
          <w:rFonts w:ascii="Calibri" w:hAnsi="Calibri" w:cs="Calibri"/>
          <w:b/>
          <w:bCs/>
        </w:rPr>
        <w:t>:30h – TÉRMINO: 1</w:t>
      </w:r>
      <w:r>
        <w:rPr>
          <w:rFonts w:ascii="Calibri" w:hAnsi="Calibri" w:cs="Calibri"/>
          <w:b/>
          <w:bCs/>
        </w:rPr>
        <w:t>6</w:t>
      </w:r>
      <w:r w:rsidR="00B9297E">
        <w:rPr>
          <w:rFonts w:ascii="Calibri" w:hAnsi="Calibri" w:cs="Calibri"/>
          <w:b/>
          <w:bCs/>
        </w:rPr>
        <w:t>:30h)</w:t>
      </w:r>
    </w:p>
    <w:p w:rsidR="00B9297E" w:rsidRDefault="00B9297E" w:rsidP="00897D98">
      <w:pPr>
        <w:pStyle w:val="Padro"/>
        <w:spacing w:line="360" w:lineRule="atLeast"/>
        <w:jc w:val="both"/>
        <w:rPr>
          <w:rFonts w:ascii="Mangal" w:hAnsi="Mangal" w:cs="Mangal" w:hint="eastAsia"/>
        </w:rPr>
      </w:pPr>
    </w:p>
    <w:p w:rsidR="00B9297E" w:rsidRDefault="00B9297E" w:rsidP="00897D98">
      <w:pPr>
        <w:pStyle w:val="Padro"/>
        <w:spacing w:line="360" w:lineRule="atLeast"/>
        <w:jc w:val="both"/>
        <w:rPr>
          <w:rFonts w:ascii="Mangal" w:hAnsi="Mangal" w:cs="Mangal" w:hint="eastAsia"/>
        </w:rPr>
      </w:pPr>
      <w:r>
        <w:rPr>
          <w:rFonts w:ascii="Calibri" w:hAnsi="Calibri" w:cs="Calibri"/>
          <w:b/>
          <w:bCs/>
          <w:u w:val="single"/>
        </w:rPr>
        <w:t xml:space="preserve">PARTICIPANTES: </w:t>
      </w:r>
    </w:p>
    <w:p w:rsidR="00B9297E" w:rsidRDefault="00B9297E" w:rsidP="00897D98">
      <w:pPr>
        <w:pStyle w:val="Padro"/>
        <w:spacing w:line="360" w:lineRule="atLeast"/>
        <w:jc w:val="both"/>
        <w:rPr>
          <w:rFonts w:ascii="Calibri" w:hAnsi="Calibri" w:cs="Calibri"/>
          <w:b/>
          <w:bCs/>
        </w:rPr>
      </w:pPr>
      <w:r>
        <w:rPr>
          <w:rFonts w:ascii="Calibri" w:hAnsi="Calibri" w:cs="Calibri"/>
          <w:b/>
          <w:bCs/>
        </w:rPr>
        <w:t>Susep</w:t>
      </w:r>
    </w:p>
    <w:p w:rsidR="00B9297E" w:rsidRPr="00845545" w:rsidRDefault="00C1533B" w:rsidP="00897D98">
      <w:pPr>
        <w:pStyle w:val="Padro"/>
        <w:spacing w:line="360" w:lineRule="atLeast"/>
        <w:jc w:val="both"/>
        <w:rPr>
          <w:rFonts w:ascii="Calibri" w:hAnsi="Calibri" w:cs="Calibri"/>
        </w:rPr>
      </w:pPr>
      <w:r>
        <w:rPr>
          <w:rFonts w:ascii="Calibri" w:hAnsi="Calibri" w:cs="Calibri"/>
        </w:rPr>
        <w:t>Cássio Cabral Kelly</w:t>
      </w:r>
    </w:p>
    <w:p w:rsidR="00B9297E" w:rsidRPr="00845545" w:rsidRDefault="00C1533B" w:rsidP="00897D98">
      <w:pPr>
        <w:pStyle w:val="Padro"/>
        <w:spacing w:line="360" w:lineRule="atLeast"/>
        <w:jc w:val="both"/>
        <w:rPr>
          <w:rFonts w:ascii="Calibri" w:hAnsi="Calibri" w:cs="Calibri"/>
        </w:rPr>
      </w:pPr>
      <w:r>
        <w:rPr>
          <w:rFonts w:ascii="Calibri" w:hAnsi="Calibri" w:cs="Calibri"/>
        </w:rPr>
        <w:t>Geraldo Neves Filho</w:t>
      </w:r>
    </w:p>
    <w:p w:rsidR="00B9297E" w:rsidRPr="00845545" w:rsidRDefault="00B9297E" w:rsidP="00897D98">
      <w:pPr>
        <w:pStyle w:val="Padro"/>
        <w:spacing w:line="360" w:lineRule="atLeast"/>
        <w:jc w:val="both"/>
        <w:rPr>
          <w:rFonts w:ascii="Calibri" w:hAnsi="Calibri" w:cs="Calibri"/>
        </w:rPr>
      </w:pPr>
      <w:r w:rsidRPr="00845545">
        <w:rPr>
          <w:rFonts w:ascii="Calibri" w:hAnsi="Calibri" w:cs="Calibri"/>
        </w:rPr>
        <w:t>Roberto Suarez Seabra</w:t>
      </w:r>
    </w:p>
    <w:p w:rsidR="00B9297E" w:rsidRPr="00845545" w:rsidRDefault="00B9297E" w:rsidP="00897D98">
      <w:pPr>
        <w:pStyle w:val="Padro"/>
        <w:spacing w:line="360" w:lineRule="atLeast"/>
        <w:jc w:val="both"/>
        <w:rPr>
          <w:rFonts w:ascii="Calibri" w:hAnsi="Calibri" w:cs="Calibri"/>
        </w:rPr>
      </w:pPr>
      <w:r w:rsidRPr="00845545">
        <w:rPr>
          <w:rFonts w:ascii="Calibri" w:hAnsi="Calibri" w:cs="Calibri"/>
        </w:rPr>
        <w:t>Thiago Signorelli</w:t>
      </w:r>
    </w:p>
    <w:p w:rsidR="00B9297E" w:rsidRPr="00845545" w:rsidRDefault="00CB2A69" w:rsidP="00897D98">
      <w:pPr>
        <w:pStyle w:val="Padro"/>
        <w:spacing w:line="360" w:lineRule="atLeast"/>
        <w:jc w:val="both"/>
        <w:rPr>
          <w:rFonts w:ascii="Calibri" w:hAnsi="Calibri" w:cs="Calibri"/>
        </w:rPr>
      </w:pPr>
      <w:r>
        <w:rPr>
          <w:rFonts w:ascii="Calibri" w:hAnsi="Calibri" w:cs="Calibri"/>
        </w:rPr>
        <w:t>Gabriel Caldas</w:t>
      </w:r>
    </w:p>
    <w:p w:rsidR="00845545" w:rsidRPr="00845545" w:rsidRDefault="00C1533B" w:rsidP="00897D98">
      <w:pPr>
        <w:pStyle w:val="Padro"/>
        <w:spacing w:line="360" w:lineRule="atLeast"/>
        <w:jc w:val="both"/>
        <w:rPr>
          <w:rFonts w:ascii="Calibri" w:hAnsi="Calibri" w:cs="Calibri"/>
        </w:rPr>
      </w:pPr>
      <w:r>
        <w:rPr>
          <w:rFonts w:ascii="Calibri" w:hAnsi="Calibri" w:cs="Calibri"/>
        </w:rPr>
        <w:t>Paloma Habib Pereira Gomes</w:t>
      </w:r>
    </w:p>
    <w:p w:rsidR="00B9297E" w:rsidRDefault="00C1533B" w:rsidP="00897D98">
      <w:pPr>
        <w:pStyle w:val="Padro"/>
        <w:spacing w:line="360" w:lineRule="atLeast"/>
        <w:jc w:val="both"/>
        <w:rPr>
          <w:rFonts w:ascii="Calibri" w:hAnsi="Calibri" w:cs="Calibri"/>
        </w:rPr>
      </w:pPr>
      <w:r>
        <w:rPr>
          <w:rFonts w:ascii="Calibri" w:hAnsi="Calibri" w:cs="Calibri"/>
        </w:rPr>
        <w:t>Juliana Sá Freire de Lima</w:t>
      </w:r>
    </w:p>
    <w:p w:rsidR="00954FA1" w:rsidRDefault="00CB2A69" w:rsidP="00897D98">
      <w:pPr>
        <w:pStyle w:val="Padro"/>
        <w:spacing w:line="360" w:lineRule="atLeast"/>
        <w:jc w:val="both"/>
        <w:rPr>
          <w:rFonts w:ascii="Calibri" w:hAnsi="Calibri" w:cs="Calibri"/>
        </w:rPr>
      </w:pPr>
      <w:r>
        <w:rPr>
          <w:rFonts w:ascii="Calibri" w:hAnsi="Calibri" w:cs="Calibri"/>
        </w:rPr>
        <w:t xml:space="preserve">Adriana </w:t>
      </w:r>
      <w:proofErr w:type="spellStart"/>
      <w:r>
        <w:rPr>
          <w:rFonts w:ascii="Calibri" w:hAnsi="Calibri" w:cs="Calibri"/>
        </w:rPr>
        <w:t>Henning</w:t>
      </w:r>
      <w:proofErr w:type="spellEnd"/>
    </w:p>
    <w:p w:rsidR="00CB2A69" w:rsidRDefault="00CB2A69" w:rsidP="00897D98">
      <w:pPr>
        <w:pStyle w:val="Padro"/>
        <w:spacing w:line="360" w:lineRule="atLeast"/>
        <w:jc w:val="both"/>
        <w:rPr>
          <w:rFonts w:ascii="Calibri" w:hAnsi="Calibri" w:cs="Calibri"/>
        </w:rPr>
      </w:pPr>
      <w:r>
        <w:rPr>
          <w:rFonts w:ascii="Calibri" w:hAnsi="Calibri" w:cs="Calibri"/>
        </w:rPr>
        <w:t>Rodrigo Curvello</w:t>
      </w:r>
    </w:p>
    <w:p w:rsidR="00CB2A69" w:rsidRDefault="00CB2A69" w:rsidP="00897D98">
      <w:pPr>
        <w:pStyle w:val="Padro"/>
        <w:spacing w:line="360" w:lineRule="atLeast"/>
        <w:jc w:val="both"/>
        <w:rPr>
          <w:rFonts w:ascii="Calibri" w:hAnsi="Calibri" w:cs="Calibri"/>
        </w:rPr>
      </w:pPr>
      <w:r>
        <w:rPr>
          <w:rFonts w:ascii="Calibri" w:hAnsi="Calibri" w:cs="Calibri"/>
        </w:rPr>
        <w:t>Felipe Nunes</w:t>
      </w:r>
    </w:p>
    <w:p w:rsidR="00CB2A69" w:rsidRDefault="00CB2A69" w:rsidP="00897D98">
      <w:pPr>
        <w:pStyle w:val="Padro"/>
        <w:spacing w:line="360" w:lineRule="atLeast"/>
        <w:jc w:val="both"/>
        <w:rPr>
          <w:rFonts w:ascii="Calibri" w:hAnsi="Calibri" w:cs="Calibri"/>
        </w:rPr>
      </w:pPr>
      <w:r>
        <w:rPr>
          <w:rFonts w:ascii="Calibri" w:hAnsi="Calibri" w:cs="Calibri"/>
        </w:rPr>
        <w:t>Natalia Loureiro</w:t>
      </w:r>
    </w:p>
    <w:p w:rsidR="00CB2A69" w:rsidRDefault="00CB2A69" w:rsidP="00897D98">
      <w:pPr>
        <w:pStyle w:val="Padro"/>
        <w:spacing w:line="360" w:lineRule="atLeast"/>
        <w:jc w:val="both"/>
        <w:rPr>
          <w:rFonts w:ascii="Calibri" w:hAnsi="Calibri" w:cs="Calibri"/>
        </w:rPr>
      </w:pPr>
      <w:r>
        <w:rPr>
          <w:rFonts w:ascii="Calibri" w:hAnsi="Calibri" w:cs="Calibri"/>
        </w:rPr>
        <w:t>Leonardo Machado</w:t>
      </w:r>
    </w:p>
    <w:p w:rsidR="00CB2A69" w:rsidRDefault="00CB2A69" w:rsidP="00897D98">
      <w:pPr>
        <w:pStyle w:val="Padro"/>
        <w:spacing w:line="360" w:lineRule="atLeast"/>
        <w:jc w:val="both"/>
        <w:rPr>
          <w:rFonts w:ascii="Calibri" w:hAnsi="Calibri" w:cs="Calibri"/>
        </w:rPr>
      </w:pPr>
      <w:r>
        <w:rPr>
          <w:rFonts w:ascii="Calibri" w:hAnsi="Calibri" w:cs="Calibri"/>
        </w:rPr>
        <w:t>Marcos Visgueiro</w:t>
      </w:r>
    </w:p>
    <w:p w:rsidR="00C1533B" w:rsidRDefault="00C1533B" w:rsidP="00897D98">
      <w:pPr>
        <w:pStyle w:val="Padro"/>
        <w:spacing w:line="360" w:lineRule="atLeast"/>
        <w:jc w:val="both"/>
        <w:rPr>
          <w:rFonts w:ascii="Calibri" w:hAnsi="Calibri" w:cs="Calibri"/>
          <w:b/>
          <w:bCs/>
        </w:rPr>
      </w:pPr>
    </w:p>
    <w:p w:rsidR="00B9297E" w:rsidRDefault="00B9297E" w:rsidP="00897D98">
      <w:pPr>
        <w:pStyle w:val="Padro"/>
        <w:spacing w:line="360" w:lineRule="atLeast"/>
        <w:jc w:val="both"/>
        <w:rPr>
          <w:rFonts w:ascii="Calibri" w:hAnsi="Calibri" w:cs="Calibri"/>
          <w:b/>
          <w:bCs/>
        </w:rPr>
      </w:pPr>
      <w:r>
        <w:rPr>
          <w:rFonts w:ascii="Calibri" w:hAnsi="Calibri" w:cs="Calibri"/>
          <w:b/>
          <w:bCs/>
        </w:rPr>
        <w:t>CNs</w:t>
      </w:r>
      <w:r w:rsidRPr="00CD4C9D">
        <w:rPr>
          <w:rFonts w:ascii="Calibri" w:hAnsi="Calibri" w:cs="Calibri"/>
          <w:b/>
          <w:bCs/>
        </w:rPr>
        <w:t>eg</w:t>
      </w:r>
    </w:p>
    <w:p w:rsidR="00954FA1" w:rsidRPr="00954FA1" w:rsidRDefault="00954FA1" w:rsidP="00897D98">
      <w:pPr>
        <w:pStyle w:val="Padro"/>
        <w:spacing w:line="360" w:lineRule="atLeast"/>
        <w:jc w:val="both"/>
        <w:rPr>
          <w:rFonts w:ascii="Calibri" w:hAnsi="Calibri" w:cs="Calibri"/>
          <w:bCs/>
        </w:rPr>
      </w:pPr>
      <w:r w:rsidRPr="00954FA1">
        <w:rPr>
          <w:rFonts w:ascii="Calibri" w:hAnsi="Calibri" w:cs="Calibri"/>
          <w:bCs/>
        </w:rPr>
        <w:t>Karini Madeira</w:t>
      </w:r>
    </w:p>
    <w:p w:rsidR="00CB2A69" w:rsidRPr="00954FA1" w:rsidRDefault="00CB2A69" w:rsidP="00897D98">
      <w:pPr>
        <w:pStyle w:val="Padro"/>
        <w:spacing w:line="360" w:lineRule="atLeast"/>
        <w:jc w:val="both"/>
        <w:rPr>
          <w:rFonts w:ascii="Calibri" w:hAnsi="Calibri" w:cs="Calibri"/>
        </w:rPr>
      </w:pPr>
      <w:r w:rsidRPr="007A0BBF">
        <w:rPr>
          <w:rFonts w:ascii="Calibri" w:hAnsi="Calibri" w:cs="Calibri"/>
        </w:rPr>
        <w:t>Gustavo Genovez</w:t>
      </w:r>
    </w:p>
    <w:p w:rsidR="007A0BBF" w:rsidRDefault="00CB2A69" w:rsidP="00897D98">
      <w:pPr>
        <w:pStyle w:val="Padro"/>
        <w:spacing w:line="360" w:lineRule="atLeast"/>
        <w:jc w:val="both"/>
        <w:rPr>
          <w:rFonts w:ascii="Calibri" w:hAnsi="Calibri" w:cs="Calibri"/>
        </w:rPr>
      </w:pPr>
      <w:proofErr w:type="spellStart"/>
      <w:r>
        <w:rPr>
          <w:rFonts w:ascii="Calibri" w:hAnsi="Calibri" w:cs="Calibri"/>
        </w:rPr>
        <w:t>Laenio</w:t>
      </w:r>
      <w:proofErr w:type="spellEnd"/>
      <w:r>
        <w:rPr>
          <w:rFonts w:ascii="Calibri" w:hAnsi="Calibri" w:cs="Calibri"/>
        </w:rPr>
        <w:t xml:space="preserve"> Pereira dos Santos</w:t>
      </w:r>
    </w:p>
    <w:p w:rsidR="003F5FBF" w:rsidRDefault="00CB2A69" w:rsidP="00897D98">
      <w:pPr>
        <w:pStyle w:val="Padro"/>
        <w:spacing w:line="360" w:lineRule="atLeast"/>
        <w:jc w:val="both"/>
        <w:rPr>
          <w:rFonts w:ascii="Calibri" w:hAnsi="Calibri" w:cs="Calibri"/>
          <w:bCs/>
        </w:rPr>
      </w:pPr>
      <w:r>
        <w:rPr>
          <w:rFonts w:ascii="Calibri" w:hAnsi="Calibri" w:cs="Calibri"/>
          <w:bCs/>
        </w:rPr>
        <w:t>Paulo Henrique Mendes</w:t>
      </w:r>
    </w:p>
    <w:p w:rsidR="002A39BE" w:rsidRPr="007A0BBF" w:rsidRDefault="002A39BE" w:rsidP="00897D98">
      <w:pPr>
        <w:pStyle w:val="Padro"/>
        <w:spacing w:line="360" w:lineRule="atLeast"/>
        <w:jc w:val="both"/>
        <w:rPr>
          <w:rFonts w:ascii="Calibri" w:hAnsi="Calibri" w:cs="Calibri"/>
          <w:bCs/>
        </w:rPr>
      </w:pPr>
      <w:proofErr w:type="spellStart"/>
      <w:r>
        <w:rPr>
          <w:rFonts w:ascii="Calibri" w:hAnsi="Calibri" w:cs="Calibri"/>
          <w:bCs/>
        </w:rPr>
        <w:t>Getulio</w:t>
      </w:r>
      <w:proofErr w:type="spellEnd"/>
      <w:r>
        <w:rPr>
          <w:rFonts w:ascii="Calibri" w:hAnsi="Calibri" w:cs="Calibri"/>
          <w:bCs/>
        </w:rPr>
        <w:t xml:space="preserve"> </w:t>
      </w:r>
      <w:proofErr w:type="spellStart"/>
      <w:r>
        <w:rPr>
          <w:rFonts w:ascii="Calibri" w:hAnsi="Calibri" w:cs="Calibri"/>
          <w:bCs/>
        </w:rPr>
        <w:t>Guidini</w:t>
      </w:r>
      <w:proofErr w:type="spellEnd"/>
    </w:p>
    <w:p w:rsidR="00B9297E" w:rsidRDefault="00B9297E" w:rsidP="00897D98">
      <w:pPr>
        <w:pStyle w:val="Padro"/>
        <w:spacing w:line="360" w:lineRule="atLeast"/>
        <w:jc w:val="both"/>
        <w:rPr>
          <w:rFonts w:ascii="Calibri" w:hAnsi="Calibri" w:cs="Calibri"/>
          <w:b/>
          <w:bCs/>
        </w:rPr>
      </w:pPr>
    </w:p>
    <w:p w:rsidR="00B44C34" w:rsidRDefault="00B44C34" w:rsidP="00897D98">
      <w:pPr>
        <w:pStyle w:val="Padro"/>
        <w:spacing w:line="360" w:lineRule="atLeast"/>
        <w:jc w:val="both"/>
        <w:rPr>
          <w:rFonts w:ascii="Calibri" w:hAnsi="Calibri" w:cs="Calibri"/>
          <w:b/>
          <w:bCs/>
        </w:rPr>
      </w:pPr>
      <w:r>
        <w:rPr>
          <w:rFonts w:ascii="Calibri" w:hAnsi="Calibri" w:cs="Calibri"/>
          <w:b/>
          <w:bCs/>
        </w:rPr>
        <w:t>IBA</w:t>
      </w:r>
    </w:p>
    <w:p w:rsidR="00317FBD" w:rsidRPr="00317FBD" w:rsidRDefault="00CB2A69" w:rsidP="00897D98">
      <w:pPr>
        <w:pStyle w:val="Padro"/>
        <w:spacing w:line="360" w:lineRule="atLeast"/>
        <w:jc w:val="both"/>
        <w:rPr>
          <w:rFonts w:ascii="Calibri" w:hAnsi="Calibri" w:cs="Calibri"/>
          <w:bCs/>
        </w:rPr>
      </w:pPr>
      <w:r>
        <w:rPr>
          <w:rFonts w:ascii="Calibri" w:hAnsi="Calibri" w:cs="Calibri"/>
          <w:bCs/>
        </w:rPr>
        <w:t xml:space="preserve">Gabriela </w:t>
      </w:r>
      <w:proofErr w:type="spellStart"/>
      <w:r>
        <w:rPr>
          <w:rFonts w:ascii="Calibri" w:hAnsi="Calibri" w:cs="Calibri"/>
          <w:bCs/>
        </w:rPr>
        <w:t>Krull</w:t>
      </w:r>
      <w:proofErr w:type="spellEnd"/>
    </w:p>
    <w:p w:rsidR="00B44C34" w:rsidRDefault="00C1533B" w:rsidP="00897D98">
      <w:pPr>
        <w:pStyle w:val="Padro"/>
        <w:spacing w:line="360" w:lineRule="atLeast"/>
        <w:jc w:val="both"/>
        <w:rPr>
          <w:rFonts w:ascii="Calibri" w:hAnsi="Calibri" w:cs="Calibri"/>
        </w:rPr>
      </w:pPr>
      <w:r>
        <w:rPr>
          <w:rFonts w:ascii="Calibri" w:hAnsi="Calibri" w:cs="Calibri"/>
        </w:rPr>
        <w:t>Eder Oliveira</w:t>
      </w:r>
    </w:p>
    <w:p w:rsidR="00540BB0" w:rsidRPr="007A0BBF" w:rsidRDefault="00540BB0" w:rsidP="00897D98">
      <w:pPr>
        <w:pStyle w:val="Padro"/>
        <w:spacing w:line="360" w:lineRule="atLeast"/>
        <w:jc w:val="both"/>
        <w:rPr>
          <w:rFonts w:ascii="Calibri" w:hAnsi="Calibri" w:cs="Calibri"/>
        </w:rPr>
      </w:pPr>
      <w:r>
        <w:rPr>
          <w:rFonts w:ascii="Calibri" w:hAnsi="Calibri" w:cs="Calibri"/>
        </w:rPr>
        <w:t>Luiz Ernesto Both</w:t>
      </w:r>
    </w:p>
    <w:p w:rsidR="00B44C34" w:rsidRPr="007A0BBF" w:rsidRDefault="00B44C34" w:rsidP="00897D98">
      <w:pPr>
        <w:pStyle w:val="Padro"/>
        <w:spacing w:line="360" w:lineRule="atLeast"/>
        <w:jc w:val="both"/>
        <w:rPr>
          <w:rFonts w:ascii="Calibri" w:hAnsi="Calibri" w:cs="Calibri"/>
          <w:b/>
          <w:bCs/>
        </w:rPr>
      </w:pPr>
    </w:p>
    <w:p w:rsidR="00B9297E" w:rsidRDefault="00B9297E" w:rsidP="00897D98">
      <w:pPr>
        <w:pStyle w:val="Padro"/>
        <w:spacing w:line="360" w:lineRule="atLeast"/>
        <w:jc w:val="both"/>
        <w:rPr>
          <w:rFonts w:ascii="Calibri" w:hAnsi="Calibri" w:cs="Calibri"/>
          <w:b/>
          <w:bCs/>
        </w:rPr>
      </w:pPr>
      <w:proofErr w:type="spellStart"/>
      <w:r w:rsidRPr="007A0BBF">
        <w:rPr>
          <w:rFonts w:ascii="Calibri" w:hAnsi="Calibri" w:cs="Calibri"/>
          <w:b/>
          <w:bCs/>
        </w:rPr>
        <w:t>Fenaber</w:t>
      </w:r>
      <w:proofErr w:type="spellEnd"/>
    </w:p>
    <w:p w:rsidR="00CB2A69" w:rsidRPr="00CB2A69" w:rsidRDefault="00CB2A69" w:rsidP="00897D98">
      <w:pPr>
        <w:pStyle w:val="Padro"/>
        <w:spacing w:line="360" w:lineRule="atLeast"/>
        <w:jc w:val="both"/>
        <w:rPr>
          <w:rFonts w:ascii="Mangal" w:hAnsi="Mangal" w:cs="Mangal" w:hint="eastAsia"/>
        </w:rPr>
      </w:pPr>
      <w:r w:rsidRPr="00CB2A69">
        <w:rPr>
          <w:rFonts w:ascii="Calibri" w:hAnsi="Calibri" w:cs="Calibri"/>
          <w:bCs/>
        </w:rPr>
        <w:t>Delvo Sa</w:t>
      </w:r>
      <w:r>
        <w:rPr>
          <w:rFonts w:ascii="Calibri" w:hAnsi="Calibri" w:cs="Calibri"/>
          <w:bCs/>
        </w:rPr>
        <w:t>bino</w:t>
      </w:r>
    </w:p>
    <w:p w:rsidR="00B9297E" w:rsidRDefault="00B9297E" w:rsidP="00897D98">
      <w:pPr>
        <w:pStyle w:val="Padro"/>
        <w:spacing w:line="360" w:lineRule="atLeast"/>
        <w:jc w:val="both"/>
        <w:rPr>
          <w:rFonts w:ascii="Calibri" w:hAnsi="Calibri" w:cs="Calibri"/>
          <w:bCs/>
        </w:rPr>
      </w:pPr>
      <w:r w:rsidRPr="007A0BBF">
        <w:rPr>
          <w:rFonts w:ascii="Calibri" w:hAnsi="Calibri" w:cs="Calibri"/>
          <w:bCs/>
        </w:rPr>
        <w:t>Claudia Novello Ribeiro</w:t>
      </w:r>
    </w:p>
    <w:p w:rsidR="00954FA1" w:rsidRDefault="00954FA1" w:rsidP="00897D98">
      <w:pPr>
        <w:pStyle w:val="Padro"/>
        <w:spacing w:line="360" w:lineRule="atLeast"/>
        <w:jc w:val="both"/>
        <w:rPr>
          <w:rFonts w:ascii="Calibri" w:hAnsi="Calibri" w:cs="Calibri"/>
          <w:bCs/>
        </w:rPr>
      </w:pPr>
      <w:r>
        <w:rPr>
          <w:rFonts w:ascii="Calibri" w:hAnsi="Calibri" w:cs="Calibri"/>
          <w:bCs/>
        </w:rPr>
        <w:t>Fredi Martins</w:t>
      </w:r>
    </w:p>
    <w:p w:rsidR="00954FA1" w:rsidRPr="007A0BBF" w:rsidRDefault="00954FA1" w:rsidP="00897D98">
      <w:pPr>
        <w:pStyle w:val="Padro"/>
        <w:spacing w:line="360" w:lineRule="atLeast"/>
        <w:jc w:val="both"/>
        <w:rPr>
          <w:rFonts w:ascii="Calibri" w:hAnsi="Calibri" w:cs="Calibri"/>
          <w:b/>
          <w:bCs/>
        </w:rPr>
      </w:pPr>
    </w:p>
    <w:p w:rsidR="00B9297E" w:rsidRPr="007A0BBF" w:rsidRDefault="00B9297E" w:rsidP="00897D98">
      <w:pPr>
        <w:pStyle w:val="Padro"/>
        <w:spacing w:line="360" w:lineRule="atLeast"/>
        <w:jc w:val="both"/>
        <w:rPr>
          <w:rFonts w:ascii="Calibri" w:hAnsi="Calibri" w:cs="Calibri"/>
          <w:b/>
          <w:bCs/>
        </w:rPr>
      </w:pPr>
      <w:r w:rsidRPr="007A0BBF">
        <w:rPr>
          <w:rFonts w:ascii="Calibri" w:hAnsi="Calibri" w:cs="Calibri"/>
          <w:b/>
          <w:bCs/>
        </w:rPr>
        <w:t>Fenaprevi</w:t>
      </w:r>
    </w:p>
    <w:p w:rsidR="00CB2A69" w:rsidRDefault="00CB2A69" w:rsidP="00897D98">
      <w:pPr>
        <w:pStyle w:val="Padro"/>
        <w:spacing w:line="360" w:lineRule="atLeast"/>
        <w:jc w:val="both"/>
        <w:rPr>
          <w:rFonts w:ascii="Calibri" w:hAnsi="Calibri" w:cs="Calibri"/>
          <w:bCs/>
        </w:rPr>
      </w:pPr>
      <w:r>
        <w:rPr>
          <w:rFonts w:ascii="Calibri" w:hAnsi="Calibri" w:cs="Calibri"/>
          <w:bCs/>
        </w:rPr>
        <w:t>Celina da Costa Silva</w:t>
      </w:r>
    </w:p>
    <w:p w:rsidR="00CB2A69" w:rsidRDefault="00CB2A69" w:rsidP="00897D98">
      <w:pPr>
        <w:pStyle w:val="Padro"/>
        <w:spacing w:line="360" w:lineRule="atLeast"/>
        <w:jc w:val="both"/>
        <w:rPr>
          <w:rFonts w:ascii="Calibri" w:hAnsi="Calibri" w:cs="Calibri"/>
          <w:bCs/>
        </w:rPr>
      </w:pPr>
      <w:r>
        <w:rPr>
          <w:rFonts w:ascii="Calibri" w:hAnsi="Calibri" w:cs="Calibri"/>
          <w:bCs/>
        </w:rPr>
        <w:lastRenderedPageBreak/>
        <w:t>Nelson Emiliano</w:t>
      </w:r>
    </w:p>
    <w:p w:rsidR="00845545" w:rsidRPr="007A0BBF" w:rsidRDefault="000F48E0" w:rsidP="00897D98">
      <w:pPr>
        <w:pStyle w:val="Padro"/>
        <w:spacing w:line="360" w:lineRule="atLeast"/>
        <w:jc w:val="both"/>
        <w:rPr>
          <w:rFonts w:ascii="Mangal" w:hAnsi="Mangal" w:cs="Mangal" w:hint="eastAsia"/>
        </w:rPr>
      </w:pPr>
      <w:r>
        <w:rPr>
          <w:rFonts w:ascii="Calibri" w:hAnsi="Calibri" w:cs="Calibri"/>
          <w:bCs/>
        </w:rPr>
        <w:t>Eliz</w:t>
      </w:r>
      <w:r w:rsidR="00845545" w:rsidRPr="007A0BBF">
        <w:rPr>
          <w:rFonts w:ascii="Calibri" w:hAnsi="Calibri" w:cs="Calibri"/>
          <w:bCs/>
        </w:rPr>
        <w:t>eu da Silva Souza</w:t>
      </w:r>
    </w:p>
    <w:p w:rsidR="00954FA1" w:rsidRPr="007A0BBF" w:rsidRDefault="00954FA1" w:rsidP="00897D98">
      <w:pPr>
        <w:pStyle w:val="Padro"/>
        <w:spacing w:line="360" w:lineRule="atLeast"/>
        <w:jc w:val="both"/>
        <w:rPr>
          <w:rFonts w:ascii="Calibri" w:hAnsi="Calibri" w:cs="Calibri"/>
          <w:bCs/>
        </w:rPr>
      </w:pPr>
      <w:r>
        <w:rPr>
          <w:rFonts w:ascii="Calibri" w:hAnsi="Calibri" w:cs="Calibri"/>
          <w:bCs/>
        </w:rPr>
        <w:t>Javier Miguel Lopez</w:t>
      </w:r>
    </w:p>
    <w:p w:rsidR="00B9297E" w:rsidRPr="007A0BBF" w:rsidRDefault="00B9297E" w:rsidP="00897D98">
      <w:pPr>
        <w:pStyle w:val="Padro"/>
        <w:spacing w:line="360" w:lineRule="atLeast"/>
        <w:jc w:val="both"/>
        <w:rPr>
          <w:rFonts w:ascii="Calibri" w:hAnsi="Calibri" w:cs="Calibri"/>
          <w:bCs/>
        </w:rPr>
      </w:pPr>
    </w:p>
    <w:p w:rsidR="00B9297E" w:rsidRPr="007A0BBF" w:rsidRDefault="00B9297E" w:rsidP="00897D98">
      <w:pPr>
        <w:pStyle w:val="Padro"/>
        <w:spacing w:line="360" w:lineRule="atLeast"/>
        <w:jc w:val="both"/>
        <w:rPr>
          <w:rFonts w:ascii="Calibri" w:hAnsi="Calibri" w:cs="Calibri"/>
          <w:b/>
          <w:bCs/>
        </w:rPr>
      </w:pPr>
      <w:r w:rsidRPr="007A0BBF">
        <w:rPr>
          <w:rFonts w:ascii="Calibri" w:hAnsi="Calibri" w:cs="Calibri"/>
          <w:b/>
          <w:bCs/>
        </w:rPr>
        <w:t>Ibracon</w:t>
      </w:r>
    </w:p>
    <w:p w:rsidR="00845545" w:rsidRPr="007A0BBF" w:rsidRDefault="002A39BE" w:rsidP="00897D98">
      <w:pPr>
        <w:pStyle w:val="Padro"/>
        <w:spacing w:line="360" w:lineRule="atLeast"/>
        <w:jc w:val="both"/>
        <w:rPr>
          <w:rFonts w:ascii="Calibri" w:hAnsi="Calibri" w:cs="Calibri"/>
          <w:bCs/>
        </w:rPr>
      </w:pPr>
      <w:r>
        <w:rPr>
          <w:rFonts w:ascii="Calibri" w:hAnsi="Calibri" w:cs="Calibri"/>
          <w:bCs/>
        </w:rPr>
        <w:t xml:space="preserve">Roberto Paulo </w:t>
      </w:r>
      <w:proofErr w:type="spellStart"/>
      <w:r>
        <w:rPr>
          <w:rFonts w:ascii="Calibri" w:hAnsi="Calibri" w:cs="Calibri"/>
          <w:bCs/>
        </w:rPr>
        <w:t>Kenedi</w:t>
      </w:r>
      <w:proofErr w:type="spellEnd"/>
    </w:p>
    <w:p w:rsidR="00294D85" w:rsidRDefault="00294D85" w:rsidP="00897D98">
      <w:pPr>
        <w:pStyle w:val="Padro"/>
        <w:spacing w:line="360" w:lineRule="atLeast"/>
        <w:jc w:val="both"/>
        <w:rPr>
          <w:rFonts w:ascii="Calibri" w:hAnsi="Calibri" w:cs="Calibri"/>
          <w:b/>
          <w:bCs/>
        </w:rPr>
      </w:pPr>
    </w:p>
    <w:p w:rsidR="007A0BBF" w:rsidRPr="007A0BBF" w:rsidRDefault="007A0BBF" w:rsidP="00897D98">
      <w:pPr>
        <w:pStyle w:val="Padro"/>
        <w:spacing w:line="360" w:lineRule="atLeast"/>
        <w:jc w:val="both"/>
        <w:rPr>
          <w:rFonts w:ascii="Calibri" w:hAnsi="Calibri" w:cs="Calibri"/>
          <w:b/>
          <w:bCs/>
        </w:rPr>
      </w:pPr>
      <w:r w:rsidRPr="007A0BBF">
        <w:rPr>
          <w:rFonts w:ascii="Calibri" w:hAnsi="Calibri" w:cs="Calibri"/>
          <w:b/>
          <w:bCs/>
        </w:rPr>
        <w:t>Fenacap</w:t>
      </w:r>
    </w:p>
    <w:p w:rsidR="007A0BBF" w:rsidRDefault="007A0BBF" w:rsidP="00897D98">
      <w:pPr>
        <w:pStyle w:val="Padro"/>
        <w:spacing w:line="360" w:lineRule="atLeast"/>
        <w:jc w:val="both"/>
        <w:rPr>
          <w:rFonts w:ascii="Calibri" w:hAnsi="Calibri" w:cs="Calibri"/>
          <w:bCs/>
        </w:rPr>
      </w:pPr>
      <w:r w:rsidRPr="007A0BBF">
        <w:rPr>
          <w:rFonts w:ascii="Calibri" w:hAnsi="Calibri" w:cs="Calibri"/>
          <w:bCs/>
        </w:rPr>
        <w:t>Ja</w:t>
      </w:r>
      <w:r w:rsidR="000F48E0">
        <w:rPr>
          <w:rFonts w:ascii="Calibri" w:hAnsi="Calibri" w:cs="Calibri"/>
          <w:bCs/>
        </w:rPr>
        <w:t>c</w:t>
      </w:r>
      <w:r w:rsidRPr="007A0BBF">
        <w:rPr>
          <w:rFonts w:ascii="Calibri" w:hAnsi="Calibri" w:cs="Calibri"/>
          <w:bCs/>
        </w:rPr>
        <w:t>queline Lana</w:t>
      </w:r>
    </w:p>
    <w:p w:rsidR="00954FA1" w:rsidRDefault="00954FA1" w:rsidP="00897D98">
      <w:pPr>
        <w:pStyle w:val="Padro"/>
        <w:spacing w:line="360" w:lineRule="atLeast"/>
        <w:jc w:val="both"/>
        <w:rPr>
          <w:rFonts w:ascii="Calibri" w:hAnsi="Calibri" w:cs="Calibri"/>
          <w:bCs/>
        </w:rPr>
      </w:pPr>
    </w:p>
    <w:p w:rsidR="00954FA1" w:rsidRDefault="00954FA1" w:rsidP="00897D98">
      <w:pPr>
        <w:pStyle w:val="Padro"/>
        <w:spacing w:line="360" w:lineRule="atLeast"/>
        <w:jc w:val="both"/>
        <w:rPr>
          <w:rFonts w:ascii="Calibri" w:hAnsi="Calibri" w:cs="Calibri"/>
          <w:b/>
          <w:bCs/>
        </w:rPr>
      </w:pPr>
      <w:proofErr w:type="spellStart"/>
      <w:r>
        <w:rPr>
          <w:rFonts w:ascii="Calibri" w:hAnsi="Calibri" w:cs="Calibri"/>
          <w:b/>
          <w:bCs/>
        </w:rPr>
        <w:t>Fenseg</w:t>
      </w:r>
      <w:proofErr w:type="spellEnd"/>
    </w:p>
    <w:p w:rsidR="00954FA1" w:rsidRPr="00954FA1" w:rsidRDefault="002A39BE" w:rsidP="00897D98">
      <w:pPr>
        <w:pStyle w:val="Padro"/>
        <w:spacing w:line="360" w:lineRule="atLeast"/>
        <w:jc w:val="both"/>
        <w:rPr>
          <w:rFonts w:ascii="Calibri" w:hAnsi="Calibri" w:cs="Calibri"/>
        </w:rPr>
      </w:pPr>
      <w:r>
        <w:rPr>
          <w:rFonts w:ascii="Calibri" w:hAnsi="Calibri" w:cs="Calibri"/>
        </w:rPr>
        <w:t>Saint’ Clair Pereira</w:t>
      </w:r>
    </w:p>
    <w:p w:rsidR="00954FA1" w:rsidRDefault="00954FA1" w:rsidP="00897D98">
      <w:pPr>
        <w:pStyle w:val="Padro"/>
        <w:spacing w:line="360" w:lineRule="atLeast"/>
        <w:jc w:val="both"/>
        <w:rPr>
          <w:rFonts w:ascii="Calibri" w:hAnsi="Calibri" w:cs="Calibri"/>
          <w:b/>
          <w:bCs/>
        </w:rPr>
      </w:pPr>
    </w:p>
    <w:p w:rsidR="00954FA1" w:rsidRPr="007A0BBF" w:rsidRDefault="00954FA1" w:rsidP="00897D98">
      <w:pPr>
        <w:pStyle w:val="Padro"/>
        <w:spacing w:line="360" w:lineRule="atLeast"/>
        <w:jc w:val="both"/>
        <w:rPr>
          <w:rFonts w:ascii="Calibri" w:hAnsi="Calibri" w:cs="Calibri"/>
          <w:bCs/>
        </w:rPr>
      </w:pPr>
    </w:p>
    <w:p w:rsidR="00B8288F" w:rsidRPr="002A39BE" w:rsidRDefault="00B9297E" w:rsidP="00897D98">
      <w:pPr>
        <w:spacing w:after="200" w:line="360" w:lineRule="auto"/>
        <w:jc w:val="both"/>
        <w:rPr>
          <w:rFonts w:asciiTheme="minorHAnsi" w:hAnsiTheme="minorHAnsi"/>
        </w:rPr>
      </w:pPr>
      <w:r>
        <w:rPr>
          <w:bCs/>
        </w:rPr>
        <w:br w:type="page"/>
      </w:r>
    </w:p>
    <w:p w:rsidR="00B8288F" w:rsidRDefault="002A39BE" w:rsidP="00897D98">
      <w:pPr>
        <w:spacing w:line="360" w:lineRule="auto"/>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lastRenderedPageBreak/>
        <w:t>Revisão da regulamentação do capital de risco de crédito</w:t>
      </w:r>
    </w:p>
    <w:p w:rsidR="00540BB0" w:rsidRDefault="00540BB0" w:rsidP="00897D98">
      <w:pPr>
        <w:spacing w:line="360" w:lineRule="auto"/>
        <w:jc w:val="both"/>
        <w:rPr>
          <w:rFonts w:ascii="Times New Roman" w:hAnsi="Times New Roman"/>
          <w:b/>
          <w:color w:val="000000" w:themeColor="text1"/>
          <w:sz w:val="24"/>
          <w:szCs w:val="24"/>
          <w:u w:val="single"/>
        </w:rPr>
      </w:pPr>
    </w:p>
    <w:p w:rsidR="00540BB0" w:rsidRDefault="00D87354" w:rsidP="00897D98">
      <w:pPr>
        <w:pStyle w:val="Padro"/>
        <w:spacing w:line="360" w:lineRule="auto"/>
        <w:jc w:val="both"/>
        <w:rPr>
          <w:rFonts w:asciiTheme="minorHAnsi" w:hAnsiTheme="minorHAnsi"/>
        </w:rPr>
      </w:pPr>
      <w:r>
        <w:rPr>
          <w:rFonts w:asciiTheme="minorHAnsi" w:hAnsiTheme="minorHAnsi"/>
        </w:rPr>
        <w:t>O representante da CORIS apresentou todos os pontos da proposta de revisão do capital de risco de crédito, destacando que nesse momento é importante focar nas alterações mais urgentes, de forma a</w:t>
      </w:r>
      <w:r w:rsidR="004E20FF">
        <w:rPr>
          <w:rFonts w:asciiTheme="minorHAnsi" w:hAnsiTheme="minorHAnsi"/>
        </w:rPr>
        <w:t xml:space="preserve"> avaliar as modificações realizadas nas normas do Conselho Monetário Nacional e do Banco Central do Brasil, promover uma revisão da nomenclatura utilizada e</w:t>
      </w:r>
      <w:r>
        <w:rPr>
          <w:rFonts w:asciiTheme="minorHAnsi" w:hAnsiTheme="minorHAnsi"/>
        </w:rPr>
        <w:t xml:space="preserve"> compatibilizar o capital de risco de crédito com as alterações na norma de PLA</w:t>
      </w:r>
      <w:r w:rsidR="00645FD8">
        <w:rPr>
          <w:rFonts w:asciiTheme="minorHAnsi" w:hAnsiTheme="minorHAnsi"/>
        </w:rPr>
        <w:t xml:space="preserve"> – a qual já está vigente</w:t>
      </w:r>
      <w:r w:rsidR="004E20FF">
        <w:rPr>
          <w:rFonts w:asciiTheme="minorHAnsi" w:hAnsiTheme="minorHAnsi"/>
        </w:rPr>
        <w:t>. Indicou, ainda,</w:t>
      </w:r>
      <w:r w:rsidR="00645FD8">
        <w:rPr>
          <w:rFonts w:asciiTheme="minorHAnsi" w:hAnsiTheme="minorHAnsi"/>
        </w:rPr>
        <w:t xml:space="preserve"> que demais alterações</w:t>
      </w:r>
      <w:r w:rsidR="005606F6">
        <w:rPr>
          <w:rFonts w:asciiTheme="minorHAnsi" w:hAnsiTheme="minorHAnsi"/>
        </w:rPr>
        <w:t xml:space="preserve"> </w:t>
      </w:r>
      <w:r w:rsidR="005606F6" w:rsidRPr="005606F6">
        <w:rPr>
          <w:rFonts w:asciiTheme="minorHAnsi" w:hAnsiTheme="minorHAnsi"/>
        </w:rPr>
        <w:t>sugeridas no Ofício SUPEX 03.2017</w:t>
      </w:r>
      <w:r w:rsidR="005606F6">
        <w:rPr>
          <w:rFonts w:asciiTheme="minorHAnsi" w:hAnsiTheme="minorHAnsi"/>
        </w:rPr>
        <w:t>,</w:t>
      </w:r>
      <w:r w:rsidR="005606F6" w:rsidRPr="005606F6">
        <w:rPr>
          <w:rFonts w:asciiTheme="minorHAnsi" w:hAnsiTheme="minorHAnsi"/>
        </w:rPr>
        <w:t xml:space="preserve"> de 19.05.2017,</w:t>
      </w:r>
      <w:r w:rsidR="00645FD8">
        <w:rPr>
          <w:rFonts w:asciiTheme="minorHAnsi" w:hAnsiTheme="minorHAnsi"/>
        </w:rPr>
        <w:t xml:space="preserve"> poderiam ser discutidas após essa revisão inicial, avaliando-se um cronograma adequado.</w:t>
      </w:r>
    </w:p>
    <w:p w:rsidR="005606F6" w:rsidRDefault="005606F6" w:rsidP="00897D98">
      <w:pPr>
        <w:pStyle w:val="Padro"/>
        <w:spacing w:line="360" w:lineRule="auto"/>
        <w:jc w:val="both"/>
        <w:rPr>
          <w:rFonts w:asciiTheme="minorHAnsi" w:hAnsiTheme="minorHAnsi"/>
        </w:rPr>
      </w:pPr>
      <w:r w:rsidRPr="005606F6">
        <w:rPr>
          <w:rFonts w:asciiTheme="minorHAnsi" w:hAnsiTheme="minorHAnsi"/>
        </w:rPr>
        <w:t>Destacou, ainda, que a previsão de fatores reduzidos de capital de risco para o risco de crédito está no radar da Autarquia, contudo, esta previsão demanda maior tempo de análise, o que prejudicaria o planejamento da revisão mais simplificada, que tem foco na publicação das alterações da Resolução ainda este ano. Quanto à redução do fator de ponderação de risco de 300% para 100%, informou que, embora a Circular BCB nº 3.644/2013 não disponha exatamente sobre os mesmos créditos tributários, este foi o fator utilizado no modelo original e, para sua alteração, seria necessário estudo mais detalhado, incluindo avaliação dos impactos. Desta forma, também poderá ser objeto de discussão na em uma futura revisão mais detalhada.</w:t>
      </w:r>
    </w:p>
    <w:p w:rsidR="00D87354" w:rsidRDefault="00D87354" w:rsidP="00897D98">
      <w:pPr>
        <w:pStyle w:val="Padro"/>
        <w:spacing w:line="360" w:lineRule="auto"/>
        <w:jc w:val="both"/>
        <w:rPr>
          <w:rFonts w:asciiTheme="minorHAnsi" w:hAnsiTheme="minorHAnsi"/>
        </w:rPr>
      </w:pPr>
    </w:p>
    <w:p w:rsidR="00540BB0" w:rsidRDefault="002A39BE" w:rsidP="00897D98">
      <w:pPr>
        <w:spacing w:line="360" w:lineRule="auto"/>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Proposta de simplificação do dispositivo normativo que trata do requisito de liquidez</w:t>
      </w:r>
    </w:p>
    <w:p w:rsidR="00540BB0" w:rsidRDefault="00540BB0" w:rsidP="00897D98">
      <w:pPr>
        <w:pStyle w:val="Padro"/>
        <w:spacing w:line="360" w:lineRule="auto"/>
        <w:jc w:val="both"/>
        <w:rPr>
          <w:rFonts w:asciiTheme="minorHAnsi" w:hAnsiTheme="minorHAnsi"/>
        </w:rPr>
      </w:pPr>
    </w:p>
    <w:p w:rsidR="008654CA" w:rsidRDefault="00D87354" w:rsidP="00897D98">
      <w:pPr>
        <w:pStyle w:val="Padro"/>
        <w:spacing w:line="360" w:lineRule="auto"/>
        <w:jc w:val="both"/>
        <w:rPr>
          <w:rFonts w:asciiTheme="minorHAnsi" w:hAnsiTheme="minorHAnsi"/>
        </w:rPr>
      </w:pPr>
      <w:r>
        <w:rPr>
          <w:rFonts w:asciiTheme="minorHAnsi" w:hAnsiTheme="minorHAnsi"/>
        </w:rPr>
        <w:t>O repr</w:t>
      </w:r>
      <w:r w:rsidR="00645FD8">
        <w:rPr>
          <w:rFonts w:asciiTheme="minorHAnsi" w:hAnsiTheme="minorHAnsi"/>
        </w:rPr>
        <w:t>esentante da CORIS apresentou uma proposta de alteração redacional do dispositivo que trata do requisito de liquidez, de forma a deixar mais claro que a base de cálculo deve ser simplesmente o capital de risco sem considerar</w:t>
      </w:r>
      <w:r w:rsidR="00A6058A">
        <w:rPr>
          <w:rFonts w:asciiTheme="minorHAnsi" w:hAnsiTheme="minorHAnsi"/>
        </w:rPr>
        <w:t>,</w:t>
      </w:r>
      <w:r w:rsidR="00A6058A" w:rsidRPr="00A6058A">
        <w:rPr>
          <w:rFonts w:asciiTheme="minorHAnsi" w:hAnsiTheme="minorHAnsi"/>
        </w:rPr>
        <w:t xml:space="preserve"> </w:t>
      </w:r>
      <w:r w:rsidR="00A6058A">
        <w:rPr>
          <w:rFonts w:asciiTheme="minorHAnsi" w:hAnsiTheme="minorHAnsi"/>
        </w:rPr>
        <w:t>no capital de risco de mercado,</w:t>
      </w:r>
      <w:r w:rsidR="00645FD8">
        <w:rPr>
          <w:rFonts w:asciiTheme="minorHAnsi" w:hAnsiTheme="minorHAnsi"/>
        </w:rPr>
        <w:t xml:space="preserve"> os efeitos dos fluxos </w:t>
      </w:r>
      <w:r w:rsidR="00A9763A">
        <w:rPr>
          <w:rFonts w:asciiTheme="minorHAnsi" w:hAnsiTheme="minorHAnsi"/>
        </w:rPr>
        <w:t xml:space="preserve">decorrentes de prêmios/contribuições </w:t>
      </w:r>
      <w:r w:rsidR="00645FD8">
        <w:rPr>
          <w:rFonts w:asciiTheme="minorHAnsi" w:hAnsiTheme="minorHAnsi"/>
        </w:rPr>
        <w:t>não registrados – a redação atual se baseia</w:t>
      </w:r>
      <w:r w:rsidR="00A9763A">
        <w:rPr>
          <w:rFonts w:asciiTheme="minorHAnsi" w:hAnsiTheme="minorHAnsi"/>
        </w:rPr>
        <w:t xml:space="preserve"> no texto do ajuste do PLA</w:t>
      </w:r>
      <w:r w:rsidR="00981752">
        <w:rPr>
          <w:rFonts w:asciiTheme="minorHAnsi" w:hAnsiTheme="minorHAnsi"/>
        </w:rPr>
        <w:t>, que é uma redação mais complexa e</w:t>
      </w:r>
      <w:r w:rsidR="00526374">
        <w:rPr>
          <w:rFonts w:asciiTheme="minorHAnsi" w:hAnsiTheme="minorHAnsi"/>
        </w:rPr>
        <w:t xml:space="preserve"> que</w:t>
      </w:r>
      <w:r w:rsidR="00A6058A">
        <w:rPr>
          <w:rFonts w:asciiTheme="minorHAnsi" w:hAnsiTheme="minorHAnsi"/>
        </w:rPr>
        <w:t>, para alguns casos específicos, pode gerar valores diferentes do objetivo original.</w:t>
      </w:r>
    </w:p>
    <w:p w:rsidR="00503E18" w:rsidRDefault="00503E18" w:rsidP="00897D98">
      <w:pPr>
        <w:pStyle w:val="Padro"/>
        <w:spacing w:line="360" w:lineRule="auto"/>
        <w:jc w:val="both"/>
        <w:rPr>
          <w:rFonts w:asciiTheme="minorHAnsi" w:hAnsiTheme="minorHAnsi"/>
        </w:rPr>
      </w:pPr>
    </w:p>
    <w:p w:rsidR="00503E18" w:rsidRDefault="00503E18" w:rsidP="00897D98">
      <w:pPr>
        <w:pStyle w:val="Padro"/>
        <w:spacing w:line="360" w:lineRule="auto"/>
        <w:jc w:val="both"/>
        <w:rPr>
          <w:rFonts w:asciiTheme="minorHAnsi" w:hAnsiTheme="minorHAnsi"/>
        </w:rPr>
      </w:pPr>
      <w:r>
        <w:rPr>
          <w:rFonts w:asciiTheme="minorHAnsi" w:hAnsiTheme="minorHAnsi"/>
        </w:rPr>
        <w:t xml:space="preserve">A proposta é alterar </w:t>
      </w:r>
      <w:r w:rsidRPr="00503E18">
        <w:rPr>
          <w:rFonts w:asciiTheme="minorHAnsi" w:hAnsiTheme="minorHAnsi"/>
          <w:b/>
        </w:rPr>
        <w:t>de:</w:t>
      </w:r>
    </w:p>
    <w:p w:rsidR="00503E18" w:rsidRDefault="00503E18" w:rsidP="00897D98">
      <w:pPr>
        <w:pStyle w:val="Padro"/>
        <w:spacing w:line="360" w:lineRule="auto"/>
        <w:jc w:val="both"/>
        <w:rPr>
          <w:rFonts w:asciiTheme="minorHAnsi" w:hAnsiTheme="minorHAnsi"/>
        </w:rPr>
      </w:pPr>
    </w:p>
    <w:p w:rsidR="00503E18" w:rsidRPr="00503E18" w:rsidRDefault="00503E18" w:rsidP="00897D98">
      <w:pPr>
        <w:pStyle w:val="Padro"/>
        <w:spacing w:line="360" w:lineRule="auto"/>
        <w:jc w:val="both"/>
        <w:rPr>
          <w:rStyle w:val="nfase"/>
          <w:rFonts w:asciiTheme="minorHAnsi" w:hAnsiTheme="minorHAnsi"/>
        </w:rPr>
      </w:pPr>
      <w:r w:rsidRPr="00503E18">
        <w:rPr>
          <w:rStyle w:val="nfase"/>
          <w:rFonts w:asciiTheme="minorHAnsi" w:hAnsiTheme="minorHAnsi"/>
        </w:rPr>
        <w:lastRenderedPageBreak/>
        <w:t xml:space="preserve">“V - </w:t>
      </w:r>
      <w:proofErr w:type="gramStart"/>
      <w:r w:rsidRPr="00503E18">
        <w:rPr>
          <w:rStyle w:val="nfase"/>
          <w:rFonts w:asciiTheme="minorHAnsi" w:hAnsiTheme="minorHAnsi"/>
        </w:rPr>
        <w:t>liquidez</w:t>
      </w:r>
      <w:proofErr w:type="gramEnd"/>
      <w:r w:rsidRPr="00503E18">
        <w:rPr>
          <w:rStyle w:val="nfase"/>
          <w:rFonts w:asciiTheme="minorHAnsi" w:hAnsiTheme="minorHAnsi"/>
        </w:rPr>
        <w:t xml:space="preserve"> em relação ao CR: situação caracterizada quando a supervisionada apresentar montante de ativos líquidos, em excesso à necessidade de cobertura das provisões técnicas, superior a 20% (vinte por cento) do CR, deduzido deste o valor do superávit de fluxos de prêmios/contribuições não registrados apurado no TAP, limitado ao efeito no CR da parcela de risco de mercado relativa aos fluxos de prêmios e contribuições não registradas; ”</w:t>
      </w:r>
    </w:p>
    <w:p w:rsidR="00503E18" w:rsidRDefault="00503E18" w:rsidP="00897D98">
      <w:pPr>
        <w:pStyle w:val="Padro"/>
        <w:spacing w:line="360" w:lineRule="auto"/>
        <w:jc w:val="both"/>
        <w:rPr>
          <w:rStyle w:val="nfase"/>
        </w:rPr>
      </w:pPr>
    </w:p>
    <w:p w:rsidR="00503E18" w:rsidRDefault="00503E18" w:rsidP="00897D98">
      <w:pPr>
        <w:pStyle w:val="Padro"/>
        <w:spacing w:line="360" w:lineRule="auto"/>
        <w:jc w:val="both"/>
        <w:rPr>
          <w:rFonts w:asciiTheme="minorHAnsi" w:hAnsiTheme="minorHAnsi"/>
          <w:b/>
        </w:rPr>
      </w:pPr>
      <w:r w:rsidRPr="00503E18">
        <w:rPr>
          <w:rFonts w:asciiTheme="minorHAnsi" w:hAnsiTheme="minorHAnsi"/>
          <w:b/>
        </w:rPr>
        <w:t>Para:</w:t>
      </w:r>
    </w:p>
    <w:p w:rsidR="00503E18" w:rsidRPr="00503E18" w:rsidRDefault="00503E18" w:rsidP="00897D98">
      <w:pPr>
        <w:pStyle w:val="Padro"/>
        <w:spacing w:line="360" w:lineRule="auto"/>
        <w:jc w:val="both"/>
        <w:rPr>
          <w:rFonts w:asciiTheme="minorHAnsi" w:hAnsiTheme="minorHAnsi"/>
          <w:b/>
        </w:rPr>
      </w:pPr>
    </w:p>
    <w:p w:rsidR="00503E18" w:rsidRPr="00503E18" w:rsidRDefault="00503E18" w:rsidP="00897D98">
      <w:pPr>
        <w:pStyle w:val="Padro"/>
        <w:spacing w:line="360" w:lineRule="auto"/>
        <w:jc w:val="both"/>
        <w:rPr>
          <w:rStyle w:val="nfase"/>
        </w:rPr>
      </w:pPr>
      <w:r w:rsidRPr="00503E18">
        <w:rPr>
          <w:rStyle w:val="nfase"/>
          <w:rFonts w:asciiTheme="minorHAnsi" w:hAnsiTheme="minorHAnsi"/>
        </w:rPr>
        <w:t>“V - </w:t>
      </w:r>
      <w:proofErr w:type="gramStart"/>
      <w:r w:rsidRPr="00503E18">
        <w:rPr>
          <w:rStyle w:val="nfase"/>
          <w:rFonts w:asciiTheme="minorHAnsi" w:hAnsiTheme="minorHAnsi"/>
        </w:rPr>
        <w:t>liquidez</w:t>
      </w:r>
      <w:proofErr w:type="gramEnd"/>
      <w:r w:rsidRPr="00503E18">
        <w:rPr>
          <w:rStyle w:val="nfase"/>
          <w:rFonts w:asciiTheme="minorHAnsi" w:hAnsiTheme="minorHAnsi"/>
        </w:rPr>
        <w:t xml:space="preserve"> em relação ao CR: situação caracterizada quando a supervisionada apresentar montante de ativos líquidos, em excesso à necessidade de cobertura das provisões técnicas, superior a 20% (vinte por cento) do valor do CR obtido ao se desconsiderar, no cálculo do capital de risco de mercado, os fluxos de operações não registradas; ”</w:t>
      </w:r>
    </w:p>
    <w:p w:rsidR="00540BB0" w:rsidRDefault="00540BB0" w:rsidP="00897D98">
      <w:pPr>
        <w:pStyle w:val="Padro"/>
        <w:spacing w:line="360" w:lineRule="auto"/>
        <w:jc w:val="both"/>
        <w:rPr>
          <w:rFonts w:asciiTheme="minorHAnsi" w:hAnsiTheme="minorHAnsi"/>
        </w:rPr>
      </w:pPr>
    </w:p>
    <w:p w:rsidR="00800812" w:rsidRDefault="002A39BE" w:rsidP="00897D98">
      <w:pPr>
        <w:spacing w:line="360" w:lineRule="auto"/>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Reportes de subgrupos:</w:t>
      </w:r>
    </w:p>
    <w:p w:rsidR="00800812" w:rsidRDefault="00800812" w:rsidP="00897D98">
      <w:pPr>
        <w:spacing w:line="360" w:lineRule="auto"/>
        <w:jc w:val="both"/>
        <w:rPr>
          <w:rFonts w:ascii="Times New Roman" w:hAnsi="Times New Roman"/>
          <w:b/>
          <w:color w:val="000000" w:themeColor="text1"/>
          <w:sz w:val="24"/>
          <w:szCs w:val="24"/>
          <w:u w:val="single"/>
        </w:rPr>
      </w:pPr>
    </w:p>
    <w:p w:rsidR="00800812" w:rsidRDefault="002A39BE" w:rsidP="00897D98">
      <w:pPr>
        <w:spacing w:line="360" w:lineRule="auto"/>
        <w:jc w:val="both"/>
        <w:rPr>
          <w:rFonts w:asciiTheme="minorHAnsi" w:eastAsia="SimSun" w:hAnsiTheme="minorHAnsi" w:cs="Times New Roman"/>
          <w:sz w:val="24"/>
          <w:szCs w:val="24"/>
          <w:lang w:eastAsia="zh-CN"/>
        </w:rPr>
      </w:pPr>
      <w:r>
        <w:rPr>
          <w:rFonts w:asciiTheme="minorHAnsi" w:eastAsia="SimSun" w:hAnsiTheme="minorHAnsi" w:cs="Times New Roman"/>
          <w:sz w:val="24"/>
          <w:szCs w:val="24"/>
          <w:lang w:eastAsia="zh-CN"/>
        </w:rPr>
        <w:t>Subcomissão de riscos:</w:t>
      </w:r>
      <w:r w:rsidR="00A2672B">
        <w:rPr>
          <w:rFonts w:asciiTheme="minorHAnsi" w:eastAsia="SimSun" w:hAnsiTheme="minorHAnsi" w:cs="Times New Roman"/>
          <w:sz w:val="24"/>
          <w:szCs w:val="24"/>
          <w:lang w:eastAsia="zh-CN"/>
        </w:rPr>
        <w:t xml:space="preserve"> </w:t>
      </w:r>
      <w:r w:rsidR="001D70C5">
        <w:rPr>
          <w:rFonts w:asciiTheme="minorHAnsi" w:eastAsia="SimSun" w:hAnsiTheme="minorHAnsi" w:cs="Times New Roman"/>
          <w:sz w:val="24"/>
          <w:szCs w:val="24"/>
          <w:lang w:eastAsia="zh-CN"/>
        </w:rPr>
        <w:t>reporte geral sobre o andamento</w:t>
      </w:r>
      <w:r w:rsidR="00C72669">
        <w:rPr>
          <w:rFonts w:asciiTheme="minorHAnsi" w:eastAsia="SimSun" w:hAnsiTheme="minorHAnsi" w:cs="Times New Roman"/>
          <w:sz w:val="24"/>
          <w:szCs w:val="24"/>
          <w:lang w:eastAsia="zh-CN"/>
        </w:rPr>
        <w:t xml:space="preserve">, destacando o </w:t>
      </w:r>
      <w:r w:rsidR="00C72669" w:rsidRPr="00C72669">
        <w:rPr>
          <w:rFonts w:asciiTheme="minorHAnsi" w:eastAsia="SimSun" w:hAnsiTheme="minorHAnsi" w:cs="Times New Roman"/>
          <w:sz w:val="24"/>
          <w:szCs w:val="24"/>
          <w:lang w:eastAsia="zh-CN"/>
        </w:rPr>
        <w:t>retorno do critério original para independência de membros do Conselho de Administração</w:t>
      </w:r>
      <w:r w:rsidR="00C72669">
        <w:rPr>
          <w:rFonts w:asciiTheme="minorHAnsi" w:eastAsia="SimSun" w:hAnsiTheme="minorHAnsi" w:cs="Times New Roman"/>
          <w:sz w:val="24"/>
          <w:szCs w:val="24"/>
          <w:lang w:eastAsia="zh-CN"/>
        </w:rPr>
        <w:t xml:space="preserve"> </w:t>
      </w:r>
      <w:r w:rsidR="00C72669" w:rsidRPr="00C72669">
        <w:rPr>
          <w:rFonts w:asciiTheme="minorHAnsi" w:eastAsia="SimSun" w:hAnsiTheme="minorHAnsi" w:cs="Times New Roman"/>
          <w:sz w:val="24"/>
          <w:szCs w:val="24"/>
          <w:lang w:eastAsia="zh-CN"/>
        </w:rPr>
        <w:t>(até 5% de participação acionária, conforme minuta submetida a consulta pública)</w:t>
      </w:r>
      <w:r w:rsidR="00C72669">
        <w:rPr>
          <w:rFonts w:asciiTheme="minorHAnsi" w:eastAsia="SimSun" w:hAnsiTheme="minorHAnsi" w:cs="Times New Roman"/>
          <w:sz w:val="24"/>
          <w:szCs w:val="24"/>
          <w:lang w:eastAsia="zh-CN"/>
        </w:rPr>
        <w:t xml:space="preserve">, </w:t>
      </w:r>
      <w:r w:rsidR="00C72669" w:rsidRPr="00C72669">
        <w:rPr>
          <w:rFonts w:asciiTheme="minorHAnsi" w:eastAsia="SimSun" w:hAnsiTheme="minorHAnsi" w:cs="Times New Roman"/>
          <w:sz w:val="24"/>
          <w:szCs w:val="24"/>
          <w:lang w:eastAsia="zh-CN"/>
        </w:rPr>
        <w:t>uma vez que não se considerou adequado fazer uma analogia total entre os requisitos de independência impostos para membros do Conselho de Administração e para os Auditores Independentes.</w:t>
      </w:r>
    </w:p>
    <w:p w:rsidR="002A39BE" w:rsidRDefault="002A39BE" w:rsidP="00897D98">
      <w:pPr>
        <w:spacing w:line="360" w:lineRule="auto"/>
        <w:jc w:val="both"/>
        <w:rPr>
          <w:rFonts w:asciiTheme="minorHAnsi" w:eastAsia="SimSun" w:hAnsiTheme="minorHAnsi" w:cs="Times New Roman"/>
          <w:sz w:val="24"/>
          <w:szCs w:val="24"/>
          <w:lang w:eastAsia="zh-CN"/>
        </w:rPr>
      </w:pPr>
      <w:r>
        <w:rPr>
          <w:rFonts w:asciiTheme="minorHAnsi" w:eastAsia="SimSun" w:hAnsiTheme="minorHAnsi" w:cs="Times New Roman"/>
          <w:sz w:val="24"/>
          <w:szCs w:val="24"/>
          <w:lang w:eastAsia="zh-CN"/>
        </w:rPr>
        <w:t>GT de revisão de fatores do capital de risco de subscrição de danos:</w:t>
      </w:r>
      <w:r w:rsidR="001D70C5">
        <w:rPr>
          <w:rFonts w:asciiTheme="minorHAnsi" w:eastAsia="SimSun" w:hAnsiTheme="minorHAnsi" w:cs="Times New Roman"/>
          <w:sz w:val="24"/>
          <w:szCs w:val="24"/>
          <w:lang w:eastAsia="zh-CN"/>
        </w:rPr>
        <w:t xml:space="preserve"> reporte geral sobre o andamento</w:t>
      </w:r>
      <w:r w:rsidR="00C72669">
        <w:rPr>
          <w:rFonts w:asciiTheme="minorHAnsi" w:eastAsia="SimSun" w:hAnsiTheme="minorHAnsi" w:cs="Times New Roman"/>
          <w:sz w:val="24"/>
          <w:szCs w:val="24"/>
          <w:lang w:eastAsia="zh-CN"/>
        </w:rPr>
        <w:t>, destacando a</w:t>
      </w:r>
      <w:r w:rsidR="002E0BAB">
        <w:rPr>
          <w:rFonts w:asciiTheme="minorHAnsi" w:eastAsia="SimSun" w:hAnsiTheme="minorHAnsi" w:cs="Times New Roman"/>
          <w:sz w:val="24"/>
          <w:szCs w:val="24"/>
          <w:lang w:eastAsia="zh-CN"/>
        </w:rPr>
        <w:t xml:space="preserve"> realização dos testes de aderência, a necessidade de avaliação dos limites de variação e</w:t>
      </w:r>
      <w:r w:rsidR="00C72669">
        <w:rPr>
          <w:rFonts w:asciiTheme="minorHAnsi" w:eastAsia="SimSun" w:hAnsiTheme="minorHAnsi" w:cs="Times New Roman"/>
          <w:sz w:val="24"/>
          <w:szCs w:val="24"/>
          <w:lang w:eastAsia="zh-CN"/>
        </w:rPr>
        <w:t xml:space="preserve"> </w:t>
      </w:r>
      <w:r w:rsidR="002E0BAB">
        <w:rPr>
          <w:rFonts w:asciiTheme="minorHAnsi" w:eastAsia="SimSun" w:hAnsiTheme="minorHAnsi" w:cs="Times New Roman"/>
          <w:sz w:val="24"/>
          <w:szCs w:val="24"/>
          <w:lang w:eastAsia="zh-CN"/>
        </w:rPr>
        <w:t xml:space="preserve">a </w:t>
      </w:r>
      <w:r w:rsidR="00C72669">
        <w:rPr>
          <w:rFonts w:asciiTheme="minorHAnsi" w:eastAsia="SimSun" w:hAnsiTheme="minorHAnsi" w:cs="Times New Roman"/>
          <w:sz w:val="24"/>
          <w:szCs w:val="24"/>
          <w:lang w:eastAsia="zh-CN"/>
        </w:rPr>
        <w:t>possibilidade de se utilizar dados mais recentes (2015 e 2016) para a atualização dos parâmetros</w:t>
      </w:r>
      <w:r w:rsidR="002E0BAB">
        <w:rPr>
          <w:rFonts w:asciiTheme="minorHAnsi" w:eastAsia="SimSun" w:hAnsiTheme="minorHAnsi" w:cs="Times New Roman"/>
          <w:sz w:val="24"/>
          <w:szCs w:val="24"/>
          <w:lang w:eastAsia="zh-CN"/>
        </w:rPr>
        <w:t xml:space="preserve">. </w:t>
      </w:r>
    </w:p>
    <w:p w:rsidR="0048404F" w:rsidRDefault="0048404F" w:rsidP="00897D98">
      <w:pPr>
        <w:spacing w:line="360" w:lineRule="auto"/>
        <w:jc w:val="both"/>
        <w:rPr>
          <w:rFonts w:asciiTheme="minorHAnsi" w:eastAsia="SimSun" w:hAnsiTheme="minorHAnsi" w:cs="Times New Roman"/>
          <w:sz w:val="24"/>
          <w:szCs w:val="24"/>
          <w:lang w:eastAsia="zh-CN"/>
        </w:rPr>
      </w:pPr>
    </w:p>
    <w:p w:rsidR="0048404F" w:rsidRDefault="002A39BE" w:rsidP="00897D98">
      <w:pPr>
        <w:spacing w:line="360" w:lineRule="auto"/>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Revisão da orientação sobre os registros contábeis das operações de resseguro</w:t>
      </w:r>
    </w:p>
    <w:p w:rsidR="0048404F" w:rsidRDefault="0048404F" w:rsidP="00897D98">
      <w:pPr>
        <w:spacing w:line="360" w:lineRule="auto"/>
        <w:jc w:val="both"/>
        <w:rPr>
          <w:rFonts w:ascii="Times New Roman" w:hAnsi="Times New Roman"/>
          <w:b/>
          <w:color w:val="000000" w:themeColor="text1"/>
          <w:sz w:val="24"/>
          <w:szCs w:val="24"/>
          <w:u w:val="single"/>
        </w:rPr>
      </w:pPr>
    </w:p>
    <w:p w:rsidR="0048404F" w:rsidRDefault="00A6058A" w:rsidP="00897D98">
      <w:pPr>
        <w:pStyle w:val="TextosemFormatao"/>
        <w:spacing w:line="360" w:lineRule="auto"/>
        <w:jc w:val="both"/>
        <w:rPr>
          <w:rFonts w:asciiTheme="minorHAnsi" w:eastAsia="SimSun" w:hAnsiTheme="minorHAnsi" w:cs="Times New Roman"/>
          <w:sz w:val="24"/>
          <w:szCs w:val="24"/>
          <w:lang w:eastAsia="zh-CN"/>
        </w:rPr>
      </w:pPr>
      <w:r>
        <w:rPr>
          <w:rFonts w:asciiTheme="minorHAnsi" w:eastAsia="SimSun" w:hAnsiTheme="minorHAnsi" w:cs="Times New Roman"/>
          <w:sz w:val="24"/>
          <w:szCs w:val="24"/>
          <w:lang w:eastAsia="zh-CN"/>
        </w:rPr>
        <w:t>O representante da COMOC</w:t>
      </w:r>
      <w:r w:rsidR="00526374">
        <w:rPr>
          <w:rFonts w:asciiTheme="minorHAnsi" w:eastAsia="SimSun" w:hAnsiTheme="minorHAnsi" w:cs="Times New Roman"/>
          <w:sz w:val="24"/>
          <w:szCs w:val="24"/>
          <w:lang w:eastAsia="zh-CN"/>
        </w:rPr>
        <w:t xml:space="preserve"> indicou que após discussões com representantes do mercado foram efetuadas algumas alterações no documento de orientações sobre os </w:t>
      </w:r>
      <w:r w:rsidR="00526374">
        <w:rPr>
          <w:rFonts w:asciiTheme="minorHAnsi" w:eastAsia="SimSun" w:hAnsiTheme="minorHAnsi" w:cs="Times New Roman"/>
          <w:sz w:val="24"/>
          <w:szCs w:val="24"/>
          <w:lang w:eastAsia="zh-CN"/>
        </w:rPr>
        <w:lastRenderedPageBreak/>
        <w:t>registros contábeis das operações de resseguro. Ele esclareceu que a orientação sobre o di</w:t>
      </w:r>
      <w:r w:rsidR="00D77CFE">
        <w:rPr>
          <w:rFonts w:asciiTheme="minorHAnsi" w:eastAsia="SimSun" w:hAnsiTheme="minorHAnsi" w:cs="Times New Roman"/>
          <w:sz w:val="24"/>
          <w:szCs w:val="24"/>
          <w:lang w:eastAsia="zh-CN"/>
        </w:rPr>
        <w:t>ferimento dos prêmios de ajuste</w:t>
      </w:r>
      <w:r w:rsidR="00526374">
        <w:rPr>
          <w:rFonts w:asciiTheme="minorHAnsi" w:eastAsia="SimSun" w:hAnsiTheme="minorHAnsi" w:cs="Times New Roman"/>
          <w:sz w:val="24"/>
          <w:szCs w:val="24"/>
          <w:lang w:eastAsia="zh-CN"/>
        </w:rPr>
        <w:t xml:space="preserve"> foi ajustada para ficar consistente com as orientações da área de provisões técnicas</w:t>
      </w:r>
      <w:r w:rsidR="00D77CFE">
        <w:rPr>
          <w:rFonts w:asciiTheme="minorHAnsi" w:eastAsia="SimSun" w:hAnsiTheme="minorHAnsi" w:cs="Times New Roman"/>
          <w:sz w:val="24"/>
          <w:szCs w:val="24"/>
          <w:lang w:eastAsia="zh-CN"/>
        </w:rPr>
        <w:t xml:space="preserve">, e esclareceu </w:t>
      </w:r>
      <w:r w:rsidR="00526374">
        <w:rPr>
          <w:rFonts w:asciiTheme="minorHAnsi" w:eastAsia="SimSun" w:hAnsiTheme="minorHAnsi" w:cs="Times New Roman"/>
          <w:sz w:val="24"/>
          <w:szCs w:val="24"/>
          <w:lang w:eastAsia="zh-CN"/>
        </w:rPr>
        <w:t>que pode h</w:t>
      </w:r>
      <w:r w:rsidR="00D77CFE">
        <w:rPr>
          <w:rFonts w:asciiTheme="minorHAnsi" w:eastAsia="SimSun" w:hAnsiTheme="minorHAnsi" w:cs="Times New Roman"/>
          <w:sz w:val="24"/>
          <w:szCs w:val="24"/>
          <w:lang w:eastAsia="zh-CN"/>
        </w:rPr>
        <w:t>aver prêmio de ajuste negativo. Além disso, destacou que foi incluída orientação para adiantamentos não diretamente relacionados a sinistros – os quais devem ser contabilizados de forma análoga a empréstimos, sem se confundir com prêmios ou sinistros; e houve esclarecimento sobre o tratamento dos pagamentos adiantados de sinistros por parte do ressegurador à seguradora – os quais devem impactar diretamente as contas, respectivamente, de PSL e ativo de resseguro de PSL das companhias. Por fim, houve a indicação sobre o fato gerador da PSL nos casos dos contratos automáticos proporcionais – sendo reforçado que eventuais avisos de sinistros realizados antes da apresentação da conta técnica</w:t>
      </w:r>
      <w:r w:rsidR="004A1F78">
        <w:rPr>
          <w:rFonts w:asciiTheme="minorHAnsi" w:eastAsia="SimSun" w:hAnsiTheme="minorHAnsi" w:cs="Times New Roman"/>
          <w:sz w:val="24"/>
          <w:szCs w:val="24"/>
          <w:lang w:eastAsia="zh-CN"/>
        </w:rPr>
        <w:t xml:space="preserve"> e</w:t>
      </w:r>
      <w:r w:rsidR="00D77CFE">
        <w:rPr>
          <w:rFonts w:asciiTheme="minorHAnsi" w:eastAsia="SimSun" w:hAnsiTheme="minorHAnsi" w:cs="Times New Roman"/>
          <w:sz w:val="24"/>
          <w:szCs w:val="24"/>
          <w:lang w:eastAsia="zh-CN"/>
        </w:rPr>
        <w:t xml:space="preserve"> que não se configurem como solicitação de adiantamento </w:t>
      </w:r>
      <w:r w:rsidR="004A1F78">
        <w:rPr>
          <w:rFonts w:asciiTheme="minorHAnsi" w:eastAsia="SimSun" w:hAnsiTheme="minorHAnsi" w:cs="Times New Roman"/>
          <w:sz w:val="24"/>
          <w:szCs w:val="24"/>
          <w:lang w:eastAsia="zh-CN"/>
        </w:rPr>
        <w:t>não necessitam ser tratados de forma individualizada.</w:t>
      </w:r>
    </w:p>
    <w:p w:rsidR="007E09FC" w:rsidRPr="0048404F" w:rsidRDefault="007E09FC" w:rsidP="00897D98">
      <w:pPr>
        <w:pStyle w:val="TextosemFormatao"/>
        <w:spacing w:line="360" w:lineRule="auto"/>
        <w:jc w:val="both"/>
        <w:rPr>
          <w:rFonts w:asciiTheme="minorHAnsi" w:eastAsia="SimSun" w:hAnsiTheme="minorHAnsi" w:cs="Times New Roman"/>
          <w:sz w:val="24"/>
          <w:szCs w:val="24"/>
          <w:lang w:eastAsia="zh-CN"/>
        </w:rPr>
      </w:pPr>
      <w:r>
        <w:rPr>
          <w:rFonts w:asciiTheme="minorHAnsi" w:eastAsia="SimSun" w:hAnsiTheme="minorHAnsi" w:cs="Times New Roman"/>
          <w:sz w:val="24"/>
          <w:szCs w:val="24"/>
          <w:lang w:eastAsia="zh-CN"/>
        </w:rPr>
        <w:t xml:space="preserve">O representante do mercado questionou se foi aceita a proposta de alteração do momento de registro do prêmio de reintegração e o representante da COMOC disse que foi mantida a orientação anterior de </w:t>
      </w:r>
      <w:r w:rsidR="0005751C">
        <w:rPr>
          <w:rFonts w:asciiTheme="minorHAnsi" w:eastAsia="SimSun" w:hAnsiTheme="minorHAnsi" w:cs="Times New Roman"/>
          <w:sz w:val="24"/>
          <w:szCs w:val="24"/>
          <w:lang w:eastAsia="zh-CN"/>
        </w:rPr>
        <w:t xml:space="preserve">se </w:t>
      </w:r>
      <w:r>
        <w:rPr>
          <w:rFonts w:asciiTheme="minorHAnsi" w:eastAsia="SimSun" w:hAnsiTheme="minorHAnsi" w:cs="Times New Roman"/>
          <w:sz w:val="24"/>
          <w:szCs w:val="24"/>
          <w:lang w:eastAsia="zh-CN"/>
        </w:rPr>
        <w:t>contabilizar somente no momento da liquidação, por entender que esse é o fato que configura a reintegração. Por fim, ratificou que o prêmio de reintegração continua sendo integralmente apropriado no momento de seu registro.</w:t>
      </w:r>
    </w:p>
    <w:p w:rsidR="0048404F" w:rsidRPr="0048404F" w:rsidRDefault="0048404F" w:rsidP="00897D98">
      <w:pPr>
        <w:spacing w:line="360" w:lineRule="auto"/>
        <w:jc w:val="both"/>
        <w:rPr>
          <w:rFonts w:asciiTheme="minorHAnsi" w:eastAsia="SimSun" w:hAnsiTheme="minorHAnsi" w:cs="Times New Roman"/>
          <w:sz w:val="24"/>
          <w:szCs w:val="24"/>
          <w:lang w:eastAsia="zh-CN"/>
        </w:rPr>
      </w:pPr>
    </w:p>
    <w:p w:rsidR="0048404F" w:rsidRDefault="0048404F" w:rsidP="00897D98">
      <w:pPr>
        <w:spacing w:line="360" w:lineRule="auto"/>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Rev</w:t>
      </w:r>
      <w:r w:rsidR="002A39BE">
        <w:rPr>
          <w:rFonts w:ascii="Times New Roman" w:hAnsi="Times New Roman"/>
          <w:b/>
          <w:color w:val="000000" w:themeColor="text1"/>
          <w:sz w:val="24"/>
          <w:szCs w:val="24"/>
          <w:u w:val="single"/>
        </w:rPr>
        <w:t>ogação dos dispositivos que tratam dos percentuais de RVNE e IBNR</w:t>
      </w:r>
    </w:p>
    <w:p w:rsidR="0048404F" w:rsidRDefault="0048404F" w:rsidP="00897D98">
      <w:pPr>
        <w:spacing w:line="360" w:lineRule="auto"/>
        <w:jc w:val="both"/>
        <w:rPr>
          <w:rFonts w:asciiTheme="minorHAnsi" w:eastAsia="SimSun" w:hAnsiTheme="minorHAnsi" w:cs="Times New Roman"/>
          <w:sz w:val="24"/>
          <w:szCs w:val="24"/>
          <w:lang w:eastAsia="zh-CN"/>
        </w:rPr>
      </w:pPr>
    </w:p>
    <w:p w:rsidR="00C70BFE" w:rsidRDefault="00C70BFE" w:rsidP="00897D98">
      <w:pPr>
        <w:spacing w:line="360" w:lineRule="auto"/>
        <w:jc w:val="both"/>
        <w:rPr>
          <w:rFonts w:asciiTheme="minorHAnsi" w:eastAsia="SimSun" w:hAnsiTheme="minorHAnsi" w:cs="Times New Roman"/>
          <w:sz w:val="24"/>
          <w:szCs w:val="24"/>
          <w:lang w:eastAsia="zh-CN"/>
        </w:rPr>
      </w:pPr>
      <w:r w:rsidRPr="00C70BFE">
        <w:rPr>
          <w:rFonts w:asciiTheme="minorHAnsi" w:eastAsia="SimSun" w:hAnsiTheme="minorHAnsi" w:cs="Times New Roman"/>
          <w:sz w:val="24"/>
          <w:szCs w:val="24"/>
          <w:lang w:eastAsia="zh-CN"/>
        </w:rPr>
        <w:t>O representante da COPRA reapresentou os motivos da proposta de revogação dos percentuais de RVNE e IBNR, indicando que com as informações disponi</w:t>
      </w:r>
      <w:r>
        <w:rPr>
          <w:rFonts w:asciiTheme="minorHAnsi" w:eastAsia="SimSun" w:hAnsiTheme="minorHAnsi" w:cs="Times New Roman"/>
          <w:sz w:val="24"/>
          <w:szCs w:val="24"/>
          <w:lang w:eastAsia="zh-CN"/>
        </w:rPr>
        <w:t>bi</w:t>
      </w:r>
      <w:r w:rsidRPr="00C70BFE">
        <w:rPr>
          <w:rFonts w:asciiTheme="minorHAnsi" w:eastAsia="SimSun" w:hAnsiTheme="minorHAnsi" w:cs="Times New Roman"/>
          <w:sz w:val="24"/>
          <w:szCs w:val="24"/>
          <w:lang w:eastAsia="zh-CN"/>
        </w:rPr>
        <w:t xml:space="preserve">lizadas no SES é possível </w:t>
      </w:r>
      <w:r>
        <w:rPr>
          <w:rFonts w:asciiTheme="minorHAnsi" w:eastAsia="SimSun" w:hAnsiTheme="minorHAnsi" w:cs="Times New Roman"/>
          <w:sz w:val="24"/>
          <w:szCs w:val="24"/>
          <w:lang w:eastAsia="zh-CN"/>
        </w:rPr>
        <w:t>cal</w:t>
      </w:r>
      <w:r w:rsidRPr="00C70BFE">
        <w:rPr>
          <w:rFonts w:asciiTheme="minorHAnsi" w:eastAsia="SimSun" w:hAnsiTheme="minorHAnsi" w:cs="Times New Roman"/>
          <w:sz w:val="24"/>
          <w:szCs w:val="24"/>
          <w:lang w:eastAsia="zh-CN"/>
        </w:rPr>
        <w:t xml:space="preserve">cular percentuais de mercado de forma mais específica; além de dar maior responsabilidade à supervisionada, no sentido de </w:t>
      </w:r>
      <w:r>
        <w:rPr>
          <w:rFonts w:asciiTheme="minorHAnsi" w:eastAsia="SimSun" w:hAnsiTheme="minorHAnsi" w:cs="Times New Roman"/>
          <w:sz w:val="24"/>
          <w:szCs w:val="24"/>
          <w:lang w:eastAsia="zh-CN"/>
        </w:rPr>
        <w:t xml:space="preserve">a própria ter que avaliar a melhor forma de mensurar as suas provisões. </w:t>
      </w:r>
    </w:p>
    <w:p w:rsidR="00C70BFE" w:rsidRDefault="00C70BFE" w:rsidP="00897D98">
      <w:pPr>
        <w:spacing w:line="360" w:lineRule="auto"/>
        <w:jc w:val="both"/>
        <w:rPr>
          <w:rFonts w:asciiTheme="minorHAnsi" w:eastAsia="SimSun" w:hAnsiTheme="minorHAnsi" w:cs="Times New Roman"/>
          <w:sz w:val="24"/>
          <w:szCs w:val="24"/>
          <w:lang w:eastAsia="zh-CN"/>
        </w:rPr>
      </w:pPr>
      <w:r>
        <w:rPr>
          <w:rFonts w:asciiTheme="minorHAnsi" w:eastAsia="SimSun" w:hAnsiTheme="minorHAnsi" w:cs="Times New Roman"/>
          <w:sz w:val="24"/>
          <w:szCs w:val="24"/>
          <w:lang w:eastAsia="zh-CN"/>
        </w:rPr>
        <w:t xml:space="preserve">A representante da </w:t>
      </w:r>
      <w:proofErr w:type="spellStart"/>
      <w:r>
        <w:rPr>
          <w:rFonts w:asciiTheme="minorHAnsi" w:eastAsia="SimSun" w:hAnsiTheme="minorHAnsi" w:cs="Times New Roman"/>
          <w:sz w:val="24"/>
          <w:szCs w:val="24"/>
          <w:lang w:eastAsia="zh-CN"/>
        </w:rPr>
        <w:t>CNSeg</w:t>
      </w:r>
      <w:proofErr w:type="spellEnd"/>
      <w:r>
        <w:rPr>
          <w:rFonts w:asciiTheme="minorHAnsi" w:eastAsia="SimSun" w:hAnsiTheme="minorHAnsi" w:cs="Times New Roman"/>
          <w:sz w:val="24"/>
          <w:szCs w:val="24"/>
          <w:lang w:eastAsia="zh-CN"/>
        </w:rPr>
        <w:t xml:space="preserve"> informou que algumas empresas são favoráveis a manter o normativo inalterado, dado que não possuem todas as informações para calcular médias de mercado adequadas, e a representante da FENABER indicou que os valores de atraso médio só podem ser calculados com os quadros estatísticos. O representante da COPRA informou que pelo SES é possível calcular </w:t>
      </w:r>
      <w:r w:rsidR="00364DB4">
        <w:rPr>
          <w:rFonts w:asciiTheme="minorHAnsi" w:eastAsia="SimSun" w:hAnsiTheme="minorHAnsi" w:cs="Times New Roman"/>
          <w:sz w:val="24"/>
          <w:szCs w:val="24"/>
          <w:lang w:eastAsia="zh-CN"/>
        </w:rPr>
        <w:t>médias de mercado</w:t>
      </w:r>
      <w:r>
        <w:rPr>
          <w:rFonts w:asciiTheme="minorHAnsi" w:eastAsia="SimSun" w:hAnsiTheme="minorHAnsi" w:cs="Times New Roman"/>
          <w:sz w:val="24"/>
          <w:szCs w:val="24"/>
          <w:lang w:eastAsia="zh-CN"/>
        </w:rPr>
        <w:t xml:space="preserve"> com base nos próprios </w:t>
      </w:r>
      <w:r>
        <w:rPr>
          <w:rFonts w:asciiTheme="minorHAnsi" w:eastAsia="SimSun" w:hAnsiTheme="minorHAnsi" w:cs="Times New Roman"/>
          <w:sz w:val="24"/>
          <w:szCs w:val="24"/>
          <w:lang w:eastAsia="zh-CN"/>
        </w:rPr>
        <w:lastRenderedPageBreak/>
        <w:t>valores constituídos pelas supervisionadas, os quais têm apresentado muito menos distorções do que as informações contidas nos quadros estatísticos.</w:t>
      </w:r>
    </w:p>
    <w:p w:rsidR="00364DB4" w:rsidRDefault="00364DB4" w:rsidP="00897D98">
      <w:pPr>
        <w:spacing w:line="360" w:lineRule="auto"/>
        <w:jc w:val="both"/>
        <w:rPr>
          <w:rFonts w:asciiTheme="minorHAnsi" w:eastAsia="SimSun" w:hAnsiTheme="minorHAnsi" w:cs="Times New Roman"/>
          <w:sz w:val="24"/>
          <w:szCs w:val="24"/>
          <w:lang w:eastAsia="zh-CN"/>
        </w:rPr>
      </w:pPr>
      <w:r>
        <w:rPr>
          <w:rFonts w:asciiTheme="minorHAnsi" w:eastAsia="SimSun" w:hAnsiTheme="minorHAnsi" w:cs="Times New Roman"/>
          <w:sz w:val="24"/>
          <w:szCs w:val="24"/>
          <w:lang w:eastAsia="zh-CN"/>
        </w:rPr>
        <w:t>O representante da FenSeg questionou como justificar uma metodologia sem dados próprios para o auditor. O representante da Susep indicou que isso faz parte do processo e deve constar na nota técnica que contém a metodologia de cálculo e exemplificou que situação semelhante já ocorre com alguns resseguradores, que, nos momentos iniciais de operação, utilizam, para o cálculo de algumas provisões, sinistralidades esperadas de outras carteiras.</w:t>
      </w:r>
    </w:p>
    <w:p w:rsidR="00C70BFE" w:rsidRPr="00C70BFE" w:rsidRDefault="00083127" w:rsidP="00897D98">
      <w:pPr>
        <w:spacing w:line="360" w:lineRule="auto"/>
        <w:jc w:val="both"/>
        <w:rPr>
          <w:rFonts w:asciiTheme="minorHAnsi" w:eastAsia="SimSun" w:hAnsiTheme="minorHAnsi" w:cs="Times New Roman"/>
          <w:sz w:val="24"/>
          <w:szCs w:val="24"/>
          <w:lang w:eastAsia="zh-CN"/>
        </w:rPr>
      </w:pPr>
      <w:r>
        <w:rPr>
          <w:rFonts w:asciiTheme="minorHAnsi" w:eastAsia="SimSun" w:hAnsiTheme="minorHAnsi" w:cs="Times New Roman"/>
          <w:sz w:val="24"/>
          <w:szCs w:val="24"/>
          <w:lang w:eastAsia="zh-CN"/>
        </w:rPr>
        <w:t xml:space="preserve">O representante da </w:t>
      </w:r>
      <w:proofErr w:type="spellStart"/>
      <w:r>
        <w:rPr>
          <w:rFonts w:asciiTheme="minorHAnsi" w:eastAsia="SimSun" w:hAnsiTheme="minorHAnsi" w:cs="Times New Roman"/>
          <w:sz w:val="24"/>
          <w:szCs w:val="24"/>
          <w:lang w:eastAsia="zh-CN"/>
        </w:rPr>
        <w:t>CNSeg</w:t>
      </w:r>
      <w:proofErr w:type="spellEnd"/>
      <w:r>
        <w:rPr>
          <w:rFonts w:asciiTheme="minorHAnsi" w:eastAsia="SimSun" w:hAnsiTheme="minorHAnsi" w:cs="Times New Roman"/>
          <w:sz w:val="24"/>
          <w:szCs w:val="24"/>
          <w:lang w:eastAsia="zh-CN"/>
        </w:rPr>
        <w:t xml:space="preserve"> perguntou se era possível dar um prazo até 1º de janeiro de 2018 para entrada em vigor dessa revogação. O representante da Susep afirmou que sim, mas ressaltou que até mesmo uma eventual revogação imediata não inviabilizaria a utilização de percentuais, desde que, naturalmente, sejam utilizados em situações que façam sentido, sendo adequadamente descrit</w:t>
      </w:r>
      <w:r w:rsidR="00784718">
        <w:rPr>
          <w:rFonts w:asciiTheme="minorHAnsi" w:eastAsia="SimSun" w:hAnsiTheme="minorHAnsi" w:cs="Times New Roman"/>
          <w:sz w:val="24"/>
          <w:szCs w:val="24"/>
          <w:lang w:eastAsia="zh-CN"/>
        </w:rPr>
        <w:t>o</w:t>
      </w:r>
      <w:r>
        <w:rPr>
          <w:rFonts w:asciiTheme="minorHAnsi" w:eastAsia="SimSun" w:hAnsiTheme="minorHAnsi" w:cs="Times New Roman"/>
          <w:sz w:val="24"/>
          <w:szCs w:val="24"/>
          <w:lang w:eastAsia="zh-CN"/>
        </w:rPr>
        <w:t>s</w:t>
      </w:r>
      <w:r w:rsidR="00784718">
        <w:rPr>
          <w:rFonts w:asciiTheme="minorHAnsi" w:eastAsia="SimSun" w:hAnsiTheme="minorHAnsi" w:cs="Times New Roman"/>
          <w:sz w:val="24"/>
          <w:szCs w:val="24"/>
          <w:lang w:eastAsia="zh-CN"/>
        </w:rPr>
        <w:t xml:space="preserve"> e justificados</w:t>
      </w:r>
      <w:r>
        <w:rPr>
          <w:rFonts w:asciiTheme="minorHAnsi" w:eastAsia="SimSun" w:hAnsiTheme="minorHAnsi" w:cs="Times New Roman"/>
          <w:sz w:val="24"/>
          <w:szCs w:val="24"/>
          <w:lang w:eastAsia="zh-CN"/>
        </w:rPr>
        <w:t xml:space="preserve"> </w:t>
      </w:r>
      <w:r w:rsidR="00784718">
        <w:rPr>
          <w:rFonts w:asciiTheme="minorHAnsi" w:eastAsia="SimSun" w:hAnsiTheme="minorHAnsi" w:cs="Times New Roman"/>
          <w:sz w:val="24"/>
          <w:szCs w:val="24"/>
          <w:lang w:eastAsia="zh-CN"/>
        </w:rPr>
        <w:t>na</w:t>
      </w:r>
      <w:r>
        <w:rPr>
          <w:rFonts w:asciiTheme="minorHAnsi" w:eastAsia="SimSun" w:hAnsiTheme="minorHAnsi" w:cs="Times New Roman"/>
          <w:sz w:val="24"/>
          <w:szCs w:val="24"/>
          <w:lang w:eastAsia="zh-CN"/>
        </w:rPr>
        <w:t xml:space="preserve"> nota técnica</w:t>
      </w:r>
      <w:r w:rsidR="00784718">
        <w:rPr>
          <w:rFonts w:asciiTheme="minorHAnsi" w:eastAsia="SimSun" w:hAnsiTheme="minorHAnsi" w:cs="Times New Roman"/>
          <w:sz w:val="24"/>
          <w:szCs w:val="24"/>
          <w:lang w:eastAsia="zh-CN"/>
        </w:rPr>
        <w:t xml:space="preserve"> da respectiva provisão</w:t>
      </w:r>
      <w:r>
        <w:rPr>
          <w:rFonts w:asciiTheme="minorHAnsi" w:eastAsia="SimSun" w:hAnsiTheme="minorHAnsi" w:cs="Times New Roman"/>
          <w:sz w:val="24"/>
          <w:szCs w:val="24"/>
          <w:lang w:eastAsia="zh-CN"/>
        </w:rPr>
        <w:t>.</w:t>
      </w:r>
    </w:p>
    <w:p w:rsidR="0048404F" w:rsidRDefault="0048404F" w:rsidP="00897D98">
      <w:pPr>
        <w:spacing w:line="360" w:lineRule="auto"/>
        <w:jc w:val="both"/>
        <w:rPr>
          <w:rFonts w:asciiTheme="minorHAnsi" w:eastAsia="SimSun" w:hAnsiTheme="minorHAnsi" w:cs="Times New Roman"/>
          <w:sz w:val="24"/>
          <w:szCs w:val="24"/>
          <w:lang w:eastAsia="zh-CN"/>
        </w:rPr>
      </w:pPr>
    </w:p>
    <w:p w:rsidR="0048404F" w:rsidRDefault="002A39BE" w:rsidP="00897D98">
      <w:pPr>
        <w:spacing w:line="360" w:lineRule="auto"/>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Sinistros X Outras Despesas Operacionais</w:t>
      </w:r>
    </w:p>
    <w:p w:rsidR="0048404F" w:rsidRDefault="0048404F" w:rsidP="00897D98">
      <w:pPr>
        <w:spacing w:line="360" w:lineRule="auto"/>
        <w:jc w:val="both"/>
        <w:rPr>
          <w:rFonts w:asciiTheme="minorHAnsi" w:eastAsia="SimSun" w:hAnsiTheme="minorHAnsi" w:cs="Times New Roman"/>
          <w:sz w:val="24"/>
          <w:szCs w:val="24"/>
          <w:lang w:eastAsia="zh-CN"/>
        </w:rPr>
      </w:pPr>
    </w:p>
    <w:p w:rsidR="00A2672B" w:rsidRPr="0048404F" w:rsidRDefault="001D70C5" w:rsidP="00897D98">
      <w:pPr>
        <w:pStyle w:val="TextosemFormatao"/>
        <w:spacing w:line="360" w:lineRule="auto"/>
        <w:jc w:val="both"/>
        <w:rPr>
          <w:rFonts w:asciiTheme="minorHAnsi" w:eastAsia="SimSun" w:hAnsiTheme="minorHAnsi" w:cs="Times New Roman"/>
          <w:sz w:val="24"/>
          <w:szCs w:val="24"/>
          <w:lang w:eastAsia="zh-CN"/>
        </w:rPr>
      </w:pPr>
      <w:r>
        <w:rPr>
          <w:rFonts w:asciiTheme="minorHAnsi" w:eastAsia="SimSun" w:hAnsiTheme="minorHAnsi" w:cs="Times New Roman"/>
          <w:sz w:val="24"/>
          <w:szCs w:val="24"/>
          <w:lang w:eastAsia="zh-CN"/>
        </w:rPr>
        <w:t xml:space="preserve">O representante da COPRA informou que recebeu o documento da </w:t>
      </w:r>
      <w:proofErr w:type="spellStart"/>
      <w:r>
        <w:rPr>
          <w:rFonts w:asciiTheme="minorHAnsi" w:eastAsia="SimSun" w:hAnsiTheme="minorHAnsi" w:cs="Times New Roman"/>
          <w:sz w:val="24"/>
          <w:szCs w:val="24"/>
          <w:lang w:eastAsia="zh-CN"/>
        </w:rPr>
        <w:t>CNSeg</w:t>
      </w:r>
      <w:proofErr w:type="spellEnd"/>
      <w:r>
        <w:rPr>
          <w:rFonts w:asciiTheme="minorHAnsi" w:eastAsia="SimSun" w:hAnsiTheme="minorHAnsi" w:cs="Times New Roman"/>
          <w:sz w:val="24"/>
          <w:szCs w:val="24"/>
          <w:lang w:eastAsia="zh-CN"/>
        </w:rPr>
        <w:t xml:space="preserve"> com alguns apontamentos sobre a questão, mas reforçou que, mesmo após o recebimento integral das respostas das supervisionadas, se verificou um percentual elevado de companhias sem nenhum impacto ou com impacto negativo. Destacou ainda que, em tratativas com algumas empresas que apresentaram resultados nulos e negativos, a Susep recebeu justificativas no sentido de que a questão de eventos fora de vigência também envolve subjetividade e, em termos nominais, não é tão relevante; o que contrastou </w:t>
      </w:r>
      <w:r w:rsidR="007E09FC">
        <w:rPr>
          <w:rFonts w:asciiTheme="minorHAnsi" w:eastAsia="SimSun" w:hAnsiTheme="minorHAnsi" w:cs="Times New Roman"/>
          <w:sz w:val="24"/>
          <w:szCs w:val="24"/>
          <w:lang w:eastAsia="zh-CN"/>
        </w:rPr>
        <w:t xml:space="preserve">com </w:t>
      </w:r>
      <w:r>
        <w:rPr>
          <w:rFonts w:asciiTheme="minorHAnsi" w:eastAsia="SimSun" w:hAnsiTheme="minorHAnsi" w:cs="Times New Roman"/>
          <w:sz w:val="24"/>
          <w:szCs w:val="24"/>
          <w:lang w:eastAsia="zh-CN"/>
        </w:rPr>
        <w:t>a fundamentação para se criar uma excepcionalidade no documento de orientações, onde, à época</w:t>
      </w:r>
      <w:r w:rsidR="00784718">
        <w:rPr>
          <w:rFonts w:asciiTheme="minorHAnsi" w:eastAsia="SimSun" w:hAnsiTheme="minorHAnsi" w:cs="Times New Roman"/>
          <w:sz w:val="24"/>
          <w:szCs w:val="24"/>
          <w:lang w:eastAsia="zh-CN"/>
        </w:rPr>
        <w:t>,</w:t>
      </w:r>
      <w:r>
        <w:rPr>
          <w:rFonts w:asciiTheme="minorHAnsi" w:eastAsia="SimSun" w:hAnsiTheme="minorHAnsi" w:cs="Times New Roman"/>
          <w:sz w:val="24"/>
          <w:szCs w:val="24"/>
          <w:lang w:eastAsia="zh-CN"/>
        </w:rPr>
        <w:t xml:space="preserve"> foi </w:t>
      </w:r>
      <w:r w:rsidR="00784718">
        <w:rPr>
          <w:rFonts w:asciiTheme="minorHAnsi" w:eastAsia="SimSun" w:hAnsiTheme="minorHAnsi" w:cs="Times New Roman"/>
          <w:sz w:val="24"/>
          <w:szCs w:val="24"/>
          <w:lang w:eastAsia="zh-CN"/>
        </w:rPr>
        <w:t xml:space="preserve">argumentado </w:t>
      </w:r>
      <w:r w:rsidR="00782403">
        <w:rPr>
          <w:rFonts w:asciiTheme="minorHAnsi" w:eastAsia="SimSun" w:hAnsiTheme="minorHAnsi" w:cs="Times New Roman"/>
          <w:sz w:val="24"/>
          <w:szCs w:val="24"/>
          <w:lang w:eastAsia="zh-CN"/>
        </w:rPr>
        <w:t>por alguns</w:t>
      </w:r>
      <w:r w:rsidR="00784718">
        <w:rPr>
          <w:rFonts w:asciiTheme="minorHAnsi" w:eastAsia="SimSun" w:hAnsiTheme="minorHAnsi" w:cs="Times New Roman"/>
          <w:sz w:val="24"/>
          <w:szCs w:val="24"/>
          <w:lang w:eastAsia="zh-CN"/>
        </w:rPr>
        <w:t xml:space="preserve"> representantes </w:t>
      </w:r>
      <w:r w:rsidR="00782403">
        <w:rPr>
          <w:rFonts w:asciiTheme="minorHAnsi" w:eastAsia="SimSun" w:hAnsiTheme="minorHAnsi" w:cs="Times New Roman"/>
          <w:sz w:val="24"/>
          <w:szCs w:val="24"/>
          <w:lang w:eastAsia="zh-CN"/>
        </w:rPr>
        <w:t>do mercado</w:t>
      </w:r>
      <w:r>
        <w:rPr>
          <w:rFonts w:asciiTheme="minorHAnsi" w:eastAsia="SimSun" w:hAnsiTheme="minorHAnsi" w:cs="Times New Roman"/>
          <w:sz w:val="24"/>
          <w:szCs w:val="24"/>
          <w:lang w:eastAsia="zh-CN"/>
        </w:rPr>
        <w:t xml:space="preserve"> que </w:t>
      </w:r>
      <w:r w:rsidR="00782403">
        <w:rPr>
          <w:rFonts w:asciiTheme="minorHAnsi" w:eastAsia="SimSun" w:hAnsiTheme="minorHAnsi" w:cs="Times New Roman"/>
          <w:sz w:val="24"/>
          <w:szCs w:val="24"/>
          <w:lang w:eastAsia="zh-CN"/>
        </w:rPr>
        <w:t xml:space="preserve">não havia subjetividade nessa questão. </w:t>
      </w:r>
      <w:r>
        <w:rPr>
          <w:rFonts w:asciiTheme="minorHAnsi" w:eastAsia="SimSun" w:hAnsiTheme="minorHAnsi" w:cs="Times New Roman"/>
          <w:sz w:val="24"/>
          <w:szCs w:val="24"/>
          <w:lang w:eastAsia="zh-CN"/>
        </w:rPr>
        <w:t>Dessa forma, o representante da Susep informou que a Susep vai avaliar a exclusão dessa excepcionalidade para eventos ocorridos fora de vigência.</w:t>
      </w:r>
    </w:p>
    <w:p w:rsidR="00800812" w:rsidRDefault="00800812" w:rsidP="00897D98">
      <w:pPr>
        <w:pStyle w:val="Padro"/>
        <w:spacing w:line="360" w:lineRule="auto"/>
        <w:jc w:val="both"/>
        <w:rPr>
          <w:rFonts w:asciiTheme="minorHAnsi" w:hAnsiTheme="minorHAnsi"/>
        </w:rPr>
      </w:pPr>
    </w:p>
    <w:p w:rsidR="0048404F" w:rsidRDefault="002A39BE" w:rsidP="00897D98">
      <w:pPr>
        <w:spacing w:line="360" w:lineRule="auto"/>
        <w:jc w:val="both"/>
        <w:rPr>
          <w:rFonts w:ascii="Times New Roman" w:hAnsi="Times New Roman"/>
          <w:b/>
          <w:color w:val="000000" w:themeColor="text1"/>
          <w:sz w:val="24"/>
          <w:szCs w:val="24"/>
          <w:u w:val="single"/>
        </w:rPr>
      </w:pPr>
      <w:r>
        <w:rPr>
          <w:rFonts w:ascii="Times New Roman" w:hAnsi="Times New Roman"/>
          <w:b/>
          <w:color w:val="000000" w:themeColor="text1"/>
          <w:sz w:val="24"/>
          <w:szCs w:val="24"/>
          <w:u w:val="single"/>
        </w:rPr>
        <w:t>Revisão do tratamento da expectativa de recebimento de salvados e ressarcimentos</w:t>
      </w:r>
    </w:p>
    <w:p w:rsidR="0048404F" w:rsidRDefault="0048404F" w:rsidP="00897D98">
      <w:pPr>
        <w:pStyle w:val="Padro"/>
        <w:spacing w:line="360" w:lineRule="auto"/>
        <w:jc w:val="both"/>
        <w:rPr>
          <w:rFonts w:asciiTheme="minorHAnsi" w:hAnsiTheme="minorHAnsi"/>
        </w:rPr>
      </w:pPr>
    </w:p>
    <w:p w:rsidR="00897D98" w:rsidRPr="00897D98" w:rsidRDefault="00897D98" w:rsidP="00897D98">
      <w:pPr>
        <w:spacing w:line="360" w:lineRule="auto"/>
        <w:jc w:val="both"/>
        <w:rPr>
          <w:rFonts w:asciiTheme="minorHAnsi" w:eastAsia="SimSun" w:hAnsiTheme="minorHAnsi" w:cs="Times New Roman"/>
          <w:sz w:val="24"/>
          <w:szCs w:val="24"/>
          <w:lang w:eastAsia="zh-CN"/>
        </w:rPr>
      </w:pPr>
      <w:r w:rsidRPr="00897D98">
        <w:rPr>
          <w:rFonts w:asciiTheme="minorHAnsi" w:eastAsia="SimSun" w:hAnsiTheme="minorHAnsi" w:cs="Times New Roman"/>
          <w:sz w:val="24"/>
          <w:szCs w:val="24"/>
          <w:lang w:eastAsia="zh-CN"/>
        </w:rPr>
        <w:lastRenderedPageBreak/>
        <w:t>O representante da COPRA fez um resumo das discussões anteriores, destacando a importância de haver, primeiramente, uma definição sobre se a expectativa de recebimento de salvados e ressarcimentos deve ou não ser contabilizada, para depois haver a definição sobre a sua alocação, se for o caso. E afirmou que</w:t>
      </w:r>
      <w:r w:rsidR="005362C2">
        <w:rPr>
          <w:rFonts w:asciiTheme="minorHAnsi" w:eastAsia="SimSun" w:hAnsiTheme="minorHAnsi" w:cs="Times New Roman"/>
          <w:sz w:val="24"/>
          <w:szCs w:val="24"/>
          <w:lang w:eastAsia="zh-CN"/>
        </w:rPr>
        <w:t>,</w:t>
      </w:r>
      <w:r w:rsidRPr="00897D98">
        <w:rPr>
          <w:rFonts w:asciiTheme="minorHAnsi" w:eastAsia="SimSun" w:hAnsiTheme="minorHAnsi" w:cs="Times New Roman"/>
          <w:sz w:val="24"/>
          <w:szCs w:val="24"/>
          <w:lang w:eastAsia="zh-CN"/>
        </w:rPr>
        <w:t xml:space="preserve"> sob a ótica da COPRA, não </w:t>
      </w:r>
      <w:r w:rsidR="005362C2">
        <w:rPr>
          <w:rFonts w:asciiTheme="minorHAnsi" w:eastAsia="SimSun" w:hAnsiTheme="minorHAnsi" w:cs="Times New Roman"/>
          <w:sz w:val="24"/>
          <w:szCs w:val="24"/>
          <w:lang w:eastAsia="zh-CN"/>
        </w:rPr>
        <w:t>parece</w:t>
      </w:r>
      <w:r w:rsidRPr="00897D98">
        <w:rPr>
          <w:rFonts w:asciiTheme="minorHAnsi" w:eastAsia="SimSun" w:hAnsiTheme="minorHAnsi" w:cs="Times New Roman"/>
          <w:sz w:val="24"/>
          <w:szCs w:val="24"/>
          <w:lang w:eastAsia="zh-CN"/>
        </w:rPr>
        <w:t xml:space="preserve"> correto utilizar um fluxo de recebimento para reduzir um</w:t>
      </w:r>
      <w:r w:rsidR="005362C2">
        <w:rPr>
          <w:rFonts w:asciiTheme="minorHAnsi" w:eastAsia="SimSun" w:hAnsiTheme="minorHAnsi" w:cs="Times New Roman"/>
          <w:sz w:val="24"/>
          <w:szCs w:val="24"/>
          <w:lang w:eastAsia="zh-CN"/>
        </w:rPr>
        <w:t>a obrigação</w:t>
      </w:r>
      <w:r w:rsidRPr="00897D98">
        <w:rPr>
          <w:rFonts w:asciiTheme="minorHAnsi" w:eastAsia="SimSun" w:hAnsiTheme="minorHAnsi" w:cs="Times New Roman"/>
          <w:sz w:val="24"/>
          <w:szCs w:val="24"/>
          <w:lang w:eastAsia="zh-CN"/>
        </w:rPr>
        <w:t xml:space="preserve"> que não é afetad</w:t>
      </w:r>
      <w:r w:rsidR="005362C2">
        <w:rPr>
          <w:rFonts w:asciiTheme="minorHAnsi" w:eastAsia="SimSun" w:hAnsiTheme="minorHAnsi" w:cs="Times New Roman"/>
          <w:sz w:val="24"/>
          <w:szCs w:val="24"/>
          <w:lang w:eastAsia="zh-CN"/>
        </w:rPr>
        <w:t>a</w:t>
      </w:r>
      <w:r w:rsidRPr="00897D98">
        <w:rPr>
          <w:rFonts w:asciiTheme="minorHAnsi" w:eastAsia="SimSun" w:hAnsiTheme="minorHAnsi" w:cs="Times New Roman"/>
          <w:sz w:val="24"/>
          <w:szCs w:val="24"/>
          <w:lang w:eastAsia="zh-CN"/>
        </w:rPr>
        <w:t xml:space="preserve"> por esse fluxo.</w:t>
      </w:r>
    </w:p>
    <w:p w:rsidR="00897D98" w:rsidRDefault="00993199" w:rsidP="00897D98">
      <w:pPr>
        <w:spacing w:line="360" w:lineRule="auto"/>
        <w:jc w:val="both"/>
        <w:rPr>
          <w:rFonts w:asciiTheme="minorHAnsi" w:eastAsia="SimSun" w:hAnsiTheme="minorHAnsi" w:cs="Times New Roman"/>
          <w:sz w:val="24"/>
          <w:szCs w:val="24"/>
          <w:lang w:eastAsia="zh-CN"/>
        </w:rPr>
      </w:pPr>
      <w:r>
        <w:rPr>
          <w:rFonts w:asciiTheme="minorHAnsi" w:eastAsia="SimSun" w:hAnsiTheme="minorHAnsi" w:cs="Times New Roman"/>
          <w:sz w:val="24"/>
          <w:szCs w:val="24"/>
          <w:lang w:eastAsia="zh-CN"/>
        </w:rPr>
        <w:t>Considerando apenas a questão da necessidade ou não de manter essas estimativas contabilizadas até o momento da efetiva recuperação do bem ou recebimento do ressarcimento, o</w:t>
      </w:r>
      <w:r w:rsidR="00897D98" w:rsidRPr="00897D98">
        <w:rPr>
          <w:rFonts w:asciiTheme="minorHAnsi" w:eastAsia="SimSun" w:hAnsiTheme="minorHAnsi" w:cs="Times New Roman"/>
          <w:sz w:val="24"/>
          <w:szCs w:val="24"/>
          <w:lang w:eastAsia="zh-CN"/>
        </w:rPr>
        <w:t xml:space="preserve"> representante da COMOC destacou que há que se avaliar se a contabilização de</w:t>
      </w:r>
      <w:r>
        <w:rPr>
          <w:rFonts w:asciiTheme="minorHAnsi" w:eastAsia="SimSun" w:hAnsiTheme="minorHAnsi" w:cs="Times New Roman"/>
          <w:sz w:val="24"/>
          <w:szCs w:val="24"/>
          <w:lang w:eastAsia="zh-CN"/>
        </w:rPr>
        <w:t>sses</w:t>
      </w:r>
      <w:r w:rsidR="00897D98" w:rsidRPr="00897D98">
        <w:rPr>
          <w:rFonts w:asciiTheme="minorHAnsi" w:eastAsia="SimSun" w:hAnsiTheme="minorHAnsi" w:cs="Times New Roman"/>
          <w:sz w:val="24"/>
          <w:szCs w:val="24"/>
          <w:lang w:eastAsia="zh-CN"/>
        </w:rPr>
        <w:t xml:space="preserve"> valores reflete </w:t>
      </w:r>
      <w:r w:rsidR="00C61F96">
        <w:rPr>
          <w:rFonts w:asciiTheme="minorHAnsi" w:eastAsia="SimSun" w:hAnsiTheme="minorHAnsi" w:cs="Times New Roman"/>
          <w:sz w:val="24"/>
          <w:szCs w:val="24"/>
          <w:lang w:eastAsia="zh-CN"/>
        </w:rPr>
        <w:t xml:space="preserve">adequadamente ou não </w:t>
      </w:r>
      <w:r w:rsidR="00897D98" w:rsidRPr="00897D98">
        <w:rPr>
          <w:rFonts w:asciiTheme="minorHAnsi" w:eastAsia="SimSun" w:hAnsiTheme="minorHAnsi" w:cs="Times New Roman"/>
          <w:sz w:val="24"/>
          <w:szCs w:val="24"/>
          <w:lang w:eastAsia="zh-CN"/>
        </w:rPr>
        <w:t xml:space="preserve">a situação </w:t>
      </w:r>
      <w:r w:rsidR="009D6510">
        <w:rPr>
          <w:rFonts w:asciiTheme="minorHAnsi" w:eastAsia="SimSun" w:hAnsiTheme="minorHAnsi" w:cs="Times New Roman"/>
          <w:sz w:val="24"/>
          <w:szCs w:val="24"/>
          <w:lang w:eastAsia="zh-CN"/>
        </w:rPr>
        <w:t xml:space="preserve">patrimonial e financeira </w:t>
      </w:r>
      <w:r w:rsidR="00897D98" w:rsidRPr="00897D98">
        <w:rPr>
          <w:rFonts w:asciiTheme="minorHAnsi" w:eastAsia="SimSun" w:hAnsiTheme="minorHAnsi" w:cs="Times New Roman"/>
          <w:sz w:val="24"/>
          <w:szCs w:val="24"/>
          <w:lang w:eastAsia="zh-CN"/>
        </w:rPr>
        <w:t xml:space="preserve">da companhia, aumentando ou reduzindo o nível de confiabilidade e fidedignidade das informações apresentadas. </w:t>
      </w:r>
      <w:r>
        <w:rPr>
          <w:rFonts w:asciiTheme="minorHAnsi" w:eastAsia="SimSun" w:hAnsiTheme="minorHAnsi" w:cs="Times New Roman"/>
          <w:sz w:val="24"/>
          <w:szCs w:val="24"/>
          <w:lang w:eastAsia="zh-CN"/>
        </w:rPr>
        <w:t>I</w:t>
      </w:r>
      <w:r w:rsidR="00897D98" w:rsidRPr="00897D98">
        <w:rPr>
          <w:rFonts w:asciiTheme="minorHAnsi" w:eastAsia="SimSun" w:hAnsiTheme="minorHAnsi" w:cs="Times New Roman"/>
          <w:sz w:val="24"/>
          <w:szCs w:val="24"/>
          <w:lang w:eastAsia="zh-CN"/>
        </w:rPr>
        <w:t xml:space="preserve">ndicou ainda que os conceitos contábeis atuais </w:t>
      </w:r>
      <w:r w:rsidR="009D6510">
        <w:rPr>
          <w:rFonts w:asciiTheme="minorHAnsi" w:eastAsia="SimSun" w:hAnsiTheme="minorHAnsi" w:cs="Times New Roman"/>
          <w:sz w:val="24"/>
          <w:szCs w:val="24"/>
          <w:lang w:eastAsia="zh-CN"/>
        </w:rPr>
        <w:t xml:space="preserve">previstos no Pronunciamento Conceitual Básico (CPC 00) </w:t>
      </w:r>
      <w:r w:rsidR="00897D98">
        <w:rPr>
          <w:rFonts w:asciiTheme="minorHAnsi" w:eastAsia="SimSun" w:hAnsiTheme="minorHAnsi" w:cs="Times New Roman"/>
          <w:sz w:val="24"/>
          <w:szCs w:val="24"/>
          <w:lang w:eastAsia="zh-CN"/>
        </w:rPr>
        <w:t>não excluem a</w:t>
      </w:r>
      <w:r w:rsidR="00897D98" w:rsidRPr="00897D98">
        <w:rPr>
          <w:rFonts w:asciiTheme="minorHAnsi" w:eastAsia="SimSun" w:hAnsiTheme="minorHAnsi" w:cs="Times New Roman"/>
          <w:sz w:val="24"/>
          <w:szCs w:val="24"/>
          <w:lang w:eastAsia="zh-CN"/>
        </w:rPr>
        <w:t xml:space="preserve"> possibilidade de se contabilizar estimativas de recebimento, desde que </w:t>
      </w:r>
      <w:r w:rsidR="00897D98">
        <w:rPr>
          <w:rFonts w:asciiTheme="minorHAnsi" w:eastAsia="SimSun" w:hAnsiTheme="minorHAnsi" w:cs="Times New Roman"/>
          <w:sz w:val="24"/>
          <w:szCs w:val="24"/>
          <w:lang w:eastAsia="zh-CN"/>
        </w:rPr>
        <w:t>atendidos alguns outros requisitos.</w:t>
      </w:r>
      <w:r w:rsidR="009D6510">
        <w:rPr>
          <w:rFonts w:asciiTheme="minorHAnsi" w:eastAsia="SimSun" w:hAnsiTheme="minorHAnsi" w:cs="Times New Roman"/>
          <w:sz w:val="24"/>
          <w:szCs w:val="24"/>
          <w:lang w:eastAsia="zh-CN"/>
        </w:rPr>
        <w:t xml:space="preserve"> </w:t>
      </w:r>
      <w:r>
        <w:rPr>
          <w:rFonts w:asciiTheme="minorHAnsi" w:eastAsia="SimSun" w:hAnsiTheme="minorHAnsi" w:cs="Times New Roman"/>
          <w:sz w:val="24"/>
          <w:szCs w:val="24"/>
          <w:lang w:eastAsia="zh-CN"/>
        </w:rPr>
        <w:t>As estimavas são parte essencial do processo de elabora</w:t>
      </w:r>
      <w:r w:rsidR="006178F3">
        <w:rPr>
          <w:rFonts w:asciiTheme="minorHAnsi" w:eastAsia="SimSun" w:hAnsiTheme="minorHAnsi" w:cs="Times New Roman"/>
          <w:sz w:val="24"/>
          <w:szCs w:val="24"/>
          <w:lang w:eastAsia="zh-CN"/>
        </w:rPr>
        <w:t>ç</w:t>
      </w:r>
      <w:r>
        <w:rPr>
          <w:rFonts w:asciiTheme="minorHAnsi" w:eastAsia="SimSun" w:hAnsiTheme="minorHAnsi" w:cs="Times New Roman"/>
          <w:sz w:val="24"/>
          <w:szCs w:val="24"/>
          <w:lang w:eastAsia="zh-CN"/>
        </w:rPr>
        <w:t xml:space="preserve">ão das demonstrações contábeis no cenário moderno. </w:t>
      </w:r>
      <w:r w:rsidR="009D6510">
        <w:rPr>
          <w:rFonts w:asciiTheme="minorHAnsi" w:eastAsia="SimSun" w:hAnsiTheme="minorHAnsi" w:cs="Times New Roman"/>
          <w:sz w:val="24"/>
          <w:szCs w:val="24"/>
          <w:lang w:eastAsia="zh-CN"/>
        </w:rPr>
        <w:t xml:space="preserve">Nesse sentido, o representante da COMOC esclareceu que a informação contábil precisa ser útil aos usuários externos, </w:t>
      </w:r>
      <w:r>
        <w:rPr>
          <w:rFonts w:asciiTheme="minorHAnsi" w:eastAsia="SimSun" w:hAnsiTheme="minorHAnsi" w:cs="Times New Roman"/>
          <w:sz w:val="24"/>
          <w:szCs w:val="24"/>
          <w:lang w:eastAsia="zh-CN"/>
        </w:rPr>
        <w:t>no caso da atual</w:t>
      </w:r>
      <w:r w:rsidR="009D6510">
        <w:rPr>
          <w:rFonts w:asciiTheme="minorHAnsi" w:eastAsia="SimSun" w:hAnsiTheme="minorHAnsi" w:cs="Times New Roman"/>
          <w:sz w:val="24"/>
          <w:szCs w:val="24"/>
          <w:lang w:eastAsia="zh-CN"/>
        </w:rPr>
        <w:t xml:space="preserve"> estrutura conceitual</w:t>
      </w:r>
      <w:r>
        <w:rPr>
          <w:rFonts w:asciiTheme="minorHAnsi" w:eastAsia="SimSun" w:hAnsiTheme="minorHAnsi" w:cs="Times New Roman"/>
          <w:sz w:val="24"/>
          <w:szCs w:val="24"/>
          <w:lang w:eastAsia="zh-CN"/>
        </w:rPr>
        <w:t xml:space="preserve">, os usuários externos principais são </w:t>
      </w:r>
      <w:r w:rsidR="009D6510">
        <w:rPr>
          <w:rFonts w:asciiTheme="minorHAnsi" w:eastAsia="SimSun" w:hAnsiTheme="minorHAnsi" w:cs="Times New Roman"/>
          <w:sz w:val="24"/>
          <w:szCs w:val="24"/>
          <w:lang w:eastAsia="zh-CN"/>
        </w:rPr>
        <w:t xml:space="preserve">acionistas e credores, existentes e em potencial. </w:t>
      </w:r>
      <w:r w:rsidR="00C61F96">
        <w:rPr>
          <w:rFonts w:asciiTheme="minorHAnsi" w:eastAsia="SimSun" w:hAnsiTheme="minorHAnsi" w:cs="Times New Roman"/>
          <w:sz w:val="24"/>
          <w:szCs w:val="24"/>
          <w:lang w:eastAsia="zh-CN"/>
        </w:rPr>
        <w:t>Em que pese, esses usuários não sejam tão relevantes ao mercado segurador, esse objetivo da informação contábil foi recepcionado pela Susep e acaba fazendo com que as demonstrações contábeis devam</w:t>
      </w:r>
      <w:r>
        <w:rPr>
          <w:rFonts w:asciiTheme="minorHAnsi" w:eastAsia="SimSun" w:hAnsiTheme="minorHAnsi" w:cs="Times New Roman"/>
          <w:sz w:val="24"/>
          <w:szCs w:val="24"/>
          <w:lang w:eastAsia="zh-CN"/>
        </w:rPr>
        <w:t xml:space="preserve"> também</w:t>
      </w:r>
      <w:r w:rsidR="00C61F96">
        <w:rPr>
          <w:rFonts w:asciiTheme="minorHAnsi" w:eastAsia="SimSun" w:hAnsiTheme="minorHAnsi" w:cs="Times New Roman"/>
          <w:sz w:val="24"/>
          <w:szCs w:val="24"/>
          <w:lang w:eastAsia="zh-CN"/>
        </w:rPr>
        <w:t xml:space="preserve"> refletir o potencial de geração de fluxos de caixa da companhia (montantes, pra</w:t>
      </w:r>
      <w:r>
        <w:rPr>
          <w:rFonts w:asciiTheme="minorHAnsi" w:eastAsia="SimSun" w:hAnsiTheme="minorHAnsi" w:cs="Times New Roman"/>
          <w:sz w:val="24"/>
          <w:szCs w:val="24"/>
          <w:lang w:eastAsia="zh-CN"/>
        </w:rPr>
        <w:t xml:space="preserve">zos e incertezas desses fluxos), em uma visão prospectiva da informação. </w:t>
      </w:r>
      <w:r w:rsidR="00C61F96">
        <w:rPr>
          <w:rFonts w:asciiTheme="minorHAnsi" w:eastAsia="SimSun" w:hAnsiTheme="minorHAnsi" w:cs="Times New Roman"/>
          <w:sz w:val="24"/>
          <w:szCs w:val="24"/>
          <w:lang w:eastAsia="zh-CN"/>
        </w:rPr>
        <w:t xml:space="preserve"> </w:t>
      </w:r>
      <w:r>
        <w:rPr>
          <w:rFonts w:asciiTheme="minorHAnsi" w:eastAsia="SimSun" w:hAnsiTheme="minorHAnsi" w:cs="Times New Roman"/>
          <w:sz w:val="24"/>
          <w:szCs w:val="24"/>
          <w:lang w:eastAsia="zh-CN"/>
        </w:rPr>
        <w:t xml:space="preserve">Questionou aos participantes da comissão se, em caso de uma companhia desejar adquirir o passivo de outra (operação de transferência de carteira) ou mesmo em uma combinação de negócios, a adquirente não levaria em consideração esses potenciais fluxos de caixa associados ao direito de salvados e ressarcimentos. A maioria dos participantes da comissão concordou que esse componente seria </w:t>
      </w:r>
      <w:r w:rsidR="00706D98">
        <w:rPr>
          <w:rFonts w:asciiTheme="minorHAnsi" w:eastAsia="SimSun" w:hAnsiTheme="minorHAnsi" w:cs="Times New Roman"/>
          <w:sz w:val="24"/>
          <w:szCs w:val="24"/>
          <w:lang w:eastAsia="zh-CN"/>
        </w:rPr>
        <w:t xml:space="preserve">considerado na </w:t>
      </w:r>
      <w:r>
        <w:rPr>
          <w:rFonts w:asciiTheme="minorHAnsi" w:eastAsia="SimSun" w:hAnsiTheme="minorHAnsi" w:cs="Times New Roman"/>
          <w:sz w:val="24"/>
          <w:szCs w:val="24"/>
          <w:lang w:eastAsia="zh-CN"/>
        </w:rPr>
        <w:t>precifica</w:t>
      </w:r>
      <w:r w:rsidR="00706D98">
        <w:rPr>
          <w:rFonts w:asciiTheme="minorHAnsi" w:eastAsia="SimSun" w:hAnsiTheme="minorHAnsi" w:cs="Times New Roman"/>
          <w:sz w:val="24"/>
          <w:szCs w:val="24"/>
          <w:lang w:eastAsia="zh-CN"/>
        </w:rPr>
        <w:t>ção da transação</w:t>
      </w:r>
      <w:r>
        <w:rPr>
          <w:rFonts w:asciiTheme="minorHAnsi" w:eastAsia="SimSun" w:hAnsiTheme="minorHAnsi" w:cs="Times New Roman"/>
          <w:sz w:val="24"/>
          <w:szCs w:val="24"/>
          <w:lang w:eastAsia="zh-CN"/>
        </w:rPr>
        <w:t xml:space="preserve">. </w:t>
      </w:r>
      <w:r w:rsidR="00B21CE7">
        <w:rPr>
          <w:rFonts w:asciiTheme="minorHAnsi" w:eastAsia="SimSun" w:hAnsiTheme="minorHAnsi" w:cs="Times New Roman"/>
          <w:sz w:val="24"/>
          <w:szCs w:val="24"/>
          <w:lang w:eastAsia="zh-CN"/>
        </w:rPr>
        <w:t xml:space="preserve">Frisou que os padrões contábeis de alta qualidade produzidos pelo </w:t>
      </w:r>
      <w:r w:rsidR="00B21CE7" w:rsidRPr="006178F3">
        <w:rPr>
          <w:rFonts w:asciiTheme="minorHAnsi" w:eastAsia="SimSun" w:hAnsiTheme="minorHAnsi" w:cs="Times New Roman"/>
          <w:i/>
          <w:sz w:val="24"/>
          <w:szCs w:val="24"/>
          <w:lang w:eastAsia="zh-CN"/>
        </w:rPr>
        <w:t>International Accounting Standards Board</w:t>
      </w:r>
      <w:r w:rsidR="00B21CE7">
        <w:rPr>
          <w:rFonts w:asciiTheme="minorHAnsi" w:eastAsia="SimSun" w:hAnsiTheme="minorHAnsi" w:cs="Times New Roman"/>
          <w:sz w:val="24"/>
          <w:szCs w:val="24"/>
          <w:lang w:eastAsia="zh-CN"/>
        </w:rPr>
        <w:t xml:space="preserve"> (IASB) e adaptados ao cenário brasileiro pelo Comitê de Pronunciamentos Contábeis (CPC), possui em seu arcabouço conceitual uma ideia de que a contabilidade precisa ser relevante e, para isso, precisa ser capaz de </w:t>
      </w:r>
      <w:r w:rsidR="00B21CE7">
        <w:rPr>
          <w:rFonts w:asciiTheme="minorHAnsi" w:eastAsia="SimSun" w:hAnsiTheme="minorHAnsi" w:cs="Times New Roman"/>
          <w:sz w:val="24"/>
          <w:szCs w:val="24"/>
          <w:lang w:eastAsia="zh-CN"/>
        </w:rPr>
        <w:lastRenderedPageBreak/>
        <w:t>gerar também informação preditiva em relação aos fluxos de caixa que uma companhia vai gerar</w:t>
      </w:r>
      <w:r>
        <w:rPr>
          <w:rFonts w:asciiTheme="minorHAnsi" w:eastAsia="SimSun" w:hAnsiTheme="minorHAnsi" w:cs="Times New Roman"/>
          <w:sz w:val="24"/>
          <w:szCs w:val="24"/>
          <w:lang w:eastAsia="zh-CN"/>
        </w:rPr>
        <w:t xml:space="preserve"> no futuro</w:t>
      </w:r>
      <w:r w:rsidR="00B21CE7">
        <w:rPr>
          <w:rFonts w:asciiTheme="minorHAnsi" w:eastAsia="SimSun" w:hAnsiTheme="minorHAnsi" w:cs="Times New Roman"/>
          <w:sz w:val="24"/>
          <w:szCs w:val="24"/>
          <w:lang w:eastAsia="zh-CN"/>
        </w:rPr>
        <w:t xml:space="preserve">. </w:t>
      </w:r>
      <w:r w:rsidR="00C61F96">
        <w:rPr>
          <w:rFonts w:asciiTheme="minorHAnsi" w:eastAsia="SimSun" w:hAnsiTheme="minorHAnsi" w:cs="Times New Roman"/>
          <w:sz w:val="24"/>
          <w:szCs w:val="24"/>
          <w:lang w:eastAsia="zh-CN"/>
        </w:rPr>
        <w:t>Por essa perspectiva, esses potenciais fluxos de caixa são relevantes na demonstração da adequada posição patrimonial e financeira da entidade</w:t>
      </w:r>
      <w:r>
        <w:rPr>
          <w:rFonts w:asciiTheme="minorHAnsi" w:eastAsia="SimSun" w:hAnsiTheme="minorHAnsi" w:cs="Times New Roman"/>
          <w:sz w:val="24"/>
          <w:szCs w:val="24"/>
          <w:lang w:eastAsia="zh-CN"/>
        </w:rPr>
        <w:t>. E</w:t>
      </w:r>
      <w:r w:rsidR="00C61F96">
        <w:rPr>
          <w:rFonts w:asciiTheme="minorHAnsi" w:eastAsia="SimSun" w:hAnsiTheme="minorHAnsi" w:cs="Times New Roman"/>
          <w:sz w:val="24"/>
          <w:szCs w:val="24"/>
          <w:lang w:eastAsia="zh-CN"/>
        </w:rPr>
        <w:t>ventuais diferenças entre essa perspectiva de potencial de geração de fluxo</w:t>
      </w:r>
      <w:r>
        <w:rPr>
          <w:rFonts w:asciiTheme="minorHAnsi" w:eastAsia="SimSun" w:hAnsiTheme="minorHAnsi" w:cs="Times New Roman"/>
          <w:sz w:val="24"/>
          <w:szCs w:val="24"/>
          <w:lang w:eastAsia="zh-CN"/>
        </w:rPr>
        <w:t>s</w:t>
      </w:r>
      <w:r w:rsidR="00C61F96">
        <w:rPr>
          <w:rFonts w:asciiTheme="minorHAnsi" w:eastAsia="SimSun" w:hAnsiTheme="minorHAnsi" w:cs="Times New Roman"/>
          <w:sz w:val="24"/>
          <w:szCs w:val="24"/>
          <w:lang w:eastAsia="zh-CN"/>
        </w:rPr>
        <w:t xml:space="preserve"> de caixa e o acompanhamento de solvência </w:t>
      </w:r>
      <w:r>
        <w:rPr>
          <w:rFonts w:asciiTheme="minorHAnsi" w:eastAsia="SimSun" w:hAnsiTheme="minorHAnsi" w:cs="Times New Roman"/>
          <w:sz w:val="24"/>
          <w:szCs w:val="24"/>
          <w:lang w:eastAsia="zh-CN"/>
        </w:rPr>
        <w:t xml:space="preserve">podem ser </w:t>
      </w:r>
      <w:r w:rsidR="00C61F96">
        <w:rPr>
          <w:rFonts w:asciiTheme="minorHAnsi" w:eastAsia="SimSun" w:hAnsiTheme="minorHAnsi" w:cs="Times New Roman"/>
          <w:sz w:val="24"/>
          <w:szCs w:val="24"/>
          <w:lang w:eastAsia="zh-CN"/>
        </w:rPr>
        <w:t xml:space="preserve">adequadamente tratados nas normas de solvência (patrimônio líquido ajustado, necessidade de cobertura de provisões técnicas, etc.) e não na norma contábil, </w:t>
      </w:r>
      <w:r>
        <w:rPr>
          <w:rFonts w:asciiTheme="minorHAnsi" w:eastAsia="SimSun" w:hAnsiTheme="minorHAnsi" w:cs="Times New Roman"/>
          <w:sz w:val="24"/>
          <w:szCs w:val="24"/>
          <w:lang w:eastAsia="zh-CN"/>
        </w:rPr>
        <w:t xml:space="preserve">lembrando </w:t>
      </w:r>
      <w:r w:rsidR="00C61F96">
        <w:rPr>
          <w:rFonts w:asciiTheme="minorHAnsi" w:eastAsia="SimSun" w:hAnsiTheme="minorHAnsi" w:cs="Times New Roman"/>
          <w:sz w:val="24"/>
          <w:szCs w:val="24"/>
          <w:lang w:eastAsia="zh-CN"/>
        </w:rPr>
        <w:t xml:space="preserve">que essa </w:t>
      </w:r>
      <w:r>
        <w:rPr>
          <w:rFonts w:asciiTheme="minorHAnsi" w:eastAsia="SimSun" w:hAnsiTheme="minorHAnsi" w:cs="Times New Roman"/>
          <w:sz w:val="24"/>
          <w:szCs w:val="24"/>
          <w:lang w:eastAsia="zh-CN"/>
        </w:rPr>
        <w:t xml:space="preserve">abordagem </w:t>
      </w:r>
      <w:r w:rsidR="00C61F96">
        <w:rPr>
          <w:rFonts w:asciiTheme="minorHAnsi" w:eastAsia="SimSun" w:hAnsiTheme="minorHAnsi" w:cs="Times New Roman"/>
          <w:sz w:val="24"/>
          <w:szCs w:val="24"/>
          <w:lang w:eastAsia="zh-CN"/>
        </w:rPr>
        <w:t>tem sido a linha de ação da Susep já há algum tempo, a fim de viabilizar a convergência às normas internacionais de contabilidade.</w:t>
      </w:r>
    </w:p>
    <w:p w:rsidR="00897D98" w:rsidRDefault="00897D98" w:rsidP="00897D98">
      <w:pPr>
        <w:spacing w:line="360" w:lineRule="auto"/>
        <w:jc w:val="both"/>
        <w:rPr>
          <w:rFonts w:asciiTheme="minorHAnsi" w:eastAsia="SimSun" w:hAnsiTheme="minorHAnsi" w:cs="Times New Roman"/>
          <w:sz w:val="24"/>
          <w:szCs w:val="24"/>
          <w:lang w:eastAsia="zh-CN"/>
        </w:rPr>
      </w:pPr>
      <w:r>
        <w:rPr>
          <w:rFonts w:asciiTheme="minorHAnsi" w:eastAsia="SimSun" w:hAnsiTheme="minorHAnsi" w:cs="Times New Roman"/>
          <w:sz w:val="24"/>
          <w:szCs w:val="24"/>
          <w:lang w:eastAsia="zh-CN"/>
        </w:rPr>
        <w:t xml:space="preserve">O representante da Susep ainda destacou que não faz sentido que a expectativa de salvados e ressarcidos seja utilizada apenas de forma parcial, dado que o pagamento do sinistro não altera </w:t>
      </w:r>
      <w:r w:rsidR="005362C2">
        <w:rPr>
          <w:rFonts w:asciiTheme="minorHAnsi" w:eastAsia="SimSun" w:hAnsiTheme="minorHAnsi" w:cs="Times New Roman"/>
          <w:sz w:val="24"/>
          <w:szCs w:val="24"/>
          <w:lang w:eastAsia="zh-CN"/>
        </w:rPr>
        <w:t xml:space="preserve">a </w:t>
      </w:r>
      <w:r>
        <w:rPr>
          <w:rFonts w:asciiTheme="minorHAnsi" w:eastAsia="SimSun" w:hAnsiTheme="minorHAnsi" w:cs="Times New Roman"/>
          <w:sz w:val="24"/>
          <w:szCs w:val="24"/>
          <w:lang w:eastAsia="zh-CN"/>
        </w:rPr>
        <w:t xml:space="preserve">confiabilidade da estimativa. Dessa forma, essa expectativa deveria ser toda contabilizada ou toda excluída do balanço. Adicionalmente, destacou-se a dificuldade de se </w:t>
      </w:r>
      <w:r w:rsidR="005362C2">
        <w:rPr>
          <w:rFonts w:asciiTheme="minorHAnsi" w:eastAsia="SimSun" w:hAnsiTheme="minorHAnsi" w:cs="Times New Roman"/>
          <w:sz w:val="24"/>
          <w:szCs w:val="24"/>
          <w:lang w:eastAsia="zh-CN"/>
        </w:rPr>
        <w:t>transferir uma parte de uma estimativa global em função de um evento individual (pagamento do sinistro) – o que terá que ser avaliado caso se opte por segregar essas estimativas em partes.</w:t>
      </w:r>
    </w:p>
    <w:p w:rsidR="00A938F6" w:rsidRDefault="005362C2" w:rsidP="00897D98">
      <w:pPr>
        <w:spacing w:line="360" w:lineRule="auto"/>
        <w:jc w:val="both"/>
        <w:rPr>
          <w:rFonts w:asciiTheme="minorHAnsi" w:eastAsia="SimSun" w:hAnsiTheme="minorHAnsi" w:cs="Times New Roman"/>
          <w:sz w:val="24"/>
          <w:szCs w:val="24"/>
          <w:lang w:eastAsia="zh-CN"/>
        </w:rPr>
      </w:pPr>
      <w:r>
        <w:rPr>
          <w:rFonts w:asciiTheme="minorHAnsi" w:eastAsia="SimSun" w:hAnsiTheme="minorHAnsi" w:cs="Times New Roman"/>
          <w:sz w:val="24"/>
          <w:szCs w:val="24"/>
          <w:lang w:eastAsia="zh-CN"/>
        </w:rPr>
        <w:t>O representante do mercado informou que o assunto foi discutido no âmbito das suas comissões internas, e envolveu tanto os representantes da área atuarial quanto os representantes da área contábil</w:t>
      </w:r>
      <w:r w:rsidR="009D6510">
        <w:rPr>
          <w:rFonts w:asciiTheme="minorHAnsi" w:eastAsia="SimSun" w:hAnsiTheme="minorHAnsi" w:cs="Times New Roman"/>
          <w:sz w:val="24"/>
          <w:szCs w:val="24"/>
          <w:lang w:eastAsia="zh-CN"/>
        </w:rPr>
        <w:t xml:space="preserve"> e o Ibracon</w:t>
      </w:r>
      <w:r>
        <w:rPr>
          <w:rFonts w:asciiTheme="minorHAnsi" w:eastAsia="SimSun" w:hAnsiTheme="minorHAnsi" w:cs="Times New Roman"/>
          <w:sz w:val="24"/>
          <w:szCs w:val="24"/>
          <w:lang w:eastAsia="zh-CN"/>
        </w:rPr>
        <w:t xml:space="preserve">; havendo consenso de que tais expectativas deveriam ser contabilizadas, permanecendo apenas a dúvida sobre a forma. O representante da </w:t>
      </w:r>
      <w:r w:rsidR="003C3882">
        <w:rPr>
          <w:rFonts w:asciiTheme="minorHAnsi" w:eastAsia="SimSun" w:hAnsiTheme="minorHAnsi" w:cs="Times New Roman"/>
          <w:sz w:val="24"/>
          <w:szCs w:val="24"/>
          <w:lang w:eastAsia="zh-CN"/>
        </w:rPr>
        <w:t>COPRA</w:t>
      </w:r>
      <w:r>
        <w:rPr>
          <w:rFonts w:asciiTheme="minorHAnsi" w:eastAsia="SimSun" w:hAnsiTheme="minorHAnsi" w:cs="Times New Roman"/>
          <w:sz w:val="24"/>
          <w:szCs w:val="24"/>
          <w:lang w:eastAsia="zh-CN"/>
        </w:rPr>
        <w:t xml:space="preserve"> questionou se esse posicionamento havia sido pacificado – dado que nas reuniões da Comissão Contábil, alguns representantes do mercado ainda apresentaram algumas restrições – e foi confirmado que sobre esse ponto específico houve consenso. </w:t>
      </w:r>
      <w:r w:rsidR="003C3882">
        <w:rPr>
          <w:rFonts w:asciiTheme="minorHAnsi" w:eastAsia="SimSun" w:hAnsiTheme="minorHAnsi" w:cs="Times New Roman"/>
          <w:sz w:val="24"/>
          <w:szCs w:val="24"/>
          <w:lang w:eastAsia="zh-CN"/>
        </w:rPr>
        <w:t xml:space="preserve">O representante da COPRA </w:t>
      </w:r>
      <w:r w:rsidR="00A938F6">
        <w:rPr>
          <w:rFonts w:asciiTheme="minorHAnsi" w:eastAsia="SimSun" w:hAnsiTheme="minorHAnsi" w:cs="Times New Roman"/>
          <w:sz w:val="24"/>
          <w:szCs w:val="24"/>
          <w:lang w:eastAsia="zh-CN"/>
        </w:rPr>
        <w:t xml:space="preserve">destacou que entende que as companhias têm, de forma geral, uma preocupação mais prática do que teórica em relação a utilização desses valores, mas </w:t>
      </w:r>
      <w:r w:rsidR="003C3882">
        <w:rPr>
          <w:rFonts w:asciiTheme="minorHAnsi" w:eastAsia="SimSun" w:hAnsiTheme="minorHAnsi" w:cs="Times New Roman"/>
          <w:sz w:val="24"/>
          <w:szCs w:val="24"/>
          <w:lang w:eastAsia="zh-CN"/>
        </w:rPr>
        <w:t>complementou que</w:t>
      </w:r>
      <w:r w:rsidR="00A938F6">
        <w:rPr>
          <w:rFonts w:asciiTheme="minorHAnsi" w:eastAsia="SimSun" w:hAnsiTheme="minorHAnsi" w:cs="Times New Roman"/>
          <w:sz w:val="24"/>
          <w:szCs w:val="24"/>
          <w:lang w:eastAsia="zh-CN"/>
        </w:rPr>
        <w:t xml:space="preserve"> um eventual consenso não deve estar condicionado </w:t>
      </w:r>
      <w:r w:rsidR="003C3882">
        <w:rPr>
          <w:rFonts w:asciiTheme="minorHAnsi" w:eastAsia="SimSun" w:hAnsiTheme="minorHAnsi" w:cs="Times New Roman"/>
          <w:sz w:val="24"/>
          <w:szCs w:val="24"/>
          <w:lang w:eastAsia="zh-CN"/>
        </w:rPr>
        <w:t>a soluções paliativas que eventualmente possam distorcer a natureza das provisões técnicas existentes</w:t>
      </w:r>
      <w:r w:rsidR="00D87354">
        <w:rPr>
          <w:rFonts w:asciiTheme="minorHAnsi" w:eastAsia="SimSun" w:hAnsiTheme="minorHAnsi" w:cs="Times New Roman"/>
          <w:sz w:val="24"/>
          <w:szCs w:val="24"/>
          <w:lang w:eastAsia="zh-CN"/>
        </w:rPr>
        <w:t xml:space="preserve"> ou que possam subverter qualquer princípio contábil</w:t>
      </w:r>
      <w:r w:rsidR="00A938F6">
        <w:rPr>
          <w:rFonts w:asciiTheme="minorHAnsi" w:eastAsia="SimSun" w:hAnsiTheme="minorHAnsi" w:cs="Times New Roman"/>
          <w:sz w:val="24"/>
          <w:szCs w:val="24"/>
          <w:lang w:eastAsia="zh-CN"/>
        </w:rPr>
        <w:t>; cabendo uma discussão técnica que, ao mesmo tempo, respeite os conceitos contábeis e atuariais.</w:t>
      </w:r>
    </w:p>
    <w:p w:rsidR="005362C2" w:rsidRDefault="00A938F6" w:rsidP="00D87354">
      <w:pPr>
        <w:spacing w:line="360" w:lineRule="auto"/>
        <w:jc w:val="both"/>
        <w:rPr>
          <w:rFonts w:asciiTheme="minorHAnsi" w:eastAsia="SimSun" w:hAnsiTheme="minorHAnsi" w:cs="Times New Roman"/>
          <w:sz w:val="24"/>
          <w:szCs w:val="24"/>
          <w:lang w:eastAsia="zh-CN"/>
        </w:rPr>
      </w:pPr>
      <w:r>
        <w:rPr>
          <w:rFonts w:asciiTheme="minorHAnsi" w:eastAsia="SimSun" w:hAnsiTheme="minorHAnsi" w:cs="Times New Roman"/>
          <w:sz w:val="24"/>
          <w:szCs w:val="24"/>
          <w:lang w:eastAsia="zh-CN"/>
        </w:rPr>
        <w:t xml:space="preserve">O representante do mercado sugeriu uma reunião extraordinária para discutir especificamente esse assunto. A Susep concordou e ficou marcada reunião para o dia </w:t>
      </w:r>
      <w:r w:rsidR="003E6BCC">
        <w:rPr>
          <w:rFonts w:asciiTheme="minorHAnsi" w:eastAsia="SimSun" w:hAnsiTheme="minorHAnsi" w:cs="Times New Roman"/>
          <w:sz w:val="24"/>
          <w:szCs w:val="24"/>
          <w:lang w:eastAsia="zh-CN"/>
        </w:rPr>
        <w:t>9</w:t>
      </w:r>
      <w:r>
        <w:rPr>
          <w:rFonts w:asciiTheme="minorHAnsi" w:eastAsia="SimSun" w:hAnsiTheme="minorHAnsi" w:cs="Times New Roman"/>
          <w:sz w:val="24"/>
          <w:szCs w:val="24"/>
          <w:lang w:eastAsia="zh-CN"/>
        </w:rPr>
        <w:t xml:space="preserve"> </w:t>
      </w:r>
      <w:r>
        <w:rPr>
          <w:rFonts w:asciiTheme="minorHAnsi" w:eastAsia="SimSun" w:hAnsiTheme="minorHAnsi" w:cs="Times New Roman"/>
          <w:sz w:val="24"/>
          <w:szCs w:val="24"/>
          <w:lang w:eastAsia="zh-CN"/>
        </w:rPr>
        <w:lastRenderedPageBreak/>
        <w:t>de agosto de 2017, às 14</w:t>
      </w:r>
      <w:r w:rsidR="009D6510">
        <w:rPr>
          <w:rFonts w:asciiTheme="minorHAnsi" w:eastAsia="SimSun" w:hAnsiTheme="minorHAnsi" w:cs="Times New Roman"/>
          <w:sz w:val="24"/>
          <w:szCs w:val="24"/>
          <w:lang w:eastAsia="zh-CN"/>
        </w:rPr>
        <w:t>h</w:t>
      </w:r>
      <w:r>
        <w:rPr>
          <w:rFonts w:asciiTheme="minorHAnsi" w:eastAsia="SimSun" w:hAnsiTheme="minorHAnsi" w:cs="Times New Roman"/>
          <w:sz w:val="24"/>
          <w:szCs w:val="24"/>
          <w:lang w:eastAsia="zh-CN"/>
        </w:rPr>
        <w:t xml:space="preserve">30, na sede da Susep; e contará com participantes </w:t>
      </w:r>
      <w:r w:rsidR="00D87354">
        <w:rPr>
          <w:rFonts w:asciiTheme="minorHAnsi" w:eastAsia="SimSun" w:hAnsiTheme="minorHAnsi" w:cs="Times New Roman"/>
          <w:sz w:val="24"/>
          <w:szCs w:val="24"/>
          <w:lang w:eastAsia="zh-CN"/>
        </w:rPr>
        <w:t>da Susep e do mercado, tanto da área atuarial quanto da área contábil. O mercado ficou de enviar para a Susep os nomes dos participantes</w:t>
      </w:r>
      <w:r w:rsidR="00F93631">
        <w:rPr>
          <w:rFonts w:asciiTheme="minorHAnsi" w:eastAsia="SimSun" w:hAnsiTheme="minorHAnsi" w:cs="Times New Roman"/>
          <w:sz w:val="24"/>
          <w:szCs w:val="24"/>
          <w:lang w:eastAsia="zh-CN"/>
        </w:rPr>
        <w:t xml:space="preserve">. </w:t>
      </w:r>
    </w:p>
    <w:p w:rsidR="0050582B" w:rsidRPr="00897D98" w:rsidRDefault="0050582B" w:rsidP="00D87354">
      <w:pPr>
        <w:spacing w:line="360" w:lineRule="auto"/>
        <w:jc w:val="both"/>
        <w:rPr>
          <w:rFonts w:asciiTheme="minorHAnsi" w:eastAsia="SimSun" w:hAnsiTheme="minorHAnsi" w:cs="Times New Roman"/>
          <w:sz w:val="24"/>
          <w:szCs w:val="24"/>
          <w:lang w:eastAsia="zh-CN"/>
        </w:rPr>
      </w:pPr>
    </w:p>
    <w:p w:rsidR="002A39BE" w:rsidRDefault="0050582B" w:rsidP="00897D98">
      <w:pPr>
        <w:pStyle w:val="Padro"/>
        <w:spacing w:line="360" w:lineRule="auto"/>
        <w:jc w:val="both"/>
        <w:rPr>
          <w:b/>
          <w:color w:val="000000" w:themeColor="text1"/>
          <w:u w:val="single"/>
        </w:rPr>
      </w:pPr>
      <w:r>
        <w:rPr>
          <w:b/>
          <w:color w:val="000000" w:themeColor="text1"/>
          <w:u w:val="single"/>
        </w:rPr>
        <w:t>Observações adicionais</w:t>
      </w:r>
    </w:p>
    <w:p w:rsidR="0050582B" w:rsidRDefault="0050582B" w:rsidP="00897D98">
      <w:pPr>
        <w:pStyle w:val="Padro"/>
        <w:spacing w:line="360" w:lineRule="auto"/>
        <w:jc w:val="both"/>
        <w:rPr>
          <w:b/>
          <w:color w:val="000000" w:themeColor="text1"/>
          <w:u w:val="single"/>
        </w:rPr>
      </w:pPr>
    </w:p>
    <w:p w:rsidR="0050582B" w:rsidRPr="0050582B" w:rsidRDefault="0050582B" w:rsidP="00897D98">
      <w:pPr>
        <w:pStyle w:val="Padro"/>
        <w:spacing w:line="360" w:lineRule="auto"/>
        <w:jc w:val="both"/>
        <w:rPr>
          <w:rFonts w:asciiTheme="minorHAnsi" w:hAnsiTheme="minorHAnsi"/>
        </w:rPr>
      </w:pPr>
      <w:r w:rsidRPr="0050582B">
        <w:rPr>
          <w:rFonts w:asciiTheme="minorHAnsi" w:hAnsiTheme="minorHAnsi"/>
        </w:rPr>
        <w:t xml:space="preserve">Foram enviados os nomes dos representantes do mercado na Comissão Atuarial. </w:t>
      </w:r>
      <w:r w:rsidR="00526374">
        <w:rPr>
          <w:rFonts w:asciiTheme="minorHAnsi" w:hAnsiTheme="minorHAnsi"/>
        </w:rPr>
        <w:t xml:space="preserve">Ficou </w:t>
      </w:r>
      <w:r>
        <w:rPr>
          <w:rFonts w:asciiTheme="minorHAnsi" w:hAnsiTheme="minorHAnsi"/>
        </w:rPr>
        <w:t>pendente apenas a definição de um representante dos auditores atuariais independentes</w:t>
      </w:r>
    </w:p>
    <w:p w:rsidR="0050582B" w:rsidRPr="002A39BE" w:rsidRDefault="0050582B" w:rsidP="00897D98">
      <w:pPr>
        <w:pStyle w:val="Padro"/>
        <w:spacing w:line="360" w:lineRule="auto"/>
        <w:jc w:val="both"/>
        <w:rPr>
          <w:rFonts w:asciiTheme="minorHAnsi" w:hAnsiTheme="minorHAnsi"/>
        </w:rPr>
      </w:pPr>
    </w:p>
    <w:p w:rsidR="003D569D" w:rsidRDefault="00B9297E" w:rsidP="00641303">
      <w:pPr>
        <w:pStyle w:val="Corpodetextorecuado"/>
        <w:spacing w:line="360" w:lineRule="auto"/>
        <w:ind w:left="0" w:firstLine="0"/>
        <w:rPr>
          <w:rFonts w:asciiTheme="minorHAnsi" w:hAnsiTheme="minorHAnsi"/>
        </w:rPr>
      </w:pPr>
      <w:r w:rsidRPr="00A2672B">
        <w:rPr>
          <w:rFonts w:eastAsia="Times New Roman" w:cs="Calibri"/>
          <w:b/>
          <w:color w:val="000000" w:themeColor="text1"/>
          <w:u w:val="single"/>
          <w:lang w:eastAsia="pt-BR"/>
        </w:rPr>
        <w:t>Próxima reuni</w:t>
      </w:r>
      <w:r w:rsidR="002A39BE" w:rsidRPr="00A2672B">
        <w:rPr>
          <w:rFonts w:eastAsia="Times New Roman" w:cs="Calibri"/>
          <w:b/>
          <w:color w:val="000000" w:themeColor="text1"/>
          <w:u w:val="single"/>
          <w:lang w:eastAsia="pt-BR"/>
        </w:rPr>
        <w:t>ão da Comissão Atuarial</w:t>
      </w:r>
      <w:r w:rsidR="00C1533B" w:rsidRPr="00A2672B">
        <w:rPr>
          <w:rFonts w:eastAsia="Times New Roman" w:cs="Calibri"/>
          <w:b/>
          <w:color w:val="000000" w:themeColor="text1"/>
          <w:u w:val="single"/>
          <w:lang w:eastAsia="pt-BR"/>
        </w:rPr>
        <w:t>:</w:t>
      </w:r>
      <w:r w:rsidR="00C1533B">
        <w:rPr>
          <w:rFonts w:ascii="Calibri" w:hAnsi="Calibri" w:cs="Calibri"/>
          <w:b/>
          <w:bCs/>
        </w:rPr>
        <w:t xml:space="preserve"> </w:t>
      </w:r>
      <w:r w:rsidR="00361304" w:rsidRPr="00A2672B">
        <w:rPr>
          <w:rFonts w:asciiTheme="minorHAnsi" w:hAnsiTheme="minorHAnsi"/>
        </w:rPr>
        <w:t>1</w:t>
      </w:r>
      <w:r w:rsidR="006F51F0" w:rsidRPr="00A2672B">
        <w:rPr>
          <w:rFonts w:asciiTheme="minorHAnsi" w:hAnsiTheme="minorHAnsi"/>
        </w:rPr>
        <w:t>5</w:t>
      </w:r>
      <w:r w:rsidR="00361304" w:rsidRPr="00A2672B">
        <w:rPr>
          <w:rFonts w:asciiTheme="minorHAnsi" w:hAnsiTheme="minorHAnsi"/>
        </w:rPr>
        <w:t xml:space="preserve"> de agosto de 2017</w:t>
      </w:r>
      <w:r w:rsidR="002A39BE" w:rsidRPr="00A2672B">
        <w:rPr>
          <w:rFonts w:asciiTheme="minorHAnsi" w:hAnsiTheme="minorHAnsi"/>
        </w:rPr>
        <w:t>, às 14</w:t>
      </w:r>
      <w:r w:rsidR="00706D98">
        <w:rPr>
          <w:rFonts w:asciiTheme="minorHAnsi" w:hAnsiTheme="minorHAnsi"/>
        </w:rPr>
        <w:t>h</w:t>
      </w:r>
      <w:r w:rsidR="002A39BE" w:rsidRPr="00A2672B">
        <w:rPr>
          <w:rFonts w:asciiTheme="minorHAnsi" w:hAnsiTheme="minorHAnsi"/>
        </w:rPr>
        <w:t>30, na sede da Susep, sala de reunião do</w:t>
      </w:r>
      <w:r w:rsidR="00A2672B" w:rsidRPr="00A2672B">
        <w:rPr>
          <w:rFonts w:asciiTheme="minorHAnsi" w:hAnsiTheme="minorHAnsi"/>
        </w:rPr>
        <w:t xml:space="preserve"> 13º andar.</w:t>
      </w:r>
    </w:p>
    <w:p w:rsidR="00706D98" w:rsidRDefault="00706D98" w:rsidP="00641303">
      <w:pPr>
        <w:pStyle w:val="Corpodetextorecuado"/>
        <w:spacing w:line="360" w:lineRule="auto"/>
        <w:ind w:left="0" w:firstLine="0"/>
        <w:rPr>
          <w:rFonts w:asciiTheme="minorHAnsi" w:hAnsiTheme="minorHAnsi"/>
        </w:rPr>
      </w:pPr>
    </w:p>
    <w:p w:rsidR="00706D98" w:rsidRPr="00187CBA" w:rsidRDefault="00706D98" w:rsidP="00706D98">
      <w:pPr>
        <w:pStyle w:val="Corpodetextorecuado"/>
        <w:spacing w:line="360" w:lineRule="auto"/>
        <w:ind w:left="0" w:firstLine="0"/>
        <w:rPr>
          <w:rFonts w:asciiTheme="minorHAnsi" w:hAnsiTheme="minorHAnsi"/>
        </w:rPr>
      </w:pPr>
      <w:r w:rsidRPr="00A2672B">
        <w:rPr>
          <w:rFonts w:eastAsia="Times New Roman" w:cs="Calibri"/>
          <w:b/>
          <w:color w:val="000000" w:themeColor="text1"/>
          <w:u w:val="single"/>
          <w:lang w:eastAsia="pt-BR"/>
        </w:rPr>
        <w:t xml:space="preserve">Próxima reunião da Comissão </w:t>
      </w:r>
      <w:r>
        <w:rPr>
          <w:rFonts w:eastAsia="Times New Roman" w:cs="Calibri"/>
          <w:b/>
          <w:color w:val="000000" w:themeColor="text1"/>
          <w:u w:val="single"/>
          <w:lang w:eastAsia="pt-BR"/>
        </w:rPr>
        <w:t>Contábil</w:t>
      </w:r>
      <w:r w:rsidRPr="00A2672B">
        <w:rPr>
          <w:rFonts w:eastAsia="Times New Roman" w:cs="Calibri"/>
          <w:b/>
          <w:color w:val="000000" w:themeColor="text1"/>
          <w:u w:val="single"/>
          <w:lang w:eastAsia="pt-BR"/>
        </w:rPr>
        <w:t>:</w:t>
      </w:r>
      <w:r>
        <w:rPr>
          <w:rFonts w:ascii="Calibri" w:hAnsi="Calibri" w:cs="Calibri"/>
          <w:b/>
          <w:bCs/>
        </w:rPr>
        <w:t xml:space="preserve"> </w:t>
      </w:r>
      <w:r w:rsidRPr="006178F3">
        <w:rPr>
          <w:rFonts w:ascii="Calibri" w:hAnsi="Calibri" w:cs="Calibri"/>
          <w:bCs/>
        </w:rPr>
        <w:t>27</w:t>
      </w:r>
      <w:r w:rsidRPr="00706D98">
        <w:rPr>
          <w:rFonts w:asciiTheme="minorHAnsi" w:hAnsiTheme="minorHAnsi"/>
        </w:rPr>
        <w:t xml:space="preserve"> d</w:t>
      </w:r>
      <w:r w:rsidRPr="00A2672B">
        <w:rPr>
          <w:rFonts w:asciiTheme="minorHAnsi" w:hAnsiTheme="minorHAnsi"/>
        </w:rPr>
        <w:t xml:space="preserve">e </w:t>
      </w:r>
      <w:r>
        <w:rPr>
          <w:rFonts w:asciiTheme="minorHAnsi" w:hAnsiTheme="minorHAnsi"/>
        </w:rPr>
        <w:t>julho</w:t>
      </w:r>
      <w:r w:rsidRPr="00A2672B">
        <w:rPr>
          <w:rFonts w:asciiTheme="minorHAnsi" w:hAnsiTheme="minorHAnsi"/>
        </w:rPr>
        <w:t xml:space="preserve"> de 2017, às 1</w:t>
      </w:r>
      <w:r>
        <w:rPr>
          <w:rFonts w:asciiTheme="minorHAnsi" w:hAnsiTheme="minorHAnsi"/>
        </w:rPr>
        <w:t>0h</w:t>
      </w:r>
      <w:r w:rsidRPr="00A2672B">
        <w:rPr>
          <w:rFonts w:asciiTheme="minorHAnsi" w:hAnsiTheme="minorHAnsi"/>
        </w:rPr>
        <w:t xml:space="preserve">, na sede da Susep, sala de reunião do </w:t>
      </w:r>
      <w:r>
        <w:rPr>
          <w:rFonts w:asciiTheme="minorHAnsi" w:hAnsiTheme="minorHAnsi"/>
        </w:rPr>
        <w:t>9</w:t>
      </w:r>
      <w:r w:rsidRPr="00A2672B">
        <w:rPr>
          <w:rFonts w:asciiTheme="minorHAnsi" w:hAnsiTheme="minorHAnsi"/>
        </w:rPr>
        <w:t>º andar.</w:t>
      </w:r>
    </w:p>
    <w:p w:rsidR="00706D98" w:rsidRPr="00187CBA" w:rsidRDefault="00706D98" w:rsidP="00641303">
      <w:pPr>
        <w:pStyle w:val="Corpodetextorecuado"/>
        <w:spacing w:line="360" w:lineRule="auto"/>
        <w:ind w:left="0" w:firstLine="0"/>
        <w:rPr>
          <w:rFonts w:asciiTheme="minorHAnsi" w:hAnsiTheme="minorHAnsi"/>
        </w:rPr>
      </w:pPr>
      <w:bookmarkStart w:id="0" w:name="_GoBack"/>
      <w:bookmarkEnd w:id="0"/>
    </w:p>
    <w:sectPr w:rsidR="00706D98" w:rsidRPr="00187CBA" w:rsidSect="00845545">
      <w:pgSz w:w="11906" w:h="16838"/>
      <w:pgMar w:top="1417" w:right="1701" w:bottom="1417" w:left="1701"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C33AD"/>
    <w:multiLevelType w:val="hybridMultilevel"/>
    <w:tmpl w:val="59AEFD46"/>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15:restartNumberingAfterBreak="0">
    <w:nsid w:val="65971E6C"/>
    <w:multiLevelType w:val="hybridMultilevel"/>
    <w:tmpl w:val="C04A4DA4"/>
    <w:lvl w:ilvl="0" w:tplc="09B24AE6">
      <w:start w:val="1"/>
      <w:numFmt w:val="decimal"/>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97E"/>
    <w:rsid w:val="00012AD7"/>
    <w:rsid w:val="00015E21"/>
    <w:rsid w:val="00023793"/>
    <w:rsid w:val="0005751C"/>
    <w:rsid w:val="00083127"/>
    <w:rsid w:val="000F48E0"/>
    <w:rsid w:val="00100B80"/>
    <w:rsid w:val="00133C97"/>
    <w:rsid w:val="00167C5F"/>
    <w:rsid w:val="00187CBA"/>
    <w:rsid w:val="00193251"/>
    <w:rsid w:val="001967D7"/>
    <w:rsid w:val="001C52DF"/>
    <w:rsid w:val="001D70C5"/>
    <w:rsid w:val="00214DCE"/>
    <w:rsid w:val="00253C80"/>
    <w:rsid w:val="00262F67"/>
    <w:rsid w:val="00294D85"/>
    <w:rsid w:val="002A39BE"/>
    <w:rsid w:val="002B1E52"/>
    <w:rsid w:val="002E0BAB"/>
    <w:rsid w:val="00317FBD"/>
    <w:rsid w:val="00326529"/>
    <w:rsid w:val="00355E6C"/>
    <w:rsid w:val="00361304"/>
    <w:rsid w:val="00364DB4"/>
    <w:rsid w:val="003C3882"/>
    <w:rsid w:val="003D569D"/>
    <w:rsid w:val="003E6BCC"/>
    <w:rsid w:val="003F5FBF"/>
    <w:rsid w:val="0040679D"/>
    <w:rsid w:val="00412672"/>
    <w:rsid w:val="00454875"/>
    <w:rsid w:val="00470E83"/>
    <w:rsid w:val="0048404F"/>
    <w:rsid w:val="004A1F78"/>
    <w:rsid w:val="004E20FF"/>
    <w:rsid w:val="00503E18"/>
    <w:rsid w:val="0050582B"/>
    <w:rsid w:val="00513505"/>
    <w:rsid w:val="00526374"/>
    <w:rsid w:val="005362C2"/>
    <w:rsid w:val="00540BB0"/>
    <w:rsid w:val="00541875"/>
    <w:rsid w:val="005606F6"/>
    <w:rsid w:val="005B43DA"/>
    <w:rsid w:val="006178F3"/>
    <w:rsid w:val="00625D99"/>
    <w:rsid w:val="00635F90"/>
    <w:rsid w:val="00641303"/>
    <w:rsid w:val="00645FD8"/>
    <w:rsid w:val="006A370F"/>
    <w:rsid w:val="006A380A"/>
    <w:rsid w:val="006B403F"/>
    <w:rsid w:val="006D57E0"/>
    <w:rsid w:val="006F51F0"/>
    <w:rsid w:val="00706D98"/>
    <w:rsid w:val="007170A7"/>
    <w:rsid w:val="0073232C"/>
    <w:rsid w:val="00740E01"/>
    <w:rsid w:val="00762304"/>
    <w:rsid w:val="007632CC"/>
    <w:rsid w:val="0076674E"/>
    <w:rsid w:val="00782403"/>
    <w:rsid w:val="00784718"/>
    <w:rsid w:val="007A0BBF"/>
    <w:rsid w:val="007D666D"/>
    <w:rsid w:val="007E09FC"/>
    <w:rsid w:val="007E26B5"/>
    <w:rsid w:val="007F1456"/>
    <w:rsid w:val="00800812"/>
    <w:rsid w:val="00845545"/>
    <w:rsid w:val="00853C4B"/>
    <w:rsid w:val="008622F8"/>
    <w:rsid w:val="008654CA"/>
    <w:rsid w:val="00897D98"/>
    <w:rsid w:val="008A3761"/>
    <w:rsid w:val="008B28B8"/>
    <w:rsid w:val="008D54DA"/>
    <w:rsid w:val="00906DC5"/>
    <w:rsid w:val="00952409"/>
    <w:rsid w:val="00954FA1"/>
    <w:rsid w:val="00981752"/>
    <w:rsid w:val="00993199"/>
    <w:rsid w:val="009A2049"/>
    <w:rsid w:val="009A65B2"/>
    <w:rsid w:val="009D6510"/>
    <w:rsid w:val="009F29FE"/>
    <w:rsid w:val="00A2672B"/>
    <w:rsid w:val="00A2748C"/>
    <w:rsid w:val="00A5744D"/>
    <w:rsid w:val="00A6058A"/>
    <w:rsid w:val="00A90900"/>
    <w:rsid w:val="00A938F6"/>
    <w:rsid w:val="00A9436C"/>
    <w:rsid w:val="00A9763A"/>
    <w:rsid w:val="00AB4AAB"/>
    <w:rsid w:val="00B21CE7"/>
    <w:rsid w:val="00B44C34"/>
    <w:rsid w:val="00B8288F"/>
    <w:rsid w:val="00B82B8A"/>
    <w:rsid w:val="00B9297E"/>
    <w:rsid w:val="00C14704"/>
    <w:rsid w:val="00C1533B"/>
    <w:rsid w:val="00C27DA2"/>
    <w:rsid w:val="00C36A7B"/>
    <w:rsid w:val="00C42A46"/>
    <w:rsid w:val="00C61F96"/>
    <w:rsid w:val="00C70BFE"/>
    <w:rsid w:val="00C72669"/>
    <w:rsid w:val="00CB2A69"/>
    <w:rsid w:val="00CD4809"/>
    <w:rsid w:val="00D77CFE"/>
    <w:rsid w:val="00D87354"/>
    <w:rsid w:val="00E06E0B"/>
    <w:rsid w:val="00E20B27"/>
    <w:rsid w:val="00E40D91"/>
    <w:rsid w:val="00EB25C4"/>
    <w:rsid w:val="00EB292C"/>
    <w:rsid w:val="00ED7B73"/>
    <w:rsid w:val="00F21E64"/>
    <w:rsid w:val="00F61065"/>
    <w:rsid w:val="00F936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8EFD98-5529-4DA1-A05A-1D27EEC5F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7E"/>
    <w:pPr>
      <w:spacing w:after="0" w:line="240" w:lineRule="auto"/>
    </w:pPr>
    <w:rPr>
      <w:rFonts w:ascii="Calibri" w:eastAsia="Times New Roman"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uiPriority w:val="99"/>
    <w:rsid w:val="00B9297E"/>
    <w:pPr>
      <w:tabs>
        <w:tab w:val="left" w:pos="708"/>
      </w:tabs>
      <w:suppressAutoHyphens/>
      <w:spacing w:after="0" w:line="240" w:lineRule="auto"/>
    </w:pPr>
    <w:rPr>
      <w:rFonts w:ascii="Times New Roman" w:eastAsia="SimSun" w:hAnsi="Times New Roman" w:cs="Times New Roman"/>
      <w:sz w:val="24"/>
      <w:szCs w:val="24"/>
      <w:lang w:eastAsia="zh-CN"/>
    </w:rPr>
  </w:style>
  <w:style w:type="paragraph" w:styleId="PargrafodaLista">
    <w:name w:val="List Paragraph"/>
    <w:basedOn w:val="Padro"/>
    <w:uiPriority w:val="34"/>
    <w:qFormat/>
    <w:rsid w:val="00B9297E"/>
    <w:pPr>
      <w:spacing w:after="200" w:line="276" w:lineRule="atLeast"/>
      <w:ind w:left="720"/>
    </w:pPr>
    <w:rPr>
      <w:rFonts w:ascii="Calibri" w:hAnsi="Calibri" w:cs="Calibri"/>
      <w:sz w:val="22"/>
      <w:szCs w:val="22"/>
      <w:lang w:eastAsia="en-US"/>
    </w:rPr>
  </w:style>
  <w:style w:type="paragraph" w:customStyle="1" w:styleId="Corpodetextorecuado">
    <w:name w:val="Corpo de texto recuado"/>
    <w:basedOn w:val="Padro"/>
    <w:uiPriority w:val="99"/>
    <w:rsid w:val="00B9297E"/>
    <w:pPr>
      <w:ind w:left="283" w:firstLine="708"/>
      <w:jc w:val="both"/>
    </w:pPr>
  </w:style>
  <w:style w:type="paragraph" w:styleId="Recuodecorpodetexto2">
    <w:name w:val="Body Text Indent 2"/>
    <w:basedOn w:val="Normal"/>
    <w:link w:val="Recuodecorpodetexto2Char"/>
    <w:uiPriority w:val="99"/>
    <w:rsid w:val="00B9297E"/>
    <w:pPr>
      <w:spacing w:line="360" w:lineRule="auto"/>
      <w:ind w:firstLine="708"/>
      <w:jc w:val="both"/>
    </w:pPr>
    <w:rPr>
      <w:rFonts w:ascii="Arial" w:hAnsi="Arial" w:cs="Arial"/>
    </w:rPr>
  </w:style>
  <w:style w:type="character" w:customStyle="1" w:styleId="Recuodecorpodetexto2Char">
    <w:name w:val="Recuo de corpo de texto 2 Char"/>
    <w:basedOn w:val="Fontepargpadro"/>
    <w:link w:val="Recuodecorpodetexto2"/>
    <w:uiPriority w:val="99"/>
    <w:rsid w:val="00B9297E"/>
    <w:rPr>
      <w:rFonts w:ascii="Arial" w:eastAsia="Times New Roman" w:hAnsi="Arial" w:cs="Arial"/>
      <w:lang w:eastAsia="pt-BR"/>
    </w:rPr>
  </w:style>
  <w:style w:type="paragraph" w:styleId="Textodebalo">
    <w:name w:val="Balloon Text"/>
    <w:basedOn w:val="Normal"/>
    <w:link w:val="TextodebaloChar"/>
    <w:uiPriority w:val="99"/>
    <w:semiHidden/>
    <w:unhideWhenUsed/>
    <w:rsid w:val="00635F90"/>
    <w:rPr>
      <w:rFonts w:ascii="Tahoma" w:hAnsi="Tahoma" w:cs="Tahoma"/>
      <w:sz w:val="16"/>
      <w:szCs w:val="16"/>
    </w:rPr>
  </w:style>
  <w:style w:type="character" w:customStyle="1" w:styleId="TextodebaloChar">
    <w:name w:val="Texto de balão Char"/>
    <w:basedOn w:val="Fontepargpadro"/>
    <w:link w:val="Textodebalo"/>
    <w:uiPriority w:val="99"/>
    <w:semiHidden/>
    <w:rsid w:val="00635F90"/>
    <w:rPr>
      <w:rFonts w:ascii="Tahoma" w:eastAsia="Times New Roman" w:hAnsi="Tahoma" w:cs="Tahoma"/>
      <w:sz w:val="16"/>
      <w:szCs w:val="16"/>
      <w:lang w:eastAsia="pt-BR"/>
    </w:rPr>
  </w:style>
  <w:style w:type="paragraph" w:styleId="TextosemFormatao">
    <w:name w:val="Plain Text"/>
    <w:basedOn w:val="Normal"/>
    <w:link w:val="TextosemFormataoChar"/>
    <w:uiPriority w:val="99"/>
    <w:semiHidden/>
    <w:unhideWhenUsed/>
    <w:rsid w:val="0048404F"/>
    <w:rPr>
      <w:rFonts w:eastAsiaTheme="minorHAnsi" w:cstheme="minorBidi"/>
      <w:szCs w:val="21"/>
      <w:lang w:eastAsia="en-US"/>
    </w:rPr>
  </w:style>
  <w:style w:type="character" w:customStyle="1" w:styleId="TextosemFormataoChar">
    <w:name w:val="Texto sem Formatação Char"/>
    <w:basedOn w:val="Fontepargpadro"/>
    <w:link w:val="TextosemFormatao"/>
    <w:uiPriority w:val="99"/>
    <w:semiHidden/>
    <w:rsid w:val="0048404F"/>
    <w:rPr>
      <w:rFonts w:ascii="Calibri" w:hAnsi="Calibri"/>
      <w:szCs w:val="21"/>
    </w:rPr>
  </w:style>
  <w:style w:type="character" w:styleId="nfase">
    <w:name w:val="Emphasis"/>
    <w:basedOn w:val="Fontepargpadro"/>
    <w:uiPriority w:val="20"/>
    <w:qFormat/>
    <w:rsid w:val="00503E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348657">
      <w:bodyDiv w:val="1"/>
      <w:marLeft w:val="0"/>
      <w:marRight w:val="0"/>
      <w:marTop w:val="0"/>
      <w:marBottom w:val="0"/>
      <w:divBdr>
        <w:top w:val="none" w:sz="0" w:space="0" w:color="auto"/>
        <w:left w:val="none" w:sz="0" w:space="0" w:color="auto"/>
        <w:bottom w:val="none" w:sz="0" w:space="0" w:color="auto"/>
        <w:right w:val="none" w:sz="0" w:space="0" w:color="auto"/>
      </w:divBdr>
    </w:div>
    <w:div w:id="1001587395">
      <w:bodyDiv w:val="1"/>
      <w:marLeft w:val="0"/>
      <w:marRight w:val="0"/>
      <w:marTop w:val="0"/>
      <w:marBottom w:val="0"/>
      <w:divBdr>
        <w:top w:val="none" w:sz="0" w:space="0" w:color="auto"/>
        <w:left w:val="none" w:sz="0" w:space="0" w:color="auto"/>
        <w:bottom w:val="none" w:sz="0" w:space="0" w:color="auto"/>
        <w:right w:val="none" w:sz="0" w:space="0" w:color="auto"/>
      </w:divBdr>
    </w:div>
    <w:div w:id="1419016275">
      <w:bodyDiv w:val="1"/>
      <w:marLeft w:val="0"/>
      <w:marRight w:val="0"/>
      <w:marTop w:val="0"/>
      <w:marBottom w:val="0"/>
      <w:divBdr>
        <w:top w:val="none" w:sz="0" w:space="0" w:color="auto"/>
        <w:left w:val="none" w:sz="0" w:space="0" w:color="auto"/>
        <w:bottom w:val="none" w:sz="0" w:space="0" w:color="auto"/>
        <w:right w:val="none" w:sz="0" w:space="0" w:color="auto"/>
      </w:divBdr>
    </w:div>
    <w:div w:id="1761217168">
      <w:bodyDiv w:val="1"/>
      <w:marLeft w:val="0"/>
      <w:marRight w:val="0"/>
      <w:marTop w:val="0"/>
      <w:marBottom w:val="0"/>
      <w:divBdr>
        <w:top w:val="none" w:sz="0" w:space="0" w:color="auto"/>
        <w:left w:val="none" w:sz="0" w:space="0" w:color="auto"/>
        <w:bottom w:val="none" w:sz="0" w:space="0" w:color="auto"/>
        <w:right w:val="none" w:sz="0" w:space="0" w:color="auto"/>
      </w:divBdr>
    </w:div>
    <w:div w:id="211347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47A83-3335-4D30-BB2F-51671C875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2294</Words>
  <Characters>12393</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SUSEP</Company>
  <LinksUpToDate>false</LinksUpToDate>
  <CharactersWithSpaces>14658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cbvieira</dc:creator>
  <cp:lastModifiedBy>Roberto Suarez Seabra</cp:lastModifiedBy>
  <cp:revision>7</cp:revision>
  <dcterms:created xsi:type="dcterms:W3CDTF">2017-06-27T20:33:00Z</dcterms:created>
  <dcterms:modified xsi:type="dcterms:W3CDTF">2017-07-11T12:55:00Z</dcterms:modified>
</cp:coreProperties>
</file>