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9516" w14:textId="02B17E54" w:rsidR="00D7554D" w:rsidRPr="00EE6CA5" w:rsidRDefault="70188BD6" w:rsidP="70EDD8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imes New Roman"/>
          <w:b/>
          <w:bCs/>
          <w:color w:val="2F5496" w:themeColor="accent1" w:themeShade="BF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70EDD86B">
        <w:rPr>
          <w:rFonts w:ascii="Century Gothic" w:eastAsia="SimSun" w:hAnsi="Century Gothic" w:cs="Times New Roman"/>
          <w:b/>
          <w:bCs/>
          <w:color w:val="2F5496" w:themeColor="accent1" w:themeShade="BF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D7554D" w:rsidRPr="70EDD86B">
        <w:rPr>
          <w:rFonts w:ascii="Century Gothic" w:eastAsia="SimSun" w:hAnsi="Century Gothic" w:cs="Times New Roman"/>
          <w:b/>
          <w:bCs/>
          <w:color w:val="2F5496" w:themeColor="accent1" w:themeShade="BF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Demonstrações Contábeis do Fundo do Desenvolvimento do Centro-Oeste</w:t>
      </w:r>
    </w:p>
    <w:p w14:paraId="12425DD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1716A35A" w14:textId="77777777" w:rsidR="00D7554D" w:rsidRPr="00D7554D" w:rsidRDefault="00D7554D" w:rsidP="00D7554D">
      <w:pPr>
        <w:rPr>
          <w:rFonts w:ascii="Century Gothic" w:hAnsi="Century Gothic"/>
          <w:b/>
          <w:color w:val="385623" w:themeColor="accent6" w:themeShade="80"/>
          <w:kern w:val="0"/>
          <w:sz w:val="36"/>
          <w:szCs w:val="36"/>
          <w14:ligatures w14:val="none"/>
        </w:rPr>
      </w:pPr>
    </w:p>
    <w:tbl>
      <w:tblPr>
        <w:tblStyle w:val="Tabelacomgrade"/>
        <w:tblW w:w="109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D7554D" w:rsidRPr="00D7554D" w14:paraId="4AE23402" w14:textId="77777777" w:rsidTr="32069539">
        <w:trPr>
          <w:trHeight w:val="56"/>
        </w:trPr>
        <w:tc>
          <w:tcPr>
            <w:tcW w:w="10910" w:type="dxa"/>
          </w:tcPr>
          <w:p w14:paraId="5A85678B" w14:textId="77777777" w:rsidR="00D7554D" w:rsidRPr="005912ED" w:rsidRDefault="00D7554D" w:rsidP="00D7554D">
            <w:pPr>
              <w:rPr>
                <w:rFonts w:ascii="Arial" w:hAnsi="Arial" w:cs="Arial"/>
                <w:b/>
                <w:bCs/>
                <w:color w:val="385623" w:themeColor="accent6" w:themeShade="80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12ED">
              <w:rPr>
                <w:rFonts w:ascii="Arial" w:hAnsi="Arial" w:cs="Arial"/>
                <w:b/>
                <w:bCs/>
                <w:color w:val="385623" w:themeColor="accent6" w:themeShade="80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Declaração do Contador</w:t>
            </w:r>
          </w:p>
        </w:tc>
      </w:tr>
      <w:tr w:rsidR="00D7554D" w:rsidRPr="00D7554D" w14:paraId="7D243078" w14:textId="77777777" w:rsidTr="32069539">
        <w:trPr>
          <w:trHeight w:val="51"/>
        </w:trPr>
        <w:tc>
          <w:tcPr>
            <w:tcW w:w="10910" w:type="dxa"/>
          </w:tcPr>
          <w:p w14:paraId="62F21BDF" w14:textId="77777777" w:rsidR="00D7554D" w:rsidRPr="00D7554D" w:rsidRDefault="00D7554D" w:rsidP="00D7554D">
            <w:pP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26672C" w:rsidRPr="00D7554D" w14:paraId="58881745" w14:textId="77777777" w:rsidTr="32069539">
        <w:trPr>
          <w:trHeight w:val="105"/>
        </w:trPr>
        <w:tc>
          <w:tcPr>
            <w:tcW w:w="10910" w:type="dxa"/>
          </w:tcPr>
          <w:p w14:paraId="70647276" w14:textId="611195B0" w:rsidR="0026672C" w:rsidRPr="00D7554D" w:rsidRDefault="0026672C" w:rsidP="0026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Esta declaração refere-se às demonstrações contábeis e suas notas explicativas de 31 de dezembro de 202</w:t>
            </w:r>
            <w:r w:rsidR="003D6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 xml:space="preserve"> do Fundo de Desenvolvimento do Centro-Oeste - FDCO.</w:t>
            </w:r>
          </w:p>
        </w:tc>
      </w:tr>
      <w:tr w:rsidR="0026672C" w:rsidRPr="00D7554D" w14:paraId="0B097881" w14:textId="77777777" w:rsidTr="32069539">
        <w:trPr>
          <w:trHeight w:val="156"/>
        </w:trPr>
        <w:tc>
          <w:tcPr>
            <w:tcW w:w="10910" w:type="dxa"/>
          </w:tcPr>
          <w:p w14:paraId="77F19C63" w14:textId="5280333B" w:rsidR="0026672C" w:rsidRPr="00D7554D" w:rsidRDefault="0026672C" w:rsidP="0026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Esta declaração reflete a conformidade contábil das demonstrações contábeis encerradas em 31 de dezembro de 202</w:t>
            </w:r>
            <w:r w:rsidR="003D6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 xml:space="preserve"> e é pautada na </w:t>
            </w:r>
            <w:proofErr w:type="spellStart"/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Macrofunção</w:t>
            </w:r>
            <w:proofErr w:type="spellEnd"/>
            <w:r w:rsidRPr="00091A14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3D6B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15 – Conformidade Contábil presente no Manual SIAFI – Sistema Integrado de Administração Financeira do Governo Federal.</w:t>
            </w:r>
          </w:p>
        </w:tc>
      </w:tr>
      <w:tr w:rsidR="0026672C" w:rsidRPr="00D7554D" w14:paraId="6904E37B" w14:textId="77777777" w:rsidTr="32069539">
        <w:trPr>
          <w:trHeight w:val="262"/>
        </w:trPr>
        <w:tc>
          <w:tcPr>
            <w:tcW w:w="10910" w:type="dxa"/>
          </w:tcPr>
          <w:p w14:paraId="0560AE21" w14:textId="22099890" w:rsidR="0026672C" w:rsidRPr="00D7554D" w:rsidRDefault="0026672C" w:rsidP="0026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As demonstrações contábeis, Balanço Patrimonial, Demonstração de Variações Patrimoniais, Demonstração de Fluxo de Caixa, Balanço Orçamentário, Balanço Financeiro e suas notas explicativas, encerradas em 31 de dezembro de 202</w:t>
            </w:r>
            <w:r w:rsidR="003D6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, estão, em todos os aspectos relevantes, de acordo com a Lei 4.320/64, o Manual de Contabilidade Aplicada ao Setor Público e o Manual SIAFI:</w:t>
            </w:r>
          </w:p>
        </w:tc>
      </w:tr>
      <w:tr w:rsidR="0026672C" w:rsidRPr="00D7554D" w14:paraId="08E2FA9D" w14:textId="77777777" w:rsidTr="32069539">
        <w:trPr>
          <w:trHeight w:val="51"/>
        </w:trPr>
        <w:tc>
          <w:tcPr>
            <w:tcW w:w="10910" w:type="dxa"/>
          </w:tcPr>
          <w:p w14:paraId="7B97C810" w14:textId="77777777" w:rsidR="0026672C" w:rsidRPr="00D7554D" w:rsidRDefault="0026672C" w:rsidP="0026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2C" w:rsidRPr="00D7554D" w14:paraId="69326055" w14:textId="77777777" w:rsidTr="32069539">
        <w:trPr>
          <w:trHeight w:val="105"/>
        </w:trPr>
        <w:tc>
          <w:tcPr>
            <w:tcW w:w="10910" w:type="dxa"/>
          </w:tcPr>
          <w:p w14:paraId="15542166" w14:textId="77777777" w:rsidR="0026672C" w:rsidRDefault="0026672C" w:rsidP="0026672C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45C6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Ressalvas</w:t>
            </w:r>
          </w:p>
          <w:p w14:paraId="06B502A0" w14:textId="1C265E29" w:rsidR="004E45C6" w:rsidRPr="004E45C6" w:rsidRDefault="004E45C6" w:rsidP="0026672C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26672C" w:rsidRPr="00D7554D" w14:paraId="2A1C7765" w14:textId="77777777" w:rsidTr="32069539">
        <w:trPr>
          <w:trHeight w:val="418"/>
        </w:trPr>
        <w:tc>
          <w:tcPr>
            <w:tcW w:w="10910" w:type="dxa"/>
          </w:tcPr>
          <w:p w14:paraId="4CA67D29" w14:textId="793B0A06" w:rsidR="0026672C" w:rsidRPr="00D7554D" w:rsidRDefault="0026672C" w:rsidP="009D165D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          </w:t>
            </w:r>
            <w:r w:rsidR="001327E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   </w:t>
            </w:r>
            <w:r w:rsidRPr="00091A1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9D1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Nada a Declarar</w:t>
            </w:r>
          </w:p>
        </w:tc>
      </w:tr>
      <w:tr w:rsidR="0026672C" w:rsidRPr="00D7554D" w14:paraId="5B079CA6" w14:textId="77777777" w:rsidTr="32069539">
        <w:trPr>
          <w:trHeight w:val="54"/>
        </w:trPr>
        <w:tc>
          <w:tcPr>
            <w:tcW w:w="10910" w:type="dxa"/>
          </w:tcPr>
          <w:p w14:paraId="77783EA1" w14:textId="3137CCA9" w:rsidR="0026672C" w:rsidRPr="00D7554D" w:rsidRDefault="007315EC" w:rsidP="00E15A7F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327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6672C" w:rsidRPr="00D7554D" w14:paraId="576030F5" w14:textId="77777777" w:rsidTr="32069539">
        <w:trPr>
          <w:trHeight w:val="51"/>
        </w:trPr>
        <w:tc>
          <w:tcPr>
            <w:tcW w:w="10910" w:type="dxa"/>
          </w:tcPr>
          <w:p w14:paraId="7BC533C6" w14:textId="77777777" w:rsidR="0026672C" w:rsidRPr="00D7554D" w:rsidRDefault="0026672C" w:rsidP="00266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2C" w:rsidRPr="00D7554D" w14:paraId="6CEE892A" w14:textId="77777777" w:rsidTr="32069539">
        <w:trPr>
          <w:trHeight w:val="105"/>
        </w:trPr>
        <w:tc>
          <w:tcPr>
            <w:tcW w:w="10910" w:type="dxa"/>
          </w:tcPr>
          <w:p w14:paraId="202B838B" w14:textId="77777777" w:rsidR="0026672C" w:rsidRDefault="0026672C" w:rsidP="0026672C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Justificativas da permanência e providências a serem tomadas:</w:t>
            </w:r>
          </w:p>
          <w:p w14:paraId="48868D7B" w14:textId="1A06343F" w:rsidR="009B6A5E" w:rsidRPr="00D7554D" w:rsidRDefault="009B6A5E" w:rsidP="0026672C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9D165D" w:rsidRPr="00D7554D" w14:paraId="23C05DEF" w14:textId="77777777" w:rsidTr="32069539">
        <w:trPr>
          <w:trHeight w:val="313"/>
        </w:trPr>
        <w:tc>
          <w:tcPr>
            <w:tcW w:w="10910" w:type="dxa"/>
          </w:tcPr>
          <w:p w14:paraId="1610F62A" w14:textId="2E67002C" w:rsidR="009D165D" w:rsidRPr="00D7554D" w:rsidRDefault="009D165D" w:rsidP="009D165D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0D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Nada a Declarar</w:t>
            </w:r>
          </w:p>
        </w:tc>
      </w:tr>
      <w:tr w:rsidR="009D165D" w:rsidRPr="00D7554D" w14:paraId="353D1E16" w14:textId="77777777" w:rsidTr="32069539">
        <w:trPr>
          <w:trHeight w:val="105"/>
        </w:trPr>
        <w:tc>
          <w:tcPr>
            <w:tcW w:w="10910" w:type="dxa"/>
          </w:tcPr>
          <w:p w14:paraId="451AEE84" w14:textId="7C6476A9" w:rsidR="009D165D" w:rsidRPr="00D7554D" w:rsidRDefault="009D165D" w:rsidP="009D165D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D165D" w:rsidRPr="00D7554D" w14:paraId="23ECD914" w14:textId="77777777" w:rsidTr="32069539">
        <w:trPr>
          <w:trHeight w:val="113"/>
        </w:trPr>
        <w:tc>
          <w:tcPr>
            <w:tcW w:w="10910" w:type="dxa"/>
          </w:tcPr>
          <w:p w14:paraId="04B80D8F" w14:textId="65570E70" w:rsidR="009D165D" w:rsidRPr="00D7554D" w:rsidRDefault="009D165D" w:rsidP="009D165D">
            <w:pPr>
              <w:spacing w:line="256" w:lineRule="auto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26672C" w:rsidRPr="00D7554D" w14:paraId="3F6E136D" w14:textId="77777777" w:rsidTr="32069539">
        <w:trPr>
          <w:trHeight w:val="51"/>
        </w:trPr>
        <w:tc>
          <w:tcPr>
            <w:tcW w:w="10910" w:type="dxa"/>
          </w:tcPr>
          <w:p w14:paraId="50509B99" w14:textId="77777777" w:rsidR="0026672C" w:rsidRPr="00D7554D" w:rsidRDefault="0026672C" w:rsidP="0026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2C" w:rsidRPr="00D7554D" w14:paraId="0565580C" w14:textId="77777777" w:rsidTr="32069539">
        <w:trPr>
          <w:trHeight w:val="51"/>
        </w:trPr>
        <w:tc>
          <w:tcPr>
            <w:tcW w:w="10910" w:type="dxa"/>
          </w:tcPr>
          <w:p w14:paraId="7CEC0413" w14:textId="46BAB998" w:rsidR="0026672C" w:rsidRPr="00D7554D" w:rsidRDefault="0026672C" w:rsidP="00266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2069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Brasília, </w:t>
            </w:r>
            <w:r w:rsidR="031F0BF2" w:rsidRPr="32069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32069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janeiro de 202</w:t>
            </w:r>
            <w:r w:rsidR="003D6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32069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6672C" w:rsidRPr="00D7554D" w14:paraId="4E9B49FB" w14:textId="77777777" w:rsidTr="32069539">
        <w:trPr>
          <w:trHeight w:val="54"/>
        </w:trPr>
        <w:tc>
          <w:tcPr>
            <w:tcW w:w="10910" w:type="dxa"/>
          </w:tcPr>
          <w:p w14:paraId="1BEF83AD" w14:textId="0EF29768" w:rsidR="0026672C" w:rsidRPr="00D7554D" w:rsidRDefault="0026672C" w:rsidP="002667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72C" w:rsidRPr="00D7554D" w14:paraId="4DF542D1" w14:textId="77777777" w:rsidTr="32069539">
        <w:trPr>
          <w:trHeight w:val="51"/>
        </w:trPr>
        <w:tc>
          <w:tcPr>
            <w:tcW w:w="10910" w:type="dxa"/>
          </w:tcPr>
          <w:p w14:paraId="3671FC9F" w14:textId="0E564863" w:rsidR="0026672C" w:rsidRPr="00D7554D" w:rsidRDefault="009D165D" w:rsidP="00266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5D">
              <w:rPr>
                <w:rFonts w:ascii="Times New Roman" w:hAnsi="Times New Roman" w:cs="Times New Roman"/>
                <w:sz w:val="24"/>
                <w:szCs w:val="24"/>
              </w:rPr>
              <w:t>Carlos André do Carmo Silveira</w:t>
            </w:r>
          </w:p>
        </w:tc>
      </w:tr>
      <w:tr w:rsidR="0026672C" w:rsidRPr="00D7554D" w14:paraId="0EA05958" w14:textId="77777777" w:rsidTr="32069539">
        <w:trPr>
          <w:trHeight w:val="51"/>
        </w:trPr>
        <w:tc>
          <w:tcPr>
            <w:tcW w:w="10910" w:type="dxa"/>
          </w:tcPr>
          <w:p w14:paraId="55112AB6" w14:textId="21F9D7BF" w:rsidR="0026672C" w:rsidRPr="00D7554D" w:rsidRDefault="0026672C" w:rsidP="00266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 xml:space="preserve">CRC nº </w:t>
            </w:r>
            <w:r w:rsidR="009D165D">
              <w:rPr>
                <w:rFonts w:ascii="Times New Roman" w:hAnsi="Times New Roman" w:cs="Times New Roman"/>
                <w:sz w:val="24"/>
                <w:szCs w:val="24"/>
              </w:rPr>
              <w:t>021281/O-0</w:t>
            </w:r>
          </w:p>
        </w:tc>
      </w:tr>
      <w:tr w:rsidR="0026672C" w:rsidRPr="00D7554D" w14:paraId="0F3CC5D0" w14:textId="77777777" w:rsidTr="32069539">
        <w:trPr>
          <w:trHeight w:val="51"/>
        </w:trPr>
        <w:tc>
          <w:tcPr>
            <w:tcW w:w="10910" w:type="dxa"/>
          </w:tcPr>
          <w:p w14:paraId="3890348D" w14:textId="08D670DD" w:rsidR="0026672C" w:rsidRPr="00D7554D" w:rsidRDefault="0026672C" w:rsidP="00266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14">
              <w:rPr>
                <w:rFonts w:ascii="Times New Roman" w:hAnsi="Times New Roman" w:cs="Times New Roman"/>
                <w:sz w:val="24"/>
                <w:szCs w:val="24"/>
              </w:rPr>
              <w:t>Contador</w:t>
            </w:r>
          </w:p>
        </w:tc>
      </w:tr>
      <w:tr w:rsidR="0026672C" w:rsidRPr="00D7554D" w14:paraId="4F8D1B48" w14:textId="77777777" w:rsidTr="32069539">
        <w:trPr>
          <w:trHeight w:val="34"/>
        </w:trPr>
        <w:tc>
          <w:tcPr>
            <w:tcW w:w="10910" w:type="dxa"/>
          </w:tcPr>
          <w:p w14:paraId="297D8612" w14:textId="510B2E94" w:rsidR="0026672C" w:rsidRPr="00D7554D" w:rsidRDefault="0026672C" w:rsidP="0026672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Times New Roman"/>
                <w:b/>
                <w:bCs/>
                <w:color w:val="385623" w:themeColor="accent6" w:themeShade="80"/>
                <w:kern w:val="3"/>
                <w:sz w:val="28"/>
                <w:szCs w:val="28"/>
                <w:lang w:eastAsia="zh-CN" w:bidi="hi-IN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</w:tbl>
    <w:p w14:paraId="735C8294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3F0A5769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0AC82380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ligatures w14:val="none"/>
        </w:rPr>
      </w:pPr>
    </w:p>
    <w:p w14:paraId="3B069C7F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ligatures w14:val="none"/>
        </w:rPr>
      </w:pPr>
    </w:p>
    <w:p w14:paraId="7292B0DA" w14:textId="21158DE6" w:rsidR="32069539" w:rsidRDefault="32069539" w:rsidP="32069539">
      <w:pPr>
        <w:widowControl w:val="0"/>
        <w:spacing w:after="0" w:line="240" w:lineRule="auto"/>
        <w:rPr>
          <w:rFonts w:ascii="Century Gothic" w:eastAsia="SimSun" w:hAnsi="Century Gothic" w:cs="Times New Roman"/>
          <w:b/>
          <w:bCs/>
          <w:color w:val="385623" w:themeColor="accent6" w:themeShade="80"/>
          <w:sz w:val="28"/>
          <w:szCs w:val="28"/>
          <w:lang w:eastAsia="zh-CN" w:bidi="hi-IN"/>
        </w:rPr>
      </w:pPr>
    </w:p>
    <w:p w14:paraId="2B3C2D71" w14:textId="77777777" w:rsidR="003D6BD8" w:rsidRDefault="003D6BD8" w:rsidP="32069539">
      <w:pPr>
        <w:widowControl w:val="0"/>
        <w:spacing w:after="0" w:line="240" w:lineRule="auto"/>
        <w:rPr>
          <w:rFonts w:ascii="Century Gothic" w:eastAsia="SimSun" w:hAnsi="Century Gothic" w:cs="Times New Roman"/>
          <w:b/>
          <w:bCs/>
          <w:color w:val="385623" w:themeColor="accent6" w:themeShade="80"/>
          <w:sz w:val="28"/>
          <w:szCs w:val="28"/>
          <w:lang w:eastAsia="zh-CN" w:bidi="hi-IN"/>
        </w:rPr>
      </w:pPr>
    </w:p>
    <w:p w14:paraId="0EB531B9" w14:textId="77F4CDD9" w:rsidR="32069539" w:rsidRDefault="32069539" w:rsidP="32069539">
      <w:pPr>
        <w:widowControl w:val="0"/>
        <w:spacing w:after="0" w:line="240" w:lineRule="auto"/>
        <w:rPr>
          <w:rFonts w:ascii="Century Gothic" w:eastAsia="SimSun" w:hAnsi="Century Gothic" w:cs="Times New Roman"/>
          <w:b/>
          <w:bCs/>
          <w:color w:val="385623" w:themeColor="accent6" w:themeShade="80"/>
          <w:sz w:val="28"/>
          <w:szCs w:val="28"/>
          <w:lang w:eastAsia="zh-CN" w:bidi="hi-IN"/>
        </w:rPr>
      </w:pPr>
    </w:p>
    <w:p w14:paraId="07AE9A6B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ligatures w14:val="none"/>
        </w:rPr>
      </w:pPr>
    </w:p>
    <w:p w14:paraId="5066AC0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ligatures w14:val="none"/>
        </w:rPr>
      </w:pPr>
    </w:p>
    <w:p w14:paraId="0DE24204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 w:rsidRPr="00A8745C">
        <w:rPr>
          <w:rFonts w:ascii="Century Gothic" w:eastAsia="SimSun" w:hAnsi="Century Gothic" w:cs="Times New Roman"/>
          <w:b/>
          <w:bCs/>
          <w:color w:val="8EAADB" w:themeColor="accent1" w:themeTint="99"/>
          <w:kern w:val="3"/>
          <w:sz w:val="28"/>
          <w:szCs w:val="28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lastRenderedPageBreak/>
        <w:t>Contexto Operacional</w:t>
      </w:r>
      <w:r w:rsidRPr="00D7554D">
        <w:rPr>
          <w:rFonts w:ascii="Century Gothic" w:eastAsia="SimSun" w:hAnsi="Century Gothic" w:cs="Times New Roman"/>
          <w:b/>
          <w:bCs/>
          <w:color w:val="385623" w:themeColor="accent6" w:themeShade="80"/>
          <w:kern w:val="3"/>
          <w:sz w:val="28"/>
          <w:szCs w:val="28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 xml:space="preserve"> </w:t>
      </w:r>
    </w:p>
    <w:p w14:paraId="3C0B5325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981750E" w14:textId="2D5E9C0A" w:rsidR="00D7554D" w:rsidRPr="00D7554D" w:rsidRDefault="00D7554D" w:rsidP="00D7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Fundo de Desenvolvimento do Centro-Oeste – FDCO, criada pela Lei Complementar n° 129, de 8 de janeiro de 2009, regulamentada pelo Decreto n° </w:t>
      </w:r>
      <w:r w:rsidR="003D6BD8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10.152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de </w:t>
      </w:r>
      <w:r w:rsidR="003D6BD8">
        <w:rPr>
          <w:rFonts w:ascii="Times New Roman" w:hAnsi="Times New Roman" w:cs="Times New Roman"/>
          <w:kern w:val="0"/>
          <w:sz w:val="24"/>
          <w:szCs w:val="24"/>
          <w14:ligatures w14:val="none"/>
        </w:rPr>
        <w:t>02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r w:rsidR="003D6BD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dezembro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201</w:t>
      </w:r>
      <w:r w:rsidR="003D6BD8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é um fundo de natureza contábil, vinculado à Superintendência de Desenvolvimento do Centro-Oeste, autarquia com autonomia administrativa e financeira, integrante do Sistema de Planejamento e de Orçamento Federal, vinculada ao Ministério d</w:t>
      </w:r>
      <w:r w:rsidR="00077DC8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7DC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Integração </w:t>
      </w:r>
      <w:r w:rsidR="009542A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 do 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Desenvolvimento Regional, com sede e foro em Brasília, Distrito Federal.</w:t>
      </w:r>
    </w:p>
    <w:p w14:paraId="16745FEC" w14:textId="77777777" w:rsidR="00D7554D" w:rsidRPr="00D7554D" w:rsidRDefault="00D7554D" w:rsidP="00D7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909F4E" w14:textId="77777777" w:rsidR="00D7554D" w:rsidRPr="00D7554D" w:rsidRDefault="00D7554D" w:rsidP="00D7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FDCO tem a finalidade de assegurar recursos para a implantação de projetos de desenvolvimento e a realização de investimentos em infraestrutura, ações e serviços públicos considerados prioritários no Plano Regional de Desenvolvimento do Centro-Oeste – PRDCO.</w:t>
      </w:r>
    </w:p>
    <w:p w14:paraId="0C3C1A27" w14:textId="77777777" w:rsidR="00D7554D" w:rsidRPr="00D7554D" w:rsidRDefault="00D7554D" w:rsidP="00D7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8C4011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Estas e outras informações relevantes a respeito do Fundo de Desenvolvimento do Centro-Oeste relacionadas com suas funções, estrutura, atividades e outras notícias podem ser encontradas no site </w:t>
      </w:r>
      <w:hyperlink r:id="rId11" w:history="1">
        <w:r w:rsidRPr="00D7554D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  <w14:ligatures w14:val="none"/>
          </w:rPr>
          <w:t xml:space="preserve">https://www.gov.br/sudeco/pt-br/assuntos/fundo-de-desenvolvimento-do-centro-oeste </w:t>
        </w:r>
      </w:hyperlink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126AAEAB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1BB8B6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2DF812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36A7861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698F874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99AF96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95ECBE5" w14:textId="77777777" w:rsid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5C6DA94" w14:textId="77777777" w:rsidR="00367770" w:rsidRDefault="00367770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8F7B599" w14:textId="77777777" w:rsidR="00367770" w:rsidRDefault="00367770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FD8058C" w14:textId="77777777" w:rsidR="00367770" w:rsidRDefault="00367770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1B28729" w14:textId="77777777" w:rsidR="00367770" w:rsidRDefault="00367770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9308406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8D991E3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D1938E1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03D8C88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5834CA3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21ADE07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8CF9C63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1FDA690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3165964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5804CF9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C9B64D1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D0F7D34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4DA3776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E8AFD82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A732517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4EE35D3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6CD9BA8" w14:textId="77777777" w:rsidR="009D165D" w:rsidRDefault="009D165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4C0E42F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6FED0AB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897F1AE" w14:textId="77777777" w:rsid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FFAF898" w14:textId="2993903D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sectPr w:rsidR="00D7554D" w:rsidRPr="00D7554D" w:rsidSect="001C5D2A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9F67C1" w14:textId="77777777" w:rsidR="009D165D" w:rsidRDefault="009D165D" w:rsidP="009D165D">
      <w:pPr>
        <w:pStyle w:val="Corpodetexto"/>
        <w:ind w:left="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FE43CD0" wp14:editId="5E38E112">
                <wp:extent cx="9421978" cy="277978"/>
                <wp:effectExtent l="0" t="0" r="8255" b="825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1978" cy="277978"/>
                        </a:xfrm>
                        <a:prstGeom prst="rect">
                          <a:avLst/>
                        </a:prstGeom>
                        <a:solidFill>
                          <a:srgbClr val="DAE8F7"/>
                        </a:solidFill>
                      </wps:spPr>
                      <wps:txbx>
                        <w:txbxContent>
                          <w:p w14:paraId="126BD42F" w14:textId="77777777" w:rsidR="00ED4ABE" w:rsidRPr="007C1A6C" w:rsidRDefault="00ED4ABE" w:rsidP="00ED4ABE">
                            <w:pPr>
                              <w:widowControl w:val="0"/>
                              <w:shd w:val="clear" w:color="auto" w:fill="E2EFD9" w:themeFill="accent6" w:themeFillTint="33"/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SimSun" w:hAnsi="Century Gothic" w:cs="Times New Roman"/>
                                <w:b/>
                                <w:color w:val="385623" w:themeColor="accent6" w:themeShade="80"/>
                                <w:kern w:val="3"/>
                                <w:sz w:val="28"/>
                                <w:szCs w:val="28"/>
                                <w:lang w:eastAsia="zh-CN" w:bidi="hi-I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ligatures w14:val="none"/>
                              </w:rPr>
                            </w:pPr>
                            <w:r w:rsidRPr="007C1A6C">
                              <w:rPr>
                                <w:rFonts w:ascii="Century Gothic" w:eastAsia="SimSun" w:hAnsi="Century Gothic" w:cs="Times New Roman"/>
                                <w:b/>
                                <w:color w:val="385623" w:themeColor="accent6" w:themeShade="80"/>
                                <w:kern w:val="3"/>
                                <w:sz w:val="28"/>
                                <w:szCs w:val="28"/>
                                <w:lang w:eastAsia="zh-CN" w:bidi="hi-I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ligatures w14:val="none"/>
                              </w:rPr>
                              <w:t>Demonstrações Contábeis</w:t>
                            </w:r>
                            <w:r>
                              <w:rPr>
                                <w:rFonts w:ascii="Century Gothic" w:eastAsia="SimSun" w:hAnsi="Century Gothic" w:cs="Times New Roman"/>
                                <w:b/>
                                <w:color w:val="385623" w:themeColor="accent6" w:themeShade="80"/>
                                <w:kern w:val="3"/>
                                <w:sz w:val="28"/>
                                <w:szCs w:val="28"/>
                                <w:lang w:eastAsia="zh-CN" w:bidi="hi-I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ligatures w14:val="none"/>
                              </w:rPr>
                              <w:t xml:space="preserve"> - Fundo do Desenvolvimento do Centro-Oeste</w:t>
                            </w:r>
                          </w:p>
                          <w:p w14:paraId="5FAAE1F8" w14:textId="5AF83354" w:rsidR="009D165D" w:rsidRDefault="009D165D" w:rsidP="009D165D">
                            <w:pPr>
                              <w:pStyle w:val="Corpodetexto"/>
                              <w:spacing w:before="3"/>
                              <w:ind w:right="22"/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E43C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41.9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" fillcolor="#dae8f7" stroked="f">
                <v:textbox inset="0,0,0,0">
                  <w:txbxContent>
                    <w:p w14:paraId="126BD42F" w14:textId="77777777" w:rsidR="00ED4ABE" w:rsidRPr="007C1A6C" w:rsidRDefault="00ED4ABE" w:rsidP="00ED4ABE">
                      <w:pPr>
                        <w:widowControl w:val="0"/>
                        <w:shd w:val="clear" w:color="auto" w:fill="E2EFD9" w:themeFill="accent6" w:themeFillTint="33"/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Century Gothic" w:eastAsia="SimSun" w:hAnsi="Century Gothic" w:cs="Times New Roman"/>
                          <w:b/>
                          <w:color w:val="385623" w:themeColor="accent6" w:themeShade="80"/>
                          <w:kern w:val="3"/>
                          <w:sz w:val="28"/>
                          <w:szCs w:val="28"/>
                          <w:lang w:eastAsia="zh-CN" w:bidi="hi-I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ligatures w14:val="none"/>
                        </w:rPr>
                      </w:pPr>
                      <w:r w:rsidRPr="007C1A6C">
                        <w:rPr>
                          <w:rFonts w:ascii="Century Gothic" w:eastAsia="SimSun" w:hAnsi="Century Gothic" w:cs="Times New Roman"/>
                          <w:b/>
                          <w:color w:val="385623" w:themeColor="accent6" w:themeShade="80"/>
                          <w:kern w:val="3"/>
                          <w:sz w:val="28"/>
                          <w:szCs w:val="28"/>
                          <w:lang w:eastAsia="zh-CN" w:bidi="hi-I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ligatures w14:val="none"/>
                        </w:rPr>
                        <w:t>Demonstrações Contábeis</w:t>
                      </w:r>
                      <w:r>
                        <w:rPr>
                          <w:rFonts w:ascii="Century Gothic" w:eastAsia="SimSun" w:hAnsi="Century Gothic" w:cs="Times New Roman"/>
                          <w:b/>
                          <w:color w:val="385623" w:themeColor="accent6" w:themeShade="80"/>
                          <w:kern w:val="3"/>
                          <w:sz w:val="28"/>
                          <w:szCs w:val="28"/>
                          <w:lang w:eastAsia="zh-CN" w:bidi="hi-I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ligatures w14:val="none"/>
                        </w:rPr>
                        <w:t xml:space="preserve"> - Fundo do Desenvolvimento do Centro-Oeste</w:t>
                      </w:r>
                    </w:p>
                    <w:p w14:paraId="5FAAE1F8" w14:textId="5AF83354" w:rsidR="009D165D" w:rsidRDefault="009D165D" w:rsidP="009D165D">
                      <w:pPr>
                        <w:pStyle w:val="Corpodetexto"/>
                        <w:spacing w:before="3"/>
                        <w:ind w:right="22"/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5C227E" w14:textId="77777777" w:rsidR="009D165D" w:rsidRDefault="009D165D" w:rsidP="009D165D">
      <w:pPr>
        <w:pStyle w:val="Corpodetexto"/>
        <w:spacing w:before="104"/>
        <w:rPr>
          <w:rFonts w:ascii="Times New Roman"/>
        </w:rPr>
      </w:pPr>
    </w:p>
    <w:p w14:paraId="6A72C511" w14:textId="77777777" w:rsidR="009D165D" w:rsidRDefault="009D165D" w:rsidP="009D165D">
      <w:pPr>
        <w:rPr>
          <w:rFonts w:ascii="Arial" w:hAnsi="Arial" w:cs="Arial"/>
          <w:color w:val="538135" w:themeColor="accent6" w:themeShade="BF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E67F6E">
        <w:rPr>
          <w:rFonts w:ascii="Arial" w:hAnsi="Arial" w:cs="Arial"/>
          <w:color w:val="538135" w:themeColor="accent6" w:themeShade="BF"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Balanço</w:t>
      </w:r>
      <w:r w:rsidRPr="00E67F6E">
        <w:rPr>
          <w:rFonts w:ascii="Century Gothic" w:hAnsi="Century Gothic" w:cs="Times New Roman"/>
          <w:color w:val="538135" w:themeColor="accent6" w:themeShade="BF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 xml:space="preserve"> </w:t>
      </w:r>
      <w:r w:rsidRPr="00E67F6E">
        <w:rPr>
          <w:rFonts w:ascii="Arial" w:hAnsi="Arial" w:cs="Arial"/>
          <w:color w:val="538135" w:themeColor="accent6" w:themeShade="BF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Patrimonial</w:t>
      </w:r>
    </w:p>
    <w:p w14:paraId="6BD99B02" w14:textId="6CE6D62E" w:rsidR="006323CE" w:rsidRPr="00E67F6E" w:rsidRDefault="006323CE" w:rsidP="009D165D">
      <w:pPr>
        <w:rPr>
          <w:rFonts w:ascii="Century Gothic" w:hAnsi="Century Gothic" w:cs="Times New Roman"/>
          <w:color w:val="538135" w:themeColor="accent6" w:themeShade="BF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6323CE">
        <w:rPr>
          <w:noProof/>
        </w:rPr>
        <w:drawing>
          <wp:inline distT="0" distB="0" distL="0" distR="0" wp14:anchorId="38C26620" wp14:editId="57BC5E6A">
            <wp:extent cx="9777730" cy="3888740"/>
            <wp:effectExtent l="0" t="0" r="0" b="0"/>
            <wp:docPr id="845888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4B8F" w14:textId="45E4B41B" w:rsidR="009D165D" w:rsidRDefault="00482573" w:rsidP="009D165D">
      <w:pPr>
        <w:spacing w:before="6" w:after="1"/>
        <w:rPr>
          <w:b/>
          <w:sz w:val="11"/>
        </w:rPr>
      </w:pPr>
      <w:r>
        <w:rPr>
          <w:b/>
          <w:sz w:val="11"/>
        </w:rPr>
        <w:t>FONTE SIAFI 26/01/2026</w:t>
      </w:r>
    </w:p>
    <w:p w14:paraId="66D7E3BF" w14:textId="77777777" w:rsidR="006323CE" w:rsidRDefault="006323CE" w:rsidP="009D165D">
      <w:pPr>
        <w:pStyle w:val="Corpodetexto"/>
        <w:spacing w:before="1" w:after="13"/>
        <w:ind w:left="112"/>
        <w:rPr>
          <w:spacing w:val="-2"/>
        </w:rPr>
      </w:pPr>
    </w:p>
    <w:p w14:paraId="2137671B" w14:textId="77777777" w:rsidR="006323CE" w:rsidRDefault="006323CE" w:rsidP="009D165D">
      <w:pPr>
        <w:pStyle w:val="Corpodetexto"/>
        <w:spacing w:before="1" w:after="13"/>
        <w:ind w:left="112"/>
        <w:rPr>
          <w:spacing w:val="-2"/>
        </w:rPr>
      </w:pPr>
    </w:p>
    <w:p w14:paraId="5E72D986" w14:textId="6A9BB6A5" w:rsidR="006323CE" w:rsidRDefault="006323CE" w:rsidP="009D165D">
      <w:pPr>
        <w:pStyle w:val="Corpodetexto"/>
        <w:spacing w:before="1" w:after="13"/>
        <w:ind w:left="112"/>
        <w:rPr>
          <w:spacing w:val="-2"/>
        </w:rPr>
      </w:pPr>
      <w:r w:rsidRPr="006323CE">
        <w:rPr>
          <w:noProof/>
        </w:rPr>
        <w:lastRenderedPageBreak/>
        <w:drawing>
          <wp:inline distT="0" distB="0" distL="0" distR="0" wp14:anchorId="007FDDE5" wp14:editId="22852FCF">
            <wp:extent cx="9379651" cy="1009498"/>
            <wp:effectExtent l="0" t="0" r="0" b="635"/>
            <wp:docPr id="20425163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1" cy="101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46EAB" w14:textId="77777777" w:rsidR="006323CE" w:rsidRDefault="006323CE" w:rsidP="009D165D">
      <w:pPr>
        <w:pStyle w:val="Corpodetexto"/>
        <w:spacing w:before="1" w:after="13"/>
        <w:ind w:left="112"/>
        <w:rPr>
          <w:spacing w:val="-2"/>
        </w:rPr>
      </w:pPr>
    </w:p>
    <w:p w14:paraId="775FBE82" w14:textId="77777777" w:rsidR="006323CE" w:rsidRDefault="006323CE" w:rsidP="009D165D">
      <w:pPr>
        <w:pStyle w:val="Corpodetexto"/>
        <w:spacing w:before="1" w:after="13"/>
        <w:ind w:left="112"/>
        <w:rPr>
          <w:spacing w:val="-2"/>
        </w:rPr>
      </w:pPr>
    </w:p>
    <w:p w14:paraId="72D7D3B4" w14:textId="77777777" w:rsidR="006323CE" w:rsidRDefault="006323CE" w:rsidP="009D165D">
      <w:pPr>
        <w:pStyle w:val="Corpodetexto"/>
        <w:spacing w:before="1" w:after="13"/>
        <w:ind w:left="112"/>
        <w:rPr>
          <w:spacing w:val="-2"/>
        </w:rPr>
      </w:pPr>
    </w:p>
    <w:p w14:paraId="2C1D74B7" w14:textId="5DC87A17" w:rsidR="006323CE" w:rsidRDefault="006323CE" w:rsidP="009D165D">
      <w:pPr>
        <w:pStyle w:val="Corpodetexto"/>
        <w:spacing w:before="1" w:after="13"/>
        <w:ind w:left="112"/>
      </w:pPr>
      <w:r w:rsidRPr="006323CE">
        <w:rPr>
          <w:noProof/>
        </w:rPr>
        <w:drawing>
          <wp:inline distT="0" distB="0" distL="0" distR="0" wp14:anchorId="7C4440EB" wp14:editId="1D8C3FC4">
            <wp:extent cx="6120109" cy="1119226"/>
            <wp:effectExtent l="0" t="0" r="0" b="5080"/>
            <wp:docPr id="208625878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290" cy="113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662A" w14:textId="15E01D6D" w:rsidR="009D165D" w:rsidRDefault="00482573" w:rsidP="009D165D">
      <w:pPr>
        <w:pStyle w:val="Corpodetexto"/>
      </w:pPr>
      <w:r>
        <w:t xml:space="preserve">   FONTE SIAFI 26/01/2026</w:t>
      </w:r>
    </w:p>
    <w:p w14:paraId="37042F20" w14:textId="77777777" w:rsidR="009D165D" w:rsidRDefault="009D165D" w:rsidP="009D165D">
      <w:pPr>
        <w:pStyle w:val="Corpodetexto"/>
        <w:spacing w:before="33"/>
      </w:pPr>
    </w:p>
    <w:p w14:paraId="2C07EF29" w14:textId="77777777" w:rsidR="009D165D" w:rsidRDefault="009D165D" w:rsidP="009D165D">
      <w:pPr>
        <w:pStyle w:val="Corpodetexto"/>
        <w:spacing w:before="27"/>
      </w:pPr>
    </w:p>
    <w:p w14:paraId="33B4587A" w14:textId="77777777" w:rsidR="00DF1139" w:rsidRDefault="00DF1139" w:rsidP="00DF1139">
      <w:pPr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8787A27" w14:textId="77777777" w:rsidR="00DF1139" w:rsidRDefault="00DF1139" w:rsidP="00DF1139">
      <w:pPr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95D2AE6" w14:textId="77777777" w:rsidR="00DF1139" w:rsidRDefault="00DF1139" w:rsidP="00DF1139">
      <w:pPr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B322794" w14:textId="77777777" w:rsidR="00DF1139" w:rsidRDefault="00DF1139" w:rsidP="00DF1139">
      <w:pPr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180F399" w14:textId="77777777" w:rsidR="00DF1139" w:rsidRDefault="00DF1139" w:rsidP="00DF1139">
      <w:pPr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2ED9232" w14:textId="77777777" w:rsidR="00DF1139" w:rsidRDefault="00DF1139" w:rsidP="00DF1139">
      <w:pPr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7040C86" w14:textId="5F0E54BD" w:rsidR="00DF1139" w:rsidRDefault="00DF1139" w:rsidP="00DF1139">
      <w:pPr>
        <w:rPr>
          <w:rFonts w:ascii="Arial" w:eastAsia="Times New Roman" w:hAnsi="Arial" w:cs="Arial"/>
          <w:bCs/>
          <w:color w:val="538135" w:themeColor="accent6" w:themeShade="BF"/>
          <w:sz w:val="26"/>
          <w:szCs w:val="26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5EED"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Demonstração</w:t>
      </w:r>
      <w:r w:rsidRPr="00735EED">
        <w:rPr>
          <w:rFonts w:ascii="Times New Roman" w:eastAsia="Times New Roman" w:hAnsi="Times New Roman" w:cs="Times New Roman"/>
          <w:color w:val="538135" w:themeColor="accent6" w:themeShade="BF"/>
          <w:sz w:val="20"/>
          <w:szCs w:val="20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35EED">
        <w:rPr>
          <w:rFonts w:ascii="Arial" w:eastAsia="Times New Roman" w:hAnsi="Arial" w:cs="Arial"/>
          <w:color w:val="538135" w:themeColor="accent6" w:themeShade="BF"/>
          <w:sz w:val="26"/>
          <w:szCs w:val="26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das Variações Patrimoniais</w:t>
      </w:r>
    </w:p>
    <w:p w14:paraId="60FEBA1D" w14:textId="7DF59603" w:rsidR="00D7554D" w:rsidRDefault="00D7554D" w:rsidP="00D7554D">
      <w:pPr>
        <w:rPr>
          <w:kern w:val="0"/>
          <w:sz w:val="18"/>
          <w:szCs w:val="18"/>
          <w14:ligatures w14:val="none"/>
        </w:rPr>
      </w:pPr>
    </w:p>
    <w:p w14:paraId="03C777FB" w14:textId="2544F305" w:rsidR="3F3967D0" w:rsidRDefault="00DF1139" w:rsidP="3F3967D0">
      <w:pPr>
        <w:rPr>
          <w:sz w:val="18"/>
          <w:szCs w:val="18"/>
        </w:rPr>
      </w:pPr>
      <w:r w:rsidRPr="00DF1139">
        <w:rPr>
          <w:noProof/>
        </w:rPr>
        <w:drawing>
          <wp:inline distT="0" distB="0" distL="0" distR="0" wp14:anchorId="02724728" wp14:editId="5541C558">
            <wp:extent cx="8090611" cy="3008613"/>
            <wp:effectExtent l="0" t="0" r="5715" b="1905"/>
            <wp:docPr id="170324099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392" cy="30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2276B" w14:textId="500744A3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  <w:r w:rsidRPr="0AFE84D4">
        <w:rPr>
          <w:rFonts w:ascii="Arial" w:eastAsia="Arial" w:hAnsi="Arial" w:cs="Arial"/>
          <w:sz w:val="15"/>
          <w:szCs w:val="15"/>
          <w:lang w:val="pt"/>
        </w:rPr>
        <w:t xml:space="preserve">Fonte: SIAFI (em R$) em </w:t>
      </w:r>
      <w:r>
        <w:rPr>
          <w:rFonts w:ascii="Arial" w:eastAsia="Arial" w:hAnsi="Arial" w:cs="Arial"/>
          <w:sz w:val="15"/>
          <w:szCs w:val="15"/>
          <w:lang w:val="pt"/>
        </w:rPr>
        <w:t>2</w:t>
      </w:r>
      <w:r w:rsidRPr="0AFE84D4">
        <w:rPr>
          <w:rFonts w:ascii="Arial" w:eastAsia="Arial" w:hAnsi="Arial" w:cs="Arial"/>
          <w:sz w:val="15"/>
          <w:szCs w:val="15"/>
          <w:lang w:val="pt"/>
        </w:rPr>
        <w:t>6.01.202</w:t>
      </w:r>
      <w:r>
        <w:rPr>
          <w:rFonts w:ascii="Arial" w:eastAsia="Arial" w:hAnsi="Arial" w:cs="Arial"/>
          <w:sz w:val="15"/>
          <w:szCs w:val="15"/>
          <w:lang w:val="pt"/>
        </w:rPr>
        <w:t>6</w:t>
      </w:r>
      <w:r>
        <w:rPr>
          <w:rFonts w:ascii="Times New Roman"/>
          <w:sz w:val="20"/>
        </w:rPr>
        <w:tab/>
      </w:r>
    </w:p>
    <w:p w14:paraId="244ED67F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0EA7074D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16C82FC3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72BCC6C4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6FAA7B6D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1B4F3E80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65C02CC4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5889DE07" w14:textId="77777777" w:rsidR="00DF1139" w:rsidRDefault="00DF1139" w:rsidP="00DF1139">
      <w:pPr>
        <w:pStyle w:val="Corpodetexto"/>
        <w:tabs>
          <w:tab w:val="left" w:pos="1463"/>
        </w:tabs>
        <w:ind w:left="119"/>
        <w:rPr>
          <w:rFonts w:ascii="Times New Roman"/>
          <w:sz w:val="20"/>
        </w:rPr>
      </w:pPr>
    </w:p>
    <w:p w14:paraId="2ADE9AD4" w14:textId="31EB76AE" w:rsidR="00513D0E" w:rsidRDefault="00513D0E" w:rsidP="00513D0E">
      <w:pPr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75165"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Balanço</w:t>
      </w:r>
      <w:r w:rsidRPr="00675165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Orçamentário</w:t>
      </w:r>
    </w:p>
    <w:tbl>
      <w:tblPr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9"/>
        <w:gridCol w:w="2416"/>
        <w:gridCol w:w="2416"/>
        <w:gridCol w:w="2302"/>
        <w:gridCol w:w="2305"/>
        <w:gridCol w:w="222"/>
      </w:tblGrid>
      <w:tr w:rsidR="00974854" w:rsidRPr="00974854" w14:paraId="065F2FF8" w14:textId="77777777" w:rsidTr="00974854">
        <w:trPr>
          <w:gridAfter w:val="1"/>
          <w:wAfter w:w="222" w:type="dxa"/>
          <w:trHeight w:val="592"/>
        </w:trPr>
        <w:tc>
          <w:tcPr>
            <w:tcW w:w="145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5DB3A7A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</w:t>
            </w:r>
          </w:p>
        </w:tc>
      </w:tr>
      <w:tr w:rsidR="00974854" w:rsidRPr="00974854" w14:paraId="07E2BD0D" w14:textId="77777777" w:rsidTr="00974854">
        <w:trPr>
          <w:trHeight w:val="26"/>
        </w:trPr>
        <w:tc>
          <w:tcPr>
            <w:tcW w:w="14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E1D0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9C30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74854" w:rsidRPr="00974854" w14:paraId="7E436799" w14:textId="77777777" w:rsidTr="00974854">
        <w:trPr>
          <w:trHeight w:val="60"/>
        </w:trPr>
        <w:tc>
          <w:tcPr>
            <w:tcW w:w="14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4682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B834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0D604C96" w14:textId="77777777" w:rsidTr="00974854">
        <w:trPr>
          <w:trHeight w:val="653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7AEA4812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 ORÇAMENTÁRIAS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08DBE589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PREVISÃO INICIAL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77016A25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PREVISÃO ATUALIZADA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0C52022F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 REALIZADAS</w:t>
            </w:r>
          </w:p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412A788D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SALDO</w:t>
            </w:r>
          </w:p>
        </w:tc>
        <w:tc>
          <w:tcPr>
            <w:tcW w:w="222" w:type="dxa"/>
            <w:vAlign w:val="center"/>
            <w:hideMark/>
          </w:tcPr>
          <w:p w14:paraId="155F8AE6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AD689EE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266BE5B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 CORRENTES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7AA174CF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220.243.117,00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F0B1B8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220.243.117,00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82C5E2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120.164.054,00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292553B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-100.079.063,00</w:t>
            </w:r>
          </w:p>
        </w:tc>
        <w:tc>
          <w:tcPr>
            <w:tcW w:w="222" w:type="dxa"/>
            <w:vAlign w:val="center"/>
            <w:hideMark/>
          </w:tcPr>
          <w:p w14:paraId="180960E2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26C702C3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3764268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Receita Patrimonial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ADE6C8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201.465.195,00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1F6E56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201.465.195,00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7CAFF86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101.255.531,34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1B99B7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-100.209.663,66</w:t>
            </w:r>
          </w:p>
        </w:tc>
        <w:tc>
          <w:tcPr>
            <w:tcW w:w="222" w:type="dxa"/>
            <w:vAlign w:val="center"/>
            <w:hideMark/>
          </w:tcPr>
          <w:p w14:paraId="488EBBCA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70AC0543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C1BD2B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Valores Mobiliários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82FBA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201.465.195,00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FD1820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201.465.195,00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93510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101.255.531,34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98455F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-100.209.663,66</w:t>
            </w:r>
          </w:p>
        </w:tc>
        <w:tc>
          <w:tcPr>
            <w:tcW w:w="222" w:type="dxa"/>
            <w:vAlign w:val="center"/>
            <w:hideMark/>
          </w:tcPr>
          <w:p w14:paraId="43AA2075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16D86B5F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252D69A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Receita de Serviços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EFF7DC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18.731.597,00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A891F1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18.731.597,00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97AD9D2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18.908.522,66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903421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176.925,66</w:t>
            </w:r>
          </w:p>
        </w:tc>
        <w:tc>
          <w:tcPr>
            <w:tcW w:w="222" w:type="dxa"/>
            <w:vAlign w:val="center"/>
            <w:hideMark/>
          </w:tcPr>
          <w:p w14:paraId="0D0BC02E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73CBA3FC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9BDA01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Serviços e Atividades Financeiras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71E9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18.731.597,00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CA87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18.731.597,00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6FC5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18.908.522,66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4BCCF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176.925,66</w:t>
            </w:r>
          </w:p>
        </w:tc>
        <w:tc>
          <w:tcPr>
            <w:tcW w:w="222" w:type="dxa"/>
            <w:vAlign w:val="center"/>
            <w:hideMark/>
          </w:tcPr>
          <w:p w14:paraId="5604089F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005C3017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65EEDC9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Outras Receitas Correntes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2D51FF1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46.325,00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5375E4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46.325,00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828C20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EA95B05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-46.325,00</w:t>
            </w:r>
          </w:p>
        </w:tc>
        <w:tc>
          <w:tcPr>
            <w:tcW w:w="222" w:type="dxa"/>
            <w:vAlign w:val="center"/>
            <w:hideMark/>
          </w:tcPr>
          <w:p w14:paraId="321590AE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633ED92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DA3C4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Multas e Juros de Mora das Receitas de Capital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085FE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46.325,00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D1702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46.325,00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C8BDB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31A1C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-46.325,00</w:t>
            </w:r>
          </w:p>
        </w:tc>
        <w:tc>
          <w:tcPr>
            <w:tcW w:w="222" w:type="dxa"/>
            <w:vAlign w:val="center"/>
            <w:hideMark/>
          </w:tcPr>
          <w:p w14:paraId="74AD44C3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5D9DD5E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12DC6D8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 DE CAPITAL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543206E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67.680.788,00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E400C90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67.680.788,00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A2EAF2E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137.726.728,62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C033A6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70.045.940,62</w:t>
            </w:r>
          </w:p>
        </w:tc>
        <w:tc>
          <w:tcPr>
            <w:tcW w:w="222" w:type="dxa"/>
            <w:vAlign w:val="center"/>
            <w:hideMark/>
          </w:tcPr>
          <w:p w14:paraId="72E427DA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402E3DDF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0E2CB4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Amortizações de Empréstimos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5A8C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67.680.788,00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B93E7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67.680.788,00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9DB64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137.726.728,62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67200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70.045.940,62</w:t>
            </w:r>
          </w:p>
        </w:tc>
        <w:tc>
          <w:tcPr>
            <w:tcW w:w="222" w:type="dxa"/>
            <w:vAlign w:val="center"/>
            <w:hideMark/>
          </w:tcPr>
          <w:p w14:paraId="0C44A302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6736DED3" w14:textId="77777777" w:rsidTr="00974854">
        <w:trPr>
          <w:trHeight w:val="289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hideMark/>
          </w:tcPr>
          <w:p w14:paraId="49086C0D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DAS RECEITAS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hideMark/>
          </w:tcPr>
          <w:p w14:paraId="632618F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hideMark/>
          </w:tcPr>
          <w:p w14:paraId="4798D1A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hideMark/>
          </w:tcPr>
          <w:p w14:paraId="4CB02BFE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257.890.782,62</w:t>
            </w:r>
          </w:p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hideMark/>
          </w:tcPr>
          <w:p w14:paraId="1D9482D2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-30.033.122,38</w:t>
            </w:r>
          </w:p>
        </w:tc>
        <w:tc>
          <w:tcPr>
            <w:tcW w:w="222" w:type="dxa"/>
            <w:vAlign w:val="center"/>
            <w:hideMark/>
          </w:tcPr>
          <w:p w14:paraId="656B7A12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BEE67E7" w14:textId="77777777" w:rsidTr="00974854">
        <w:trPr>
          <w:trHeight w:val="289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F4022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COM REFINANCIAMENTO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C3F61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83CB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DEF1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257.890.782,62</w:t>
            </w:r>
          </w:p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AA23F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-30.033.122,38</w:t>
            </w:r>
          </w:p>
        </w:tc>
        <w:tc>
          <w:tcPr>
            <w:tcW w:w="222" w:type="dxa"/>
            <w:vAlign w:val="center"/>
            <w:hideMark/>
          </w:tcPr>
          <w:p w14:paraId="0BBF10A6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64F39749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4414DA37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DÉFICIT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6F044CE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306A9A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01A7825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456.838.285,92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24074E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456.838.285,92</w:t>
            </w:r>
          </w:p>
        </w:tc>
        <w:tc>
          <w:tcPr>
            <w:tcW w:w="222" w:type="dxa"/>
            <w:vAlign w:val="center"/>
            <w:hideMark/>
          </w:tcPr>
          <w:p w14:paraId="4DD0F92A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66470B00" w14:textId="77777777" w:rsidTr="00974854">
        <w:trPr>
          <w:trHeight w:val="289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FFFB790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0320CA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B1CD19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BA2578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E052B5E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426.805.163,54</w:t>
            </w:r>
          </w:p>
        </w:tc>
        <w:tc>
          <w:tcPr>
            <w:tcW w:w="222" w:type="dxa"/>
            <w:vAlign w:val="center"/>
            <w:hideMark/>
          </w:tcPr>
          <w:p w14:paraId="475D6DB8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58607B2C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7DF310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CRÉDITOS ADICIONAIS ABERTOS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E2948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684E6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480.279.103,00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9516C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974A60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-480.279.103,00</w:t>
            </w:r>
          </w:p>
        </w:tc>
        <w:tc>
          <w:tcPr>
            <w:tcW w:w="222" w:type="dxa"/>
            <w:vAlign w:val="center"/>
            <w:hideMark/>
          </w:tcPr>
          <w:p w14:paraId="680D1160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563CB580" w14:textId="77777777" w:rsidTr="00974854">
        <w:trPr>
          <w:trHeight w:val="289"/>
        </w:trPr>
        <w:tc>
          <w:tcPr>
            <w:tcW w:w="5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8622506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Superávit Financeiro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8330915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8F0436C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480.279.103,00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457431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2B51CA0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917EF1A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D2D4112" w14:textId="0F1BE6FE" w:rsidR="00513D0E" w:rsidRDefault="00974854" w:rsidP="00513D0E">
      <w:pPr>
        <w:spacing w:before="4" w:after="1"/>
        <w:rPr>
          <w:rFonts w:ascii="Arial" w:eastAsia="Arial" w:hAnsi="Arial" w:cs="Arial"/>
          <w:sz w:val="15"/>
          <w:szCs w:val="15"/>
          <w:lang w:val="pt"/>
        </w:rPr>
      </w:pPr>
      <w:r w:rsidRPr="0AFE84D4">
        <w:rPr>
          <w:rFonts w:ascii="Arial" w:eastAsia="Arial" w:hAnsi="Arial" w:cs="Arial"/>
          <w:sz w:val="15"/>
          <w:szCs w:val="15"/>
          <w:lang w:val="pt"/>
        </w:rPr>
        <w:t xml:space="preserve">Fonte: SIAFI (em R$) em </w:t>
      </w:r>
      <w:r>
        <w:rPr>
          <w:rFonts w:ascii="Arial" w:eastAsia="Arial" w:hAnsi="Arial" w:cs="Arial"/>
          <w:sz w:val="15"/>
          <w:szCs w:val="15"/>
          <w:lang w:val="pt"/>
        </w:rPr>
        <w:t>2</w:t>
      </w:r>
      <w:r w:rsidRPr="0AFE84D4">
        <w:rPr>
          <w:rFonts w:ascii="Arial" w:eastAsia="Arial" w:hAnsi="Arial" w:cs="Arial"/>
          <w:sz w:val="15"/>
          <w:szCs w:val="15"/>
          <w:lang w:val="pt"/>
        </w:rPr>
        <w:t>6.01.202</w:t>
      </w:r>
      <w:r>
        <w:rPr>
          <w:rFonts w:ascii="Arial" w:eastAsia="Arial" w:hAnsi="Arial" w:cs="Arial"/>
          <w:sz w:val="15"/>
          <w:szCs w:val="15"/>
          <w:lang w:val="pt"/>
        </w:rPr>
        <w:t>6</w:t>
      </w:r>
    </w:p>
    <w:p w14:paraId="14FD0787" w14:textId="77777777" w:rsidR="00974854" w:rsidRDefault="00974854" w:rsidP="00513D0E">
      <w:pPr>
        <w:spacing w:before="4" w:after="1"/>
        <w:rPr>
          <w:sz w:val="13"/>
        </w:rPr>
      </w:pPr>
    </w:p>
    <w:p w14:paraId="2BF0D563" w14:textId="77777777" w:rsidR="003D747B" w:rsidRDefault="003D747B" w:rsidP="00513D0E">
      <w:pPr>
        <w:spacing w:before="4" w:after="1"/>
        <w:rPr>
          <w:sz w:val="13"/>
        </w:rPr>
      </w:pPr>
    </w:p>
    <w:p w14:paraId="46B515B8" w14:textId="77777777" w:rsidR="003D747B" w:rsidRDefault="003D747B" w:rsidP="00513D0E">
      <w:pPr>
        <w:spacing w:before="4" w:after="1"/>
        <w:rPr>
          <w:sz w:val="13"/>
        </w:rPr>
      </w:pPr>
    </w:p>
    <w:p w14:paraId="4F56C59C" w14:textId="77777777" w:rsidR="00974854" w:rsidRDefault="00974854" w:rsidP="00513D0E">
      <w:pPr>
        <w:spacing w:before="4" w:after="1"/>
        <w:rPr>
          <w:sz w:val="13"/>
        </w:rPr>
      </w:pPr>
    </w:p>
    <w:p w14:paraId="2F0C8007" w14:textId="77777777" w:rsidR="00974854" w:rsidRDefault="00974854" w:rsidP="00513D0E">
      <w:pPr>
        <w:spacing w:before="4" w:after="1"/>
        <w:rPr>
          <w:sz w:val="13"/>
        </w:rPr>
      </w:pPr>
    </w:p>
    <w:p w14:paraId="29B3B9C0" w14:textId="77777777" w:rsidR="00974854" w:rsidRDefault="00974854" w:rsidP="00513D0E">
      <w:pPr>
        <w:spacing w:before="4" w:after="1"/>
        <w:rPr>
          <w:sz w:val="13"/>
        </w:rPr>
      </w:pPr>
    </w:p>
    <w:p w14:paraId="56481E5E" w14:textId="77777777" w:rsidR="003D747B" w:rsidRDefault="003D747B" w:rsidP="00513D0E">
      <w:pPr>
        <w:spacing w:before="4" w:after="1"/>
        <w:rPr>
          <w:sz w:val="13"/>
        </w:rPr>
      </w:pPr>
    </w:p>
    <w:tbl>
      <w:tblPr>
        <w:tblW w:w="15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1847"/>
        <w:gridCol w:w="1847"/>
        <w:gridCol w:w="1848"/>
        <w:gridCol w:w="1694"/>
        <w:gridCol w:w="1658"/>
        <w:gridCol w:w="1752"/>
        <w:gridCol w:w="184"/>
      </w:tblGrid>
      <w:tr w:rsidR="00974854" w:rsidRPr="00974854" w14:paraId="6F6DC23A" w14:textId="77777777" w:rsidTr="00974854">
        <w:trPr>
          <w:gridAfter w:val="1"/>
          <w:wAfter w:w="184" w:type="dxa"/>
          <w:trHeight w:val="790"/>
        </w:trPr>
        <w:tc>
          <w:tcPr>
            <w:tcW w:w="149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32E75327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DESPESA</w:t>
            </w:r>
          </w:p>
        </w:tc>
      </w:tr>
      <w:tr w:rsidR="00974854" w:rsidRPr="00974854" w14:paraId="5EE88ABD" w14:textId="77777777" w:rsidTr="00974854">
        <w:trPr>
          <w:trHeight w:val="36"/>
        </w:trPr>
        <w:tc>
          <w:tcPr>
            <w:tcW w:w="149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1AB6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AAD5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74854" w:rsidRPr="00974854" w14:paraId="65132D01" w14:textId="77777777" w:rsidTr="00974854">
        <w:trPr>
          <w:trHeight w:val="81"/>
        </w:trPr>
        <w:tc>
          <w:tcPr>
            <w:tcW w:w="149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5B17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4072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B208EF7" w14:textId="77777777" w:rsidTr="00974854">
        <w:trPr>
          <w:trHeight w:val="871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2BB2662B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ORÇAMENTÁRIAS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76063B30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DOTAÇÃO INICIAL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681989C9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DOTAÇÃO ATUALIZADA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36C7CCD8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EMPENHADAS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2A0A58BB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LIQUIDADAS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69FAC4BD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PAGAS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545A7973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SALDO DA DOTAÇÃO</w:t>
            </w:r>
          </w:p>
        </w:tc>
        <w:tc>
          <w:tcPr>
            <w:tcW w:w="184" w:type="dxa"/>
            <w:vAlign w:val="center"/>
            <w:hideMark/>
          </w:tcPr>
          <w:p w14:paraId="2DF2151C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24E52C60" w14:textId="77777777" w:rsidTr="00974854">
        <w:trPr>
          <w:trHeight w:val="385"/>
        </w:trPr>
        <w:tc>
          <w:tcPr>
            <w:tcW w:w="4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B19719E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DE CAPITAL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A28BD1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7EA535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768.203.008,00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38C682F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C85874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9A45F9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1F46D7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53.473.939,46</w:t>
            </w:r>
          </w:p>
        </w:tc>
        <w:tc>
          <w:tcPr>
            <w:tcW w:w="184" w:type="dxa"/>
            <w:vAlign w:val="center"/>
            <w:hideMark/>
          </w:tcPr>
          <w:p w14:paraId="09192676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10681D5C" w14:textId="77777777" w:rsidTr="00974854">
        <w:trPr>
          <w:trHeight w:val="385"/>
        </w:trPr>
        <w:tc>
          <w:tcPr>
            <w:tcW w:w="4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E41880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Investimentos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8C8DC2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275292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979810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B15C4E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2EE28C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5CFE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4" w:type="dxa"/>
            <w:vAlign w:val="center"/>
            <w:hideMark/>
          </w:tcPr>
          <w:p w14:paraId="74F5AFD9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209EA6C" w14:textId="77777777" w:rsidTr="00974854">
        <w:trPr>
          <w:trHeight w:val="385"/>
        </w:trPr>
        <w:tc>
          <w:tcPr>
            <w:tcW w:w="4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53AF9EA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Inversões Financeiras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2922EE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D1ECDF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768.203.008,00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1CFE8A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01D0E6F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5BF81E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EE762FF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53.473.939,46</w:t>
            </w:r>
          </w:p>
        </w:tc>
        <w:tc>
          <w:tcPr>
            <w:tcW w:w="184" w:type="dxa"/>
            <w:vAlign w:val="center"/>
            <w:hideMark/>
          </w:tcPr>
          <w:p w14:paraId="5DCD8F93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043E33AD" w14:textId="77777777" w:rsidTr="00974854">
        <w:trPr>
          <w:trHeight w:val="385"/>
        </w:trPr>
        <w:tc>
          <w:tcPr>
            <w:tcW w:w="4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2F9EA" w14:textId="77777777" w:rsidR="00974854" w:rsidRPr="00974854" w:rsidRDefault="00974854" w:rsidP="00974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Amortização da Dívida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A6730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858CD5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788C8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456B6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F5006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DA9B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4" w:type="dxa"/>
            <w:vAlign w:val="center"/>
            <w:hideMark/>
          </w:tcPr>
          <w:p w14:paraId="28454393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51E7AF7B" w14:textId="77777777" w:rsidTr="00974854">
        <w:trPr>
          <w:trHeight w:val="38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61511C15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DAS DESPESAS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7FAF403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013FA872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768.203.008,00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022DD9E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340C7CFC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5E23924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15AF2D89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53.473.939,46</w:t>
            </w:r>
          </w:p>
        </w:tc>
        <w:tc>
          <w:tcPr>
            <w:tcW w:w="184" w:type="dxa"/>
            <w:vAlign w:val="center"/>
            <w:hideMark/>
          </w:tcPr>
          <w:p w14:paraId="7C728F12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31DA8825" w14:textId="77777777" w:rsidTr="00974854">
        <w:trPr>
          <w:trHeight w:val="38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4043EAF5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COM REFINANCIAMENTO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08999AB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07D10C91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768.203.008,00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79DBBEFC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7E3ABF1B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2EC26EDD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7423D818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53.473.939,46</w:t>
            </w:r>
          </w:p>
        </w:tc>
        <w:tc>
          <w:tcPr>
            <w:tcW w:w="184" w:type="dxa"/>
            <w:vAlign w:val="center"/>
            <w:hideMark/>
          </w:tcPr>
          <w:p w14:paraId="1E25F952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74854" w:rsidRPr="00974854" w14:paraId="4E8B0489" w14:textId="77777777" w:rsidTr="00974854">
        <w:trPr>
          <w:trHeight w:val="38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7A5C69D" w14:textId="77777777" w:rsidR="00974854" w:rsidRPr="00974854" w:rsidRDefault="00974854" w:rsidP="00974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DC1405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287.923.905,00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9CE1224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768.203.008,00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19A9BF7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35DFEA3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7FE9DFC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545.549,45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DFFC69A" w14:textId="77777777" w:rsidR="00974854" w:rsidRPr="00974854" w:rsidRDefault="00974854" w:rsidP="009748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748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53.473.939,46</w:t>
            </w:r>
          </w:p>
        </w:tc>
        <w:tc>
          <w:tcPr>
            <w:tcW w:w="184" w:type="dxa"/>
            <w:vAlign w:val="center"/>
            <w:hideMark/>
          </w:tcPr>
          <w:p w14:paraId="5872FE1A" w14:textId="77777777" w:rsidR="00974854" w:rsidRPr="00974854" w:rsidRDefault="00974854" w:rsidP="009748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62EEF0F" w14:textId="77777777" w:rsidR="003D747B" w:rsidRDefault="003D747B" w:rsidP="00513D0E">
      <w:pPr>
        <w:spacing w:before="4" w:after="1"/>
        <w:rPr>
          <w:sz w:val="13"/>
        </w:rPr>
      </w:pPr>
    </w:p>
    <w:p w14:paraId="509958EA" w14:textId="77777777" w:rsidR="003D747B" w:rsidRDefault="003D747B" w:rsidP="00513D0E">
      <w:pPr>
        <w:spacing w:before="4" w:after="1"/>
        <w:rPr>
          <w:sz w:val="13"/>
        </w:rPr>
      </w:pPr>
    </w:p>
    <w:tbl>
      <w:tblPr>
        <w:tblW w:w="15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1"/>
        <w:gridCol w:w="1948"/>
        <w:gridCol w:w="1998"/>
        <w:gridCol w:w="1975"/>
        <w:gridCol w:w="1773"/>
        <w:gridCol w:w="1880"/>
        <w:gridCol w:w="1854"/>
        <w:gridCol w:w="252"/>
      </w:tblGrid>
      <w:tr w:rsidR="007C617B" w:rsidRPr="007C617B" w14:paraId="57D18717" w14:textId="77777777" w:rsidTr="007C617B">
        <w:trPr>
          <w:gridAfter w:val="1"/>
          <w:wAfter w:w="249" w:type="dxa"/>
          <w:trHeight w:val="279"/>
        </w:trPr>
        <w:tc>
          <w:tcPr>
            <w:tcW w:w="14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86542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ANEXO 1 - DEMONSTRATIVO DE EXECUÇÃO DOS RESTOS A PAGAR NÃO PROCESSADOS</w:t>
            </w:r>
          </w:p>
        </w:tc>
      </w:tr>
      <w:tr w:rsidR="007C617B" w:rsidRPr="007C617B" w14:paraId="0CCFB44F" w14:textId="77777777" w:rsidTr="007C617B">
        <w:trPr>
          <w:gridAfter w:val="1"/>
          <w:wAfter w:w="252" w:type="dxa"/>
          <w:trHeight w:val="574"/>
        </w:trPr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C386FB3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ORÇAMENTÁRIAS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C21E08C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INSCRITOS EM EXERCÍCIOS ANTERIORES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AB02F60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INSCRITOS EM 31 DE DEZEMBRO DO EXERCÍCIO ANTERIOR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41671E1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LIQUIDADOS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C1BB640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PAGOS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E2BBC92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CANCELADOS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EEE08AC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SALDO</w:t>
            </w:r>
          </w:p>
        </w:tc>
      </w:tr>
      <w:tr w:rsidR="007C617B" w:rsidRPr="007C617B" w14:paraId="037AA7CD" w14:textId="77777777" w:rsidTr="007C617B">
        <w:trPr>
          <w:trHeight w:val="26"/>
        </w:trPr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4FE10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6A9A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7806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7577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36A9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E8D4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FB88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8D88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C617B" w:rsidRPr="007C617B" w14:paraId="41F5EC51" w14:textId="77777777" w:rsidTr="007C617B">
        <w:trPr>
          <w:trHeight w:val="676"/>
        </w:trPr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0DA9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C9FC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AE3A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AD35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7E55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3F93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A2D2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49E0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5BCCBECF" w14:textId="77777777" w:rsidTr="007C617B">
        <w:trPr>
          <w:trHeight w:val="279"/>
        </w:trPr>
        <w:tc>
          <w:tcPr>
            <w:tcW w:w="3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277C661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DE CAPITAL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80240BF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820.938.379,29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297A9A22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455.983.927,21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5F77CD69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21024CA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0602597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314.034.243,16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538EBAEA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80.647.725,82</w:t>
            </w:r>
          </w:p>
        </w:tc>
        <w:tc>
          <w:tcPr>
            <w:tcW w:w="252" w:type="dxa"/>
            <w:vAlign w:val="center"/>
            <w:hideMark/>
          </w:tcPr>
          <w:p w14:paraId="25A59187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35408AD0" w14:textId="77777777" w:rsidTr="007C617B">
        <w:trPr>
          <w:trHeight w:val="279"/>
        </w:trPr>
        <w:tc>
          <w:tcPr>
            <w:tcW w:w="3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C0F213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Investimentos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3ABCC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2BCB3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E0827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B9403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BA1AC0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A0DB31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52" w:type="dxa"/>
            <w:vAlign w:val="center"/>
            <w:hideMark/>
          </w:tcPr>
          <w:p w14:paraId="5605BD6B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229B06D7" w14:textId="77777777" w:rsidTr="007C617B">
        <w:trPr>
          <w:trHeight w:val="279"/>
        </w:trPr>
        <w:tc>
          <w:tcPr>
            <w:tcW w:w="3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81A1858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Inversões Financeiras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C24A615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820.938.379,29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50463B8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455.983.927,21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4727FDC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79FD19E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9398B2B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314.034.243,16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F9CB243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80.647.725,82</w:t>
            </w:r>
          </w:p>
        </w:tc>
        <w:tc>
          <w:tcPr>
            <w:tcW w:w="252" w:type="dxa"/>
            <w:vAlign w:val="center"/>
            <w:hideMark/>
          </w:tcPr>
          <w:p w14:paraId="596F6C4F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1342CDAB" w14:textId="77777777" w:rsidTr="007C617B">
        <w:trPr>
          <w:trHeight w:val="279"/>
        </w:trPr>
        <w:tc>
          <w:tcPr>
            <w:tcW w:w="3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622E6A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Amortização da Dívida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B56D9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FA177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23BE2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800513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4F77AE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AF1685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52" w:type="dxa"/>
            <w:vAlign w:val="center"/>
            <w:hideMark/>
          </w:tcPr>
          <w:p w14:paraId="48FFAAA8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120D59E2" w14:textId="77777777" w:rsidTr="007C617B">
        <w:trPr>
          <w:trHeight w:val="279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4D8DC69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E8C5FF8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820.938.379,29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A4A6CEF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455.983.927,21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441DD5F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DD66976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598DFE9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314.034.243,16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4D2B3D9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80.647.725,82</w:t>
            </w:r>
          </w:p>
        </w:tc>
        <w:tc>
          <w:tcPr>
            <w:tcW w:w="252" w:type="dxa"/>
            <w:vAlign w:val="center"/>
            <w:hideMark/>
          </w:tcPr>
          <w:p w14:paraId="524A939A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4AFB855" w14:textId="77777777" w:rsidR="00513D0E" w:rsidRDefault="00513D0E" w:rsidP="00513D0E">
      <w:pPr>
        <w:spacing w:before="4" w:after="1"/>
        <w:rPr>
          <w:sz w:val="13"/>
        </w:rPr>
      </w:pPr>
    </w:p>
    <w:tbl>
      <w:tblPr>
        <w:tblW w:w="15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0"/>
        <w:gridCol w:w="2115"/>
        <w:gridCol w:w="3018"/>
        <w:gridCol w:w="2091"/>
        <w:gridCol w:w="2012"/>
        <w:gridCol w:w="1932"/>
        <w:gridCol w:w="198"/>
      </w:tblGrid>
      <w:tr w:rsidR="007C617B" w:rsidRPr="007C617B" w14:paraId="6FA25CFF" w14:textId="77777777" w:rsidTr="007C617B">
        <w:trPr>
          <w:gridAfter w:val="1"/>
          <w:wAfter w:w="195" w:type="dxa"/>
          <w:trHeight w:val="347"/>
        </w:trPr>
        <w:tc>
          <w:tcPr>
            <w:tcW w:w="1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7F944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ANEXO 2 - DEMONSTRATIVO DE EXECUÇÃO RESTOS A PAGAR PROCESSADOS E NAO PROCESSADOS LIQUIDADOS</w:t>
            </w:r>
          </w:p>
        </w:tc>
      </w:tr>
      <w:tr w:rsidR="007C617B" w:rsidRPr="007C617B" w14:paraId="4D4C662A" w14:textId="77777777" w:rsidTr="007C617B">
        <w:trPr>
          <w:gridAfter w:val="1"/>
          <w:wAfter w:w="198" w:type="dxa"/>
          <w:trHeight w:val="713"/>
        </w:trPr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2D6A4CA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ORÇAMENTÁRIAS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F7CA07D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INSCRITOS EM EXERCÍCIOS ANTERIORES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B25C3B6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INSCRITOS EM 31 DE DEZEMBRO DO EXERCÍCIO ANTERIOR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2D1F0F6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PAGOS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B15F106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CANCELADOS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3CC3CFD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SALDO</w:t>
            </w:r>
          </w:p>
        </w:tc>
      </w:tr>
      <w:tr w:rsidR="007C617B" w:rsidRPr="007C617B" w14:paraId="1A349A40" w14:textId="77777777" w:rsidTr="007C617B">
        <w:trPr>
          <w:trHeight w:val="33"/>
        </w:trPr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3234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994D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29D0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00BC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DCA1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C609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24EF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C617B" w:rsidRPr="007C617B" w14:paraId="513A1E93" w14:textId="77777777" w:rsidTr="007C617B">
        <w:trPr>
          <w:trHeight w:val="944"/>
        </w:trPr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5048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BB7E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8273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46007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B5C0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D4BFB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D617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783B86E0" w14:textId="77777777" w:rsidTr="007C617B">
        <w:trPr>
          <w:trHeight w:val="347"/>
        </w:trPr>
        <w:tc>
          <w:tcPr>
            <w:tcW w:w="3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3DB3CEA9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DE CAPITAL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360BFA65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31.041.925,49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0491B5BC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64F593E2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3C3733D9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17.257.572,20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2CCCD124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13.784.353,30</w:t>
            </w:r>
          </w:p>
        </w:tc>
        <w:tc>
          <w:tcPr>
            <w:tcW w:w="198" w:type="dxa"/>
            <w:vAlign w:val="center"/>
            <w:hideMark/>
          </w:tcPr>
          <w:p w14:paraId="48802C97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0E03FF03" w14:textId="77777777" w:rsidTr="007C617B">
        <w:trPr>
          <w:trHeight w:val="347"/>
        </w:trPr>
        <w:tc>
          <w:tcPr>
            <w:tcW w:w="3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24067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Investimentos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D812A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31089E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45F82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70A3FD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500FBB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8" w:type="dxa"/>
            <w:vAlign w:val="center"/>
            <w:hideMark/>
          </w:tcPr>
          <w:p w14:paraId="51784536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459EBD4E" w14:textId="77777777" w:rsidTr="007C617B">
        <w:trPr>
          <w:trHeight w:val="347"/>
        </w:trPr>
        <w:tc>
          <w:tcPr>
            <w:tcW w:w="3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A5ADA20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Inversões Financeiras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A6ED4C5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31.041.925,49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8E5468F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ED0B03D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70621A0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17.257.572,20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144CE91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13.784.353,30</w:t>
            </w:r>
          </w:p>
        </w:tc>
        <w:tc>
          <w:tcPr>
            <w:tcW w:w="198" w:type="dxa"/>
            <w:vAlign w:val="center"/>
            <w:hideMark/>
          </w:tcPr>
          <w:p w14:paraId="37B5698B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707B6F39" w14:textId="77777777" w:rsidTr="007C617B">
        <w:trPr>
          <w:trHeight w:val="347"/>
        </w:trPr>
        <w:tc>
          <w:tcPr>
            <w:tcW w:w="3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D141EF" w14:textId="77777777" w:rsidR="007C617B" w:rsidRPr="007C617B" w:rsidRDefault="007C617B" w:rsidP="007C6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Amortização da Dívida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DB5D8A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070BE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1FB5E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E536E4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779853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8" w:type="dxa"/>
            <w:vAlign w:val="center"/>
            <w:hideMark/>
          </w:tcPr>
          <w:p w14:paraId="5A1B9DA3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617B" w:rsidRPr="007C617B" w14:paraId="4B20D96F" w14:textId="77777777" w:rsidTr="007C617B">
        <w:trPr>
          <w:trHeight w:val="34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A66C4F5" w14:textId="77777777" w:rsidR="007C617B" w:rsidRPr="007C617B" w:rsidRDefault="007C617B" w:rsidP="007C61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39ED088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31.041.925,49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EB2CFF7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157.889.143,58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CE1196A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157.889.143,57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298B374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17.257.572,20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729289B" w14:textId="77777777" w:rsidR="007C617B" w:rsidRPr="007C617B" w:rsidRDefault="007C617B" w:rsidP="007C61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C6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13.784.353,30</w:t>
            </w:r>
          </w:p>
        </w:tc>
        <w:tc>
          <w:tcPr>
            <w:tcW w:w="198" w:type="dxa"/>
            <w:vAlign w:val="center"/>
            <w:hideMark/>
          </w:tcPr>
          <w:p w14:paraId="71079660" w14:textId="77777777" w:rsidR="007C617B" w:rsidRPr="007C617B" w:rsidRDefault="007C617B" w:rsidP="007C6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E824F7B" w14:textId="77777777" w:rsidR="00974854" w:rsidRDefault="00974854" w:rsidP="00513D0E">
      <w:pPr>
        <w:spacing w:before="4" w:after="1"/>
        <w:rPr>
          <w:sz w:val="13"/>
        </w:rPr>
      </w:pPr>
    </w:p>
    <w:p w14:paraId="71B1F5C5" w14:textId="2A960752" w:rsidR="007C617B" w:rsidRDefault="007C617B" w:rsidP="00513D0E">
      <w:pPr>
        <w:spacing w:before="4" w:after="1"/>
        <w:rPr>
          <w:sz w:val="13"/>
        </w:rPr>
      </w:pPr>
      <w:r w:rsidRPr="41B55319">
        <w:rPr>
          <w:rFonts w:ascii="Arial" w:eastAsia="Arial" w:hAnsi="Arial" w:cs="Arial"/>
          <w:sz w:val="15"/>
          <w:szCs w:val="15"/>
          <w:lang w:val="pt"/>
        </w:rPr>
        <w:t xml:space="preserve">Fonte: SIAFI (em R$) em </w:t>
      </w:r>
      <w:r>
        <w:rPr>
          <w:rFonts w:ascii="Arial" w:eastAsia="Arial" w:hAnsi="Arial" w:cs="Arial"/>
          <w:sz w:val="15"/>
          <w:szCs w:val="15"/>
          <w:lang w:val="pt"/>
        </w:rPr>
        <w:t>2</w:t>
      </w:r>
      <w:r w:rsidRPr="41B55319">
        <w:rPr>
          <w:rFonts w:ascii="Arial" w:eastAsia="Arial" w:hAnsi="Arial" w:cs="Arial"/>
          <w:sz w:val="15"/>
          <w:szCs w:val="15"/>
          <w:lang w:val="pt"/>
        </w:rPr>
        <w:t>6.01.202</w:t>
      </w:r>
      <w:r>
        <w:rPr>
          <w:rFonts w:ascii="Arial" w:eastAsia="Arial" w:hAnsi="Arial" w:cs="Arial"/>
          <w:sz w:val="15"/>
          <w:szCs w:val="15"/>
          <w:lang w:val="pt"/>
        </w:rPr>
        <w:t>6</w:t>
      </w:r>
    </w:p>
    <w:p w14:paraId="6D3545F9" w14:textId="77777777" w:rsidR="007C617B" w:rsidRDefault="007C617B" w:rsidP="00513D0E">
      <w:pPr>
        <w:spacing w:before="4" w:after="1"/>
        <w:rPr>
          <w:sz w:val="13"/>
        </w:rPr>
      </w:pPr>
    </w:p>
    <w:p w14:paraId="3C875E2F" w14:textId="66D87F79" w:rsidR="003D747B" w:rsidRDefault="003D747B" w:rsidP="003D747B">
      <w:pPr>
        <w:pStyle w:val="Corpodetexto"/>
        <w:ind w:left="96"/>
        <w:rPr>
          <w:color w:val="000000"/>
        </w:rPr>
      </w:pPr>
    </w:p>
    <w:p w14:paraId="6658FF2D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0D118316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3CC690B3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1976C36E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75B66806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2F0F2E8E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0086CB11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17730AB0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129917E6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4628026A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52CF431A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73A295B7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726FF365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6A901840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3E422D39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6E4F5CA4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62461455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11C6936A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717EC60F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1E79D72E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273D868C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2DF8634D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6455D795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42ADC266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03AD3CC3" w14:textId="77777777" w:rsidR="007C617B" w:rsidRDefault="007C617B" w:rsidP="003D747B">
      <w:pPr>
        <w:pStyle w:val="Corpodetexto"/>
        <w:ind w:left="96"/>
        <w:rPr>
          <w:color w:val="000000"/>
        </w:rPr>
      </w:pPr>
    </w:p>
    <w:p w14:paraId="12E07EE1" w14:textId="77777777" w:rsidR="005F36D8" w:rsidRDefault="005F36D8" w:rsidP="003D747B">
      <w:pPr>
        <w:rPr>
          <w:rFonts w:ascii="Century Gothic" w:eastAsia="Times New Roman" w:hAnsi="Century Gothic" w:cs="Times New Roman"/>
          <w:b/>
          <w:bCs/>
          <w:color w:val="538135" w:themeColor="accent6" w:themeShade="BF"/>
          <w:kern w:val="0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</w:p>
    <w:p w14:paraId="6368DC37" w14:textId="3FFE1E62" w:rsidR="003D747B" w:rsidRDefault="003D747B" w:rsidP="003D747B">
      <w:pPr>
        <w:rPr>
          <w:rFonts w:ascii="Century Gothic" w:eastAsia="Times New Roman" w:hAnsi="Century Gothic" w:cs="Times New Roman"/>
          <w:b/>
          <w:bCs/>
          <w:color w:val="538135" w:themeColor="accent6" w:themeShade="BF"/>
          <w:kern w:val="0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F81EFF">
        <w:rPr>
          <w:rFonts w:ascii="Century Gothic" w:eastAsia="Times New Roman" w:hAnsi="Century Gothic" w:cs="Times New Roman"/>
          <w:b/>
          <w:bCs/>
          <w:color w:val="538135" w:themeColor="accent6" w:themeShade="BF"/>
          <w:kern w:val="0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lastRenderedPageBreak/>
        <w:t>Balanço Financeiro</w:t>
      </w:r>
    </w:p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7"/>
        <w:gridCol w:w="1637"/>
        <w:gridCol w:w="1657"/>
        <w:gridCol w:w="4312"/>
        <w:gridCol w:w="1657"/>
        <w:gridCol w:w="1714"/>
        <w:gridCol w:w="146"/>
      </w:tblGrid>
      <w:tr w:rsidR="00BB0C5A" w:rsidRPr="00BB0C5A" w14:paraId="1833A488" w14:textId="77777777" w:rsidTr="00BB0C5A">
        <w:trPr>
          <w:gridAfter w:val="1"/>
          <w:wAfter w:w="146" w:type="dxa"/>
          <w:trHeight w:val="450"/>
        </w:trPr>
        <w:tc>
          <w:tcPr>
            <w:tcW w:w="74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1E05CD4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INGRESSOS</w:t>
            </w:r>
          </w:p>
        </w:tc>
        <w:tc>
          <w:tcPr>
            <w:tcW w:w="76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755F8B9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DISPÊNDIOS</w:t>
            </w:r>
          </w:p>
        </w:tc>
      </w:tr>
      <w:tr w:rsidR="00BB0C5A" w:rsidRPr="00BB0C5A" w14:paraId="732B9664" w14:textId="77777777" w:rsidTr="00BB0C5A">
        <w:trPr>
          <w:trHeight w:val="19"/>
        </w:trPr>
        <w:tc>
          <w:tcPr>
            <w:tcW w:w="74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A849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6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B8CF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B132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BB0C5A" w:rsidRPr="00BB0C5A" w14:paraId="50BBC873" w14:textId="77777777" w:rsidTr="00BB0C5A">
        <w:trPr>
          <w:trHeight w:val="42"/>
        </w:trPr>
        <w:tc>
          <w:tcPr>
            <w:tcW w:w="74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56240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6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72F0F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04F4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7AFC8F5D" w14:textId="77777777" w:rsidTr="00BB0C5A">
        <w:trPr>
          <w:trHeight w:val="240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4F05CC60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ESPECIFICAÇÃO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2C7E6E98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09659065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186117A2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ESPECIFICAÇÃO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5FD46A61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730204D8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2024</w:t>
            </w:r>
          </w:p>
        </w:tc>
        <w:tc>
          <w:tcPr>
            <w:tcW w:w="146" w:type="dxa"/>
            <w:vAlign w:val="center"/>
            <w:hideMark/>
          </w:tcPr>
          <w:p w14:paraId="2F80CB1B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3BF742C0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614EAB4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 Orçamentárias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2B7CE86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257.890.782,62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71ECE8FF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281.557.269,60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28B36B36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Orçamentárias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624B1B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714.729.068,54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8C35F3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486.217.563,91</w:t>
            </w:r>
          </w:p>
        </w:tc>
        <w:tc>
          <w:tcPr>
            <w:tcW w:w="146" w:type="dxa"/>
            <w:vAlign w:val="center"/>
            <w:hideMark/>
          </w:tcPr>
          <w:p w14:paraId="0A280292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1406E105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7C8A3EF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Recursos Não Vinculados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745B5AF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857B459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7AE6F8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Recursos Não Vinculados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9F98CE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60.439.559,00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59F1AF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73DA2D40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35EC9FF3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33E8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Recursos Vinculados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B2A659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415.200.980,76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46DF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363.335.244,67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C4B98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Recursos Vinculados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8CC10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654.289.509,54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666A9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486.217.563,91</w:t>
            </w:r>
          </w:p>
        </w:tc>
        <w:tc>
          <w:tcPr>
            <w:tcW w:w="146" w:type="dxa"/>
            <w:vAlign w:val="center"/>
            <w:hideMark/>
          </w:tcPr>
          <w:p w14:paraId="052D4CEC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7A381868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1C0F92E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Previdência Social (RPPS)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324339F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EDD59C4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CC9898D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Previdência Social (RPPS)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AAE956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6A7611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2E43CDBA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75D70381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D44B1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Fundos, Órgãos e Programas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111E54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266.505.004,12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C5692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288.072.279,55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0326B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Fundos, Órgãos e Programas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7B1BA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654.289.509,54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DF7A0E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486.217.563,91</w:t>
            </w:r>
          </w:p>
        </w:tc>
        <w:tc>
          <w:tcPr>
            <w:tcW w:w="146" w:type="dxa"/>
            <w:vAlign w:val="center"/>
            <w:hideMark/>
          </w:tcPr>
          <w:p w14:paraId="4E5A3604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0C5B421B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4AE53B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Recursos Não Classificados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ECE6407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148.695.976,64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EE0448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75.262.965,12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CB0A1D0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F3C950F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22F3AE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F2F986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152D8971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03B0AB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(-) Deduções da Receita Orçamentária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D661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-157.310.198,14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615AC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-81.777.975,07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3DAB6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4A32F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90EB37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9C8881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0F37896A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EFE7FF5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Transferências Financeiras Recebidas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47F8D8E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19.964.664,41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C66593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15.171.435,16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D79DB5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Transferências Financeiras Concedidas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6E06736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157.975.020,80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9E4247C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81.777.975,07</w:t>
            </w:r>
          </w:p>
        </w:tc>
        <w:tc>
          <w:tcPr>
            <w:tcW w:w="146" w:type="dxa"/>
            <w:vAlign w:val="center"/>
            <w:hideMark/>
          </w:tcPr>
          <w:p w14:paraId="705886C8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4AD2F68B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F6A91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Resultantes da Execução Orçamentária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C82C51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5911FE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140CB3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Resultantes da Execução Orçamentária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7F73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129CD6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2B17CAFC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76B73653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A4919E6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Independentes da Execução Orçamentária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173598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19.964.664,41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13D989C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15.171.435,16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3145DFB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Independentes da Execução Orçamentária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F664C29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157.975.020,80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284A2F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81.777.975,07</w:t>
            </w:r>
          </w:p>
        </w:tc>
        <w:tc>
          <w:tcPr>
            <w:tcW w:w="146" w:type="dxa"/>
            <w:vAlign w:val="center"/>
            <w:hideMark/>
          </w:tcPr>
          <w:p w14:paraId="756D21D1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0D8F1B88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AC017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Movimentação de Saldos Patrimoniais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C1210C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19.964.664,41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1DBC1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15.171.435,16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5025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Movimento de Saldos Patrimoniais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F78A7C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157.975.020,80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88B0C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81.777.975,07</w:t>
            </w:r>
          </w:p>
        </w:tc>
        <w:tc>
          <w:tcPr>
            <w:tcW w:w="146" w:type="dxa"/>
            <w:vAlign w:val="center"/>
            <w:hideMark/>
          </w:tcPr>
          <w:p w14:paraId="46F3AF0B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30BA5D81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61FDE6A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Aporte ao RPPS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FA45037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DA6214C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958603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Aporte ao RPPS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E6FDE57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4B1B0EE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3FDD8815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39A88B27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1E976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Aporte ao RGPS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65EA2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E955F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942BAA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Aporte ao RGPS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5BFC6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EF385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57502BAE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62ECDECE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1EF21F3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Recebimentos Extraorçamentários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DF6256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714.183.519,09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7055D6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455.983.927,21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73DDC7E1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Pagamentos Extraorçamentários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E4A062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1.040.129.481,09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8DB43D0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352.208.849,12</w:t>
            </w:r>
          </w:p>
        </w:tc>
        <w:tc>
          <w:tcPr>
            <w:tcW w:w="146" w:type="dxa"/>
            <w:vAlign w:val="center"/>
            <w:hideMark/>
          </w:tcPr>
          <w:p w14:paraId="2EC55223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37662DD7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2C79BA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Inscrição de Restos a Pagar Processados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4695D6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EEEE3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36562D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Pagamento de Restos a Pagar Processados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94E92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157.889.143,57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10064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4.858.357,47</w:t>
            </w:r>
          </w:p>
        </w:tc>
        <w:tc>
          <w:tcPr>
            <w:tcW w:w="146" w:type="dxa"/>
            <w:vAlign w:val="center"/>
            <w:hideMark/>
          </w:tcPr>
          <w:p w14:paraId="6D38CEE6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648702A0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5F95450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Inscrição de Restos a Pagar Não Processados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9247EA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714.183.519,09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81B43E6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455.983.927,21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908C517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Pagamento de Restos a Pagar Não Processados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07DEAFB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882.240.337,52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9AC810B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347.350.491,65</w:t>
            </w:r>
          </w:p>
        </w:tc>
        <w:tc>
          <w:tcPr>
            <w:tcW w:w="146" w:type="dxa"/>
            <w:vAlign w:val="center"/>
            <w:hideMark/>
          </w:tcPr>
          <w:p w14:paraId="59DF3F2A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7AFF6CE7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CA232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Depósitos Restituíveis e Valores Vinculados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672B7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FC0D4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96902D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Depósitos Restituíveis e Valores Vinculados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25BBF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A9576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6A8B3F11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1D7DC942" w14:textId="77777777" w:rsidTr="00BB0C5A">
        <w:trPr>
          <w:trHeight w:val="199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401D22E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Outros Recebimentos Extraorçamentários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4E8F6B8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84DB9A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8D8EA9B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Outros Pagamentos Extraorçamentários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4ACFE18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B9CCAFE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192437CF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24C084E8" w14:textId="77777777" w:rsidTr="00BB0C5A">
        <w:trPr>
          <w:trHeight w:val="225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7D9EA045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Saldo do Exercício Anterior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9777937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1.767.572.437,97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7722074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1.935.064.194,10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053C414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Saldo para o Exercício Seguinte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6896071C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846.777.833,66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5E9BA0D3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1.767.572.437,97</w:t>
            </w:r>
          </w:p>
        </w:tc>
        <w:tc>
          <w:tcPr>
            <w:tcW w:w="146" w:type="dxa"/>
            <w:vAlign w:val="center"/>
            <w:hideMark/>
          </w:tcPr>
          <w:p w14:paraId="1375AED3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38DA9FDF" w14:textId="77777777" w:rsidTr="00BB0C5A">
        <w:trPr>
          <w:trHeight w:val="210"/>
        </w:trPr>
        <w:tc>
          <w:tcPr>
            <w:tcW w:w="4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7913A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Caixa e Equivalentes de Caixa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B027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1.767.572.437,97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B3387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1.935.064.194,10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E48BC6" w14:textId="77777777" w:rsidR="00BB0C5A" w:rsidRPr="00BB0C5A" w:rsidRDefault="00BB0C5A" w:rsidP="00BB0C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Caixa e Equivalentes de Caixa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2FA9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846.777.833,66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E3DCD5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1.767.572.437,97</w:t>
            </w:r>
          </w:p>
        </w:tc>
        <w:tc>
          <w:tcPr>
            <w:tcW w:w="146" w:type="dxa"/>
            <w:vAlign w:val="center"/>
            <w:hideMark/>
          </w:tcPr>
          <w:p w14:paraId="059B7B6C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0C5A" w:rsidRPr="00BB0C5A" w14:paraId="4CC017F9" w14:textId="77777777" w:rsidTr="00BB0C5A">
        <w:trPr>
          <w:trHeight w:val="25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6340C59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5CA801D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2.759.611.404,09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4A17A7A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2.687.776.826,07</w:t>
            </w:r>
          </w:p>
        </w:tc>
        <w:tc>
          <w:tcPr>
            <w:tcW w:w="4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1E47F07" w14:textId="77777777" w:rsidR="00BB0C5A" w:rsidRPr="00BB0C5A" w:rsidRDefault="00BB0C5A" w:rsidP="00BB0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5E9E7D1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2.759.611.404,09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96F0036" w14:textId="77777777" w:rsidR="00BB0C5A" w:rsidRPr="00BB0C5A" w:rsidRDefault="00BB0C5A" w:rsidP="00BB0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C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2.687.776.826,07</w:t>
            </w:r>
          </w:p>
        </w:tc>
        <w:tc>
          <w:tcPr>
            <w:tcW w:w="146" w:type="dxa"/>
            <w:vAlign w:val="center"/>
            <w:hideMark/>
          </w:tcPr>
          <w:p w14:paraId="62680CCE" w14:textId="77777777" w:rsidR="00BB0C5A" w:rsidRPr="00BB0C5A" w:rsidRDefault="00BB0C5A" w:rsidP="00BB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D875984" w14:textId="1574C7C9" w:rsidR="3F3967D0" w:rsidRDefault="00BB0C5A" w:rsidP="3F3967D0">
      <w:pPr>
        <w:spacing w:line="254" w:lineRule="auto"/>
        <w:rPr>
          <w:sz w:val="20"/>
          <w:szCs w:val="20"/>
        </w:rPr>
      </w:pPr>
      <w:r>
        <w:rPr>
          <w:sz w:val="20"/>
          <w:szCs w:val="20"/>
        </w:rPr>
        <w:t>Fonte: SIAFI (em R$) em 26/01/2026</w:t>
      </w:r>
    </w:p>
    <w:p w14:paraId="44AAF9CB" w14:textId="68B84B62" w:rsidR="3F3967D0" w:rsidRDefault="3F3967D0" w:rsidP="3F3967D0">
      <w:pPr>
        <w:spacing w:line="254" w:lineRule="auto"/>
        <w:rPr>
          <w:sz w:val="20"/>
          <w:szCs w:val="20"/>
        </w:rPr>
      </w:pPr>
    </w:p>
    <w:p w14:paraId="0470579C" w14:textId="4C0221E5" w:rsidR="3F3967D0" w:rsidRDefault="3F3967D0" w:rsidP="3F3967D0">
      <w:pPr>
        <w:spacing w:line="254" w:lineRule="auto"/>
        <w:rPr>
          <w:sz w:val="20"/>
          <w:szCs w:val="20"/>
        </w:rPr>
      </w:pPr>
    </w:p>
    <w:p w14:paraId="5383CDDA" w14:textId="057C3CC3" w:rsidR="3F3967D0" w:rsidRDefault="3F3967D0" w:rsidP="3F3967D0">
      <w:pPr>
        <w:spacing w:line="254" w:lineRule="auto"/>
        <w:rPr>
          <w:sz w:val="20"/>
          <w:szCs w:val="20"/>
        </w:rPr>
      </w:pPr>
    </w:p>
    <w:p w14:paraId="286F11C8" w14:textId="0AEE1993" w:rsidR="00BB0C5A" w:rsidRDefault="00BB0C5A" w:rsidP="3F3967D0">
      <w:pPr>
        <w:spacing w:line="254" w:lineRule="auto"/>
        <w:rPr>
          <w:sz w:val="20"/>
          <w:szCs w:val="20"/>
        </w:rPr>
        <w:sectPr w:rsidR="00BB0C5A" w:rsidSect="00513955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FAAB300" w14:textId="77777777" w:rsidR="003D747B" w:rsidRDefault="003D747B" w:rsidP="003D747B">
      <w:pPr>
        <w:rPr>
          <w:rFonts w:ascii="Century Gothic" w:eastAsia="Times New Roman" w:hAnsi="Century Gothic" w:cs="Times New Roman"/>
          <w:color w:val="538135" w:themeColor="accent6" w:themeShade="BF"/>
          <w:sz w:val="28"/>
          <w:szCs w:val="28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B45B4">
        <w:rPr>
          <w:rFonts w:ascii="Century Gothic" w:eastAsia="Times New Roman" w:hAnsi="Century Gothic" w:cs="Times New Roman"/>
          <w:color w:val="538135" w:themeColor="accent6" w:themeShade="BF"/>
          <w:sz w:val="32"/>
          <w:szCs w:val="32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Demonstração</w:t>
      </w:r>
      <w:r w:rsidRPr="00BB45B4">
        <w:rPr>
          <w:rFonts w:ascii="Century Gothic" w:eastAsia="Times New Roman" w:hAnsi="Century Gothic" w:cs="Times New Roman"/>
          <w:color w:val="538135" w:themeColor="accent6" w:themeShade="BF"/>
          <w:sz w:val="28"/>
          <w:szCs w:val="28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dos Fluxos de Caixa</w:t>
      </w:r>
    </w:p>
    <w:p w14:paraId="2A01E2D9" w14:textId="77777777" w:rsidR="00BC05A9" w:rsidRDefault="00BC05A9" w:rsidP="003D747B">
      <w:pPr>
        <w:rPr>
          <w:rFonts w:ascii="Century Gothic" w:eastAsia="Times New Roman" w:hAnsi="Century Gothic" w:cs="Times New Roman"/>
          <w:color w:val="538135" w:themeColor="accent6" w:themeShade="BF"/>
          <w:sz w:val="28"/>
          <w:szCs w:val="28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9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814"/>
        <w:gridCol w:w="1913"/>
        <w:gridCol w:w="147"/>
      </w:tblGrid>
      <w:tr w:rsidR="00936CDB" w:rsidRPr="00936CDB" w14:paraId="4A31FC27" w14:textId="77777777" w:rsidTr="00BC05A9">
        <w:trPr>
          <w:gridAfter w:val="1"/>
          <w:wAfter w:w="147" w:type="dxa"/>
          <w:trHeight w:val="511"/>
        </w:trPr>
        <w:tc>
          <w:tcPr>
            <w:tcW w:w="5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3B975BE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CE6EB3E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2025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1DB6EAF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2024</w:t>
            </w:r>
          </w:p>
        </w:tc>
      </w:tr>
      <w:tr w:rsidR="00936CDB" w:rsidRPr="00936CDB" w14:paraId="0DF041B3" w14:textId="77777777" w:rsidTr="00BC05A9">
        <w:trPr>
          <w:trHeight w:val="23"/>
        </w:trPr>
        <w:tc>
          <w:tcPr>
            <w:tcW w:w="5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3011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FC74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CC6C8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BBEE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36CDB" w:rsidRPr="00936CDB" w14:paraId="0C883B3B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55153842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FLUXOS DE CAIXA DAS ATIVIDADES OPERACIONAIS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2A1C19B7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-20.718.365,83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13133DE0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147.606.378,19</w:t>
            </w:r>
          </w:p>
        </w:tc>
        <w:tc>
          <w:tcPr>
            <w:tcW w:w="147" w:type="dxa"/>
            <w:vAlign w:val="center"/>
            <w:hideMark/>
          </w:tcPr>
          <w:p w14:paraId="64397D49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73A4825A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6154F483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INGRESSOS OPERACIONAIS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3353AA2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140.128.718,41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7C1701AF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230.438.669,91</w:t>
            </w:r>
          </w:p>
        </w:tc>
        <w:tc>
          <w:tcPr>
            <w:tcW w:w="147" w:type="dxa"/>
            <w:vAlign w:val="center"/>
            <w:hideMark/>
          </w:tcPr>
          <w:p w14:paraId="19A8968E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2688D1A0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9299C74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Receita Patrimonial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C63B508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101.255.531,34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824B1CC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2C5BA4B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691C0AC1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DE9CB2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Receita de Serviços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2E5400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18.908.522,66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936BA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15.402.472,21</w:t>
            </w:r>
          </w:p>
        </w:tc>
        <w:tc>
          <w:tcPr>
            <w:tcW w:w="147" w:type="dxa"/>
            <w:vAlign w:val="center"/>
            <w:hideMark/>
          </w:tcPr>
          <w:p w14:paraId="51955649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480A0913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3D57EF4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Remuneração das Disponibilidades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074459C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79F4BF5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199.779.294,53</w:t>
            </w:r>
          </w:p>
        </w:tc>
        <w:tc>
          <w:tcPr>
            <w:tcW w:w="147" w:type="dxa"/>
            <w:vAlign w:val="center"/>
            <w:hideMark/>
          </w:tcPr>
          <w:p w14:paraId="6531F17C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012CD9B2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AEE60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Outras Receitas Derivadas e Originárias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67B5DC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8A2B9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85.468,01</w:t>
            </w:r>
          </w:p>
        </w:tc>
        <w:tc>
          <w:tcPr>
            <w:tcW w:w="147" w:type="dxa"/>
            <w:vAlign w:val="center"/>
            <w:hideMark/>
          </w:tcPr>
          <w:p w14:paraId="394758F7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49233353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0A82C99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Outros Ingressos Operacionais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EC3C67F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19.964.664,41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7A2BE1A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15.171.435,16</w:t>
            </w:r>
          </w:p>
        </w:tc>
        <w:tc>
          <w:tcPr>
            <w:tcW w:w="147" w:type="dxa"/>
            <w:vAlign w:val="center"/>
            <w:hideMark/>
          </w:tcPr>
          <w:p w14:paraId="3963EA60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0FB5AEA6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4D7CF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Transferências Financeiras Recebidas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88062E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19.964.664,41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1CE5B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15.171.435,16</w:t>
            </w:r>
          </w:p>
        </w:tc>
        <w:tc>
          <w:tcPr>
            <w:tcW w:w="147" w:type="dxa"/>
            <w:vAlign w:val="center"/>
            <w:hideMark/>
          </w:tcPr>
          <w:p w14:paraId="6F364303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250C8EB4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7F9C0CA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DESEMBOLSOS OPERACIONAIS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5365DED9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-160.847.084,24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06230008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-82.832.291,72</w:t>
            </w:r>
          </w:p>
        </w:tc>
        <w:tc>
          <w:tcPr>
            <w:tcW w:w="147" w:type="dxa"/>
            <w:vAlign w:val="center"/>
            <w:hideMark/>
          </w:tcPr>
          <w:p w14:paraId="07C4D42E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4BBB2C2C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DCB4663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Transferências Concedidas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A582A3E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-2.872.063,44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359641E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-1.054.316,65</w:t>
            </w:r>
          </w:p>
        </w:tc>
        <w:tc>
          <w:tcPr>
            <w:tcW w:w="147" w:type="dxa"/>
            <w:vAlign w:val="center"/>
            <w:hideMark/>
          </w:tcPr>
          <w:p w14:paraId="67629356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4E860257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A7D55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Intragovernamentais Concedidas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C70E8E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-2.872.063,44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862DE9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-1.054.316,65</w:t>
            </w:r>
          </w:p>
        </w:tc>
        <w:tc>
          <w:tcPr>
            <w:tcW w:w="147" w:type="dxa"/>
            <w:vAlign w:val="center"/>
            <w:hideMark/>
          </w:tcPr>
          <w:p w14:paraId="109C12B2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08C6931E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614AEFB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Outros Desembolsos Operacionais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28991D2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-157.975.020,80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2AC1FCC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-81.777.975,07</w:t>
            </w:r>
          </w:p>
        </w:tc>
        <w:tc>
          <w:tcPr>
            <w:tcW w:w="147" w:type="dxa"/>
            <w:vAlign w:val="center"/>
            <w:hideMark/>
          </w:tcPr>
          <w:p w14:paraId="304CAE46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65F9CC95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0697A7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Transferências Financeiras Concedidas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4AC86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-157.975.020,80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B55C3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-81.777.975,07</w:t>
            </w:r>
          </w:p>
        </w:tc>
        <w:tc>
          <w:tcPr>
            <w:tcW w:w="147" w:type="dxa"/>
            <w:vAlign w:val="center"/>
            <w:hideMark/>
          </w:tcPr>
          <w:p w14:paraId="756605CF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13C8D99F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3B2A7008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FLUXOS DE CAIXA DAS ATIVIDADES DE INVESTIMENTO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6618BF11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-900.076.238,48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5E66D90C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-315.098.134,32</w:t>
            </w:r>
          </w:p>
        </w:tc>
        <w:tc>
          <w:tcPr>
            <w:tcW w:w="147" w:type="dxa"/>
            <w:vAlign w:val="center"/>
            <w:hideMark/>
          </w:tcPr>
          <w:p w14:paraId="2AA19473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35817447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B515413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INGRESSOS DE INVESTIMENTO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1A130FEE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137.726.728,62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6856EBAF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66.290.034,85</w:t>
            </w:r>
          </w:p>
        </w:tc>
        <w:tc>
          <w:tcPr>
            <w:tcW w:w="147" w:type="dxa"/>
            <w:vAlign w:val="center"/>
            <w:hideMark/>
          </w:tcPr>
          <w:p w14:paraId="699C8AB0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486586A4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56A8AD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Amortização de Empréstimos e Financiamentos Concedidos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91C95F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137.726.728,62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E6F0CB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66.290.034,85</w:t>
            </w:r>
          </w:p>
        </w:tc>
        <w:tc>
          <w:tcPr>
            <w:tcW w:w="147" w:type="dxa"/>
            <w:vAlign w:val="center"/>
            <w:hideMark/>
          </w:tcPr>
          <w:p w14:paraId="56B066D3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58D4EF5B" w14:textId="77777777" w:rsidTr="00BC05A9">
        <w:trPr>
          <w:trHeight w:val="249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79EB212F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DESEMBOLSOS DE INVESTIMENTO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4C64FF96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-1.037.802.967,10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D0D0"/>
            <w:hideMark/>
          </w:tcPr>
          <w:p w14:paraId="59ADEC8A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-381.388.169,17</w:t>
            </w:r>
          </w:p>
        </w:tc>
        <w:tc>
          <w:tcPr>
            <w:tcW w:w="147" w:type="dxa"/>
            <w:vAlign w:val="center"/>
            <w:hideMark/>
          </w:tcPr>
          <w:p w14:paraId="00585C2E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5AB9FE46" w14:textId="77777777" w:rsidTr="00BC05A9">
        <w:trPr>
          <w:trHeight w:val="263"/>
        </w:trPr>
        <w:tc>
          <w:tcPr>
            <w:tcW w:w="5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EF5B0F" w14:textId="77777777" w:rsidR="00936CDB" w:rsidRPr="00936CDB" w:rsidRDefault="00936CDB" w:rsidP="00936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Concessão de Empréstimos e Financiamentos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55758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-1.037.802.967,10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49F6A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-381.388.169,17</w:t>
            </w:r>
          </w:p>
        </w:tc>
        <w:tc>
          <w:tcPr>
            <w:tcW w:w="147" w:type="dxa"/>
            <w:vAlign w:val="center"/>
            <w:hideMark/>
          </w:tcPr>
          <w:p w14:paraId="7B14742E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5118A829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2C5C9D1F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GERAÇÃO LÍQUIDA DE CAIXA E EQUIVALENTES DE CAIXA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780471FE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-920.794.604,31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5D962544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-167.491.756,13</w:t>
            </w:r>
          </w:p>
        </w:tc>
        <w:tc>
          <w:tcPr>
            <w:tcW w:w="147" w:type="dxa"/>
            <w:vAlign w:val="center"/>
            <w:hideMark/>
          </w:tcPr>
          <w:p w14:paraId="6420959E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1ACF1E72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9F81DF6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CAIXA E EQUIVALENTES DE CAIXA INICIAL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EA243E0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1.767.572.437,97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212DC97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1.935.064.194,10</w:t>
            </w:r>
          </w:p>
        </w:tc>
        <w:tc>
          <w:tcPr>
            <w:tcW w:w="147" w:type="dxa"/>
            <w:vAlign w:val="center"/>
            <w:hideMark/>
          </w:tcPr>
          <w:p w14:paraId="18A55C35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6CDB" w:rsidRPr="00936CDB" w14:paraId="5A8B9A01" w14:textId="77777777" w:rsidTr="00BC05A9">
        <w:trPr>
          <w:trHeight w:val="249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6CFAFF1" w14:textId="77777777" w:rsidR="00936CDB" w:rsidRPr="00936CDB" w:rsidRDefault="00936CDB" w:rsidP="0093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CAIXA E EQUIVALENTE DE CAIXA FINAL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89D70B1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846.777.833,66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AF8FC5D" w14:textId="77777777" w:rsidR="00936CDB" w:rsidRPr="00936CDB" w:rsidRDefault="00936CDB" w:rsidP="00936C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6C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1.767.572.437,97</w:t>
            </w:r>
          </w:p>
        </w:tc>
        <w:tc>
          <w:tcPr>
            <w:tcW w:w="147" w:type="dxa"/>
            <w:vAlign w:val="center"/>
            <w:hideMark/>
          </w:tcPr>
          <w:p w14:paraId="0CF628E5" w14:textId="77777777" w:rsidR="00936CDB" w:rsidRPr="00936CDB" w:rsidRDefault="00936CDB" w:rsidP="00936C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35C6826" w14:textId="77777777" w:rsidR="00BB0C5A" w:rsidRPr="00BB45B4" w:rsidRDefault="00BB0C5A" w:rsidP="00BB0C5A">
      <w:pPr>
        <w:ind w:left="-567"/>
        <w:rPr>
          <w:rFonts w:ascii="Century Gothic" w:eastAsia="Times New Roman" w:hAnsi="Century Gothic" w:cs="Times New Roman"/>
          <w:color w:val="538135" w:themeColor="accent6" w:themeShade="BF"/>
          <w:sz w:val="28"/>
          <w:szCs w:val="28"/>
          <w:lang w:eastAsia="pt-B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685EA86" w14:textId="77777777" w:rsidR="003D747B" w:rsidRDefault="003D747B" w:rsidP="003D747B">
      <w:pPr>
        <w:spacing w:before="2" w:after="1"/>
        <w:rPr>
          <w:b/>
          <w:sz w:val="16"/>
        </w:rPr>
      </w:pPr>
    </w:p>
    <w:p w14:paraId="38FFB022" w14:textId="77777777" w:rsid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7794179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2BFA62F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590E973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9F9DF3D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782784D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E5573AD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1F218D2" w14:textId="77777777" w:rsidR="00936CDB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7051E1A" w14:textId="77777777" w:rsidR="00936CDB" w:rsidRPr="00D7554D" w:rsidRDefault="00936CDB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A7A990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04390A1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2D26D64" w14:textId="77777777" w:rsidR="001B0ED8" w:rsidRDefault="001B0ED8" w:rsidP="00D7554D">
      <w:pPr>
        <w:spacing w:after="200" w:line="276" w:lineRule="auto"/>
        <w:jc w:val="both"/>
        <w:rPr>
          <w:rFonts w:ascii="Century Gothic" w:eastAsiaTheme="minorEastAsia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009E7DA9" w14:textId="77777777" w:rsidR="00BB0C5A" w:rsidRDefault="00BB0C5A" w:rsidP="00D7554D">
      <w:pPr>
        <w:spacing w:after="200" w:line="276" w:lineRule="auto"/>
        <w:jc w:val="both"/>
        <w:rPr>
          <w:rFonts w:ascii="Century Gothic" w:eastAsiaTheme="minorEastAsia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5D651DA7" w14:textId="77777777" w:rsidR="00BB0C5A" w:rsidRDefault="00BB0C5A" w:rsidP="00D7554D">
      <w:pPr>
        <w:spacing w:after="200" w:line="276" w:lineRule="auto"/>
        <w:jc w:val="both"/>
        <w:rPr>
          <w:rFonts w:ascii="Century Gothic" w:eastAsiaTheme="minorEastAsia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344B9945" w14:textId="77777777" w:rsidR="00BB0C5A" w:rsidRDefault="00BB0C5A" w:rsidP="00D7554D">
      <w:pPr>
        <w:spacing w:after="200" w:line="276" w:lineRule="auto"/>
        <w:jc w:val="both"/>
        <w:rPr>
          <w:rFonts w:ascii="Century Gothic" w:eastAsiaTheme="minorEastAsia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2B1031D4" w14:textId="757091E2" w:rsidR="00D7554D" w:rsidRPr="00A734AE" w:rsidRDefault="00D7554D" w:rsidP="00D7554D">
      <w:pPr>
        <w:spacing w:after="200" w:line="276" w:lineRule="auto"/>
        <w:jc w:val="both"/>
        <w:rPr>
          <w:rFonts w:ascii="Century Gothic" w:eastAsiaTheme="minorEastAsia" w:hAnsi="Century Gothic" w:cs="Times New Roman"/>
          <w:b/>
          <w:bCs/>
          <w:color w:val="385623" w:themeColor="accent6" w:themeShade="8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A734AE">
        <w:rPr>
          <w:rFonts w:ascii="Century Gothic" w:eastAsiaTheme="minorEastAsia" w:hAnsi="Century Gothic" w:cs="Times New Roman"/>
          <w:b/>
          <w:bCs/>
          <w:color w:val="385623" w:themeColor="accent6" w:themeShade="8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lastRenderedPageBreak/>
        <w:t>NOTAS EXPLICATIVAS</w:t>
      </w:r>
    </w:p>
    <w:p w14:paraId="2754547B" w14:textId="77777777" w:rsidR="00D7554D" w:rsidRPr="00D7554D" w:rsidRDefault="00D7554D" w:rsidP="00D7554D">
      <w:pPr>
        <w:spacing w:after="200" w:line="276" w:lineRule="auto"/>
        <w:jc w:val="both"/>
        <w:rPr>
          <w:rFonts w:ascii="Century Gothic" w:eastAsiaTheme="minorEastAsia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6939AA94" w14:textId="77777777" w:rsidR="00D7554D" w:rsidRPr="00A734AE" w:rsidRDefault="00D7554D" w:rsidP="00D7554D">
      <w:pPr>
        <w:spacing w:after="200" w:line="276" w:lineRule="auto"/>
        <w:ind w:left="708"/>
        <w:jc w:val="both"/>
        <w:rPr>
          <w:rFonts w:ascii="Century Gothic" w:eastAsiaTheme="minorEastAsia" w:hAnsi="Century Gothic" w:cs="Times New Roman"/>
          <w:color w:val="385623" w:themeColor="accent6" w:themeShade="8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A734AE">
        <w:rPr>
          <w:rFonts w:ascii="Century Gothic" w:eastAsiaTheme="minorEastAsia" w:hAnsi="Century Gothic" w:cs="Times New Roman"/>
          <w:color w:val="385623" w:themeColor="accent6" w:themeShade="8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Base de Preparação das Demonstrações e das Práticas Contábeis</w:t>
      </w:r>
    </w:p>
    <w:p w14:paraId="6451DCEF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395AF9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07EFE5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As Demonstrações Contábeis – DCON do Fundo de Desenvolvimento do Centro-Oeste (FDCO)</w:t>
      </w:r>
      <w:r w:rsidRPr="00D7554D">
        <w:rPr>
          <w:rFonts w:ascii="Times New Roman" w:eastAsia="SimSun" w:hAnsi="Times New Roman" w:cs="Times New Roman"/>
          <w:color w:val="FF3333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foram elaboradas em conformidade com as normas contábeis aplicadas ao setor público, em especial, da Lei nº 4.320/64, do Decreto-Lei nº 200/1967, do Decreto nº 93.872/1986, da Lei Complementar nº 101/2001 e da Lei nº 10.180/2001. E em consonância, também, as Normas Brasileiras de Contabilidade Aplicadas ao Setor Público (NBC TSP) do Conselho Federal de Contabilidade (CFC), as normas e orientações do Órgão Central de Contabilidade da União, especialmente, o Manual de Contabilidade Aplicado ao Setor Público – MCASP e o Manual SIAFI, da Secretaria do Tesouro Nacional (ME/STN).</w:t>
      </w:r>
    </w:p>
    <w:p w14:paraId="72F117F0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6305072" w14:textId="77777777" w:rsidR="00D7554D" w:rsidRPr="00D7554D" w:rsidRDefault="00D7554D" w:rsidP="00D7554D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As DCON foram levantadas a partir das informações do Sistema Integrado de Administração Financeira do Governo Federal (SIAFI), e tiveram como escopo as informações consolidadas das contas contábeis do FDCO. </w:t>
      </w:r>
    </w:p>
    <w:p w14:paraId="268ADB70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811301B" w14:textId="77777777" w:rsidR="00D7554D" w:rsidRPr="00D7554D" w:rsidRDefault="00D7554D" w:rsidP="00D7554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 estruturas e a composição das DCON estão de acordo com o padrão da contabilidade aplicada ao setor público brasileiro e são compostas por:</w:t>
      </w:r>
    </w:p>
    <w:p w14:paraId="066F3C2D" w14:textId="77777777" w:rsidR="00D7554D" w:rsidRPr="00D7554D" w:rsidRDefault="00D7554D" w:rsidP="00D755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Balanço Patrimonial (BP):</w:t>
      </w:r>
    </w:p>
    <w:p w14:paraId="74643EF2" w14:textId="77777777" w:rsidR="00D7554D" w:rsidRPr="00D7554D" w:rsidRDefault="00D7554D" w:rsidP="00D755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Demonstração das Variações Patrimoniais (DVP);</w:t>
      </w:r>
    </w:p>
    <w:p w14:paraId="44CFB762" w14:textId="77777777" w:rsidR="00D7554D" w:rsidRPr="00D7554D" w:rsidRDefault="00D7554D" w:rsidP="00D755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Balanço Orçamentário (BO);</w:t>
      </w:r>
    </w:p>
    <w:p w14:paraId="6FBB12F9" w14:textId="77777777" w:rsidR="00D7554D" w:rsidRPr="00D7554D" w:rsidRDefault="00D7554D" w:rsidP="00D755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Balanço Financeiro (BF);</w:t>
      </w:r>
    </w:p>
    <w:p w14:paraId="76D3DBA1" w14:textId="77777777" w:rsidR="00D7554D" w:rsidRPr="00D7554D" w:rsidRDefault="00D7554D" w:rsidP="00D755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Demonstração dos Fluxos de Caixa (DFC);</w:t>
      </w:r>
    </w:p>
    <w:p w14:paraId="389DB563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5446139" w14:textId="77777777" w:rsidR="00D7554D" w:rsidRPr="00D7554D" w:rsidRDefault="00D7554D" w:rsidP="00D7554D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 uso do conceito de conta única, derivado do princípio de unidade de tesouraria (conforme art.1° e 2° do Decreto n° 93.782/1986), exige que todas as receitas e as despesas, orçamentárias e extraorçamentárias, sejam controladas na conta única.</w:t>
      </w:r>
    </w:p>
    <w:p w14:paraId="7B527B67" w14:textId="77777777" w:rsidR="00D7554D" w:rsidRPr="00D7554D" w:rsidRDefault="00D7554D" w:rsidP="00D7554D">
      <w:pP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552B5C" w14:textId="77777777" w:rsidR="00D7554D" w:rsidRDefault="00D7554D" w:rsidP="00D7554D">
      <w:pPr>
        <w:ind w:left="708"/>
        <w:rPr>
          <w:rFonts w:ascii="Century Gothic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712C45C6" w14:textId="77777777" w:rsidR="003D747B" w:rsidRDefault="003D747B" w:rsidP="00D7554D">
      <w:pPr>
        <w:ind w:left="708"/>
        <w:rPr>
          <w:rFonts w:ascii="Century Gothic" w:hAnsi="Century Gothic" w:cs="Times New Roman"/>
          <w:b/>
          <w:color w:val="385623" w:themeColor="accent6" w:themeShade="80"/>
          <w:kern w:val="0"/>
          <w:sz w:val="28"/>
          <w:szCs w:val="28"/>
          <w14:ligatures w14:val="none"/>
        </w:rPr>
      </w:pPr>
    </w:p>
    <w:p w14:paraId="5499D56D" w14:textId="77777777" w:rsidR="003D747B" w:rsidRPr="00D7554D" w:rsidRDefault="003D747B" w:rsidP="3F3967D0">
      <w:pPr>
        <w:ind w:left="708"/>
        <w:rPr>
          <w:rFonts w:ascii="Century Gothic" w:hAnsi="Century Gothic" w:cs="Times New Roman"/>
          <w:b/>
          <w:bCs/>
          <w:color w:val="385623" w:themeColor="accent6" w:themeShade="80"/>
          <w:kern w:val="0"/>
          <w:sz w:val="28"/>
          <w:szCs w:val="28"/>
          <w14:ligatures w14:val="none"/>
        </w:rPr>
      </w:pPr>
    </w:p>
    <w:p w14:paraId="2478CBE8" w14:textId="448B8828" w:rsidR="3F3967D0" w:rsidRDefault="3F3967D0" w:rsidP="3F3967D0">
      <w:pPr>
        <w:ind w:left="708"/>
        <w:rPr>
          <w:rFonts w:ascii="Century Gothic" w:hAnsi="Century Gothic" w:cs="Times New Roman"/>
          <w:b/>
          <w:bCs/>
          <w:color w:val="385623" w:themeColor="accent6" w:themeShade="80"/>
          <w:sz w:val="28"/>
          <w:szCs w:val="28"/>
        </w:rPr>
      </w:pPr>
    </w:p>
    <w:p w14:paraId="2C6D3586" w14:textId="77777777" w:rsidR="00D7554D" w:rsidRPr="00A734AE" w:rsidRDefault="00D7554D" w:rsidP="00D7554D">
      <w:pPr>
        <w:ind w:left="708"/>
        <w:rPr>
          <w:rFonts w:ascii="Century Gothic" w:hAnsi="Century Gothic" w:cs="Times New Roman"/>
          <w:color w:val="ED7D31" w:themeColor="accent2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A734AE">
        <w:rPr>
          <w:rFonts w:ascii="Century Gothic" w:hAnsi="Century Gothic" w:cs="Times New Roman"/>
          <w:color w:val="385623" w:themeColor="accent6" w:themeShade="8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lastRenderedPageBreak/>
        <w:t>Resumo dos Principais Critérios e Políticas Contábeis</w:t>
      </w:r>
    </w:p>
    <w:p w14:paraId="74AB2BFF" w14:textId="77777777" w:rsidR="00D7554D" w:rsidRPr="00D7554D" w:rsidRDefault="00D7554D" w:rsidP="00D7554D">
      <w:pPr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5C3B911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A seguir, são apresentados os principais critérios e políticas contábeis adotados tendo em consideração as opções e premissas do modelo da contabilidade aplicada ao setor público.</w:t>
      </w:r>
    </w:p>
    <w:p w14:paraId="209F9C84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644378A" w14:textId="77777777" w:rsidR="00D7554D" w:rsidRPr="00D7554D" w:rsidRDefault="00D7554D" w:rsidP="00D7554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Moeda funcional -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A moeda funcional é o Real. </w:t>
      </w:r>
    </w:p>
    <w:p w14:paraId="22137CD4" w14:textId="77777777" w:rsidR="00D7554D" w:rsidRPr="00D7554D" w:rsidRDefault="00D7554D" w:rsidP="00D7554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Caixa e equivalentes de caixa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- Incluem dinheiro em caixa, conta única, demais depósitos bancários e aplicações de liquidez imediata. Os valores são mensurados e avaliados pelo valor de custo e, quando aplicável, são acrescidos dos rendimentos auferidos até a data das demonstrações contábeis.</w:t>
      </w:r>
    </w:p>
    <w:p w14:paraId="60A8A6BB" w14:textId="77777777" w:rsidR="00D7554D" w:rsidRPr="00D7554D" w:rsidRDefault="00D7554D" w:rsidP="00D7554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 xml:space="preserve">Créditos a curto prazo - 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Compreendem os direitos a receber a curto prazo relacionados principalmente com empréstimos e financiamentos concedidos. Os valores são mensurados e avaliados pelo valor original, acrescido das atualizações monetárias e juros. </w:t>
      </w:r>
    </w:p>
    <w:p w14:paraId="41114C58" w14:textId="77777777" w:rsidR="00D7554D" w:rsidRPr="00D7554D" w:rsidRDefault="00D7554D" w:rsidP="00D7554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Ativo realizável a longo prazo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- Compreendem os direitos a receber a longo prazo principalmente com empréstimos e financiamentos concedidos. Os valores são avaliados e mensurados pelo valor original e, quando aplicável, são acrescidos das atualizações e correções monetárias, de acordo com as taxas especificadas nas respectivas operações. </w:t>
      </w:r>
    </w:p>
    <w:p w14:paraId="4FAAA1D6" w14:textId="77777777" w:rsidR="00D7554D" w:rsidRPr="00D7554D" w:rsidRDefault="00D7554D" w:rsidP="00D7554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Passivos circulantes e não circulantes -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As obrigações da União são evidenciadas por valores conhecidos ou calculáveis, acrescidos, quando aplicável, dos correspondentes encargos das variações monetárias e cambiais ocorridas até a data das demonstrações contábeis.  O passivo circulante compreende as demais obrigações. </w:t>
      </w:r>
    </w:p>
    <w:p w14:paraId="600F6EB9" w14:textId="77777777" w:rsidR="00D7554D" w:rsidRPr="00D7554D" w:rsidRDefault="00D7554D" w:rsidP="00D7554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Apuração do Resultado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– Nas demonstrações contábeis são apurados os seguintes resultados:</w:t>
      </w:r>
    </w:p>
    <w:p w14:paraId="4B17A332" w14:textId="3E2D58AE" w:rsidR="00D7554D" w:rsidRPr="00D7554D" w:rsidRDefault="00D7554D" w:rsidP="00D7554D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Resultado Patrimonial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é apresentado na Demonstração das Variações Patrimoniais</w:t>
      </w:r>
      <w:r w:rsidR="00493A3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e se dá pelo encerramento das contas de Variações Patrimoniais Aumentativas e Variações Patrimoniais Diminutivas, em contrapartida a uma conta de apuração. Após a apuração, o resultado é transferido para conta de Superávit/Déficit do Exercício. </w:t>
      </w:r>
    </w:p>
    <w:p w14:paraId="64DC95E5" w14:textId="77777777" w:rsidR="00D7554D" w:rsidRPr="00D7554D" w:rsidRDefault="00D7554D" w:rsidP="00D7554D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Resultado Orçamentário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representa o confronto entre as receitas orçamentárias realizadas e as despesas orçamentárias empenhadas. O superávit/déficit é apresentado no Balanço Orçamentário. O regime orçamentário da União segue a Lei n° 4.320/1964, em que pertencem ao exercício financeiro as receitas nele arrecadadas e as despesas nele legalmente empenhadas.</w:t>
      </w:r>
    </w:p>
    <w:p w14:paraId="7D6F5F22" w14:textId="77777777" w:rsidR="00D7554D" w:rsidRPr="00D7554D" w:rsidRDefault="00D7554D" w:rsidP="00D7554D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="Calibri"/>
          <w:color w:val="000000"/>
          <w:kern w:val="3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  <w14:ligatures w14:val="none"/>
        </w:rPr>
        <w:t>No Balanço Financeiro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ou na Demonstração do Fluxo de Caixa é apurado o </w:t>
      </w: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Resultado Financeiro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confrontando o Saldo Atual de Caixa e Equivalência de Caixa menos o Saldo Anterior, se for positivo será um Superávit Financeiro caso contrário um Déficit Financeiro. Esta apuração no Resultado Financeiro não se confunde com a apuração feito no Balanço Patrimonial entre os Ativos Financeiros menos os Passivos Financeiros, este se superávit é inclusive fonte para abertura de créditos adicionais.</w:t>
      </w:r>
    </w:p>
    <w:p w14:paraId="34A19F9A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  <w14:ligatures w14:val="none"/>
        </w:rPr>
      </w:pPr>
    </w:p>
    <w:p w14:paraId="3774A15A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  <w14:ligatures w14:val="none"/>
        </w:rPr>
      </w:pPr>
    </w:p>
    <w:p w14:paraId="105EBB5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rPr>
          <w:rFonts w:ascii="Century Gothic" w:eastAsia="SimSun" w:hAnsi="Century Gothic" w:cs="Times New Roman"/>
          <w:b/>
          <w:bCs/>
          <w:color w:val="2E74B5" w:themeColor="accent5" w:themeShade="BF"/>
          <w:kern w:val="3"/>
          <w:sz w:val="28"/>
          <w:szCs w:val="28"/>
          <w:lang w:eastAsia="zh-CN" w:bidi="hi-IN"/>
          <w14:ligatures w14:val="none"/>
        </w:rPr>
      </w:pPr>
    </w:p>
    <w:p w14:paraId="1D458A3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rPr>
          <w:rFonts w:ascii="Century Gothic" w:eastAsia="SimSun" w:hAnsi="Century Gothic" w:cs="Times New Roman"/>
          <w:b/>
          <w:bCs/>
          <w:color w:val="2E74B5" w:themeColor="accent5" w:themeShade="BF"/>
          <w:kern w:val="3"/>
          <w:sz w:val="28"/>
          <w:szCs w:val="28"/>
          <w:lang w:eastAsia="zh-CN" w:bidi="hi-IN"/>
          <w14:ligatures w14:val="none"/>
        </w:rPr>
      </w:pPr>
    </w:p>
    <w:p w14:paraId="0FD42DC2" w14:textId="77777777" w:rsidR="00D7554D" w:rsidRPr="008049DF" w:rsidRDefault="00D7554D" w:rsidP="00D7554D">
      <w:pPr>
        <w:widowControl w:val="0"/>
        <w:suppressAutoHyphens/>
        <w:autoSpaceDN w:val="0"/>
        <w:spacing w:after="0" w:line="240" w:lineRule="auto"/>
        <w:jc w:val="both"/>
        <w:rPr>
          <w:rFonts w:ascii="Century Gothic" w:eastAsia="SimSun" w:hAnsi="Century Gothic" w:cs="Times New Roman"/>
          <w:bCs/>
          <w:color w:val="385623" w:themeColor="accent6" w:themeShade="80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8049DF">
        <w:rPr>
          <w:rFonts w:ascii="Century Gothic" w:eastAsia="SimSun" w:hAnsi="Century Gothic" w:cs="Times New Roman"/>
          <w:bCs/>
          <w:color w:val="385623" w:themeColor="accent6" w:themeShade="80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 xml:space="preserve">Plano de Implantação dos Procedimentos Contábeis Patrimoniais </w:t>
      </w:r>
    </w:p>
    <w:p w14:paraId="59EC33C8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D7D31" w:themeColor="accent2"/>
          <w:kern w:val="3"/>
          <w:sz w:val="24"/>
          <w:szCs w:val="24"/>
          <w:lang w:eastAsia="zh-CN" w:bidi="hi-IN"/>
          <w14:ligatures w14:val="none"/>
        </w:rPr>
      </w:pPr>
    </w:p>
    <w:p w14:paraId="558B645C" w14:textId="5DB61C31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A Portaria STN nº </w:t>
      </w:r>
      <w:r w:rsidR="00493A3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1.569/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20</w:t>
      </w:r>
      <w:r w:rsidR="00493A3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23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dispõe sobre os prazos limites de adoção dos procedimentos contábeis patrimoniais aplicáveis aos entes da Federação. Na referida portaria foi aprovado o Plano de Implantação dos Procedimentos Contábeis Patrimoniais (PIPCP), estando os procedimentos definidos na Portaria STN nº 634/2013, e as regras aplicáveis descritas no MCASP. </w:t>
      </w:r>
    </w:p>
    <w:p w14:paraId="5F95FC0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7F38EBD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  <w14:ligatures w14:val="none"/>
        </w:rPr>
      </w:pPr>
    </w:p>
    <w:p w14:paraId="75B7A07B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  <w14:ligatures w14:val="none"/>
        </w:rPr>
      </w:pPr>
    </w:p>
    <w:p w14:paraId="209474E3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A54F902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  <w14:ligatures w14:val="none"/>
        </w:rPr>
      </w:pPr>
    </w:p>
    <w:p w14:paraId="28E1CC0C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  <w14:ligatures w14:val="none"/>
        </w:rPr>
      </w:pPr>
    </w:p>
    <w:p w14:paraId="18FC1DBA" w14:textId="77777777" w:rsidR="00D7554D" w:rsidRPr="008049DF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imes New Roman"/>
          <w:b/>
          <w:bCs/>
          <w:outline/>
          <w:color w:val="70AD47" w:themeColor="accent6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8049DF">
        <w:rPr>
          <w:rFonts w:ascii="Century Gothic" w:eastAsia="SimSun" w:hAnsi="Century Gothic" w:cs="Times New Roman"/>
          <w:b/>
          <w:bCs/>
          <w:outline/>
          <w:color w:val="70AD47" w:themeColor="accent6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Notas Explicativas</w:t>
      </w:r>
    </w:p>
    <w:p w14:paraId="1B0D148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FDA56F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647113A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Nota 1 – Caixa e Equivalentes de Caixa</w:t>
      </w:r>
    </w:p>
    <w:p w14:paraId="7F6CD38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CFCE799" w14:textId="77777777" w:rsidR="00D7554D" w:rsidRPr="00D7554D" w:rsidRDefault="00D7554D" w:rsidP="00D7554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item Caixa e Equivalentes de Caixa contempla o somatório dos valores em caixa e em bancos, bem como equivalentes, que representam recursos com livre movimentação para aplicação nas operações da entidade e para os quais não haja restrições para uso imediato evidenciados em moeda nacional. </w:t>
      </w:r>
    </w:p>
    <w:p w14:paraId="5D4D998B" w14:textId="7E4D9613" w:rsidR="00D7554D" w:rsidRPr="00D7554D" w:rsidRDefault="00D7554D" w:rsidP="00D7554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Tendo em vista o Decreto nº </w:t>
      </w:r>
      <w:r w:rsidR="002E3AE9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10.152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/201</w:t>
      </w:r>
      <w:r w:rsidR="002E3AE9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observada a IN STN Nº 04/2004 fica autorizada pela Secretaria do Tesouro Nacional a aplicação financeira na Conta Única do Tesouro Nacional, mediante registro específico no SIAFI, dos valores registrados em Limite de Saque com Vinculação de Pagamento, decorrentes da arrecadação no ano corrente e em exercícios anteriores de reembolsos de recursos do FDCO referentes a operação com empresas. </w:t>
      </w:r>
    </w:p>
    <w:p w14:paraId="5DB9C6CC" w14:textId="75243829" w:rsidR="001B6476" w:rsidRDefault="00C60A62" w:rsidP="00D7554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 exercício de 202</w:t>
      </w:r>
      <w:r w:rsidR="002E3AE9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B2495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todas as receitas provenientes d</w:t>
      </w:r>
      <w:r w:rsidR="001508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amortização de financiamentos concedidos </w:t>
      </w:r>
      <w:r w:rsidR="00BF01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que transitaram na conta </w:t>
      </w:r>
      <w:r w:rsidR="00743D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 w:rsidR="00BF01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imite de</w:t>
      </w:r>
      <w:r w:rsidR="001348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3D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1348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aque com </w:t>
      </w:r>
      <w:r w:rsidR="00743D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  <w:r w:rsidR="001348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inculação de </w:t>
      </w:r>
      <w:r w:rsidR="00743D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="001348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agamento </w:t>
      </w:r>
      <w:r w:rsidR="009D6B6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foram </w:t>
      </w:r>
      <w:r w:rsidR="0085337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aplicados</w:t>
      </w:r>
      <w:r w:rsidR="00B278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</w:t>
      </w:r>
      <w:r w:rsidR="009617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con</w:t>
      </w:r>
      <w:r w:rsidR="00F45FD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 CTU – Recursos da Conta Única Aplicados</w:t>
      </w:r>
      <w:r w:rsidR="006C37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02ECF5" w14:textId="77777777" w:rsidR="00D60C13" w:rsidRDefault="00D60C13" w:rsidP="00D7554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D20BF9" w14:textId="37B41F00" w:rsidR="00D7554D" w:rsidRDefault="00D7554D" w:rsidP="00D7554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55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Vide a tabela abaixo com a composição:</w:t>
      </w:r>
      <w:r w:rsidR="00DB07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751E5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Tabela – Caixa e Equivalentes de Caixa (em R$)</w:t>
      </w:r>
    </w:p>
    <w:tbl>
      <w:tblPr>
        <w:tblStyle w:val="SimplesTabela1"/>
        <w:tblW w:w="8144" w:type="dxa"/>
        <w:tblLook w:val="04A0" w:firstRow="1" w:lastRow="0" w:firstColumn="1" w:lastColumn="0" w:noHBand="0" w:noVBand="1"/>
      </w:tblPr>
      <w:tblGrid>
        <w:gridCol w:w="4814"/>
        <w:gridCol w:w="1665"/>
        <w:gridCol w:w="1665"/>
      </w:tblGrid>
      <w:tr w:rsidR="00D7554D" w:rsidRPr="00D7554D" w14:paraId="38454FD2" w14:textId="77777777" w:rsidTr="00146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DEEAF6" w:themeFill="accent5" w:themeFillTint="33"/>
            <w:noWrap/>
            <w:hideMark/>
          </w:tcPr>
          <w:tbl>
            <w:tblPr>
              <w:tblStyle w:val="SimplesTabela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907"/>
              <w:gridCol w:w="907"/>
              <w:gridCol w:w="907"/>
              <w:gridCol w:w="907"/>
            </w:tblGrid>
            <w:tr w:rsidR="00D7554D" w:rsidRPr="00D7554D" w14:paraId="2F668F19" w14:textId="77777777" w:rsidTr="00146E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6" w:type="dxa"/>
                  <w:shd w:val="clear" w:color="auto" w:fill="DEEAF6" w:themeFill="accent5" w:themeFillTint="33"/>
                </w:tcPr>
                <w:p w14:paraId="1A1AAE0E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907" w:type="dxa"/>
                  <w:shd w:val="clear" w:color="auto" w:fill="DEEAF6" w:themeFill="accent5" w:themeFillTint="33"/>
                </w:tcPr>
                <w:p w14:paraId="0C940184" w14:textId="77777777" w:rsidR="00D7554D" w:rsidRPr="00D7554D" w:rsidRDefault="00D7554D" w:rsidP="00D7554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907" w:type="dxa"/>
                  <w:shd w:val="clear" w:color="auto" w:fill="DEEAF6" w:themeFill="accent5" w:themeFillTint="33"/>
                </w:tcPr>
                <w:p w14:paraId="250AE1CC" w14:textId="77777777" w:rsidR="00D7554D" w:rsidRPr="00D7554D" w:rsidRDefault="00D7554D" w:rsidP="00D7554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907" w:type="dxa"/>
                  <w:shd w:val="clear" w:color="auto" w:fill="DEEAF6" w:themeFill="accent5" w:themeFillTint="33"/>
                </w:tcPr>
                <w:p w14:paraId="2D851578" w14:textId="77777777" w:rsidR="00D7554D" w:rsidRPr="00D7554D" w:rsidRDefault="00D7554D" w:rsidP="00D7554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907" w:type="dxa"/>
                </w:tcPr>
                <w:p w14:paraId="65956592" w14:textId="77777777" w:rsidR="00D7554D" w:rsidRPr="00D7554D" w:rsidRDefault="00D7554D" w:rsidP="00D7554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0C8C6BA1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665" w:type="dxa"/>
            <w:shd w:val="clear" w:color="auto" w:fill="DEEAF6" w:themeFill="accent5" w:themeFillTint="33"/>
            <w:noWrap/>
            <w:hideMark/>
          </w:tcPr>
          <w:p w14:paraId="0209C626" w14:textId="618BF0A7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DB079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65" w:type="dxa"/>
            <w:shd w:val="clear" w:color="auto" w:fill="DEEAF6" w:themeFill="accent5" w:themeFillTint="33"/>
            <w:noWrap/>
            <w:hideMark/>
          </w:tcPr>
          <w:p w14:paraId="4C035E4B" w14:textId="3C28B473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170A3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D7554D" w:rsidRPr="00D7554D" w14:paraId="17C58829" w14:textId="77777777" w:rsidTr="006E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noWrap/>
          </w:tcPr>
          <w:p w14:paraId="5613FD56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CTU – Recursos da Conta Única Aplicados</w:t>
            </w:r>
          </w:p>
        </w:tc>
        <w:tc>
          <w:tcPr>
            <w:tcW w:w="1665" w:type="dxa"/>
            <w:noWrap/>
          </w:tcPr>
          <w:p w14:paraId="57EAA21C" w14:textId="020D65A4" w:rsidR="00D7554D" w:rsidRPr="00D7554D" w:rsidRDefault="00DB0797" w:rsidP="00D755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65.757.414,47</w:t>
            </w:r>
          </w:p>
        </w:tc>
        <w:tc>
          <w:tcPr>
            <w:tcW w:w="1665" w:type="dxa"/>
            <w:noWrap/>
          </w:tcPr>
          <w:p w14:paraId="5F59EC27" w14:textId="7D9F9B62" w:rsidR="00D7554D" w:rsidRPr="00D7554D" w:rsidRDefault="00E3007D" w:rsidP="00E300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  <w:r w:rsidR="00170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4.064.006,91</w:t>
            </w:r>
          </w:p>
        </w:tc>
      </w:tr>
      <w:tr w:rsidR="00D7554D" w:rsidRPr="00D7554D" w14:paraId="724B881B" w14:textId="77777777" w:rsidTr="006E47F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noWrap/>
            <w:hideMark/>
          </w:tcPr>
          <w:p w14:paraId="10054744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Banco Conta Movimento - Recursos Fundos </w:t>
            </w:r>
            <w:proofErr w:type="spellStart"/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Const</w:t>
            </w:r>
            <w:proofErr w:type="spellEnd"/>
          </w:p>
        </w:tc>
        <w:tc>
          <w:tcPr>
            <w:tcW w:w="1665" w:type="dxa"/>
            <w:noWrap/>
            <w:hideMark/>
          </w:tcPr>
          <w:p w14:paraId="358BC249" w14:textId="1558C218" w:rsidR="00D7554D" w:rsidRPr="00D7554D" w:rsidRDefault="00DD5723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65" w:type="dxa"/>
            <w:noWrap/>
            <w:hideMark/>
          </w:tcPr>
          <w:p w14:paraId="4DA94867" w14:textId="25249C8A" w:rsidR="00D7554D" w:rsidRPr="00D7554D" w:rsidRDefault="00A556D6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554D" w:rsidRPr="00D7554D" w14:paraId="17A4552B" w14:textId="77777777" w:rsidTr="006E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noWrap/>
            <w:hideMark/>
          </w:tcPr>
          <w:p w14:paraId="56B17B34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Limite de Saque com Vinculação de </w:t>
            </w:r>
            <w:proofErr w:type="spellStart"/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Pgto</w:t>
            </w:r>
            <w:proofErr w:type="spellEnd"/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- OFSS</w:t>
            </w:r>
          </w:p>
        </w:tc>
        <w:tc>
          <w:tcPr>
            <w:tcW w:w="1665" w:type="dxa"/>
            <w:noWrap/>
            <w:hideMark/>
          </w:tcPr>
          <w:p w14:paraId="71D05C6B" w14:textId="56CFD2DC" w:rsidR="00D7554D" w:rsidRPr="00D7554D" w:rsidRDefault="00DB0797" w:rsidP="00D755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1.815.023,50</w:t>
            </w:r>
          </w:p>
        </w:tc>
        <w:tc>
          <w:tcPr>
            <w:tcW w:w="1665" w:type="dxa"/>
            <w:noWrap/>
            <w:hideMark/>
          </w:tcPr>
          <w:p w14:paraId="61766F9A" w14:textId="42472ABF" w:rsidR="00D7554D" w:rsidRPr="00D7554D" w:rsidRDefault="00544932" w:rsidP="00D755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405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44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713</w:t>
            </w:r>
            <w:r w:rsidR="00405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44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826,75</w:t>
            </w:r>
          </w:p>
        </w:tc>
      </w:tr>
      <w:tr w:rsidR="00D7554D" w:rsidRPr="00D7554D" w14:paraId="6402E629" w14:textId="77777777" w:rsidTr="001046E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1F4E79" w:themeFill="accent5" w:themeFillShade="80"/>
            <w:noWrap/>
            <w:hideMark/>
          </w:tcPr>
          <w:p w14:paraId="16640D85" w14:textId="7DD933BC" w:rsidR="00D7554D" w:rsidRPr="001046EA" w:rsidRDefault="00D7554D" w:rsidP="005050DA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1046EA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Total</w:t>
            </w:r>
            <w:r w:rsidR="00DB0797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65" w:type="dxa"/>
            <w:shd w:val="clear" w:color="auto" w:fill="1F4E79" w:themeFill="accent5" w:themeFillShade="80"/>
            <w:noWrap/>
            <w:hideMark/>
          </w:tcPr>
          <w:p w14:paraId="176751F4" w14:textId="003977C3" w:rsidR="00D7554D" w:rsidRPr="001046EA" w:rsidRDefault="00DB0797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t-BR"/>
              </w:rPr>
              <w:t>1.767.572.437,97</w:t>
            </w:r>
          </w:p>
        </w:tc>
        <w:tc>
          <w:tcPr>
            <w:tcW w:w="1665" w:type="dxa"/>
            <w:shd w:val="clear" w:color="auto" w:fill="1F4E79" w:themeFill="accent5" w:themeFillShade="80"/>
            <w:noWrap/>
            <w:hideMark/>
          </w:tcPr>
          <w:p w14:paraId="71BFBEAD" w14:textId="2393DD47" w:rsidR="00D7554D" w:rsidRPr="001046EA" w:rsidRDefault="00027E14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t-BR"/>
              </w:rPr>
              <w:t>846.777.833,66</w:t>
            </w:r>
          </w:p>
        </w:tc>
      </w:tr>
    </w:tbl>
    <w:p w14:paraId="5E44A1B6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Fonte: Siafi</w:t>
      </w:r>
    </w:p>
    <w:p w14:paraId="1F3BB1DB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Nota 2 – Créditos a Receber</w:t>
      </w:r>
    </w:p>
    <w:p w14:paraId="5022EDAA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7046D45" w14:textId="3ECE1DB4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Os Créditos a Receber a Curto e Longo Prazos são valores registrados em Empréstimos e Financiamentos Concedidos, registrados pelo custo histórico mais a atualização mensal das transferências efetuadas aos agentes financiadores – Banco do Brasil</w:t>
      </w:r>
      <w:r w:rsidR="00810C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,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Caixa Econômica Federal</w:t>
      </w:r>
      <w:r w:rsidR="00810C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e Banco Regional de Desenvolvimento do Extremo Sul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– das linhas de financiamentos do FDCO e mais a remuneração de recursos da conta única aplicados a receber. </w:t>
      </w:r>
    </w:p>
    <w:p w14:paraId="2FE0DA1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01B7F04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 xml:space="preserve">   2.1 – Créditos a Curto Prazo</w:t>
      </w:r>
    </w:p>
    <w:p w14:paraId="19E4B46A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5EA18ED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Tabela – Empréstimos e Financiamentos Concedidos e Demais Créditos e Valores </w:t>
      </w:r>
    </w:p>
    <w:tbl>
      <w:tblPr>
        <w:tblStyle w:val="SimplesTabela1"/>
        <w:tblW w:w="7835" w:type="dxa"/>
        <w:tblLook w:val="04A0" w:firstRow="1" w:lastRow="0" w:firstColumn="1" w:lastColumn="0" w:noHBand="0" w:noVBand="1"/>
      </w:tblPr>
      <w:tblGrid>
        <w:gridCol w:w="4395"/>
        <w:gridCol w:w="1720"/>
        <w:gridCol w:w="1720"/>
      </w:tblGrid>
      <w:tr w:rsidR="00D7554D" w:rsidRPr="00D7554D" w14:paraId="2FE4E4B6" w14:textId="77777777" w:rsidTr="00F4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DEEAF6" w:themeFill="accent5" w:themeFillTint="33"/>
            <w:noWrap/>
            <w:hideMark/>
          </w:tcPr>
          <w:tbl>
            <w:tblPr>
              <w:tblStyle w:val="Tabelacomgrade"/>
              <w:tblW w:w="0" w:type="auto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"/>
              <w:gridCol w:w="834"/>
              <w:gridCol w:w="834"/>
              <w:gridCol w:w="834"/>
              <w:gridCol w:w="834"/>
            </w:tblGrid>
            <w:tr w:rsidR="00D7554D" w:rsidRPr="00D7554D" w14:paraId="6E5CDCCB" w14:textId="77777777" w:rsidTr="00F44C06">
              <w:trPr>
                <w:trHeight w:val="346"/>
              </w:trPr>
              <w:tc>
                <w:tcPr>
                  <w:tcW w:w="833" w:type="dxa"/>
                </w:tcPr>
                <w:p w14:paraId="30CB34CF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834" w:type="dxa"/>
                </w:tcPr>
                <w:p w14:paraId="7EB5B4A6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834" w:type="dxa"/>
                </w:tcPr>
                <w:p w14:paraId="1BE04123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834" w:type="dxa"/>
                </w:tcPr>
                <w:p w14:paraId="052FA6DF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834" w:type="dxa"/>
                </w:tcPr>
                <w:p w14:paraId="1021739C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B8F4FA1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shd w:val="clear" w:color="auto" w:fill="DEEAF6" w:themeFill="accent5" w:themeFillTint="33"/>
            <w:noWrap/>
            <w:hideMark/>
          </w:tcPr>
          <w:p w14:paraId="43EEC54E" w14:textId="45F3EEB1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BC49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720" w:type="dxa"/>
            <w:shd w:val="clear" w:color="auto" w:fill="DEEAF6" w:themeFill="accent5" w:themeFillTint="33"/>
            <w:noWrap/>
            <w:hideMark/>
          </w:tcPr>
          <w:p w14:paraId="3A1417E1" w14:textId="59F06A62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BC49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862F03" w:rsidRPr="00D7554D" w14:paraId="61FA3831" w14:textId="77777777" w:rsidTr="00F4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14:paraId="00AE38D9" w14:textId="77777777" w:rsidR="00862F03" w:rsidRPr="00D7554D" w:rsidRDefault="00862F03" w:rsidP="00862F03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Demais Créditos e Valores a Curto </w:t>
            </w:r>
            <w:proofErr w:type="spellStart"/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Prazo</w:t>
            </w:r>
            <w:r w:rsidRPr="00D7554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De</w:t>
            </w:r>
            <w:proofErr w:type="spellEnd"/>
          </w:p>
        </w:tc>
        <w:tc>
          <w:tcPr>
            <w:tcW w:w="1720" w:type="dxa"/>
            <w:noWrap/>
          </w:tcPr>
          <w:p w14:paraId="36C7927B" w14:textId="36182BF2" w:rsidR="00862F03" w:rsidRPr="00D7554D" w:rsidRDefault="00BC4935" w:rsidP="00862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28839B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2.652</w:t>
            </w:r>
            <w:r w:rsidR="00ED21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28839B3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185,02</w:t>
            </w:r>
          </w:p>
        </w:tc>
        <w:tc>
          <w:tcPr>
            <w:tcW w:w="1720" w:type="dxa"/>
            <w:noWrap/>
          </w:tcPr>
          <w:p w14:paraId="214B54A0" w14:textId="5543C0D7" w:rsidR="00862F03" w:rsidRPr="00D7554D" w:rsidRDefault="00C7348C" w:rsidP="00862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734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734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734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977,96</w:t>
            </w:r>
          </w:p>
        </w:tc>
      </w:tr>
      <w:tr w:rsidR="00862F03" w:rsidRPr="00D7554D" w14:paraId="023BF86C" w14:textId="77777777" w:rsidTr="00F44C0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1F4E79" w:themeFill="accent5" w:themeFillShade="80"/>
            <w:noWrap/>
            <w:hideMark/>
          </w:tcPr>
          <w:p w14:paraId="574AA73C" w14:textId="77777777" w:rsidR="00862F03" w:rsidRPr="001046EA" w:rsidRDefault="00862F03" w:rsidP="003C18E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1046EA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20" w:type="dxa"/>
            <w:shd w:val="clear" w:color="auto" w:fill="1F4E79" w:themeFill="accent5" w:themeFillShade="80"/>
            <w:noWrap/>
          </w:tcPr>
          <w:p w14:paraId="65FE972A" w14:textId="2C2E9923" w:rsidR="00862F03" w:rsidRPr="001046EA" w:rsidRDefault="00BC4935" w:rsidP="00862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28839B3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2.652.185,02</w:t>
            </w:r>
          </w:p>
        </w:tc>
        <w:tc>
          <w:tcPr>
            <w:tcW w:w="1720" w:type="dxa"/>
            <w:shd w:val="clear" w:color="auto" w:fill="1F4E79" w:themeFill="accent5" w:themeFillShade="80"/>
            <w:noWrap/>
            <w:hideMark/>
          </w:tcPr>
          <w:p w14:paraId="7F15CBE4" w14:textId="610E2AE0" w:rsidR="00862F03" w:rsidRPr="001046EA" w:rsidRDefault="54844D0D" w:rsidP="00862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28839B3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2.652.185,02</w:t>
            </w:r>
          </w:p>
        </w:tc>
      </w:tr>
    </w:tbl>
    <w:p w14:paraId="51B5EDD2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Fonte: Siafi</w:t>
      </w:r>
    </w:p>
    <w:p w14:paraId="4B718009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9E58041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475F1D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 xml:space="preserve">   2.2 – Créditos a Longo Prazo</w:t>
      </w:r>
    </w:p>
    <w:p w14:paraId="0BCB8FBD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B55F5D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Tabela – Empréstimos e Financiamentos Concedidos</w:t>
      </w:r>
    </w:p>
    <w:tbl>
      <w:tblPr>
        <w:tblStyle w:val="SimplesTabela1"/>
        <w:tblW w:w="7908" w:type="dxa"/>
        <w:tblLook w:val="04A0" w:firstRow="1" w:lastRow="0" w:firstColumn="1" w:lastColumn="0" w:noHBand="0" w:noVBand="1"/>
      </w:tblPr>
      <w:tblGrid>
        <w:gridCol w:w="4168"/>
        <w:gridCol w:w="1723"/>
        <w:gridCol w:w="2017"/>
      </w:tblGrid>
      <w:tr w:rsidR="00D7554D" w:rsidRPr="00D7554D" w14:paraId="2629049B" w14:textId="77777777" w:rsidTr="003C1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shd w:val="clear" w:color="auto" w:fill="DEEAF6" w:themeFill="accent5" w:themeFillTint="33"/>
            <w:noWrap/>
            <w:hideMark/>
          </w:tcPr>
          <w:tbl>
            <w:tblPr>
              <w:tblStyle w:val="Tabelacomgrade"/>
              <w:tblW w:w="0" w:type="auto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8"/>
              <w:gridCol w:w="618"/>
              <w:gridCol w:w="618"/>
              <w:gridCol w:w="618"/>
              <w:gridCol w:w="619"/>
            </w:tblGrid>
            <w:tr w:rsidR="00D7554D" w:rsidRPr="00D7554D" w14:paraId="5D45A5BD" w14:textId="77777777" w:rsidTr="003C18E8">
              <w:trPr>
                <w:trHeight w:val="382"/>
              </w:trPr>
              <w:tc>
                <w:tcPr>
                  <w:tcW w:w="618" w:type="dxa"/>
                </w:tcPr>
                <w:p w14:paraId="4BC50B14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  <w:bookmarkStart w:id="0" w:name="_Hlk35424486"/>
                </w:p>
              </w:tc>
              <w:tc>
                <w:tcPr>
                  <w:tcW w:w="618" w:type="dxa"/>
                </w:tcPr>
                <w:p w14:paraId="6146CD2A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18" w:type="dxa"/>
                </w:tcPr>
                <w:p w14:paraId="7439A85C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18" w:type="dxa"/>
                </w:tcPr>
                <w:p w14:paraId="62FCC509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19" w:type="dxa"/>
                </w:tcPr>
                <w:p w14:paraId="161FCE9A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53F41B8D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723" w:type="dxa"/>
            <w:shd w:val="clear" w:color="auto" w:fill="DEEAF6" w:themeFill="accent5" w:themeFillTint="33"/>
            <w:noWrap/>
            <w:hideMark/>
          </w:tcPr>
          <w:p w14:paraId="56D1CC89" w14:textId="1CC9A076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3C18E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017" w:type="dxa"/>
            <w:shd w:val="clear" w:color="auto" w:fill="DEEAF6" w:themeFill="accent5" w:themeFillTint="33"/>
            <w:noWrap/>
            <w:hideMark/>
          </w:tcPr>
          <w:p w14:paraId="49A07537" w14:textId="4DB694C9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3C18E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2BBDA9D4" w14:textId="77777777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874AF" w:rsidRPr="00D7554D" w14:paraId="7B85FB2D" w14:textId="77777777" w:rsidTr="003C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 w14:paraId="0EA278F1" w14:textId="77777777" w:rsidR="002874AF" w:rsidRPr="00D7554D" w:rsidRDefault="002874AF" w:rsidP="002874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Empréstimos e Financiamentos Concedidos</w:t>
            </w:r>
          </w:p>
        </w:tc>
        <w:tc>
          <w:tcPr>
            <w:tcW w:w="1723" w:type="dxa"/>
            <w:noWrap/>
          </w:tcPr>
          <w:p w14:paraId="0A0665BC" w14:textId="3662DDE9" w:rsidR="002874AF" w:rsidRPr="00585FB2" w:rsidRDefault="003C18E8" w:rsidP="003C1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85FB2">
              <w:rPr>
                <w:rFonts w:ascii="Times New Roman" w:hAnsi="Times New Roman" w:cs="Times New Roman"/>
                <w:sz w:val="20"/>
                <w:szCs w:val="20"/>
              </w:rPr>
              <w:t xml:space="preserve">1.474.267.960,68 </w:t>
            </w:r>
          </w:p>
        </w:tc>
        <w:tc>
          <w:tcPr>
            <w:tcW w:w="2017" w:type="dxa"/>
            <w:noWrap/>
            <w:hideMark/>
          </w:tcPr>
          <w:p w14:paraId="327988E8" w14:textId="53310F81" w:rsidR="002874AF" w:rsidRPr="00585FB2" w:rsidRDefault="00046B69" w:rsidP="002874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85FB2">
              <w:rPr>
                <w:rFonts w:ascii="Times New Roman" w:hAnsi="Times New Roman" w:cs="Times New Roman"/>
                <w:sz w:val="20"/>
                <w:szCs w:val="20"/>
              </w:rPr>
              <w:t>2.265.328.912,23</w:t>
            </w:r>
          </w:p>
        </w:tc>
      </w:tr>
      <w:tr w:rsidR="002874AF" w:rsidRPr="00D7554D" w14:paraId="58DAF322" w14:textId="77777777" w:rsidTr="003C18E8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shd w:val="clear" w:color="auto" w:fill="1F4E79" w:themeFill="accent5" w:themeFillShade="80"/>
            <w:noWrap/>
            <w:hideMark/>
          </w:tcPr>
          <w:p w14:paraId="5E01F7D0" w14:textId="77777777" w:rsidR="002874AF" w:rsidRPr="00585FB2" w:rsidRDefault="002874AF" w:rsidP="003C18E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585FB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23" w:type="dxa"/>
            <w:shd w:val="clear" w:color="auto" w:fill="1F4E79" w:themeFill="accent5" w:themeFillShade="80"/>
            <w:noWrap/>
          </w:tcPr>
          <w:p w14:paraId="0C8CDA2E" w14:textId="2B0845E6" w:rsidR="002874AF" w:rsidRPr="00585FB2" w:rsidRDefault="003C18E8" w:rsidP="002874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585FB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1.474.267.960,68</w:t>
            </w:r>
          </w:p>
        </w:tc>
        <w:tc>
          <w:tcPr>
            <w:tcW w:w="2017" w:type="dxa"/>
            <w:shd w:val="clear" w:color="auto" w:fill="1F4E79" w:themeFill="accent5" w:themeFillShade="80"/>
            <w:noWrap/>
            <w:hideMark/>
          </w:tcPr>
          <w:p w14:paraId="129AD49B" w14:textId="2050C6A0" w:rsidR="002874AF" w:rsidRPr="00585FB2" w:rsidRDefault="00046B69" w:rsidP="002874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585FB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2.265.328.912,23</w:t>
            </w:r>
          </w:p>
        </w:tc>
      </w:tr>
    </w:tbl>
    <w:bookmarkEnd w:id="0"/>
    <w:p w14:paraId="62AE3B5D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Fonte: Siafi</w:t>
      </w:r>
    </w:p>
    <w:p w14:paraId="51283AB9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AF279D8" w14:textId="77777777" w:rsidR="009A1566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Importante ressaltar que em Empréstimos e Financiamentos Concedidos a Longo Prazo estão inclusos os valores liquidados dos contratos de financiamentos do FDCO com os agentes financiadores Banco do Brasil S/A e Caixa Econômica Federal.</w:t>
      </w:r>
    </w:p>
    <w:p w14:paraId="5E46EE5D" w14:textId="77777777" w:rsidR="009A1566" w:rsidRDefault="009A1566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F4AB770" w14:textId="1EA06940" w:rsid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28279432" w14:textId="68958EFC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Nota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3 – </w:t>
      </w:r>
      <w:r w:rsidR="0010126C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Demais Obrigações a Curto Prazo</w:t>
      </w:r>
    </w:p>
    <w:p w14:paraId="21E68364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34B581D" w14:textId="7779E79E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Tabela – </w:t>
      </w:r>
      <w:r w:rsidR="00D654B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Demais Obrigações a Curto Prazo</w:t>
      </w:r>
    </w:p>
    <w:tbl>
      <w:tblPr>
        <w:tblStyle w:val="SimplesTabela1"/>
        <w:tblW w:w="8494" w:type="dxa"/>
        <w:tblLook w:val="04A0" w:firstRow="1" w:lastRow="0" w:firstColumn="1" w:lastColumn="0" w:noHBand="0" w:noVBand="1"/>
      </w:tblPr>
      <w:tblGrid>
        <w:gridCol w:w="4029"/>
        <w:gridCol w:w="1778"/>
        <w:gridCol w:w="1701"/>
        <w:gridCol w:w="986"/>
      </w:tblGrid>
      <w:tr w:rsidR="00AA580F" w:rsidRPr="00D7554D" w14:paraId="616A4656" w14:textId="1B50B9A2" w:rsidTr="00451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DEEAF6" w:themeFill="accent5" w:themeFillTint="33"/>
            <w:noWrap/>
            <w:hideMark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598"/>
              <w:gridCol w:w="598"/>
              <w:gridCol w:w="598"/>
              <w:gridCol w:w="599"/>
            </w:tblGrid>
            <w:tr w:rsidR="00AA580F" w:rsidRPr="00D7554D" w14:paraId="36BA1FEF" w14:textId="77777777" w:rsidTr="006E47F6">
              <w:tc>
                <w:tcPr>
                  <w:tcW w:w="598" w:type="dxa"/>
                </w:tcPr>
                <w:p w14:paraId="1C8020A3" w14:textId="77777777" w:rsidR="00AA580F" w:rsidRPr="00D7554D" w:rsidRDefault="00AA580F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8" w:type="dxa"/>
                </w:tcPr>
                <w:p w14:paraId="7A70C75B" w14:textId="77777777" w:rsidR="00AA580F" w:rsidRPr="00D7554D" w:rsidRDefault="00AA580F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8" w:type="dxa"/>
                </w:tcPr>
                <w:p w14:paraId="539CEC76" w14:textId="77777777" w:rsidR="00AA580F" w:rsidRPr="00D7554D" w:rsidRDefault="00AA580F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8" w:type="dxa"/>
                </w:tcPr>
                <w:p w14:paraId="46285531" w14:textId="77777777" w:rsidR="00AA580F" w:rsidRPr="00D7554D" w:rsidRDefault="00AA580F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9" w:type="dxa"/>
                </w:tcPr>
                <w:p w14:paraId="145908FA" w14:textId="77777777" w:rsidR="00AA580F" w:rsidRPr="00D7554D" w:rsidRDefault="00AA580F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1D67E7BF" w14:textId="77777777" w:rsidR="00AA580F" w:rsidRPr="00D7554D" w:rsidRDefault="00AA580F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778" w:type="dxa"/>
            <w:shd w:val="clear" w:color="auto" w:fill="DEEAF6" w:themeFill="accent5" w:themeFillTint="33"/>
            <w:noWrap/>
            <w:hideMark/>
          </w:tcPr>
          <w:p w14:paraId="36324EA6" w14:textId="50B4CF30" w:rsidR="00AA580F" w:rsidRPr="00D7554D" w:rsidRDefault="00AA580F" w:rsidP="00DF3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451A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42FFFBFD" w14:textId="316956DD" w:rsidR="00AA580F" w:rsidRPr="00D7554D" w:rsidRDefault="00AA580F" w:rsidP="00DF3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02478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7172EFE6" w14:textId="77777777" w:rsidR="00AA580F" w:rsidRPr="00D7554D" w:rsidRDefault="00AA580F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6" w:type="dxa"/>
            <w:shd w:val="clear" w:color="auto" w:fill="DEEAF6" w:themeFill="accent5" w:themeFillTint="33"/>
          </w:tcPr>
          <w:p w14:paraId="02EE4450" w14:textId="391084F8" w:rsidR="00AA580F" w:rsidRPr="00D7554D" w:rsidRDefault="0052532F" w:rsidP="00DF3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AH%</w:t>
            </w:r>
          </w:p>
        </w:tc>
      </w:tr>
      <w:tr w:rsidR="00AA580F" w:rsidRPr="00D7554D" w14:paraId="4E5DC262" w14:textId="07819803" w:rsidTr="00451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noWrap/>
            <w:hideMark/>
          </w:tcPr>
          <w:p w14:paraId="45192DC7" w14:textId="760B7343" w:rsidR="00AA580F" w:rsidRPr="00D7554D" w:rsidRDefault="00AA580F" w:rsidP="00D755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Empréstimos e Financiamentos a Liberar</w:t>
            </w:r>
          </w:p>
        </w:tc>
        <w:tc>
          <w:tcPr>
            <w:tcW w:w="1778" w:type="dxa"/>
            <w:noWrap/>
            <w:hideMark/>
          </w:tcPr>
          <w:p w14:paraId="71FE11A4" w14:textId="65306CC2" w:rsidR="00AA580F" w:rsidRPr="00D7554D" w:rsidRDefault="00451A6C" w:rsidP="00D755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188.931.069,07</w:t>
            </w:r>
          </w:p>
        </w:tc>
        <w:tc>
          <w:tcPr>
            <w:tcW w:w="1701" w:type="dxa"/>
            <w:noWrap/>
            <w:hideMark/>
          </w:tcPr>
          <w:p w14:paraId="3AF7C56D" w14:textId="69B3A7F4" w:rsidR="00AA580F" w:rsidRPr="00D7554D" w:rsidRDefault="00823B44" w:rsidP="00D755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23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823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823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353,30</w:t>
            </w:r>
          </w:p>
        </w:tc>
        <w:tc>
          <w:tcPr>
            <w:tcW w:w="986" w:type="dxa"/>
          </w:tcPr>
          <w:p w14:paraId="11B169E9" w14:textId="03FC9297" w:rsidR="00AA580F" w:rsidRDefault="00A6170C" w:rsidP="00D755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r w:rsidR="00591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92,70</w:t>
            </w:r>
          </w:p>
        </w:tc>
      </w:tr>
      <w:tr w:rsidR="00AA580F" w:rsidRPr="00D7554D" w14:paraId="45A4399A" w14:textId="6148A512" w:rsidTr="00451A6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1F4E79" w:themeFill="accent5" w:themeFillShade="80"/>
            <w:noWrap/>
            <w:hideMark/>
          </w:tcPr>
          <w:p w14:paraId="7DF716FE" w14:textId="77777777" w:rsidR="00AA580F" w:rsidRPr="00D7554D" w:rsidRDefault="00AA580F" w:rsidP="00BC5FC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78" w:type="dxa"/>
            <w:shd w:val="clear" w:color="auto" w:fill="1F4E79" w:themeFill="accent5" w:themeFillShade="80"/>
            <w:noWrap/>
            <w:hideMark/>
          </w:tcPr>
          <w:p w14:paraId="0B3A15F9" w14:textId="5BBB85FE" w:rsidR="00AA580F" w:rsidRPr="00D7554D" w:rsidRDefault="00451A6C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188.931.069,07</w:t>
            </w:r>
          </w:p>
        </w:tc>
        <w:tc>
          <w:tcPr>
            <w:tcW w:w="1701" w:type="dxa"/>
            <w:shd w:val="clear" w:color="auto" w:fill="1F4E79" w:themeFill="accent5" w:themeFillShade="80"/>
            <w:noWrap/>
            <w:hideMark/>
          </w:tcPr>
          <w:p w14:paraId="4E69A322" w14:textId="46EECD94" w:rsidR="00AA580F" w:rsidRPr="00D7554D" w:rsidRDefault="00C26CB8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13.784.</w:t>
            </w:r>
            <w:r w:rsidR="00733F5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353,30</w:t>
            </w:r>
          </w:p>
        </w:tc>
        <w:tc>
          <w:tcPr>
            <w:tcW w:w="986" w:type="dxa"/>
            <w:shd w:val="clear" w:color="auto" w:fill="1F4E79" w:themeFill="accent5" w:themeFillShade="80"/>
          </w:tcPr>
          <w:p w14:paraId="3AF190DC" w14:textId="1244A0C4" w:rsidR="00AA580F" w:rsidRDefault="005913BC" w:rsidP="00D755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-92,70</w:t>
            </w:r>
          </w:p>
        </w:tc>
      </w:tr>
    </w:tbl>
    <w:p w14:paraId="63A13FEE" w14:textId="3461076A" w:rsidR="00783DD0" w:rsidRDefault="00783DD0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No ano de 202</w:t>
      </w:r>
      <w:r w:rsidR="00EB0D1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5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, houve um </w:t>
      </w:r>
      <w:r w:rsidR="00FD176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dec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réscimo considerável de R$ </w:t>
      </w:r>
      <w:r w:rsidR="006927A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175.146.715,</w:t>
      </w:r>
      <w:r w:rsidR="005913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77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(cento e </w:t>
      </w:r>
      <w:r w:rsidR="00B473A6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setenta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e </w:t>
      </w:r>
      <w:r w:rsidR="00E047E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cinco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milhões, </w:t>
      </w:r>
      <w:r w:rsidR="00E047E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cento e quarenta e seis mil</w:t>
      </w:r>
      <w:r w:rsidR="0098318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DB14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setecentos e quinze</w:t>
      </w:r>
      <w:r w:rsidR="00E047E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reais e </w:t>
      </w:r>
      <w:r w:rsidR="005913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setenta e sete</w:t>
      </w:r>
      <w:r w:rsidR="00DB14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centavos) relativo a </w:t>
      </w:r>
      <w:r w:rsidR="005851C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liberações </w:t>
      </w:r>
      <w:r w:rsidR="0046734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de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Empréstimos e Financiamentos a</w:t>
      </w:r>
      <w:r w:rsidR="00BF293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o Banco do Brasil</w:t>
      </w:r>
      <w:r w:rsidR="0046734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e cancelamento </w:t>
      </w:r>
      <w:r w:rsidR="006511F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de saldo de empenho da Caixa Econômica Federal</w:t>
      </w:r>
      <w:r w:rsidR="005006A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(R$17</w:t>
      </w:r>
      <w:r w:rsidR="0011026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.257.572,20)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, resultando em um</w:t>
      </w:r>
      <w:r w:rsidR="00BF293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a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F293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redução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de </w:t>
      </w:r>
      <w:r w:rsidR="005913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92,70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%</w:t>
      </w:r>
      <w:r w:rsidR="0098306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em relação a 202</w:t>
      </w:r>
      <w:r w:rsidR="00B550E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4</w:t>
      </w:r>
      <w:r w:rsidR="00285DD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. </w:t>
      </w:r>
    </w:p>
    <w:p w14:paraId="17883FDC" w14:textId="1D4B1463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1069B95" w14:textId="77777777" w:rsid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CCFBD91" w14:textId="77777777" w:rsidR="006F4DA4" w:rsidRDefault="006F4DA4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8EB0706" w14:textId="77777777" w:rsidR="006F4DA4" w:rsidRPr="00D7554D" w:rsidRDefault="006F4DA4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58B99F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Nota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4 – Transferências e Delegações (DVP)</w:t>
      </w:r>
    </w:p>
    <w:p w14:paraId="679E75B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516D747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 </w:t>
      </w: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Recebidas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</w:t>
      </w:r>
    </w:p>
    <w:tbl>
      <w:tblPr>
        <w:tblStyle w:val="SimplesTabela1"/>
        <w:tblW w:w="8500" w:type="dxa"/>
        <w:tblLook w:val="04A0" w:firstRow="1" w:lastRow="0" w:firstColumn="1" w:lastColumn="0" w:noHBand="0" w:noVBand="1"/>
      </w:tblPr>
      <w:tblGrid>
        <w:gridCol w:w="4390"/>
        <w:gridCol w:w="2126"/>
        <w:gridCol w:w="1984"/>
      </w:tblGrid>
      <w:tr w:rsidR="00D7554D" w:rsidRPr="00D7554D" w14:paraId="61ABAFEE" w14:textId="77777777" w:rsidTr="009F1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EEAF6" w:themeFill="accent5" w:themeFillTint="33"/>
            <w:noWrap/>
            <w:hideMark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598"/>
              <w:gridCol w:w="598"/>
              <w:gridCol w:w="598"/>
              <w:gridCol w:w="599"/>
            </w:tblGrid>
            <w:tr w:rsidR="00D7554D" w:rsidRPr="00D7554D" w14:paraId="29236A0C" w14:textId="77777777" w:rsidTr="006E47F6">
              <w:tc>
                <w:tcPr>
                  <w:tcW w:w="598" w:type="dxa"/>
                </w:tcPr>
                <w:p w14:paraId="184DAAEB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8" w:type="dxa"/>
                </w:tcPr>
                <w:p w14:paraId="76A2B0F7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8" w:type="dxa"/>
                </w:tcPr>
                <w:p w14:paraId="5A6BEB64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8" w:type="dxa"/>
                </w:tcPr>
                <w:p w14:paraId="79323850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9" w:type="dxa"/>
                </w:tcPr>
                <w:p w14:paraId="16A73EDD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4EA805F5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noWrap/>
            <w:hideMark/>
          </w:tcPr>
          <w:p w14:paraId="1EF9594E" w14:textId="39063ED1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6215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84" w:type="dxa"/>
            <w:shd w:val="clear" w:color="auto" w:fill="DEEAF6" w:themeFill="accent5" w:themeFillTint="33"/>
            <w:noWrap/>
            <w:hideMark/>
          </w:tcPr>
          <w:p w14:paraId="5EE3BBE2" w14:textId="74FA5E9B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6215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8609CE" w:rsidRPr="00D7554D" w14:paraId="77A784BA" w14:textId="77777777" w:rsidTr="009F1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</w:tcPr>
          <w:p w14:paraId="12892DB5" w14:textId="77777777" w:rsidR="008609CE" w:rsidRPr="00D7554D" w:rsidRDefault="008609CE" w:rsidP="008609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Transferências Intragovernamentais</w:t>
            </w:r>
          </w:p>
        </w:tc>
        <w:tc>
          <w:tcPr>
            <w:tcW w:w="2126" w:type="dxa"/>
            <w:noWrap/>
          </w:tcPr>
          <w:p w14:paraId="33AB2FFA" w14:textId="3D5BC82A" w:rsidR="008609CE" w:rsidRPr="00D7554D" w:rsidRDefault="006215F2" w:rsidP="008609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.171.435,16</w:t>
            </w:r>
          </w:p>
        </w:tc>
        <w:tc>
          <w:tcPr>
            <w:tcW w:w="1984" w:type="dxa"/>
            <w:noWrap/>
          </w:tcPr>
          <w:p w14:paraId="495C5EA4" w14:textId="745CF0E5" w:rsidR="008609CE" w:rsidRPr="00D7554D" w:rsidRDefault="004E26F3" w:rsidP="008609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E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E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E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664,41</w:t>
            </w:r>
          </w:p>
        </w:tc>
      </w:tr>
      <w:tr w:rsidR="008609CE" w:rsidRPr="00D7554D" w14:paraId="30BE8562" w14:textId="77777777" w:rsidTr="009F1FE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</w:tcPr>
          <w:p w14:paraId="709BDAE3" w14:textId="77777777" w:rsidR="008609CE" w:rsidRPr="00D7554D" w:rsidRDefault="008609CE" w:rsidP="008609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Transferências recebidas para </w:t>
            </w:r>
            <w:proofErr w:type="spellStart"/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pgto</w:t>
            </w:r>
            <w:proofErr w:type="spellEnd"/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RP</w:t>
            </w:r>
          </w:p>
        </w:tc>
        <w:tc>
          <w:tcPr>
            <w:tcW w:w="2126" w:type="dxa"/>
            <w:noWrap/>
          </w:tcPr>
          <w:p w14:paraId="26293878" w14:textId="3ED396FF" w:rsidR="008609CE" w:rsidRPr="00D7554D" w:rsidRDefault="00CD098B" w:rsidP="008609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84" w:type="dxa"/>
            <w:noWrap/>
          </w:tcPr>
          <w:p w14:paraId="16680CC4" w14:textId="031EE587" w:rsidR="008609CE" w:rsidRPr="00D7554D" w:rsidRDefault="008609CE" w:rsidP="008609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609CE" w:rsidRPr="00D7554D" w14:paraId="5F73958E" w14:textId="77777777" w:rsidTr="009F1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</w:tcPr>
          <w:p w14:paraId="180FD3B3" w14:textId="77777777" w:rsidR="008609CE" w:rsidRPr="00D7554D" w:rsidRDefault="008609CE" w:rsidP="008609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Movimentações de saldos patrimoniais </w:t>
            </w:r>
          </w:p>
        </w:tc>
        <w:tc>
          <w:tcPr>
            <w:tcW w:w="2126" w:type="dxa"/>
            <w:noWrap/>
          </w:tcPr>
          <w:p w14:paraId="32393E5D" w14:textId="20030D38" w:rsidR="008609CE" w:rsidRPr="00D7554D" w:rsidRDefault="006215F2" w:rsidP="008609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.171.435,16</w:t>
            </w:r>
          </w:p>
        </w:tc>
        <w:tc>
          <w:tcPr>
            <w:tcW w:w="1984" w:type="dxa"/>
            <w:noWrap/>
          </w:tcPr>
          <w:p w14:paraId="591A4270" w14:textId="3CC7912F" w:rsidR="008609CE" w:rsidRPr="00D7554D" w:rsidRDefault="004E26F3" w:rsidP="008609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E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E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E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664,41</w:t>
            </w:r>
          </w:p>
        </w:tc>
      </w:tr>
      <w:tr w:rsidR="008609CE" w:rsidRPr="00D7554D" w14:paraId="25A32CAC" w14:textId="77777777" w:rsidTr="009F1FE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1F4E79" w:themeFill="accent5" w:themeFillShade="80"/>
            <w:noWrap/>
            <w:hideMark/>
          </w:tcPr>
          <w:p w14:paraId="703D64BD" w14:textId="77777777" w:rsidR="008609CE" w:rsidRPr="00D7554D" w:rsidRDefault="008609CE" w:rsidP="008609CE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Transferências e Delegações Recebidas</w:t>
            </w:r>
          </w:p>
        </w:tc>
        <w:tc>
          <w:tcPr>
            <w:tcW w:w="2126" w:type="dxa"/>
            <w:shd w:val="clear" w:color="auto" w:fill="1F4E79" w:themeFill="accent5" w:themeFillShade="80"/>
            <w:noWrap/>
          </w:tcPr>
          <w:p w14:paraId="7E4EA609" w14:textId="7C37194D" w:rsidR="008609CE" w:rsidRPr="00D7554D" w:rsidRDefault="006215F2" w:rsidP="008609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607A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15.171.435,16</w:t>
            </w:r>
          </w:p>
        </w:tc>
        <w:tc>
          <w:tcPr>
            <w:tcW w:w="1984" w:type="dxa"/>
            <w:shd w:val="clear" w:color="auto" w:fill="1F4E79" w:themeFill="accent5" w:themeFillShade="80"/>
            <w:noWrap/>
            <w:hideMark/>
          </w:tcPr>
          <w:p w14:paraId="2A449F62" w14:textId="20C94929" w:rsidR="008609CE" w:rsidRPr="008A38E1" w:rsidRDefault="004E26F3" w:rsidP="008609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4E26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19.964.664,41</w:t>
            </w:r>
          </w:p>
        </w:tc>
      </w:tr>
    </w:tbl>
    <w:p w14:paraId="7FF5938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Fonte: SIAFI</w:t>
      </w:r>
    </w:p>
    <w:p w14:paraId="0B2A9CF5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CD42BE8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 </w:t>
      </w: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Concedidas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</w:t>
      </w:r>
    </w:p>
    <w:tbl>
      <w:tblPr>
        <w:tblStyle w:val="SimplesTabela1"/>
        <w:tblW w:w="8535" w:type="dxa"/>
        <w:tblLook w:val="04A0" w:firstRow="1" w:lastRow="0" w:firstColumn="1" w:lastColumn="0" w:noHBand="0" w:noVBand="1"/>
      </w:tblPr>
      <w:tblGrid>
        <w:gridCol w:w="4475"/>
        <w:gridCol w:w="1960"/>
        <w:gridCol w:w="2100"/>
      </w:tblGrid>
      <w:tr w:rsidR="00D7554D" w:rsidRPr="00D7554D" w14:paraId="364E300D" w14:textId="77777777" w:rsidTr="005B2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shd w:val="clear" w:color="auto" w:fill="DEEAF6" w:themeFill="accent5" w:themeFillTint="33"/>
            <w:noWrap/>
            <w:hideMark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  <w:gridCol w:w="591"/>
            </w:tblGrid>
            <w:tr w:rsidR="00D7554D" w:rsidRPr="00D7554D" w14:paraId="6534E660" w14:textId="77777777" w:rsidTr="005B2883">
              <w:trPr>
                <w:trHeight w:val="291"/>
              </w:trPr>
              <w:tc>
                <w:tcPr>
                  <w:tcW w:w="590" w:type="dxa"/>
                </w:tcPr>
                <w:p w14:paraId="72A5595E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0" w:type="dxa"/>
                </w:tcPr>
                <w:p w14:paraId="4C624F2D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0" w:type="dxa"/>
                </w:tcPr>
                <w:p w14:paraId="72845E11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0" w:type="dxa"/>
                </w:tcPr>
                <w:p w14:paraId="5B19A185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91" w:type="dxa"/>
                </w:tcPr>
                <w:p w14:paraId="0156422A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976D5A8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shd w:val="clear" w:color="auto" w:fill="DEEAF6" w:themeFill="accent5" w:themeFillTint="33"/>
            <w:noWrap/>
            <w:hideMark/>
          </w:tcPr>
          <w:p w14:paraId="1EEF58BD" w14:textId="74F5699A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B0711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00" w:type="dxa"/>
            <w:shd w:val="clear" w:color="auto" w:fill="DEEAF6" w:themeFill="accent5" w:themeFillTint="33"/>
            <w:noWrap/>
            <w:hideMark/>
          </w:tcPr>
          <w:p w14:paraId="5F2C01CE" w14:textId="29DC1543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B0711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5B2883" w:rsidRPr="00D7554D" w14:paraId="42179DB2" w14:textId="77777777" w:rsidTr="005B2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noWrap/>
            <w:hideMark/>
          </w:tcPr>
          <w:p w14:paraId="709631FF" w14:textId="77777777" w:rsidR="005B2883" w:rsidRPr="00D7554D" w:rsidRDefault="005B2883" w:rsidP="005B28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Transferências Intragovernamentais</w:t>
            </w:r>
          </w:p>
        </w:tc>
        <w:tc>
          <w:tcPr>
            <w:tcW w:w="1960" w:type="dxa"/>
            <w:noWrap/>
          </w:tcPr>
          <w:p w14:paraId="4D08E438" w14:textId="078A6647" w:rsidR="005B2883" w:rsidRPr="00D7554D" w:rsidRDefault="00B07110" w:rsidP="005B28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60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81.777.975,07</w:t>
            </w:r>
          </w:p>
        </w:tc>
        <w:tc>
          <w:tcPr>
            <w:tcW w:w="2100" w:type="dxa"/>
            <w:noWrap/>
            <w:hideMark/>
          </w:tcPr>
          <w:p w14:paraId="6928176D" w14:textId="04F2DA85" w:rsidR="005B2883" w:rsidRPr="00C72208" w:rsidRDefault="00E163B9" w:rsidP="005B28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E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7E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7E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020,80</w:t>
            </w:r>
          </w:p>
        </w:tc>
      </w:tr>
      <w:tr w:rsidR="005B2883" w:rsidRPr="00D7554D" w14:paraId="3BB799F8" w14:textId="77777777" w:rsidTr="005B288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noWrap/>
          </w:tcPr>
          <w:p w14:paraId="1F097B20" w14:textId="77777777" w:rsidR="005B2883" w:rsidRPr="00D7554D" w:rsidRDefault="005B2883" w:rsidP="005B28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Movimentações de saldos patrimoniais</w:t>
            </w:r>
          </w:p>
        </w:tc>
        <w:tc>
          <w:tcPr>
            <w:tcW w:w="1960" w:type="dxa"/>
            <w:noWrap/>
          </w:tcPr>
          <w:p w14:paraId="49C53CB6" w14:textId="02EA184B" w:rsidR="005B2883" w:rsidRPr="00D7554D" w:rsidRDefault="00B07110" w:rsidP="005B28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60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81.777.975,07</w:t>
            </w:r>
          </w:p>
        </w:tc>
        <w:tc>
          <w:tcPr>
            <w:tcW w:w="2100" w:type="dxa"/>
            <w:noWrap/>
          </w:tcPr>
          <w:p w14:paraId="2EB6F3E6" w14:textId="2E912592" w:rsidR="005B2883" w:rsidRPr="00C72208" w:rsidRDefault="00E163B9" w:rsidP="005B28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E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7E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7E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020,80</w:t>
            </w:r>
          </w:p>
        </w:tc>
      </w:tr>
      <w:tr w:rsidR="005B2883" w:rsidRPr="00D7554D" w14:paraId="01DA06FC" w14:textId="77777777" w:rsidTr="005B2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shd w:val="clear" w:color="auto" w:fill="1F4E79" w:themeFill="accent5" w:themeFillShade="80"/>
            <w:noWrap/>
            <w:hideMark/>
          </w:tcPr>
          <w:p w14:paraId="0D9A89A7" w14:textId="77777777" w:rsidR="005B2883" w:rsidRPr="00D7554D" w:rsidRDefault="005B2883" w:rsidP="005B2883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Transferências e Delegações Concedidas</w:t>
            </w:r>
          </w:p>
        </w:tc>
        <w:tc>
          <w:tcPr>
            <w:tcW w:w="1960" w:type="dxa"/>
            <w:shd w:val="clear" w:color="auto" w:fill="1F4E79" w:themeFill="accent5" w:themeFillShade="80"/>
            <w:noWrap/>
          </w:tcPr>
          <w:p w14:paraId="7C9F74E0" w14:textId="67F4B270" w:rsidR="005B2883" w:rsidRPr="005B2883" w:rsidRDefault="00B07110" w:rsidP="005B28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607A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81.777.975,07</w:t>
            </w:r>
          </w:p>
        </w:tc>
        <w:tc>
          <w:tcPr>
            <w:tcW w:w="2100" w:type="dxa"/>
            <w:shd w:val="clear" w:color="auto" w:fill="1F4E79" w:themeFill="accent5" w:themeFillShade="80"/>
            <w:noWrap/>
            <w:hideMark/>
          </w:tcPr>
          <w:p w14:paraId="0C53B1D6" w14:textId="0F3E2E72" w:rsidR="005B2883" w:rsidRPr="00C72208" w:rsidRDefault="00E163B9" w:rsidP="005B28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8A38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157.975.020,80</w:t>
            </w:r>
          </w:p>
        </w:tc>
      </w:tr>
    </w:tbl>
    <w:p w14:paraId="244A936B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Fonte: SIAFI</w:t>
      </w:r>
    </w:p>
    <w:p w14:paraId="5C06273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31C6F47" w14:textId="77777777" w:rsidR="00D7554D" w:rsidRPr="00D7554D" w:rsidRDefault="00D7554D" w:rsidP="00D75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</w:pPr>
    </w:p>
    <w:p w14:paraId="221A64A7" w14:textId="20CEBD81" w:rsidR="00692896" w:rsidRDefault="00D7554D" w:rsidP="00D7554D">
      <w:pPr>
        <w:spacing w:after="0" w:line="240" w:lineRule="auto"/>
        <w:jc w:val="both"/>
        <w:rPr>
          <w:rFonts w:ascii="Calibri" w:eastAsia="Times New Roman" w:hAnsi="Calibri" w:cs="Calibri"/>
          <w:color w:val="201F1E"/>
          <w:kern w:val="0"/>
          <w:lang w:eastAsia="pt-BR"/>
          <w14:ligatures w14:val="none"/>
        </w:rPr>
      </w:pPr>
      <w:r w:rsidRPr="00D7554D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 xml:space="preserve">Do valor total das Transferências Intragovernamentais Recebidas, R$ </w:t>
      </w:r>
      <w:r w:rsidR="005C6EC6" w:rsidRPr="005C6EC6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="002F7021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9.</w:t>
      </w:r>
      <w:r w:rsidR="00AD3C1A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964.664,41</w:t>
      </w:r>
      <w:r w:rsidRPr="00D7554D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 xml:space="preserve"> é referente à </w:t>
      </w:r>
      <w:r w:rsidR="00931BC8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 xml:space="preserve">movimentação de </w:t>
      </w:r>
      <w:r w:rsidR="006C1585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arrecadação de juros do</w:t>
      </w:r>
      <w:r w:rsidR="00651BF9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s reembolsos</w:t>
      </w:r>
      <w:r w:rsidR="00DA5B22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 xml:space="preserve"> d</w:t>
      </w:r>
      <w:r w:rsidR="00F70494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 w:rsidR="00DA5B22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 xml:space="preserve"> financiamentos concedidos</w:t>
      </w:r>
      <w:r w:rsidRPr="00D7554D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 xml:space="preserve"> durante o exercício de 202</w:t>
      </w:r>
      <w:r w:rsidR="00AD3C1A">
        <w:rPr>
          <w:rFonts w:ascii="Times New Roman" w:eastAsia="SimSun" w:hAnsi="Times New Roman" w:cs="Times New Roman"/>
          <w:kern w:val="0"/>
          <w:sz w:val="24"/>
          <w:szCs w:val="24"/>
          <w:lang w:eastAsia="pt-BR"/>
          <w14:ligatures w14:val="none"/>
        </w:rPr>
        <w:t>5</w:t>
      </w:r>
      <w:r w:rsidRPr="00D7554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Já os valores registrados em Transferências e Delegações Concedidas refletem as movimentações de saldos patrimoniais de retificações das arrecadações de amortizações e juros.</w:t>
      </w:r>
      <w:r w:rsidRPr="00D7554D">
        <w:rPr>
          <w:rFonts w:ascii="Calibri" w:eastAsia="Times New Roman" w:hAnsi="Calibri" w:cs="Calibri"/>
          <w:color w:val="201F1E"/>
          <w:kern w:val="0"/>
          <w:lang w:eastAsia="pt-BR"/>
          <w14:ligatures w14:val="none"/>
        </w:rPr>
        <w:t xml:space="preserve"> </w:t>
      </w:r>
    </w:p>
    <w:p w14:paraId="727BF5C1" w14:textId="77777777" w:rsidR="00692896" w:rsidRDefault="00692896" w:rsidP="00D7554D">
      <w:pPr>
        <w:spacing w:after="0" w:line="240" w:lineRule="auto"/>
        <w:jc w:val="both"/>
        <w:rPr>
          <w:rFonts w:ascii="Calibri" w:eastAsia="Times New Roman" w:hAnsi="Calibri" w:cs="Calibri"/>
          <w:color w:val="201F1E"/>
          <w:kern w:val="0"/>
          <w:lang w:eastAsia="pt-BR"/>
          <w14:ligatures w14:val="none"/>
        </w:rPr>
      </w:pPr>
    </w:p>
    <w:p w14:paraId="24E5FD5E" w14:textId="34C5C4C4" w:rsidR="00D7554D" w:rsidRDefault="00D7554D" w:rsidP="00D75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</w:pPr>
      <w:r w:rsidRPr="00D7554D"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  <w:t>Os recolhimentos de amortizações e juros deverão usar o código 40007-6 (FDCO-AMORTIZ.DE FINANCIAMENTO DE PROJETOS). Para a amortizaç</w:t>
      </w:r>
      <w:r w:rsidR="00080664"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  <w:t>ão</w:t>
      </w:r>
      <w:r w:rsidRPr="00D7554D"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  <w:t xml:space="preserve"> deve ser usado o campo “Valor Principal” e para os juros o campo “Juros/Encargos”. A razão da mudança é para que o novo código aproprie automaticamente no SIAFI os 1,5% da Lei 13.682/2018.</w:t>
      </w:r>
    </w:p>
    <w:p w14:paraId="313CDB92" w14:textId="77777777" w:rsidR="00B14228" w:rsidRDefault="00B14228" w:rsidP="00D75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</w:pPr>
    </w:p>
    <w:p w14:paraId="19A870DF" w14:textId="77777777" w:rsidR="00B14228" w:rsidRPr="00D7554D" w:rsidRDefault="00B14228" w:rsidP="00D75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kern w:val="0"/>
          <w:sz w:val="24"/>
          <w:szCs w:val="24"/>
          <w:lang w:eastAsia="pt-BR"/>
          <w14:ligatures w14:val="none"/>
        </w:rPr>
      </w:pPr>
    </w:p>
    <w:p w14:paraId="719C8E2A" w14:textId="57A4CA6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Nota </w:t>
      </w:r>
      <w:r w:rsidR="005C6EC6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5</w:t>
      </w:r>
      <w:r w:rsidRPr="00D7554D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– Desvalorização e Perda de Ativos e Incorporação de Passivos</w:t>
      </w:r>
    </w:p>
    <w:p w14:paraId="1E06DBFE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SimplesTabela1"/>
        <w:tblW w:w="8516" w:type="dxa"/>
        <w:tblLook w:val="04A0" w:firstRow="1" w:lastRow="0" w:firstColumn="1" w:lastColumn="0" w:noHBand="0" w:noVBand="1"/>
      </w:tblPr>
      <w:tblGrid>
        <w:gridCol w:w="4489"/>
        <w:gridCol w:w="1855"/>
        <w:gridCol w:w="2172"/>
      </w:tblGrid>
      <w:tr w:rsidR="00D7554D" w:rsidRPr="00D7554D" w14:paraId="68ECB928" w14:textId="77777777" w:rsidTr="002A1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shd w:val="clear" w:color="auto" w:fill="DEEAF6" w:themeFill="accent5" w:themeFillTint="33"/>
            <w:noWrap/>
            <w:hideMark/>
          </w:tcPr>
          <w:tbl>
            <w:tblPr>
              <w:tblStyle w:val="Tabelacomgrade"/>
              <w:tblW w:w="0" w:type="auto"/>
              <w:tblInd w:w="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665"/>
              <w:gridCol w:w="665"/>
              <w:gridCol w:w="665"/>
              <w:gridCol w:w="666"/>
            </w:tblGrid>
            <w:tr w:rsidR="00D7554D" w:rsidRPr="00D7554D" w14:paraId="6E41F23D" w14:textId="77777777" w:rsidTr="002A14F4">
              <w:trPr>
                <w:trHeight w:val="423"/>
              </w:trPr>
              <w:tc>
                <w:tcPr>
                  <w:tcW w:w="665" w:type="dxa"/>
                </w:tcPr>
                <w:p w14:paraId="147FC7E3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65" w:type="dxa"/>
                </w:tcPr>
                <w:p w14:paraId="05241082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65" w:type="dxa"/>
                </w:tcPr>
                <w:p w14:paraId="5399F1D0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65" w:type="dxa"/>
                </w:tcPr>
                <w:p w14:paraId="53DEA74E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666" w:type="dxa"/>
                </w:tcPr>
                <w:p w14:paraId="1FC54703" w14:textId="77777777" w:rsidR="00D7554D" w:rsidRPr="00D7554D" w:rsidRDefault="00D7554D" w:rsidP="00D7554D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2F6F82E" w14:textId="77777777" w:rsidR="00D7554D" w:rsidRPr="00D7554D" w:rsidRDefault="00D7554D" w:rsidP="00D7554D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55" w:type="dxa"/>
            <w:shd w:val="clear" w:color="auto" w:fill="DEEAF6" w:themeFill="accent5" w:themeFillTint="33"/>
            <w:noWrap/>
            <w:hideMark/>
          </w:tcPr>
          <w:p w14:paraId="079BFDD1" w14:textId="33A7C55D" w:rsidR="00D7554D" w:rsidRPr="00D7554D" w:rsidRDefault="00D7554D" w:rsidP="00D755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5F2B3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72" w:type="dxa"/>
            <w:shd w:val="clear" w:color="auto" w:fill="DEEAF6" w:themeFill="accent5" w:themeFillTint="33"/>
            <w:noWrap/>
            <w:hideMark/>
          </w:tcPr>
          <w:p w14:paraId="0664ED35" w14:textId="07EE8F28" w:rsidR="00D7554D" w:rsidRPr="00D7554D" w:rsidRDefault="00D7554D" w:rsidP="00D755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31/12/202</w:t>
            </w:r>
            <w:r w:rsidR="002A14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EA3AAD" w:rsidRPr="00D7554D" w14:paraId="127E1FEF" w14:textId="77777777" w:rsidTr="002A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noWrap/>
            <w:hideMark/>
          </w:tcPr>
          <w:p w14:paraId="5C88287E" w14:textId="77777777" w:rsidR="00EA3AAD" w:rsidRPr="00D7554D" w:rsidRDefault="00EA3AAD" w:rsidP="00EA3A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Desvalorização e Perda de Ativos e Incorporação de Passivos</w:t>
            </w:r>
          </w:p>
        </w:tc>
        <w:tc>
          <w:tcPr>
            <w:tcW w:w="1855" w:type="dxa"/>
            <w:noWrap/>
          </w:tcPr>
          <w:p w14:paraId="6E86585D" w14:textId="4E2C10F2" w:rsidR="00EA3AAD" w:rsidRPr="00D7554D" w:rsidRDefault="005F2B36" w:rsidP="00EA3A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C6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7.498.872,26</w:t>
            </w:r>
          </w:p>
        </w:tc>
        <w:tc>
          <w:tcPr>
            <w:tcW w:w="2172" w:type="dxa"/>
            <w:noWrap/>
            <w:hideMark/>
          </w:tcPr>
          <w:p w14:paraId="32F8EBE3" w14:textId="48D3C41D" w:rsidR="00EA3AAD" w:rsidRPr="00BC23C6" w:rsidRDefault="002A14F4" w:rsidP="00EA3A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2A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2A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392,75</w:t>
            </w:r>
          </w:p>
        </w:tc>
      </w:tr>
      <w:tr w:rsidR="005C6EC6" w:rsidRPr="00D7554D" w14:paraId="7E84F4BA" w14:textId="77777777" w:rsidTr="002A14F4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noWrap/>
          </w:tcPr>
          <w:p w14:paraId="0B9BDDB5" w14:textId="77777777" w:rsidR="005C6EC6" w:rsidRPr="00D7554D" w:rsidRDefault="005C6EC6" w:rsidP="005C6E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Desincorporação de Ativos</w:t>
            </w:r>
          </w:p>
        </w:tc>
        <w:tc>
          <w:tcPr>
            <w:tcW w:w="1855" w:type="dxa"/>
            <w:noWrap/>
          </w:tcPr>
          <w:p w14:paraId="75951FF9" w14:textId="43FC0661" w:rsidR="005C6EC6" w:rsidRPr="00D7554D" w:rsidRDefault="005F2B36" w:rsidP="005C6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C6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7.498.872,26</w:t>
            </w:r>
          </w:p>
        </w:tc>
        <w:tc>
          <w:tcPr>
            <w:tcW w:w="2172" w:type="dxa"/>
            <w:noWrap/>
          </w:tcPr>
          <w:p w14:paraId="74F88EA3" w14:textId="7D43DAD8" w:rsidR="005C6EC6" w:rsidRPr="00BC23C6" w:rsidRDefault="002A14F4" w:rsidP="005C6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A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2A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2A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392,75</w:t>
            </w:r>
          </w:p>
        </w:tc>
      </w:tr>
      <w:tr w:rsidR="005C6EC6" w:rsidRPr="00D7554D" w14:paraId="7899FBD2" w14:textId="77777777" w:rsidTr="002A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shd w:val="clear" w:color="auto" w:fill="1F4E79" w:themeFill="accent5" w:themeFillShade="80"/>
            <w:noWrap/>
            <w:hideMark/>
          </w:tcPr>
          <w:p w14:paraId="4DAD8AF7" w14:textId="77777777" w:rsidR="005C6EC6" w:rsidRPr="00D7554D" w:rsidRDefault="005C6EC6" w:rsidP="005C6EC6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D7554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55" w:type="dxa"/>
            <w:shd w:val="clear" w:color="auto" w:fill="1F4E79" w:themeFill="accent5" w:themeFillShade="80"/>
            <w:noWrap/>
          </w:tcPr>
          <w:p w14:paraId="15B90844" w14:textId="52EC35EE" w:rsidR="005C6EC6" w:rsidRPr="00D7554D" w:rsidRDefault="005F2B36" w:rsidP="005C6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5C6EC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7.498.872,26</w:t>
            </w:r>
          </w:p>
        </w:tc>
        <w:tc>
          <w:tcPr>
            <w:tcW w:w="2172" w:type="dxa"/>
            <w:shd w:val="clear" w:color="auto" w:fill="1F4E79" w:themeFill="accent5" w:themeFillShade="80"/>
            <w:noWrap/>
            <w:hideMark/>
          </w:tcPr>
          <w:p w14:paraId="767EC6B5" w14:textId="4F5DA1C4" w:rsidR="005C6EC6" w:rsidRPr="0077613E" w:rsidRDefault="002A14F4" w:rsidP="005C6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2A14F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20.405.392,75</w:t>
            </w:r>
          </w:p>
        </w:tc>
      </w:tr>
    </w:tbl>
    <w:p w14:paraId="465EA10C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Fonte: SIAFI</w:t>
      </w:r>
    </w:p>
    <w:p w14:paraId="375529A5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92B6213" w14:textId="095600CB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A desincorporação de ativos é composta pelos 2% </w:t>
      </w:r>
      <w:r w:rsidR="00A54FD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devidos </w:t>
      </w:r>
      <w:r w:rsidR="008249C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à Superintendência do Desenvolvimento do Centro-Oeste</w:t>
      </w:r>
      <w:r w:rsidR="00CA07B8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(SUDECO)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relativos à </w:t>
      </w:r>
      <w:r w:rsidR="00BD793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cada 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liberação de financiamentos</w:t>
      </w:r>
      <w:r w:rsidR="00BD793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concedidos</w:t>
      </w:r>
      <w:r w:rsidRPr="00D7554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D793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pelo FDCO </w:t>
      </w: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e teve um aumento </w:t>
      </w:r>
      <w:r w:rsidR="0061773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em torno de</w:t>
      </w: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872E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272,11</w:t>
      </w: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% em comparação ao exercício de 202</w:t>
      </w:r>
      <w:r w:rsidR="00AF3C3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4</w:t>
      </w:r>
      <w:r w:rsidRPr="00D755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705E6983" w14:textId="77777777" w:rsid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102B508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FE7EA39" w14:textId="62D017C2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 xml:space="preserve">Nota </w:t>
      </w:r>
      <w:r w:rsidR="005C6EC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6</w:t>
      </w:r>
      <w:r w:rsidR="00F15A71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D7554D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– Resultado Patrimonial</w:t>
      </w:r>
    </w:p>
    <w:p w14:paraId="4F1138FD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2C42929" w14:textId="77777777" w:rsidR="00D7554D" w:rsidRPr="00D7554D" w:rsidRDefault="00D7554D" w:rsidP="00D755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18"/>
          <w:szCs w:val="18"/>
          <w:lang w:eastAsia="zh-CN" w:bidi="hi-IN"/>
          <w14:ligatures w14:val="none"/>
        </w:rPr>
      </w:pPr>
      <w:r w:rsidRPr="00D7554D">
        <w:rPr>
          <w:rFonts w:ascii="Times New Roman" w:eastAsia="Calibri" w:hAnsi="Times New Roman" w:cs="Times New Roman"/>
          <w:kern w:val="3"/>
          <w:sz w:val="18"/>
          <w:szCs w:val="18"/>
          <w:lang w:eastAsia="zh-CN" w:bidi="hi-IN"/>
          <w14:ligatures w14:val="none"/>
        </w:rPr>
        <w:t>Composição em Reais</w:t>
      </w:r>
    </w:p>
    <w:tbl>
      <w:tblPr>
        <w:tblStyle w:val="TabelaSimples4"/>
        <w:tblW w:w="9229" w:type="dxa"/>
        <w:tblLook w:val="04A0" w:firstRow="1" w:lastRow="0" w:firstColumn="1" w:lastColumn="0" w:noHBand="0" w:noVBand="1"/>
      </w:tblPr>
      <w:tblGrid>
        <w:gridCol w:w="4102"/>
        <w:gridCol w:w="440"/>
        <w:gridCol w:w="1758"/>
        <w:gridCol w:w="2050"/>
        <w:gridCol w:w="879"/>
      </w:tblGrid>
      <w:tr w:rsidR="00D7554D" w:rsidRPr="00D7554D" w14:paraId="21C819A5" w14:textId="77777777" w:rsidTr="00014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shd w:val="clear" w:color="auto" w:fill="1F4E79" w:themeFill="accent5" w:themeFillShade="80"/>
            <w:noWrap/>
            <w:hideMark/>
          </w:tcPr>
          <w:p w14:paraId="1A6BEF46" w14:textId="77777777" w:rsidR="00D7554D" w:rsidRPr="00D7554D" w:rsidRDefault="00D7554D" w:rsidP="00D755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PATRIMÔNIO LÍQUIDO </w:t>
            </w:r>
          </w:p>
        </w:tc>
        <w:tc>
          <w:tcPr>
            <w:tcW w:w="440" w:type="dxa"/>
            <w:shd w:val="clear" w:color="auto" w:fill="1F4E79" w:themeFill="accent5" w:themeFillShade="80"/>
            <w:noWrap/>
            <w:hideMark/>
          </w:tcPr>
          <w:p w14:paraId="39C7210E" w14:textId="77777777" w:rsidR="00D7554D" w:rsidRPr="00D7554D" w:rsidRDefault="00D7554D" w:rsidP="00D7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shd w:val="clear" w:color="auto" w:fill="1F4E79" w:themeFill="accent5" w:themeFillShade="80"/>
            <w:noWrap/>
            <w:hideMark/>
          </w:tcPr>
          <w:p w14:paraId="274BDAA6" w14:textId="6791D3C7" w:rsidR="00D7554D" w:rsidRPr="00D7554D" w:rsidRDefault="00D7554D" w:rsidP="001C79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>202</w:t>
            </w:r>
            <w:r w:rsidR="001C7998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050" w:type="dxa"/>
            <w:shd w:val="clear" w:color="auto" w:fill="1F4E79" w:themeFill="accent5" w:themeFillShade="80"/>
            <w:noWrap/>
            <w:hideMark/>
          </w:tcPr>
          <w:p w14:paraId="240FCD80" w14:textId="3B5F3779" w:rsidR="00D7554D" w:rsidRPr="00D7554D" w:rsidRDefault="00D7554D" w:rsidP="001C79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D7554D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>202</w:t>
            </w:r>
            <w:r w:rsidR="001C7998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9" w:type="dxa"/>
            <w:shd w:val="clear" w:color="auto" w:fill="1F4E79" w:themeFill="accent5" w:themeFillShade="80"/>
          </w:tcPr>
          <w:p w14:paraId="0D4B6E03" w14:textId="77777777" w:rsidR="00D7554D" w:rsidRPr="00D7554D" w:rsidRDefault="00D7554D" w:rsidP="00D755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proofErr w:type="gramStart"/>
            <w:r w:rsidRPr="00D7554D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>AH(</w:t>
            </w:r>
            <w:proofErr w:type="gramEnd"/>
            <w:r w:rsidRPr="00D7554D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>%)</w:t>
            </w:r>
          </w:p>
        </w:tc>
      </w:tr>
      <w:tr w:rsidR="001C7998" w:rsidRPr="00D7554D" w14:paraId="2105C646" w14:textId="77777777" w:rsidTr="00014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shd w:val="clear" w:color="auto" w:fill="DEEAF6" w:themeFill="accent5" w:themeFillTint="33"/>
            <w:noWrap/>
            <w:hideMark/>
          </w:tcPr>
          <w:p w14:paraId="148C9D65" w14:textId="77777777" w:rsidR="001C7998" w:rsidRPr="00D7554D" w:rsidRDefault="001C7998" w:rsidP="001C7998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Resultados Acumulados </w:t>
            </w:r>
          </w:p>
        </w:tc>
        <w:tc>
          <w:tcPr>
            <w:tcW w:w="440" w:type="dxa"/>
            <w:shd w:val="clear" w:color="auto" w:fill="DEEAF6" w:themeFill="accent5" w:themeFillTint="33"/>
            <w:noWrap/>
            <w:hideMark/>
          </w:tcPr>
          <w:p w14:paraId="717EE5FC" w14:textId="77777777" w:rsidR="001C7998" w:rsidRPr="00D7554D" w:rsidRDefault="001C7998" w:rsidP="001C7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shd w:val="clear" w:color="auto" w:fill="DEEAF6" w:themeFill="accent5" w:themeFillTint="33"/>
            <w:noWrap/>
          </w:tcPr>
          <w:p w14:paraId="2C49DA87" w14:textId="603A14EF" w:rsidR="001C7998" w:rsidRPr="00D7554D" w:rsidRDefault="001C7998" w:rsidP="001C79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E00650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3.055.561.514,60</w:t>
            </w:r>
          </w:p>
        </w:tc>
        <w:tc>
          <w:tcPr>
            <w:tcW w:w="2050" w:type="dxa"/>
            <w:shd w:val="clear" w:color="auto" w:fill="DEEAF6" w:themeFill="accent5" w:themeFillTint="33"/>
            <w:noWrap/>
            <w:hideMark/>
          </w:tcPr>
          <w:p w14:paraId="285128C3" w14:textId="1CBCD95C" w:rsidR="001C7998" w:rsidRPr="00E00650" w:rsidRDefault="00C96239" w:rsidP="001C79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C96239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.</w:t>
            </w:r>
            <w:r w:rsidRPr="00C96239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100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.</w:t>
            </w:r>
            <w:r w:rsidRPr="00C96239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060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.</w:t>
            </w:r>
            <w:r w:rsidRPr="00C96239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370,55</w:t>
            </w:r>
          </w:p>
        </w:tc>
        <w:tc>
          <w:tcPr>
            <w:tcW w:w="879" w:type="dxa"/>
            <w:shd w:val="clear" w:color="auto" w:fill="DEEAF6" w:themeFill="accent5" w:themeFillTint="33"/>
          </w:tcPr>
          <w:p w14:paraId="4C9591C3" w14:textId="002B9B11" w:rsidR="001C7998" w:rsidRPr="00D7554D" w:rsidRDefault="008B7FDE" w:rsidP="00285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1,4</w:t>
            </w:r>
            <w:r w:rsidR="00E52AF6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6</w:t>
            </w:r>
          </w:p>
        </w:tc>
      </w:tr>
      <w:tr w:rsidR="001C7998" w:rsidRPr="00D7554D" w14:paraId="20F47E09" w14:textId="77777777" w:rsidTr="00014CF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noWrap/>
            <w:hideMark/>
          </w:tcPr>
          <w:p w14:paraId="75943C80" w14:textId="77777777" w:rsidR="001C7998" w:rsidRPr="00D7554D" w:rsidRDefault="001C7998" w:rsidP="001C7998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Resultado do Exercício </w:t>
            </w:r>
          </w:p>
        </w:tc>
        <w:tc>
          <w:tcPr>
            <w:tcW w:w="440" w:type="dxa"/>
            <w:noWrap/>
            <w:hideMark/>
          </w:tcPr>
          <w:p w14:paraId="52E1E8DE" w14:textId="77777777" w:rsidR="001C7998" w:rsidRPr="00D7554D" w:rsidRDefault="001C7998" w:rsidP="001C79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noWrap/>
          </w:tcPr>
          <w:p w14:paraId="3FAF7BEB" w14:textId="10F4AFD8" w:rsidR="001C7998" w:rsidRPr="00D7554D" w:rsidRDefault="001C7998" w:rsidP="001C79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00650">
              <w:rPr>
                <w:rFonts w:eastAsia="Times New Roman" w:cstheme="minorHAnsi"/>
                <w:sz w:val="20"/>
                <w:szCs w:val="20"/>
                <w:lang w:eastAsia="pt-BR"/>
              </w:rPr>
              <w:t>147.774.994,71</w:t>
            </w:r>
          </w:p>
        </w:tc>
        <w:tc>
          <w:tcPr>
            <w:tcW w:w="2050" w:type="dxa"/>
            <w:noWrap/>
            <w:hideMark/>
          </w:tcPr>
          <w:p w14:paraId="4A31B618" w14:textId="5BFC4197" w:rsidR="001C7998" w:rsidRPr="007340AC" w:rsidRDefault="00E603C3" w:rsidP="001C79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603C3">
              <w:rPr>
                <w:rFonts w:eastAsia="Times New Roman" w:cstheme="minorHAnsi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.</w:t>
            </w:r>
            <w:r w:rsidRPr="00E603C3">
              <w:rPr>
                <w:rFonts w:eastAsia="Times New Roman" w:cstheme="minorHAnsi"/>
                <w:sz w:val="20"/>
                <w:szCs w:val="20"/>
                <w:lang w:eastAsia="pt-BR"/>
              </w:rPr>
              <w:t>498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.</w:t>
            </w:r>
            <w:r w:rsidRPr="00E603C3">
              <w:rPr>
                <w:rFonts w:eastAsia="Times New Roman" w:cstheme="minorHAnsi"/>
                <w:sz w:val="20"/>
                <w:szCs w:val="20"/>
                <w:lang w:eastAsia="pt-BR"/>
              </w:rPr>
              <w:t>855,95</w:t>
            </w:r>
          </w:p>
        </w:tc>
        <w:tc>
          <w:tcPr>
            <w:tcW w:w="879" w:type="dxa"/>
          </w:tcPr>
          <w:p w14:paraId="70239ABF" w14:textId="182F02AA" w:rsidR="001C7998" w:rsidRPr="00D7554D" w:rsidRDefault="00CE016E" w:rsidP="00285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-</w:t>
            </w:r>
            <w:r w:rsidR="0025404B">
              <w:rPr>
                <w:rFonts w:eastAsia="Times New Roman" w:cstheme="minorHAnsi"/>
                <w:sz w:val="20"/>
                <w:szCs w:val="20"/>
                <w:lang w:eastAsia="pt-BR"/>
              </w:rPr>
              <w:t>69,89</w:t>
            </w:r>
          </w:p>
        </w:tc>
      </w:tr>
      <w:tr w:rsidR="001C7998" w:rsidRPr="00D7554D" w14:paraId="26178D7E" w14:textId="77777777" w:rsidTr="00014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noWrap/>
          </w:tcPr>
          <w:p w14:paraId="5E93E16E" w14:textId="77777777" w:rsidR="001C7998" w:rsidRPr="00D7554D" w:rsidRDefault="001C7998" w:rsidP="001C7998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Resultados de Exercícios Anteriores</w:t>
            </w:r>
          </w:p>
        </w:tc>
        <w:tc>
          <w:tcPr>
            <w:tcW w:w="440" w:type="dxa"/>
            <w:noWrap/>
          </w:tcPr>
          <w:p w14:paraId="6A3C21B5" w14:textId="77777777" w:rsidR="001C7998" w:rsidRPr="00D7554D" w:rsidRDefault="001C7998" w:rsidP="001C7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noWrap/>
          </w:tcPr>
          <w:p w14:paraId="1FE61A69" w14:textId="3394507F" w:rsidR="001C7998" w:rsidRPr="00D7554D" w:rsidRDefault="001C7998" w:rsidP="001C79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00650">
              <w:rPr>
                <w:rFonts w:eastAsia="Times New Roman" w:cstheme="minorHAnsi"/>
                <w:sz w:val="20"/>
                <w:szCs w:val="20"/>
                <w:lang w:eastAsia="pt-BR"/>
              </w:rPr>
              <w:t>2.907.786.519,89</w:t>
            </w:r>
          </w:p>
        </w:tc>
        <w:tc>
          <w:tcPr>
            <w:tcW w:w="2050" w:type="dxa"/>
            <w:noWrap/>
          </w:tcPr>
          <w:p w14:paraId="598FF912" w14:textId="1D11C2B0" w:rsidR="001C7998" w:rsidRPr="007340AC" w:rsidRDefault="002E6B13" w:rsidP="001C79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E6B13">
              <w:rPr>
                <w:rFonts w:eastAsia="Times New Roman" w:cstheme="minorHAnsi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.</w:t>
            </w:r>
            <w:r w:rsidRPr="002E6B13">
              <w:rPr>
                <w:rFonts w:eastAsia="Times New Roman" w:cstheme="minorHAnsi"/>
                <w:sz w:val="20"/>
                <w:szCs w:val="20"/>
                <w:lang w:eastAsia="pt-BR"/>
              </w:rPr>
              <w:t>055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.</w:t>
            </w:r>
            <w:r w:rsidRPr="002E6B13">
              <w:rPr>
                <w:rFonts w:eastAsia="Times New Roman" w:cstheme="minorHAnsi"/>
                <w:sz w:val="20"/>
                <w:szCs w:val="20"/>
                <w:lang w:eastAsia="pt-BR"/>
              </w:rPr>
              <w:t>561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.</w:t>
            </w:r>
            <w:r w:rsidRPr="002E6B13">
              <w:rPr>
                <w:rFonts w:eastAsia="Times New Roman" w:cstheme="minorHAnsi"/>
                <w:sz w:val="20"/>
                <w:szCs w:val="20"/>
                <w:lang w:eastAsia="pt-BR"/>
              </w:rPr>
              <w:t>514,6</w:t>
            </w:r>
          </w:p>
        </w:tc>
        <w:tc>
          <w:tcPr>
            <w:tcW w:w="879" w:type="dxa"/>
          </w:tcPr>
          <w:p w14:paraId="035319F5" w14:textId="57B64434" w:rsidR="001C7998" w:rsidRPr="00D7554D" w:rsidRDefault="002856B7" w:rsidP="00285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5,08</w:t>
            </w:r>
          </w:p>
        </w:tc>
      </w:tr>
      <w:tr w:rsidR="001C7998" w:rsidRPr="00D7554D" w14:paraId="18F05EB4" w14:textId="77777777" w:rsidTr="00014CF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noWrap/>
          </w:tcPr>
          <w:p w14:paraId="709BEB2C" w14:textId="77777777" w:rsidR="001C7998" w:rsidRPr="00D7554D" w:rsidRDefault="001C7998" w:rsidP="001C7998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Ajustes de Exercícios Anteriores</w:t>
            </w:r>
          </w:p>
        </w:tc>
        <w:tc>
          <w:tcPr>
            <w:tcW w:w="440" w:type="dxa"/>
            <w:noWrap/>
          </w:tcPr>
          <w:p w14:paraId="2899E402" w14:textId="77777777" w:rsidR="001C7998" w:rsidRPr="00D7554D" w:rsidRDefault="001C7998" w:rsidP="001C79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noWrap/>
          </w:tcPr>
          <w:p w14:paraId="32CCDF4B" w14:textId="5BE0F7AB" w:rsidR="001C7998" w:rsidRPr="00D7554D" w:rsidRDefault="001C7998" w:rsidP="001C79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050" w:type="dxa"/>
            <w:noWrap/>
          </w:tcPr>
          <w:p w14:paraId="789F0D6B" w14:textId="459BC796" w:rsidR="001C7998" w:rsidRPr="007340AC" w:rsidRDefault="001C7998" w:rsidP="001C79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9" w:type="dxa"/>
          </w:tcPr>
          <w:p w14:paraId="08D2C586" w14:textId="77777777" w:rsidR="001C7998" w:rsidRPr="00D7554D" w:rsidRDefault="001C7998" w:rsidP="00285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C7998" w:rsidRPr="00D7554D" w14:paraId="1472518F" w14:textId="77777777" w:rsidTr="00014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shd w:val="clear" w:color="auto" w:fill="DEEAF6" w:themeFill="accent5" w:themeFillTint="33"/>
            <w:noWrap/>
            <w:hideMark/>
          </w:tcPr>
          <w:p w14:paraId="3FB2D1FF" w14:textId="77777777" w:rsidR="001C7998" w:rsidRPr="00D7554D" w:rsidRDefault="001C7998" w:rsidP="001C7998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Total do Patrimônio Líquido </w:t>
            </w:r>
          </w:p>
        </w:tc>
        <w:tc>
          <w:tcPr>
            <w:tcW w:w="440" w:type="dxa"/>
            <w:shd w:val="clear" w:color="auto" w:fill="DEEAF6" w:themeFill="accent5" w:themeFillTint="33"/>
            <w:noWrap/>
            <w:hideMark/>
          </w:tcPr>
          <w:p w14:paraId="4A2F039F" w14:textId="77777777" w:rsidR="001C7998" w:rsidRPr="00D7554D" w:rsidRDefault="001C7998" w:rsidP="001C7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755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758" w:type="dxa"/>
            <w:shd w:val="clear" w:color="auto" w:fill="DEEAF6" w:themeFill="accent5" w:themeFillTint="33"/>
            <w:noWrap/>
          </w:tcPr>
          <w:p w14:paraId="08AAB864" w14:textId="34858BDB" w:rsidR="001C7998" w:rsidRPr="00D7554D" w:rsidRDefault="001C7998" w:rsidP="001C79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E00650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3.055.561.514,60</w:t>
            </w:r>
          </w:p>
        </w:tc>
        <w:tc>
          <w:tcPr>
            <w:tcW w:w="2050" w:type="dxa"/>
            <w:shd w:val="clear" w:color="auto" w:fill="DEEAF6" w:themeFill="accent5" w:themeFillTint="33"/>
            <w:noWrap/>
            <w:hideMark/>
          </w:tcPr>
          <w:p w14:paraId="18708EB3" w14:textId="4C04A568" w:rsidR="001C7998" w:rsidRPr="007340AC" w:rsidRDefault="00F146B7" w:rsidP="001C79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146B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.</w:t>
            </w:r>
            <w:r w:rsidRPr="00F146B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100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.</w:t>
            </w:r>
            <w:r w:rsidRPr="00F146B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060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.</w:t>
            </w:r>
            <w:r w:rsidRPr="00F146B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370,55</w:t>
            </w:r>
          </w:p>
        </w:tc>
        <w:tc>
          <w:tcPr>
            <w:tcW w:w="879" w:type="dxa"/>
            <w:shd w:val="clear" w:color="auto" w:fill="DEEAF6" w:themeFill="accent5" w:themeFillTint="33"/>
          </w:tcPr>
          <w:p w14:paraId="311F2F9C" w14:textId="670F0F34" w:rsidR="001C7998" w:rsidRPr="00D7554D" w:rsidRDefault="000A4EC0" w:rsidP="002856B7">
            <w:pPr>
              <w:tabs>
                <w:tab w:val="left" w:pos="242"/>
                <w:tab w:val="right" w:pos="6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1,4</w:t>
            </w:r>
            <w:r w:rsidR="0025404B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6</w:t>
            </w:r>
          </w:p>
        </w:tc>
      </w:tr>
    </w:tbl>
    <w:p w14:paraId="00AFA548" w14:textId="77777777" w:rsidR="00D7554D" w:rsidRPr="00D7554D" w:rsidRDefault="00D7554D" w:rsidP="00D755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ja-JP"/>
          <w14:ligatures w14:val="none"/>
        </w:rPr>
      </w:pPr>
      <w:r w:rsidRPr="00D7554D">
        <w:rPr>
          <w:rFonts w:ascii="Calibri" w:eastAsia="Times New Roman" w:hAnsi="Calibri" w:cs="Segoe UI"/>
          <w:kern w:val="0"/>
          <w:sz w:val="20"/>
          <w:szCs w:val="20"/>
          <w:lang w:eastAsia="ja-JP"/>
          <w14:ligatures w14:val="none"/>
        </w:rPr>
        <w:t>Fonte: Siafi (em R$) </w:t>
      </w:r>
    </w:p>
    <w:p w14:paraId="2ECFE397" w14:textId="77777777" w:rsidR="007F591C" w:rsidRDefault="007F591C" w:rsidP="007F591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A897D2" w14:textId="6765BA1E" w:rsidR="007F591C" w:rsidRPr="0097115E" w:rsidRDefault="007F591C" w:rsidP="007F591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11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Conforme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evidenciado no Balanço Patrimonial, o FDCO finalizou o ano de 202</w:t>
      </w:r>
      <w:r w:rsidR="008E5A1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 um patrimônio líquido de aproximadamente de R$ 3,</w:t>
      </w:r>
      <w:r w:rsidR="00264E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bilhões, representando um aumento de </w:t>
      </w:r>
      <w:r w:rsidR="00264E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1,4</w:t>
      </w:r>
      <w:r w:rsidR="002540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% em comparação ao ano de 202</w:t>
      </w:r>
      <w:r w:rsidR="00BF68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(R$ </w:t>
      </w:r>
      <w:r w:rsidR="00BF68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3,05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bilhões).</w:t>
      </w:r>
    </w:p>
    <w:tbl>
      <w:tblPr>
        <w:tblW w:w="9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680"/>
        <w:gridCol w:w="1414"/>
        <w:gridCol w:w="700"/>
        <w:gridCol w:w="1460"/>
        <w:gridCol w:w="770"/>
      </w:tblGrid>
      <w:tr w:rsidR="0072515B" w:rsidRPr="0072515B" w14:paraId="6D0F8573" w14:textId="77777777" w:rsidTr="009E4E66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F4A8C" w14:textId="6F233A26" w:rsidR="0072515B" w:rsidRPr="0072515B" w:rsidRDefault="0072515B" w:rsidP="00725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B895F" w14:textId="77777777" w:rsidR="0072515B" w:rsidRPr="0072515B" w:rsidRDefault="0072515B" w:rsidP="00725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B0F2" w14:textId="77777777" w:rsidR="0072515B" w:rsidRPr="0072515B" w:rsidRDefault="0072515B" w:rsidP="00725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F212" w14:textId="77777777" w:rsidR="0072515B" w:rsidRPr="0072515B" w:rsidRDefault="0072515B" w:rsidP="00725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5693" w14:textId="77777777" w:rsidR="0072515B" w:rsidRPr="0072515B" w:rsidRDefault="0072515B" w:rsidP="00725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FFD0" w14:textId="77777777" w:rsidR="0072515B" w:rsidRPr="0072515B" w:rsidRDefault="0072515B" w:rsidP="00725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2515B" w:rsidRPr="0072515B" w14:paraId="521BFE01" w14:textId="77777777" w:rsidTr="009E4E66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noWrap/>
            <w:vAlign w:val="center"/>
            <w:hideMark/>
          </w:tcPr>
          <w:p w14:paraId="077F6C6D" w14:textId="77777777" w:rsidR="0072515B" w:rsidRPr="0072515B" w:rsidRDefault="0072515B" w:rsidP="00725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noWrap/>
            <w:vAlign w:val="center"/>
            <w:hideMark/>
          </w:tcPr>
          <w:p w14:paraId="3E6F5329" w14:textId="77777777" w:rsidR="0072515B" w:rsidRPr="0072515B" w:rsidRDefault="0072515B" w:rsidP="00725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noWrap/>
            <w:vAlign w:val="center"/>
            <w:hideMark/>
          </w:tcPr>
          <w:p w14:paraId="4FD62343" w14:textId="60229E70" w:rsidR="0072515B" w:rsidRPr="0072515B" w:rsidRDefault="0072515B" w:rsidP="0072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202</w:t>
            </w:r>
            <w:r w:rsidR="00BA49DD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vAlign w:val="center"/>
            <w:hideMark/>
          </w:tcPr>
          <w:p w14:paraId="6513933C" w14:textId="77777777" w:rsidR="0072515B" w:rsidRPr="0072515B" w:rsidRDefault="0072515B" w:rsidP="0072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gramStart"/>
            <w:r w:rsidRPr="0072515B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AV(</w:t>
            </w:r>
            <w:proofErr w:type="gramEnd"/>
            <w:r w:rsidRPr="0072515B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noWrap/>
            <w:vAlign w:val="center"/>
            <w:hideMark/>
          </w:tcPr>
          <w:p w14:paraId="3B045318" w14:textId="776EDF17" w:rsidR="0072515B" w:rsidRPr="0072515B" w:rsidRDefault="0072515B" w:rsidP="0072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202</w:t>
            </w:r>
            <w:r w:rsidR="00BA49DD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vAlign w:val="center"/>
            <w:hideMark/>
          </w:tcPr>
          <w:p w14:paraId="2FF48195" w14:textId="77777777" w:rsidR="0072515B" w:rsidRPr="0072515B" w:rsidRDefault="0072515B" w:rsidP="0072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gramStart"/>
            <w:r w:rsidRPr="0072515B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AH(</w:t>
            </w:r>
            <w:proofErr w:type="gramEnd"/>
            <w:r w:rsidRPr="0072515B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%)</w:t>
            </w:r>
          </w:p>
        </w:tc>
      </w:tr>
      <w:tr w:rsidR="008A25CF" w:rsidRPr="0072515B" w14:paraId="1F4BBFBF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vAlign w:val="center"/>
            <w:hideMark/>
          </w:tcPr>
          <w:p w14:paraId="16EC5424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(+) VARIAÇÕES PATRIMONIAIS AUMENTATIVAS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hideMark/>
          </w:tcPr>
          <w:p w14:paraId="0364B283" w14:textId="0845B59B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222.879.269,50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hideMark/>
          </w:tcPr>
          <w:p w14:paraId="4920FF5D" w14:textId="79AE2EF9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vAlign w:val="center"/>
            <w:hideMark/>
          </w:tcPr>
          <w:p w14:paraId="11F18055" w14:textId="7D90FED7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237.051.842,04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bottom"/>
            <w:hideMark/>
          </w:tcPr>
          <w:p w14:paraId="78D505C8" w14:textId="6453718D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-5,98%</w:t>
            </w:r>
          </w:p>
        </w:tc>
      </w:tr>
      <w:tr w:rsidR="008A25CF" w:rsidRPr="0072515B" w14:paraId="159729F5" w14:textId="77777777" w:rsidTr="009E4E6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C00E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Variações Patrimoniais Aumentativas Financeiras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F9F5F" w14:textId="4F96861A" w:rsidR="008A25CF" w:rsidRPr="000200DA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00DA">
              <w:rPr>
                <w:rFonts w:ascii="Calibri" w:hAnsi="Calibri" w:cs="Calibri"/>
                <w:color w:val="000000"/>
                <w:sz w:val="18"/>
                <w:szCs w:val="18"/>
              </w:rPr>
              <w:t>185.657.032,89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1C187" w14:textId="64E0775A" w:rsidR="008A25CF" w:rsidRPr="0072515B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A02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A0C7D" w14:textId="5205F2F8" w:rsidR="008A25CF" w:rsidRPr="00A51F95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221.880.406,88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E1D4E" w14:textId="35F541CC" w:rsidR="008A25CF" w:rsidRPr="009E4E66" w:rsidRDefault="008A25CF" w:rsidP="008A25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E4E66">
              <w:rPr>
                <w:rFonts w:cstheme="minorHAnsi"/>
                <w:sz w:val="18"/>
                <w:szCs w:val="18"/>
              </w:rPr>
              <w:t>-16,33%</w:t>
            </w:r>
          </w:p>
        </w:tc>
      </w:tr>
      <w:tr w:rsidR="008A25CF" w:rsidRPr="0072515B" w14:paraId="022DA699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14FB4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Transferências e Delegações Recebidas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CB92F7" w14:textId="0431605E" w:rsidR="008A25CF" w:rsidRPr="000200DA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00DA">
              <w:rPr>
                <w:rFonts w:ascii="Calibri" w:hAnsi="Calibri" w:cs="Calibri"/>
                <w:color w:val="000000"/>
                <w:sz w:val="18"/>
                <w:szCs w:val="18"/>
              </w:rPr>
              <w:t>19.964.664,41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DD2011F" w14:textId="12FC1605" w:rsidR="008A25CF" w:rsidRPr="0072515B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A02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81D19D" w14:textId="435EC1C3" w:rsidR="008A25CF" w:rsidRPr="00A51F95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15.171.435,16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533539" w14:textId="57F63480" w:rsidR="008A25CF" w:rsidRPr="009E4E66" w:rsidRDefault="008A25CF" w:rsidP="008A25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E4E66">
              <w:rPr>
                <w:rFonts w:cstheme="minorHAnsi"/>
                <w:sz w:val="18"/>
                <w:szCs w:val="18"/>
              </w:rPr>
              <w:t>31,59%</w:t>
            </w:r>
          </w:p>
        </w:tc>
      </w:tr>
      <w:tr w:rsidR="008A25CF" w:rsidRPr="0072515B" w14:paraId="3A2CA354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5CFBB9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Valorização e Ganhos com Ativos e Desincorporação de Passivos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31AE45" w14:textId="4DFDDDEA" w:rsidR="008A25CF" w:rsidRPr="000200DA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00DA">
              <w:rPr>
                <w:rFonts w:ascii="Calibri" w:hAnsi="Calibri" w:cs="Calibri"/>
                <w:color w:val="000000"/>
                <w:sz w:val="18"/>
                <w:szCs w:val="18"/>
              </w:rPr>
              <w:t>17.257.572,20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AF7512D" w14:textId="5E34E507" w:rsidR="008A25CF" w:rsidRPr="0072515B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A02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F20975" w14:textId="0EC1F19F" w:rsidR="008A25CF" w:rsidRPr="0072515B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61ACBD" w14:textId="5BDE2664" w:rsidR="008A25CF" w:rsidRPr="009E4E66" w:rsidRDefault="008A25CF" w:rsidP="008A25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E4E66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A25CF" w:rsidRPr="0072515B" w14:paraId="6F461BFA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vAlign w:val="center"/>
            <w:hideMark/>
          </w:tcPr>
          <w:p w14:paraId="5D82B118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(-) VARIAÇÕES PATRIMONIAIS DIMINUTIVAS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hideMark/>
          </w:tcPr>
          <w:p w14:paraId="79D0CEEA" w14:textId="258D4955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178.380.413,55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hideMark/>
          </w:tcPr>
          <w:p w14:paraId="5A9EE81C" w14:textId="5EC25DD3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vAlign w:val="center"/>
            <w:hideMark/>
          </w:tcPr>
          <w:p w14:paraId="1D3B52D1" w14:textId="79B1C1A5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89.276.847,33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bottom"/>
            <w:hideMark/>
          </w:tcPr>
          <w:p w14:paraId="07E4CAD6" w14:textId="15A13DF3" w:rsidR="008A25CF" w:rsidRPr="000D4AB0" w:rsidRDefault="008A25CF" w:rsidP="008A25CF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D4AB0">
              <w:rPr>
                <w:rFonts w:cstheme="minorHAnsi"/>
                <w:b/>
                <w:bCs/>
                <w:sz w:val="20"/>
                <w:szCs w:val="20"/>
              </w:rPr>
              <w:t>99,81%</w:t>
            </w:r>
          </w:p>
        </w:tc>
      </w:tr>
      <w:tr w:rsidR="008A25CF" w:rsidRPr="0072515B" w14:paraId="6EC615BF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AC3469" w14:textId="45B3CAAE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Transferências e Delegações Concedidas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63A43E" w14:textId="7D1EA677" w:rsidR="008A25CF" w:rsidRPr="000200DA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00DA">
              <w:rPr>
                <w:rFonts w:ascii="Calibri" w:hAnsi="Calibri" w:cs="Calibri"/>
                <w:color w:val="000000"/>
                <w:sz w:val="18"/>
                <w:szCs w:val="18"/>
              </w:rPr>
              <w:t>157.975.020,80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5A0C15A" w14:textId="5DF37E14" w:rsidR="008A25CF" w:rsidRPr="0072515B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A02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2689F1" w14:textId="656D545A" w:rsidR="008A25CF" w:rsidRPr="00E364D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4D1">
              <w:rPr>
                <w:rFonts w:ascii="Calibri" w:hAnsi="Calibri" w:cs="Calibri"/>
                <w:color w:val="000000"/>
                <w:sz w:val="18"/>
                <w:szCs w:val="18"/>
              </w:rPr>
              <w:t>81.777.975,07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8699C6" w14:textId="4E952FEC" w:rsidR="008A25CF" w:rsidRPr="009E4E66" w:rsidRDefault="008A25CF" w:rsidP="008A25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E4E66">
              <w:rPr>
                <w:rFonts w:cstheme="minorHAnsi"/>
                <w:sz w:val="18"/>
                <w:szCs w:val="18"/>
              </w:rPr>
              <w:t>93,18%</w:t>
            </w:r>
          </w:p>
        </w:tc>
      </w:tr>
      <w:tr w:rsidR="008A25CF" w:rsidRPr="0072515B" w14:paraId="27774282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3D31E7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Desvalorização e Perda de Ativos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B04BF4" w14:textId="42591661" w:rsidR="008A25CF" w:rsidRPr="000200DA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00DA">
              <w:rPr>
                <w:rFonts w:ascii="Calibri" w:hAnsi="Calibri" w:cs="Calibri"/>
                <w:color w:val="000000"/>
                <w:sz w:val="18"/>
                <w:szCs w:val="18"/>
              </w:rPr>
              <w:t>20.405.392,75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5E8BBC" w14:textId="58756FDA" w:rsidR="008A25CF" w:rsidRPr="0072515B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A02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2378B3" w14:textId="63B5FB67" w:rsidR="008A25CF" w:rsidRPr="00E364D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4D1">
              <w:rPr>
                <w:rFonts w:ascii="Calibri" w:hAnsi="Calibri" w:cs="Calibri"/>
                <w:color w:val="000000"/>
                <w:sz w:val="18"/>
                <w:szCs w:val="18"/>
              </w:rPr>
              <w:t>7.498.872,26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DA36DB" w14:textId="0E185EE2" w:rsidR="008A25CF" w:rsidRPr="009E4E66" w:rsidRDefault="008A25CF" w:rsidP="008A25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E4E66">
              <w:rPr>
                <w:rFonts w:cstheme="minorHAnsi"/>
                <w:sz w:val="18"/>
                <w:szCs w:val="18"/>
              </w:rPr>
              <w:t>172,11%</w:t>
            </w:r>
          </w:p>
        </w:tc>
      </w:tr>
      <w:tr w:rsidR="008A25CF" w:rsidRPr="0072515B" w14:paraId="50BDBD3D" w14:textId="77777777" w:rsidTr="009E4E66">
        <w:trPr>
          <w:trHeight w:val="25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vAlign w:val="center"/>
            <w:hideMark/>
          </w:tcPr>
          <w:p w14:paraId="75BD87D8" w14:textId="77777777" w:rsidR="008A25CF" w:rsidRPr="0072515B" w:rsidRDefault="008A25CF" w:rsidP="008A2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251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(=) RESULTADO PATRIMONIAL DO PERÍODO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hideMark/>
          </w:tcPr>
          <w:p w14:paraId="0311682D" w14:textId="0182CF0A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44.498.855,95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4DD63FD1" w14:textId="77777777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96D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noWrap/>
            <w:hideMark/>
          </w:tcPr>
          <w:p w14:paraId="2F5B1AFB" w14:textId="143B616C" w:rsidR="008A25CF" w:rsidRPr="00B96D71" w:rsidRDefault="008A25CF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6D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147.774.994,71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bottom"/>
            <w:hideMark/>
          </w:tcPr>
          <w:p w14:paraId="5526E8CC" w14:textId="378FA162" w:rsidR="008A25CF" w:rsidRPr="009E4E66" w:rsidRDefault="009E4E66" w:rsidP="008A25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E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="008A25CF" w:rsidRPr="009E4E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69,89%</w:t>
            </w:r>
          </w:p>
        </w:tc>
      </w:tr>
      <w:tr w:rsidR="00B560C2" w:rsidRPr="0072515B" w14:paraId="326619B2" w14:textId="77777777" w:rsidTr="009E4E66">
        <w:trPr>
          <w:trHeight w:val="51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1B2EA" w14:textId="380A741E" w:rsidR="00B560C2" w:rsidRPr="0072515B" w:rsidRDefault="00B560C2" w:rsidP="00B5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881C" w14:textId="77777777" w:rsidR="00B560C2" w:rsidRPr="0072515B" w:rsidRDefault="00B560C2" w:rsidP="00B5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707D" w14:textId="77777777" w:rsidR="00B560C2" w:rsidRPr="0072515B" w:rsidRDefault="00B560C2" w:rsidP="00B56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4ED7" w14:textId="77777777" w:rsidR="00B560C2" w:rsidRPr="0072515B" w:rsidRDefault="00B560C2" w:rsidP="00B56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6972" w14:textId="77777777" w:rsidR="00B560C2" w:rsidRPr="0072515B" w:rsidRDefault="00B560C2" w:rsidP="00B56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FDFF" w14:textId="77777777" w:rsidR="00B560C2" w:rsidRPr="0072515B" w:rsidRDefault="00B560C2" w:rsidP="00B56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98B35D3" w14:textId="47CF501D" w:rsidR="00D02AE0" w:rsidRDefault="00D7554D" w:rsidP="003878C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7554D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O resultado patrimonial de 202</w:t>
      </w:r>
      <w:r w:rsidR="004B62CB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5</w:t>
      </w:r>
      <w:r w:rsidRPr="00D7554D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F9457B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teve um </w:t>
      </w:r>
      <w:r w:rsidR="0064314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decréscimo</w:t>
      </w:r>
      <w:r w:rsidR="00F9457B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de aproxi</w:t>
      </w:r>
      <w:r w:rsidR="0073489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ma</w:t>
      </w:r>
      <w:r w:rsidR="00F9457B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damente </w:t>
      </w:r>
      <w:r w:rsidR="00F34D9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69,89</w:t>
      </w:r>
      <w:r w:rsidRPr="00D7554D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% em relação a 202</w:t>
      </w:r>
      <w:r w:rsidR="0091447B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4</w:t>
      </w:r>
      <w:r w:rsidRPr="00D7554D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. </w:t>
      </w:r>
      <w:r w:rsidR="0041210D" w:rsidRPr="00D7554D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 apuração do resultado patrimonial implica a confrontação das Variações Patrimoniais Aumentativas – VPA e das Variações Patrimoniais Diminutivas – VPD. </w:t>
      </w:r>
    </w:p>
    <w:p w14:paraId="3506171E" w14:textId="77777777" w:rsidR="00D02AE0" w:rsidRDefault="00D02AE0" w:rsidP="003878C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51203F0" w14:textId="1018BF7A" w:rsidR="00540FE7" w:rsidRDefault="00634576" w:rsidP="003878C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Já entre as VPD, o item com o </w:t>
      </w:r>
      <w:r w:rsidR="002856B7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maior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valor foi </w:t>
      </w:r>
      <w:r w:rsidR="0079159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a Tr</w:t>
      </w:r>
      <w:r w:rsidR="00F80B0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a</w:t>
      </w:r>
      <w:r w:rsidR="0079159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nsfe</w:t>
      </w:r>
      <w:r w:rsidR="00F80B0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rências e delegações Concedidas</w:t>
      </w:r>
      <w:r w:rsidR="003B45A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. E</w:t>
      </w:r>
      <w:r w:rsidR="00E5105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m termos percentuais, essas transferências correspondem </w:t>
      </w:r>
      <w:r w:rsidR="0042077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 quase a totalidade das VPD, representando </w:t>
      </w:r>
      <w:r w:rsidR="00840E4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88,56</w:t>
      </w:r>
      <w:r w:rsidR="0042077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  <w:t>%.</w:t>
      </w:r>
    </w:p>
    <w:p w14:paraId="385E6FB0" w14:textId="77777777" w:rsidR="004C0628" w:rsidRDefault="004C0628" w:rsidP="003878C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A4B7DF7" w14:textId="5AEBC317" w:rsidR="00AD1FFC" w:rsidRPr="0092256B" w:rsidRDefault="00AD1FFC" w:rsidP="00AD1F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92256B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Nota </w:t>
      </w:r>
      <w:r w:rsidR="00B669C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7</w:t>
      </w:r>
      <w:r w:rsidRPr="0092256B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– Balanço Orçamentário</w:t>
      </w:r>
    </w:p>
    <w:p w14:paraId="1D2C42D3" w14:textId="77777777" w:rsidR="00AD1FFC" w:rsidRPr="0092256B" w:rsidRDefault="00AD1FFC" w:rsidP="00AD1F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60C672D" w14:textId="77777777" w:rsidR="00AD1FFC" w:rsidRPr="0092256B" w:rsidRDefault="00AD1FFC" w:rsidP="00AD1F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4DF10F9" w14:textId="77777777" w:rsidR="00AD1FFC" w:rsidRDefault="00AD1FFC" w:rsidP="00AD1F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92256B">
        <w:rPr>
          <w:rFonts w:ascii="Times New Roman" w:eastAsia="Calibri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O Balanço Orçamentário mostra as receitas e despesas do orçamento, comparando a dotação inicial, atualizada e suas alterações com a execução. Além disso, também evidencia as receitas (estimativas de entradas orçamentárias) previstas e sua arrecadação. A comparação entre a execução das despesas e a realização das receitas demonstra o resultado orçamentário. Os anexos também mostram a execução dos Restos a Pagar.</w:t>
      </w:r>
    </w:p>
    <w:p w14:paraId="41B49972" w14:textId="77777777" w:rsidR="00AD1FFC" w:rsidRPr="0092256B" w:rsidRDefault="00AD1FFC" w:rsidP="00AD1F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SimplesTabela12"/>
        <w:tblW w:w="9635" w:type="dxa"/>
        <w:tblLook w:val="04A0" w:firstRow="1" w:lastRow="0" w:firstColumn="1" w:lastColumn="0" w:noHBand="0" w:noVBand="1"/>
      </w:tblPr>
      <w:tblGrid>
        <w:gridCol w:w="3368"/>
        <w:gridCol w:w="1979"/>
        <w:gridCol w:w="1607"/>
        <w:gridCol w:w="1675"/>
        <w:gridCol w:w="1006"/>
      </w:tblGrid>
      <w:tr w:rsidR="00AD1FFC" w:rsidRPr="0092256B" w14:paraId="53FE4431" w14:textId="77777777" w:rsidTr="00B66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shd w:val="clear" w:color="auto" w:fill="DEEAF6" w:themeFill="accent5" w:themeFillTint="33"/>
            <w:noWrap/>
            <w:hideMark/>
          </w:tcPr>
          <w:p w14:paraId="486F70D9" w14:textId="299D7A84" w:rsidR="00AD1FFC" w:rsidRPr="00486603" w:rsidRDefault="00AD1FFC" w:rsidP="00881E9A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486603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lastRenderedPageBreak/>
              <w:t>RECEITAS ORÇAMENTÁRIAS</w:t>
            </w:r>
          </w:p>
        </w:tc>
        <w:tc>
          <w:tcPr>
            <w:tcW w:w="1979" w:type="dxa"/>
            <w:shd w:val="clear" w:color="auto" w:fill="DEEAF6" w:themeFill="accent5" w:themeFillTint="33"/>
            <w:noWrap/>
            <w:hideMark/>
          </w:tcPr>
          <w:p w14:paraId="764904C7" w14:textId="77777777" w:rsidR="00AD1FFC" w:rsidRPr="00486603" w:rsidRDefault="00AD1FFC" w:rsidP="00881E9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486603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Previsão Atualizada</w:t>
            </w:r>
          </w:p>
        </w:tc>
        <w:tc>
          <w:tcPr>
            <w:tcW w:w="1607" w:type="dxa"/>
            <w:shd w:val="clear" w:color="auto" w:fill="DEEAF6" w:themeFill="accent5" w:themeFillTint="33"/>
            <w:noWrap/>
            <w:hideMark/>
          </w:tcPr>
          <w:p w14:paraId="6A493F3A" w14:textId="77777777" w:rsidR="00AD1FFC" w:rsidRPr="00486603" w:rsidRDefault="00AD1FFC" w:rsidP="00881E9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486603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Receitas Realizadas</w:t>
            </w:r>
          </w:p>
        </w:tc>
        <w:tc>
          <w:tcPr>
            <w:tcW w:w="1675" w:type="dxa"/>
            <w:shd w:val="clear" w:color="auto" w:fill="DEEAF6" w:themeFill="accent5" w:themeFillTint="33"/>
          </w:tcPr>
          <w:p w14:paraId="170B7481" w14:textId="77777777" w:rsidR="00AD1FFC" w:rsidRPr="00486603" w:rsidRDefault="00AD1FFC" w:rsidP="00881E9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486603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Saldo</w:t>
            </w:r>
          </w:p>
        </w:tc>
        <w:tc>
          <w:tcPr>
            <w:tcW w:w="1006" w:type="dxa"/>
            <w:shd w:val="clear" w:color="auto" w:fill="DEEAF6" w:themeFill="accent5" w:themeFillTint="33"/>
          </w:tcPr>
          <w:p w14:paraId="2D8149F0" w14:textId="77777777" w:rsidR="00AD1FFC" w:rsidRPr="00486603" w:rsidRDefault="00AD1FFC" w:rsidP="00881E9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486603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AV%</w:t>
            </w:r>
          </w:p>
        </w:tc>
      </w:tr>
      <w:tr w:rsidR="007E7BDE" w:rsidRPr="0092256B" w14:paraId="5DE77A2B" w14:textId="77777777" w:rsidTr="0015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noWrap/>
          </w:tcPr>
          <w:p w14:paraId="5C8AFAFE" w14:textId="77777777" w:rsidR="007E7BDE" w:rsidRPr="0092256B" w:rsidRDefault="007E7BDE" w:rsidP="007E7BDE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1979" w:type="dxa"/>
            <w:noWrap/>
          </w:tcPr>
          <w:p w14:paraId="5ACBD164" w14:textId="35CD359B" w:rsidR="007E7BDE" w:rsidRPr="001621A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220.243.117,00</w:t>
            </w:r>
          </w:p>
        </w:tc>
        <w:tc>
          <w:tcPr>
            <w:tcW w:w="1607" w:type="dxa"/>
            <w:noWrap/>
          </w:tcPr>
          <w:p w14:paraId="582CD17A" w14:textId="18D46D05" w:rsidR="007E7BDE" w:rsidRPr="001621A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120.164.054,00</w:t>
            </w:r>
          </w:p>
        </w:tc>
        <w:tc>
          <w:tcPr>
            <w:tcW w:w="1675" w:type="dxa"/>
          </w:tcPr>
          <w:p w14:paraId="4A6D2197" w14:textId="1BC2BA12" w:rsidR="007E7BDE" w:rsidRPr="001621A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-100.079.063,00</w:t>
            </w:r>
          </w:p>
        </w:tc>
        <w:tc>
          <w:tcPr>
            <w:tcW w:w="1006" w:type="dxa"/>
            <w:vAlign w:val="bottom"/>
          </w:tcPr>
          <w:p w14:paraId="57AE89C0" w14:textId="40D5CC1B" w:rsidR="007E7BDE" w:rsidRPr="001621AE" w:rsidRDefault="007E7BDE" w:rsidP="007E7BD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621AE">
              <w:rPr>
                <w:rFonts w:ascii="Arial" w:hAnsi="Arial" w:cs="Arial"/>
                <w:b/>
                <w:bCs/>
                <w:sz w:val="20"/>
                <w:szCs w:val="20"/>
              </w:rPr>
              <w:t>46,59</w:t>
            </w:r>
          </w:p>
        </w:tc>
      </w:tr>
      <w:tr w:rsidR="007E7BDE" w:rsidRPr="0092256B" w14:paraId="66F1B779" w14:textId="77777777" w:rsidTr="0015227B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noWrap/>
            <w:hideMark/>
          </w:tcPr>
          <w:p w14:paraId="1446A149" w14:textId="77777777" w:rsidR="007E7BDE" w:rsidRPr="0092256B" w:rsidRDefault="007E7BDE" w:rsidP="007E7BD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92256B">
              <w:rPr>
                <w:rFonts w:ascii="Arial" w:eastAsia="Times New Roman" w:hAnsi="Arial" w:cs="Arial"/>
                <w:b w:val="0"/>
                <w:bCs w:val="0"/>
                <w:kern w:val="2"/>
                <w:sz w:val="20"/>
                <w:szCs w:val="20"/>
                <w:lang w:eastAsia="pt-BR"/>
                <w14:ligatures w14:val="standardContextual"/>
              </w:rPr>
              <w:t>Receita Patrimonial</w:t>
            </w:r>
          </w:p>
        </w:tc>
        <w:tc>
          <w:tcPr>
            <w:tcW w:w="1979" w:type="dxa"/>
            <w:noWrap/>
          </w:tcPr>
          <w:p w14:paraId="74A622F1" w14:textId="1C5119E0" w:rsidR="007E7BDE" w:rsidRPr="00B669CE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201.465.195,00</w:t>
            </w:r>
          </w:p>
        </w:tc>
        <w:tc>
          <w:tcPr>
            <w:tcW w:w="1607" w:type="dxa"/>
            <w:noWrap/>
          </w:tcPr>
          <w:p w14:paraId="249764F3" w14:textId="18D01710" w:rsidR="007E7BDE" w:rsidRPr="00B669CE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101.255.531,34</w:t>
            </w:r>
          </w:p>
        </w:tc>
        <w:tc>
          <w:tcPr>
            <w:tcW w:w="1675" w:type="dxa"/>
          </w:tcPr>
          <w:p w14:paraId="5F08793F" w14:textId="0F1376B7" w:rsidR="007E7BDE" w:rsidRPr="00B669CE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5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-100.209.663,66</w:t>
            </w:r>
          </w:p>
        </w:tc>
        <w:tc>
          <w:tcPr>
            <w:tcW w:w="1006" w:type="dxa"/>
            <w:vAlign w:val="bottom"/>
          </w:tcPr>
          <w:p w14:paraId="63203DDA" w14:textId="659D9087" w:rsidR="007E7BDE" w:rsidRPr="0092256B" w:rsidRDefault="007E7BDE" w:rsidP="007E7BD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</w:rPr>
              <w:t>39,26</w:t>
            </w:r>
          </w:p>
        </w:tc>
      </w:tr>
      <w:tr w:rsidR="007E7BDE" w:rsidRPr="0092256B" w14:paraId="41B7EA96" w14:textId="77777777" w:rsidTr="0015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noWrap/>
            <w:hideMark/>
          </w:tcPr>
          <w:p w14:paraId="621890A5" w14:textId="77777777" w:rsidR="007E7BDE" w:rsidRPr="0092256B" w:rsidRDefault="007E7BDE" w:rsidP="007E7BD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2"/>
                <w:sz w:val="20"/>
                <w:szCs w:val="20"/>
                <w:lang w:eastAsia="pt-BR"/>
                <w14:ligatures w14:val="standardContextual"/>
              </w:rPr>
              <w:t>Receitas de Serviços</w:t>
            </w:r>
          </w:p>
        </w:tc>
        <w:tc>
          <w:tcPr>
            <w:tcW w:w="1979" w:type="dxa"/>
            <w:noWrap/>
          </w:tcPr>
          <w:p w14:paraId="6371F529" w14:textId="1C3E45F9" w:rsidR="007E7BDE" w:rsidRPr="00B669C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18.731.597,00</w:t>
            </w:r>
          </w:p>
        </w:tc>
        <w:tc>
          <w:tcPr>
            <w:tcW w:w="1607" w:type="dxa"/>
            <w:noWrap/>
          </w:tcPr>
          <w:p w14:paraId="25D72354" w14:textId="7225B25F" w:rsidR="007E7BDE" w:rsidRPr="00B669C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18.908.522,66</w:t>
            </w:r>
          </w:p>
        </w:tc>
        <w:tc>
          <w:tcPr>
            <w:tcW w:w="1675" w:type="dxa"/>
          </w:tcPr>
          <w:p w14:paraId="4973038A" w14:textId="29E74725" w:rsidR="007E7BDE" w:rsidRPr="00B669C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5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176.925,66</w:t>
            </w:r>
          </w:p>
        </w:tc>
        <w:tc>
          <w:tcPr>
            <w:tcW w:w="1006" w:type="dxa"/>
            <w:vAlign w:val="bottom"/>
          </w:tcPr>
          <w:p w14:paraId="5C5B9D8C" w14:textId="6CC93168" w:rsidR="007E7BDE" w:rsidRPr="0092256B" w:rsidRDefault="007E7BDE" w:rsidP="007E7BD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</w:rPr>
              <w:t>7,33</w:t>
            </w:r>
          </w:p>
        </w:tc>
      </w:tr>
      <w:tr w:rsidR="007E7BDE" w:rsidRPr="0092256B" w14:paraId="7ED9394A" w14:textId="77777777" w:rsidTr="0015227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noWrap/>
          </w:tcPr>
          <w:p w14:paraId="47AF5774" w14:textId="77777777" w:rsidR="007E7BDE" w:rsidRPr="00A91D2B" w:rsidRDefault="007E7BDE" w:rsidP="007E7BDE">
            <w:pPr>
              <w:spacing w:after="200"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</w:pPr>
            <w:r w:rsidRPr="00A91D2B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  <w:t>Outras Receitas</w:t>
            </w:r>
          </w:p>
        </w:tc>
        <w:tc>
          <w:tcPr>
            <w:tcW w:w="1979" w:type="dxa"/>
            <w:noWrap/>
          </w:tcPr>
          <w:p w14:paraId="2CBAEA9D" w14:textId="1C0F1922" w:rsidR="007E7BDE" w:rsidRPr="0092256B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46.325,00</w:t>
            </w:r>
          </w:p>
        </w:tc>
        <w:tc>
          <w:tcPr>
            <w:tcW w:w="1607" w:type="dxa"/>
            <w:noWrap/>
          </w:tcPr>
          <w:p w14:paraId="19C74AFA" w14:textId="3FF24F00" w:rsidR="007E7BDE" w:rsidRPr="0092256B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675" w:type="dxa"/>
          </w:tcPr>
          <w:p w14:paraId="0D94064E" w14:textId="49BD97BA" w:rsidR="007E7BDE" w:rsidRPr="00B669CE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5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-46.325,00</w:t>
            </w:r>
          </w:p>
        </w:tc>
        <w:tc>
          <w:tcPr>
            <w:tcW w:w="1006" w:type="dxa"/>
            <w:vAlign w:val="bottom"/>
          </w:tcPr>
          <w:p w14:paraId="02C29BA2" w14:textId="335040E2" w:rsidR="007E7BDE" w:rsidRPr="0092256B" w:rsidRDefault="007E7BDE" w:rsidP="007E7BD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7BDE" w:rsidRPr="0092256B" w14:paraId="3CBA3E53" w14:textId="77777777" w:rsidTr="0015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noWrap/>
          </w:tcPr>
          <w:p w14:paraId="6E77C8DD" w14:textId="77777777" w:rsidR="007E7BDE" w:rsidRPr="0092256B" w:rsidRDefault="007E7BDE" w:rsidP="007E7BDE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1979" w:type="dxa"/>
            <w:noWrap/>
          </w:tcPr>
          <w:p w14:paraId="0461B64F" w14:textId="68D89967" w:rsidR="007E7BDE" w:rsidRPr="001621A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67.680.788,00</w:t>
            </w:r>
          </w:p>
        </w:tc>
        <w:tc>
          <w:tcPr>
            <w:tcW w:w="1607" w:type="dxa"/>
            <w:noWrap/>
          </w:tcPr>
          <w:p w14:paraId="339B9718" w14:textId="5FF4990C" w:rsidR="007E7BDE" w:rsidRPr="001621A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137.726.728,62</w:t>
            </w:r>
          </w:p>
        </w:tc>
        <w:tc>
          <w:tcPr>
            <w:tcW w:w="1675" w:type="dxa"/>
          </w:tcPr>
          <w:p w14:paraId="73003581" w14:textId="0AF69A5B" w:rsidR="007E7BDE" w:rsidRPr="001621AE" w:rsidRDefault="007E7BDE" w:rsidP="007E7BDE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70.045.940,62</w:t>
            </w:r>
          </w:p>
        </w:tc>
        <w:tc>
          <w:tcPr>
            <w:tcW w:w="1006" w:type="dxa"/>
            <w:vAlign w:val="bottom"/>
          </w:tcPr>
          <w:p w14:paraId="6A118222" w14:textId="3253B8B5" w:rsidR="007E7BDE" w:rsidRPr="001621AE" w:rsidRDefault="007E7BDE" w:rsidP="007E7BD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621AE">
              <w:rPr>
                <w:rFonts w:ascii="Arial" w:hAnsi="Arial" w:cs="Arial"/>
                <w:b/>
                <w:bCs/>
                <w:sz w:val="20"/>
                <w:szCs w:val="20"/>
              </w:rPr>
              <w:t>53,41</w:t>
            </w:r>
          </w:p>
        </w:tc>
      </w:tr>
      <w:tr w:rsidR="007E7BDE" w:rsidRPr="0092256B" w14:paraId="38FBCE69" w14:textId="77777777" w:rsidTr="0015227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noWrap/>
          </w:tcPr>
          <w:p w14:paraId="4FF5C62D" w14:textId="77777777" w:rsidR="007E7BDE" w:rsidRPr="002031DC" w:rsidRDefault="007E7BDE" w:rsidP="007E7BDE">
            <w:pPr>
              <w:spacing w:after="200"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</w:pPr>
            <w:r w:rsidRPr="002031DC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  <w:t>mortização de Empréstimos</w:t>
            </w:r>
          </w:p>
        </w:tc>
        <w:tc>
          <w:tcPr>
            <w:tcW w:w="1979" w:type="dxa"/>
            <w:noWrap/>
          </w:tcPr>
          <w:p w14:paraId="22C085E4" w14:textId="0A9FAB7C" w:rsidR="007E7BDE" w:rsidRPr="0092256B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67.680.788,00</w:t>
            </w:r>
          </w:p>
        </w:tc>
        <w:tc>
          <w:tcPr>
            <w:tcW w:w="1607" w:type="dxa"/>
            <w:noWrap/>
          </w:tcPr>
          <w:p w14:paraId="4EDD31A0" w14:textId="2F034597" w:rsidR="007E7BDE" w:rsidRPr="0092256B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32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137.726.728,62</w:t>
            </w:r>
          </w:p>
        </w:tc>
        <w:tc>
          <w:tcPr>
            <w:tcW w:w="1675" w:type="dxa"/>
          </w:tcPr>
          <w:p w14:paraId="16C5B100" w14:textId="6E3A7C44" w:rsidR="007E7BDE" w:rsidRPr="00B669CE" w:rsidRDefault="007E7BDE" w:rsidP="007E7BDE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5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70.045.940,62</w:t>
            </w:r>
          </w:p>
        </w:tc>
        <w:tc>
          <w:tcPr>
            <w:tcW w:w="1006" w:type="dxa"/>
            <w:vAlign w:val="bottom"/>
          </w:tcPr>
          <w:p w14:paraId="392419BA" w14:textId="024F449A" w:rsidR="007E7BDE" w:rsidRPr="0092256B" w:rsidRDefault="007E7BDE" w:rsidP="007E7BD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53,41</w:t>
            </w:r>
          </w:p>
        </w:tc>
      </w:tr>
      <w:tr w:rsidR="00225DD6" w:rsidRPr="0092256B" w14:paraId="3CAC8080" w14:textId="77777777" w:rsidTr="00B66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shd w:val="clear" w:color="auto" w:fill="1F4E79" w:themeFill="accent5" w:themeFillShade="80"/>
            <w:noWrap/>
            <w:hideMark/>
          </w:tcPr>
          <w:p w14:paraId="2F2A63D1" w14:textId="77777777" w:rsidR="00225DD6" w:rsidRPr="0092256B" w:rsidRDefault="00225DD6" w:rsidP="00225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92256B">
              <w:rPr>
                <w:rFonts w:ascii="Times New Roman" w:eastAsia="Times New Roman" w:hAnsi="Times New Roman" w:cs="Times New Roman"/>
                <w:b w:val="0"/>
                <w:bCs w:val="0"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TOTAL</w:t>
            </w:r>
          </w:p>
        </w:tc>
        <w:tc>
          <w:tcPr>
            <w:tcW w:w="1979" w:type="dxa"/>
            <w:shd w:val="clear" w:color="auto" w:fill="1F4E79" w:themeFill="accent5" w:themeFillShade="80"/>
            <w:noWrap/>
          </w:tcPr>
          <w:p w14:paraId="08442252" w14:textId="6B034C3C" w:rsidR="00225DD6" w:rsidRPr="00B669CE" w:rsidRDefault="00225DD6" w:rsidP="00225DD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225DD6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287.923.905,00</w:t>
            </w:r>
          </w:p>
        </w:tc>
        <w:tc>
          <w:tcPr>
            <w:tcW w:w="1607" w:type="dxa"/>
            <w:shd w:val="clear" w:color="auto" w:fill="1F4E79" w:themeFill="accent5" w:themeFillShade="80"/>
            <w:noWrap/>
            <w:hideMark/>
          </w:tcPr>
          <w:p w14:paraId="38E54BA7" w14:textId="05B24AFE" w:rsidR="00225DD6" w:rsidRPr="00B669CE" w:rsidRDefault="00225DD6" w:rsidP="00225DD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225DD6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257.890.782,62</w:t>
            </w:r>
          </w:p>
        </w:tc>
        <w:tc>
          <w:tcPr>
            <w:tcW w:w="1675" w:type="dxa"/>
            <w:shd w:val="clear" w:color="auto" w:fill="1F4E79" w:themeFill="accent5" w:themeFillShade="80"/>
          </w:tcPr>
          <w:p w14:paraId="4F94116B" w14:textId="1F6D3677" w:rsidR="00225DD6" w:rsidRPr="0092256B" w:rsidRDefault="00225DD6" w:rsidP="00225DD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225DD6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-30.033.122,38</w:t>
            </w:r>
          </w:p>
        </w:tc>
        <w:tc>
          <w:tcPr>
            <w:tcW w:w="1006" w:type="dxa"/>
            <w:shd w:val="clear" w:color="auto" w:fill="1F4E79" w:themeFill="accent5" w:themeFillShade="80"/>
          </w:tcPr>
          <w:p w14:paraId="7E6D2835" w14:textId="77777777" w:rsidR="00225DD6" w:rsidRPr="0092256B" w:rsidRDefault="00225DD6" w:rsidP="00225DD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92256B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100</w:t>
            </w:r>
          </w:p>
        </w:tc>
      </w:tr>
    </w:tbl>
    <w:p w14:paraId="40CA8318" w14:textId="77777777" w:rsidR="00AD1FFC" w:rsidRPr="0092256B" w:rsidRDefault="00AD1FFC" w:rsidP="3F3967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DAFB785" w14:textId="1C7AF7A9" w:rsidR="3F3967D0" w:rsidRDefault="3F3967D0" w:rsidP="3F3967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5A91E975" w14:textId="64EC3BFA" w:rsidR="3F3967D0" w:rsidRDefault="3F3967D0" w:rsidP="3F3967D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4140C55" w14:textId="3720926D" w:rsidR="00AD1FFC" w:rsidRPr="0092256B" w:rsidRDefault="00AD1FFC" w:rsidP="00AD1F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9225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Execução das Despesas Orçamentárias em 202</w:t>
      </w:r>
      <w:r w:rsidR="00296188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  <w14:ligatures w14:val="none"/>
        </w:rPr>
        <w:t>5</w:t>
      </w:r>
    </w:p>
    <w:tbl>
      <w:tblPr>
        <w:tblStyle w:val="SimplesTabela12"/>
        <w:tblW w:w="9032" w:type="dxa"/>
        <w:tblLook w:val="04A0" w:firstRow="1" w:lastRow="0" w:firstColumn="1" w:lastColumn="0" w:noHBand="0" w:noVBand="1"/>
      </w:tblPr>
      <w:tblGrid>
        <w:gridCol w:w="2405"/>
        <w:gridCol w:w="1607"/>
        <w:gridCol w:w="1607"/>
        <w:gridCol w:w="1917"/>
        <w:gridCol w:w="1496"/>
      </w:tblGrid>
      <w:tr w:rsidR="00D27290" w:rsidRPr="0092256B" w14:paraId="73A657EE" w14:textId="77777777" w:rsidTr="00E65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EEAF6" w:themeFill="accent5" w:themeFillTint="33"/>
            <w:noWrap/>
            <w:hideMark/>
          </w:tcPr>
          <w:p w14:paraId="0029DFD7" w14:textId="63845EE0" w:rsidR="00AD1FFC" w:rsidRPr="006F443D" w:rsidRDefault="00AD1FFC" w:rsidP="00183C32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6F443D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DESPESAS</w:t>
            </w:r>
          </w:p>
        </w:tc>
        <w:tc>
          <w:tcPr>
            <w:tcW w:w="1607" w:type="dxa"/>
            <w:shd w:val="clear" w:color="auto" w:fill="DEEAF6" w:themeFill="accent5" w:themeFillTint="33"/>
            <w:noWrap/>
            <w:hideMark/>
          </w:tcPr>
          <w:p w14:paraId="617CEF1B" w14:textId="68175E2A" w:rsidR="00AD1FFC" w:rsidRPr="006F443D" w:rsidRDefault="00AD1FFC" w:rsidP="00183C32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6F443D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 xml:space="preserve">Dotação </w:t>
            </w:r>
            <w:r w:rsidR="00183C32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A</w:t>
            </w:r>
            <w:r w:rsidRPr="006F443D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tualizada</w:t>
            </w:r>
          </w:p>
        </w:tc>
        <w:tc>
          <w:tcPr>
            <w:tcW w:w="1607" w:type="dxa"/>
            <w:shd w:val="clear" w:color="auto" w:fill="DEEAF6" w:themeFill="accent5" w:themeFillTint="33"/>
            <w:noWrap/>
            <w:hideMark/>
          </w:tcPr>
          <w:p w14:paraId="10EDBAE6" w14:textId="77777777" w:rsidR="00AD1FFC" w:rsidRPr="006F443D" w:rsidRDefault="00AD1FFC" w:rsidP="00183C32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6F443D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Empenhadas</w:t>
            </w:r>
          </w:p>
        </w:tc>
        <w:tc>
          <w:tcPr>
            <w:tcW w:w="1917" w:type="dxa"/>
            <w:shd w:val="clear" w:color="auto" w:fill="DEEAF6" w:themeFill="accent5" w:themeFillTint="33"/>
          </w:tcPr>
          <w:p w14:paraId="0B27D47D" w14:textId="77777777" w:rsidR="00AD1FFC" w:rsidRPr="006F443D" w:rsidRDefault="00AD1FFC" w:rsidP="00183C32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6F443D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Liquidadas/Pagas</w:t>
            </w:r>
          </w:p>
        </w:tc>
        <w:tc>
          <w:tcPr>
            <w:tcW w:w="1496" w:type="dxa"/>
            <w:shd w:val="clear" w:color="auto" w:fill="DEEAF6" w:themeFill="accent5" w:themeFillTint="33"/>
          </w:tcPr>
          <w:p w14:paraId="120F651A" w14:textId="77777777" w:rsidR="00AD1FFC" w:rsidRPr="006F443D" w:rsidRDefault="00AD1FFC" w:rsidP="00183C32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6F443D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Saldo da Dotação</w:t>
            </w:r>
          </w:p>
        </w:tc>
      </w:tr>
      <w:tr w:rsidR="00D27290" w:rsidRPr="0092256B" w14:paraId="7985348B" w14:textId="77777777" w:rsidTr="00E65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F883C39" w14:textId="77777777" w:rsidR="00AD1FFC" w:rsidRPr="0092256B" w:rsidRDefault="00AD1FFC" w:rsidP="001A61C3">
            <w:pPr>
              <w:spacing w:after="200" w:line="27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B80CB5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t-BR"/>
                <w14:ligatures w14:val="standardContextual"/>
              </w:rPr>
              <w:t>DESPESAS CORRENTES</w:t>
            </w:r>
          </w:p>
        </w:tc>
        <w:tc>
          <w:tcPr>
            <w:tcW w:w="1607" w:type="dxa"/>
            <w:noWrap/>
          </w:tcPr>
          <w:p w14:paraId="387B2CCD" w14:textId="77777777" w:rsidR="00AD1FFC" w:rsidRPr="0092256B" w:rsidRDefault="00AD1FFC" w:rsidP="001A61C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C96286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-</w:t>
            </w:r>
          </w:p>
        </w:tc>
        <w:tc>
          <w:tcPr>
            <w:tcW w:w="1607" w:type="dxa"/>
            <w:noWrap/>
            <w:hideMark/>
          </w:tcPr>
          <w:p w14:paraId="687282FF" w14:textId="77777777" w:rsidR="00AD1FFC" w:rsidRPr="0092256B" w:rsidRDefault="00AD1FFC" w:rsidP="001A61C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C96286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-</w:t>
            </w:r>
          </w:p>
        </w:tc>
        <w:tc>
          <w:tcPr>
            <w:tcW w:w="1917" w:type="dxa"/>
          </w:tcPr>
          <w:p w14:paraId="0C185844" w14:textId="77777777" w:rsidR="00AD1FFC" w:rsidRPr="0092256B" w:rsidRDefault="00AD1FFC" w:rsidP="001A61C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C96286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-</w:t>
            </w:r>
          </w:p>
        </w:tc>
        <w:tc>
          <w:tcPr>
            <w:tcW w:w="1496" w:type="dxa"/>
          </w:tcPr>
          <w:p w14:paraId="1CFEE433" w14:textId="77777777" w:rsidR="00AD1FFC" w:rsidRPr="0092256B" w:rsidRDefault="00AD1FFC" w:rsidP="001A61C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C96286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-</w:t>
            </w:r>
          </w:p>
        </w:tc>
      </w:tr>
      <w:tr w:rsidR="00AD1FFC" w:rsidRPr="0092256B" w14:paraId="3557B5F4" w14:textId="77777777" w:rsidTr="00E65B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63DA54C" w14:textId="77777777" w:rsidR="00AD1FFC" w:rsidRPr="0092256B" w:rsidRDefault="00AD1FFC" w:rsidP="001A61C3">
            <w:pPr>
              <w:spacing w:after="200" w:line="27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B80CB5">
              <w:rPr>
                <w:rFonts w:ascii="Arial" w:eastAsia="Times New Roman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DESPESAS DE CAPITAL</w:t>
            </w:r>
          </w:p>
        </w:tc>
        <w:tc>
          <w:tcPr>
            <w:tcW w:w="1607" w:type="dxa"/>
            <w:noWrap/>
          </w:tcPr>
          <w:p w14:paraId="05FAFE33" w14:textId="02FEC392" w:rsidR="00AD1FFC" w:rsidRPr="0092256B" w:rsidRDefault="00127010" w:rsidP="00C56417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127010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768</w:t>
            </w:r>
            <w:r w:rsidR="00263576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127010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203</w:t>
            </w:r>
            <w:r w:rsidR="00263576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127010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008</w:t>
            </w:r>
            <w:r w:rsidR="00263576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,00</w:t>
            </w:r>
          </w:p>
        </w:tc>
        <w:tc>
          <w:tcPr>
            <w:tcW w:w="1607" w:type="dxa"/>
            <w:noWrap/>
            <w:hideMark/>
          </w:tcPr>
          <w:p w14:paraId="08F696BD" w14:textId="34EDEE40" w:rsidR="00AD1FFC" w:rsidRPr="0092256B" w:rsidRDefault="00DA27C8" w:rsidP="00C56417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A27C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714</w:t>
            </w:r>
            <w:r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DA27C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729</w:t>
            </w:r>
            <w:r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DA27C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068,54</w:t>
            </w:r>
          </w:p>
        </w:tc>
        <w:tc>
          <w:tcPr>
            <w:tcW w:w="1917" w:type="dxa"/>
          </w:tcPr>
          <w:p w14:paraId="77018A94" w14:textId="1D85D445" w:rsidR="00AD1FFC" w:rsidRPr="0092256B" w:rsidRDefault="00DA27C8" w:rsidP="00C56417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A27C8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545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DA27C8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549,45</w:t>
            </w:r>
          </w:p>
        </w:tc>
        <w:tc>
          <w:tcPr>
            <w:tcW w:w="1496" w:type="dxa"/>
          </w:tcPr>
          <w:p w14:paraId="112E3945" w14:textId="3091FA7D" w:rsidR="00AD1FFC" w:rsidRPr="0092256B" w:rsidRDefault="00710A2E" w:rsidP="00C56417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710A2E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53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710A2E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473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.</w:t>
            </w:r>
            <w:r w:rsidRPr="00710A2E">
              <w:rPr>
                <w:rFonts w:ascii="Arial" w:eastAsia="Times New Roman" w:hAnsi="Arial" w:cs="Arial"/>
                <w:kern w:val="2"/>
                <w:sz w:val="20"/>
                <w:szCs w:val="20"/>
                <w:lang w:eastAsia="pt-BR"/>
                <w14:ligatures w14:val="standardContextual"/>
              </w:rPr>
              <w:t>939,46</w:t>
            </w:r>
          </w:p>
        </w:tc>
      </w:tr>
      <w:tr w:rsidR="00E65BA2" w:rsidRPr="0092256B" w14:paraId="40384C36" w14:textId="77777777" w:rsidTr="00E65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1F4E79" w:themeFill="accent5" w:themeFillShade="80"/>
            <w:noWrap/>
            <w:hideMark/>
          </w:tcPr>
          <w:p w14:paraId="00EC19BA" w14:textId="77777777" w:rsidR="00E65BA2" w:rsidRPr="0092256B" w:rsidRDefault="00E65BA2" w:rsidP="00E65BA2">
            <w:pPr>
              <w:spacing w:after="200" w:line="276" w:lineRule="auto"/>
              <w:jc w:val="both"/>
              <w:rPr>
                <w:rFonts w:ascii="Arial" w:eastAsia="Times New Roman" w:hAnsi="Arial" w:cs="Arial"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92256B">
              <w:rPr>
                <w:rFonts w:ascii="Arial" w:eastAsia="Times New Roman" w:hAnsi="Arial" w:cs="Arial"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Total</w:t>
            </w:r>
          </w:p>
        </w:tc>
        <w:tc>
          <w:tcPr>
            <w:tcW w:w="1607" w:type="dxa"/>
            <w:shd w:val="clear" w:color="auto" w:fill="1F4E79" w:themeFill="accent5" w:themeFillShade="80"/>
            <w:noWrap/>
          </w:tcPr>
          <w:p w14:paraId="7CA39E01" w14:textId="321CFDC1" w:rsidR="00E65BA2" w:rsidRPr="00FB1D03" w:rsidRDefault="00E65BA2" w:rsidP="00E65BA2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E65BA2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768.203.008,00</w:t>
            </w:r>
          </w:p>
        </w:tc>
        <w:tc>
          <w:tcPr>
            <w:tcW w:w="1607" w:type="dxa"/>
            <w:shd w:val="clear" w:color="auto" w:fill="1F4E79" w:themeFill="accent5" w:themeFillShade="80"/>
            <w:noWrap/>
            <w:hideMark/>
          </w:tcPr>
          <w:p w14:paraId="2BF1775D" w14:textId="2AC68AC0" w:rsidR="00E65BA2" w:rsidRPr="00FB1D03" w:rsidRDefault="00E65BA2" w:rsidP="00E65BA2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E65BA2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714.729.068,54</w:t>
            </w:r>
          </w:p>
        </w:tc>
        <w:tc>
          <w:tcPr>
            <w:tcW w:w="1917" w:type="dxa"/>
            <w:shd w:val="clear" w:color="auto" w:fill="1F4E79" w:themeFill="accent5" w:themeFillShade="80"/>
          </w:tcPr>
          <w:p w14:paraId="697CF87C" w14:textId="76CCE0C7" w:rsidR="00E65BA2" w:rsidRPr="0092256B" w:rsidRDefault="00E65BA2" w:rsidP="00E65BA2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E65BA2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545.549,45</w:t>
            </w:r>
          </w:p>
        </w:tc>
        <w:tc>
          <w:tcPr>
            <w:tcW w:w="1496" w:type="dxa"/>
            <w:shd w:val="clear" w:color="auto" w:fill="1F4E79" w:themeFill="accent5" w:themeFillShade="80"/>
          </w:tcPr>
          <w:p w14:paraId="7A5594BF" w14:textId="7C808A9B" w:rsidR="00E65BA2" w:rsidRPr="0092256B" w:rsidRDefault="00E65BA2" w:rsidP="00E65BA2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E65BA2">
              <w:rPr>
                <w:rFonts w:ascii="Arial" w:eastAsia="Times New Roman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pt-BR"/>
                <w14:ligatures w14:val="standardContextual"/>
              </w:rPr>
              <w:t>53.473.939,46</w:t>
            </w:r>
          </w:p>
        </w:tc>
      </w:tr>
    </w:tbl>
    <w:p w14:paraId="4AD091F4" w14:textId="77777777" w:rsidR="00AD1FFC" w:rsidRDefault="00AD1FFC" w:rsidP="00AD1FFC"/>
    <w:p w14:paraId="3E7C0B6B" w14:textId="59315375" w:rsidR="00AD1FFC" w:rsidRDefault="00AD1FFC" w:rsidP="00AD1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diz respeito às Receitas Correntes, a Receita Patrimonial é composta pelos rendimentos obtidos a partir de depósitos bancários e aplicações do FDCO no mercado de valores mobiliários, perfazendo </w:t>
      </w:r>
      <w:r w:rsidR="008F24AF">
        <w:rPr>
          <w:rFonts w:ascii="Times New Roman" w:hAnsi="Times New Roman" w:cs="Times New Roman"/>
          <w:sz w:val="24"/>
          <w:szCs w:val="24"/>
        </w:rPr>
        <w:t>39,26</w:t>
      </w:r>
      <w:r>
        <w:rPr>
          <w:rFonts w:ascii="Times New Roman" w:hAnsi="Times New Roman" w:cs="Times New Roman"/>
          <w:sz w:val="24"/>
          <w:szCs w:val="24"/>
        </w:rPr>
        <w:t>% do total das Receitas Orçamentárias.</w:t>
      </w:r>
    </w:p>
    <w:p w14:paraId="37CED02D" w14:textId="22184CA0" w:rsidR="00AD1FFC" w:rsidRDefault="00AD1FFC" w:rsidP="00AD1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Receita de Capital, por sua vez, refere-se exclusivamente à amortização do principal e juros dos empréstimos concedidos </w:t>
      </w:r>
      <w:r w:rsidR="004C254C">
        <w:rPr>
          <w:rFonts w:ascii="Times New Roman" w:hAnsi="Times New Roman" w:cs="Times New Roman"/>
          <w:sz w:val="24"/>
          <w:szCs w:val="24"/>
        </w:rPr>
        <w:t>por meio</w:t>
      </w:r>
      <w:r>
        <w:rPr>
          <w:rFonts w:ascii="Times New Roman" w:hAnsi="Times New Roman" w:cs="Times New Roman"/>
          <w:sz w:val="24"/>
          <w:szCs w:val="24"/>
        </w:rPr>
        <w:t xml:space="preserve"> do FDCO. No de 202</w:t>
      </w:r>
      <w:r w:rsidR="006A4A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foram arrecadados R$ </w:t>
      </w:r>
      <w:r w:rsidR="0030153E">
        <w:rPr>
          <w:rFonts w:ascii="Times New Roman" w:hAnsi="Times New Roman" w:cs="Times New Roman"/>
          <w:sz w:val="24"/>
          <w:szCs w:val="24"/>
        </w:rPr>
        <w:t>137,</w:t>
      </w:r>
      <w:r w:rsidR="00E06B1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milhões.</w:t>
      </w:r>
    </w:p>
    <w:p w14:paraId="1415330E" w14:textId="29BE5DC2" w:rsidR="00AD1FFC" w:rsidRDefault="00AD1FFC" w:rsidP="00AD1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longo do ano de 202</w:t>
      </w:r>
      <w:r w:rsidR="001416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o valor empenhado foi de R$ </w:t>
      </w:r>
      <w:r w:rsidR="00F37EBA">
        <w:rPr>
          <w:rFonts w:ascii="Times New Roman" w:hAnsi="Times New Roman" w:cs="Times New Roman"/>
          <w:sz w:val="24"/>
          <w:szCs w:val="24"/>
        </w:rPr>
        <w:t>714,72</w:t>
      </w:r>
      <w:r>
        <w:rPr>
          <w:rFonts w:ascii="Times New Roman" w:hAnsi="Times New Roman" w:cs="Times New Roman"/>
          <w:sz w:val="24"/>
          <w:szCs w:val="24"/>
        </w:rPr>
        <w:t xml:space="preserve"> milhões, sendo </w:t>
      </w:r>
      <w:r w:rsidR="00B801FA">
        <w:rPr>
          <w:rFonts w:ascii="Times New Roman" w:hAnsi="Times New Roman" w:cs="Times New Roman"/>
          <w:sz w:val="24"/>
          <w:szCs w:val="24"/>
        </w:rPr>
        <w:t xml:space="preserve">quase que </w:t>
      </w:r>
      <w:r>
        <w:rPr>
          <w:rFonts w:ascii="Times New Roman" w:hAnsi="Times New Roman" w:cs="Times New Roman"/>
          <w:sz w:val="24"/>
          <w:szCs w:val="24"/>
        </w:rPr>
        <w:t>a totalidade da dotação destinada às Despesas de Capital</w:t>
      </w:r>
      <w:r w:rsidR="00851D28">
        <w:rPr>
          <w:rFonts w:ascii="Times New Roman" w:hAnsi="Times New Roman" w:cs="Times New Roman"/>
          <w:sz w:val="24"/>
          <w:szCs w:val="24"/>
        </w:rPr>
        <w:t>, ou seja,</w:t>
      </w:r>
      <w:r w:rsidR="00B801FA">
        <w:rPr>
          <w:rFonts w:ascii="Times New Roman" w:hAnsi="Times New Roman" w:cs="Times New Roman"/>
          <w:sz w:val="24"/>
          <w:szCs w:val="24"/>
        </w:rPr>
        <w:t xml:space="preserve"> </w:t>
      </w:r>
      <w:r w:rsidR="00851D28">
        <w:rPr>
          <w:rFonts w:ascii="Times New Roman" w:hAnsi="Times New Roman" w:cs="Times New Roman"/>
          <w:sz w:val="24"/>
          <w:szCs w:val="24"/>
        </w:rPr>
        <w:t xml:space="preserve">o percentual de </w:t>
      </w:r>
      <w:r w:rsidR="00464960">
        <w:rPr>
          <w:rFonts w:ascii="Times New Roman" w:hAnsi="Times New Roman" w:cs="Times New Roman"/>
          <w:sz w:val="24"/>
          <w:szCs w:val="24"/>
        </w:rPr>
        <w:t>93,04</w:t>
      </w:r>
      <w:r w:rsidR="00B801F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em decorrência da natureza do FDCO, que consiste na concessão de financiamentos para o desenvolvimento da região Centro-Oeste.</w:t>
      </w:r>
    </w:p>
    <w:sectPr w:rsidR="00AD1FFC" w:rsidSect="00936CDB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CC2B" w14:textId="77777777" w:rsidR="009B0505" w:rsidRDefault="009B0505">
      <w:pPr>
        <w:spacing w:after="0" w:line="240" w:lineRule="auto"/>
      </w:pPr>
      <w:r>
        <w:separator/>
      </w:r>
    </w:p>
  </w:endnote>
  <w:endnote w:type="continuationSeparator" w:id="0">
    <w:p w14:paraId="76049EEB" w14:textId="77777777" w:rsidR="009B0505" w:rsidRDefault="009B0505">
      <w:pPr>
        <w:spacing w:after="0" w:line="240" w:lineRule="auto"/>
      </w:pPr>
      <w:r>
        <w:continuationSeparator/>
      </w:r>
    </w:p>
  </w:endnote>
  <w:endnote w:type="continuationNotice" w:id="1">
    <w:p w14:paraId="17AC8703" w14:textId="77777777" w:rsidR="009B0505" w:rsidRDefault="009B0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9C4" w14:textId="77777777" w:rsidR="00D7554D" w:rsidRPr="00841008" w:rsidRDefault="00D7554D" w:rsidP="00570062">
    <w:pPr>
      <w:pStyle w:val="Rodap"/>
      <w:jc w:val="right"/>
      <w:rPr>
        <w:rFonts w:ascii="Times New Roman" w:hAnsi="Times New Roman" w:cs="Times New Roman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841008">
      <w:rPr>
        <w:rFonts w:ascii="Times New Roman" w:hAnsi="Times New Roman" w:cs="Times New Roman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As Notas Explicativas são parte integrante das Demonstrações Contábeis</w:t>
    </w:r>
  </w:p>
  <w:p w14:paraId="79EC1619" w14:textId="7CFABAF5" w:rsidR="00D7554D" w:rsidRPr="00841008" w:rsidRDefault="00D7554D" w:rsidP="00570062">
    <w:pPr>
      <w:pStyle w:val="Rodap"/>
      <w:jc w:val="right"/>
      <w:rPr>
        <w:rFonts w:ascii="Times New Roman" w:hAnsi="Times New Roman" w:cs="Times New Roman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841008">
      <w:rPr>
        <w:rFonts w:ascii="Times New Roman" w:hAnsi="Times New Roman" w:cs="Times New Roman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FDCO</w:t>
    </w:r>
    <w:r w:rsidR="007C2934">
      <w:rPr>
        <w:rFonts w:ascii="Times New Roman" w:hAnsi="Times New Roman" w:cs="Times New Roman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202</w:t>
    </w:r>
    <w:r w:rsidR="003D6BD8">
      <w:rPr>
        <w:rFonts w:ascii="Times New Roman" w:hAnsi="Times New Roman" w:cs="Times New Roman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5</w:t>
    </w:r>
  </w:p>
  <w:p w14:paraId="7118AB60" w14:textId="77777777" w:rsidR="00D7554D" w:rsidRDefault="00D75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96CB" w14:textId="77777777" w:rsidR="009B0505" w:rsidRDefault="009B0505">
      <w:pPr>
        <w:spacing w:after="0" w:line="240" w:lineRule="auto"/>
      </w:pPr>
      <w:r>
        <w:separator/>
      </w:r>
    </w:p>
  </w:footnote>
  <w:footnote w:type="continuationSeparator" w:id="0">
    <w:p w14:paraId="17F3ED41" w14:textId="77777777" w:rsidR="009B0505" w:rsidRDefault="009B0505">
      <w:pPr>
        <w:spacing w:after="0" w:line="240" w:lineRule="auto"/>
      </w:pPr>
      <w:r>
        <w:continuationSeparator/>
      </w:r>
    </w:p>
  </w:footnote>
  <w:footnote w:type="continuationNotice" w:id="1">
    <w:p w14:paraId="0097CDB8" w14:textId="77777777" w:rsidR="009B0505" w:rsidRDefault="009B0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829F" w14:textId="77777777" w:rsidR="00D7554D" w:rsidRPr="00841008" w:rsidRDefault="00D7554D" w:rsidP="00AB7A3E">
    <w:pPr>
      <w:pStyle w:val="SemEspaamento"/>
      <w:jc w:val="right"/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841008"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Fundo de Desenvolvimento do Centro-Oeste  </w:t>
    </w:r>
  </w:p>
  <w:p w14:paraId="2E26BAB8" w14:textId="77777777" w:rsidR="00D7554D" w:rsidRPr="00841008" w:rsidRDefault="00D7554D" w:rsidP="00AB7A3E">
    <w:pPr>
      <w:pStyle w:val="SemEspaamento"/>
      <w:jc w:val="right"/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841008"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Unidade Gestora: 537004</w:t>
    </w:r>
  </w:p>
  <w:p w14:paraId="1ED5FE16" w14:textId="4AFDF5C4" w:rsidR="00D7554D" w:rsidRPr="00841008" w:rsidRDefault="00D7554D" w:rsidP="00AB7A3E">
    <w:pPr>
      <w:pStyle w:val="SemEspaamento"/>
      <w:jc w:val="right"/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841008"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Exercício: 202</w:t>
    </w:r>
    <w:r w:rsidR="003D6BD8"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5</w:t>
    </w:r>
  </w:p>
  <w:p w14:paraId="12815249" w14:textId="77777777" w:rsidR="00D7554D" w:rsidRPr="00841008" w:rsidRDefault="00D7554D" w:rsidP="00AB7A3E">
    <w:pPr>
      <w:pStyle w:val="SemEspaamento"/>
      <w:jc w:val="right"/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841008">
      <w:rPr>
        <w:color w:val="385623" w:themeColor="accent6" w:themeShade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NOTAS EXPLICATIVAS ÀS DEMONSTRAÇÕES CONTÁBEIS </w:t>
    </w:r>
  </w:p>
  <w:p w14:paraId="063E6828" w14:textId="77777777" w:rsidR="00D7554D" w:rsidRPr="00AB7A3E" w:rsidRDefault="00D7554D" w:rsidP="00AB7A3E">
    <w:pPr>
      <w:pStyle w:val="SemEspaamento"/>
      <w:jc w:val="right"/>
      <w:rPr>
        <w:i/>
        <w:color w:val="385623" w:themeColor="accent6" w:themeShade="80"/>
      </w:rPr>
    </w:pPr>
    <w:r w:rsidRPr="00AB7A3E">
      <w:rPr>
        <w:color w:val="385623" w:themeColor="accent6" w:themeShade="80"/>
      </w:rPr>
      <w:tab/>
    </w:r>
    <w:r w:rsidRPr="00AB7A3E">
      <w:rPr>
        <w:color w:val="385623" w:themeColor="accent6" w:themeShade="80"/>
      </w:rPr>
      <w:tab/>
      <w:t xml:space="preserve">                                                                                                                                                                                                              </w:t>
    </w:r>
  </w:p>
  <w:p w14:paraId="232E6B66" w14:textId="77777777" w:rsidR="00D7554D" w:rsidRDefault="00D75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080B"/>
    <w:multiLevelType w:val="multilevel"/>
    <w:tmpl w:val="82CA25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E23914"/>
    <w:multiLevelType w:val="hybridMultilevel"/>
    <w:tmpl w:val="0C60020C"/>
    <w:lvl w:ilvl="0" w:tplc="4DD09B9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90648695">
    <w:abstractNumId w:val="1"/>
  </w:num>
  <w:num w:numId="2" w16cid:durableId="6318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D"/>
    <w:rsid w:val="0000389B"/>
    <w:rsid w:val="000051F0"/>
    <w:rsid w:val="000127F2"/>
    <w:rsid w:val="00014CF0"/>
    <w:rsid w:val="000200DA"/>
    <w:rsid w:val="0002457B"/>
    <w:rsid w:val="0002478F"/>
    <w:rsid w:val="00027E14"/>
    <w:rsid w:val="00030FB6"/>
    <w:rsid w:val="00046B69"/>
    <w:rsid w:val="00050510"/>
    <w:rsid w:val="00055CAD"/>
    <w:rsid w:val="00055E03"/>
    <w:rsid w:val="000565DE"/>
    <w:rsid w:val="00056D83"/>
    <w:rsid w:val="000630D7"/>
    <w:rsid w:val="00063F5D"/>
    <w:rsid w:val="0006662B"/>
    <w:rsid w:val="000708D8"/>
    <w:rsid w:val="00073AF5"/>
    <w:rsid w:val="0007426C"/>
    <w:rsid w:val="00077DC8"/>
    <w:rsid w:val="00080664"/>
    <w:rsid w:val="00094C4A"/>
    <w:rsid w:val="00095515"/>
    <w:rsid w:val="000A093D"/>
    <w:rsid w:val="000A4EC0"/>
    <w:rsid w:val="000B024D"/>
    <w:rsid w:val="000B6427"/>
    <w:rsid w:val="000C0AFE"/>
    <w:rsid w:val="000C159F"/>
    <w:rsid w:val="000D4AB0"/>
    <w:rsid w:val="000D61D3"/>
    <w:rsid w:val="000D7013"/>
    <w:rsid w:val="000E2B79"/>
    <w:rsid w:val="000E5D9F"/>
    <w:rsid w:val="000F1AAD"/>
    <w:rsid w:val="000F44BC"/>
    <w:rsid w:val="000F6EB8"/>
    <w:rsid w:val="0010126C"/>
    <w:rsid w:val="001046EA"/>
    <w:rsid w:val="00110269"/>
    <w:rsid w:val="001124ED"/>
    <w:rsid w:val="00113009"/>
    <w:rsid w:val="001151A0"/>
    <w:rsid w:val="00115AD1"/>
    <w:rsid w:val="001267CA"/>
    <w:rsid w:val="00127010"/>
    <w:rsid w:val="001327E1"/>
    <w:rsid w:val="0013483B"/>
    <w:rsid w:val="00134945"/>
    <w:rsid w:val="00134E37"/>
    <w:rsid w:val="00135C7E"/>
    <w:rsid w:val="00137C0F"/>
    <w:rsid w:val="0014167B"/>
    <w:rsid w:val="00141DD0"/>
    <w:rsid w:val="0014213F"/>
    <w:rsid w:val="00144FA3"/>
    <w:rsid w:val="0014590F"/>
    <w:rsid w:val="00146E67"/>
    <w:rsid w:val="00150866"/>
    <w:rsid w:val="001621AE"/>
    <w:rsid w:val="001648C7"/>
    <w:rsid w:val="001671ED"/>
    <w:rsid w:val="00170A3E"/>
    <w:rsid w:val="00172AC8"/>
    <w:rsid w:val="00173BE4"/>
    <w:rsid w:val="001837D7"/>
    <w:rsid w:val="00183C32"/>
    <w:rsid w:val="001A3AF8"/>
    <w:rsid w:val="001B0ED8"/>
    <w:rsid w:val="001B1BDE"/>
    <w:rsid w:val="001B491D"/>
    <w:rsid w:val="001B5859"/>
    <w:rsid w:val="001B6476"/>
    <w:rsid w:val="001C1C6B"/>
    <w:rsid w:val="001C7998"/>
    <w:rsid w:val="001D1242"/>
    <w:rsid w:val="001D5FEC"/>
    <w:rsid w:val="001F002C"/>
    <w:rsid w:val="001F6132"/>
    <w:rsid w:val="001F7FF3"/>
    <w:rsid w:val="00204020"/>
    <w:rsid w:val="00213414"/>
    <w:rsid w:val="00215814"/>
    <w:rsid w:val="00221807"/>
    <w:rsid w:val="00222387"/>
    <w:rsid w:val="00225DD6"/>
    <w:rsid w:val="00232A87"/>
    <w:rsid w:val="00232BF7"/>
    <w:rsid w:val="0023338D"/>
    <w:rsid w:val="00241574"/>
    <w:rsid w:val="0025404B"/>
    <w:rsid w:val="00263576"/>
    <w:rsid w:val="00264E97"/>
    <w:rsid w:val="0026564B"/>
    <w:rsid w:val="0026672C"/>
    <w:rsid w:val="00276AAD"/>
    <w:rsid w:val="00276AC2"/>
    <w:rsid w:val="00277934"/>
    <w:rsid w:val="002854DD"/>
    <w:rsid w:val="002856B7"/>
    <w:rsid w:val="00285DD5"/>
    <w:rsid w:val="002874AF"/>
    <w:rsid w:val="00296188"/>
    <w:rsid w:val="00297084"/>
    <w:rsid w:val="002A14F4"/>
    <w:rsid w:val="002A2542"/>
    <w:rsid w:val="002A3081"/>
    <w:rsid w:val="002A74EC"/>
    <w:rsid w:val="002A79A0"/>
    <w:rsid w:val="002B0799"/>
    <w:rsid w:val="002B1356"/>
    <w:rsid w:val="002B23EB"/>
    <w:rsid w:val="002C01CF"/>
    <w:rsid w:val="002C1D3A"/>
    <w:rsid w:val="002C320B"/>
    <w:rsid w:val="002E19C9"/>
    <w:rsid w:val="002E3AE9"/>
    <w:rsid w:val="002E6B13"/>
    <w:rsid w:val="002F2435"/>
    <w:rsid w:val="002F7021"/>
    <w:rsid w:val="0030153E"/>
    <w:rsid w:val="00301C01"/>
    <w:rsid w:val="00304FA1"/>
    <w:rsid w:val="003163EB"/>
    <w:rsid w:val="00322201"/>
    <w:rsid w:val="00323087"/>
    <w:rsid w:val="00332A3B"/>
    <w:rsid w:val="00346714"/>
    <w:rsid w:val="003526D3"/>
    <w:rsid w:val="00367770"/>
    <w:rsid w:val="00373D17"/>
    <w:rsid w:val="003749B4"/>
    <w:rsid w:val="003878C0"/>
    <w:rsid w:val="00390246"/>
    <w:rsid w:val="00396C83"/>
    <w:rsid w:val="00396EA5"/>
    <w:rsid w:val="003A029C"/>
    <w:rsid w:val="003B45AA"/>
    <w:rsid w:val="003C18E8"/>
    <w:rsid w:val="003D2BB3"/>
    <w:rsid w:val="003D6BD8"/>
    <w:rsid w:val="003D747B"/>
    <w:rsid w:val="003F0629"/>
    <w:rsid w:val="0040010D"/>
    <w:rsid w:val="004059F7"/>
    <w:rsid w:val="00406CFA"/>
    <w:rsid w:val="0041210D"/>
    <w:rsid w:val="004127D0"/>
    <w:rsid w:val="00414EE2"/>
    <w:rsid w:val="00420776"/>
    <w:rsid w:val="004234A9"/>
    <w:rsid w:val="00450721"/>
    <w:rsid w:val="00451A6C"/>
    <w:rsid w:val="00453895"/>
    <w:rsid w:val="004543E4"/>
    <w:rsid w:val="00457398"/>
    <w:rsid w:val="00464960"/>
    <w:rsid w:val="0046734F"/>
    <w:rsid w:val="00467C4D"/>
    <w:rsid w:val="00470D4E"/>
    <w:rsid w:val="00474867"/>
    <w:rsid w:val="004806C9"/>
    <w:rsid w:val="00482573"/>
    <w:rsid w:val="00484791"/>
    <w:rsid w:val="00486603"/>
    <w:rsid w:val="004872DF"/>
    <w:rsid w:val="004872E9"/>
    <w:rsid w:val="00493A30"/>
    <w:rsid w:val="00495E67"/>
    <w:rsid w:val="00497A9E"/>
    <w:rsid w:val="004A4076"/>
    <w:rsid w:val="004B5525"/>
    <w:rsid w:val="004B62CB"/>
    <w:rsid w:val="004C0628"/>
    <w:rsid w:val="004C0ACA"/>
    <w:rsid w:val="004C254C"/>
    <w:rsid w:val="004C26AC"/>
    <w:rsid w:val="004D03A4"/>
    <w:rsid w:val="004D4FC4"/>
    <w:rsid w:val="004D66E7"/>
    <w:rsid w:val="004E26F3"/>
    <w:rsid w:val="004E45C6"/>
    <w:rsid w:val="005002FE"/>
    <w:rsid w:val="005006AB"/>
    <w:rsid w:val="005039F6"/>
    <w:rsid w:val="005050DA"/>
    <w:rsid w:val="005104CB"/>
    <w:rsid w:val="00513955"/>
    <w:rsid w:val="00513D0E"/>
    <w:rsid w:val="00517705"/>
    <w:rsid w:val="005245E7"/>
    <w:rsid w:val="0052532F"/>
    <w:rsid w:val="00534A82"/>
    <w:rsid w:val="0053532D"/>
    <w:rsid w:val="00540D22"/>
    <w:rsid w:val="00540FE7"/>
    <w:rsid w:val="00544932"/>
    <w:rsid w:val="00547F80"/>
    <w:rsid w:val="00561748"/>
    <w:rsid w:val="00570A54"/>
    <w:rsid w:val="00572E86"/>
    <w:rsid w:val="00574816"/>
    <w:rsid w:val="00576944"/>
    <w:rsid w:val="005772BA"/>
    <w:rsid w:val="005851CB"/>
    <w:rsid w:val="00585FB2"/>
    <w:rsid w:val="005912ED"/>
    <w:rsid w:val="005913BC"/>
    <w:rsid w:val="00591BEA"/>
    <w:rsid w:val="00595A92"/>
    <w:rsid w:val="005A33CE"/>
    <w:rsid w:val="005A6E22"/>
    <w:rsid w:val="005B073D"/>
    <w:rsid w:val="005B2883"/>
    <w:rsid w:val="005C6EC6"/>
    <w:rsid w:val="005D1760"/>
    <w:rsid w:val="005D3ED1"/>
    <w:rsid w:val="005E6987"/>
    <w:rsid w:val="005E7AE5"/>
    <w:rsid w:val="005F2B36"/>
    <w:rsid w:val="005F36D8"/>
    <w:rsid w:val="00602604"/>
    <w:rsid w:val="00617736"/>
    <w:rsid w:val="006215F2"/>
    <w:rsid w:val="00621DEE"/>
    <w:rsid w:val="00626E41"/>
    <w:rsid w:val="00630420"/>
    <w:rsid w:val="006323CE"/>
    <w:rsid w:val="00634576"/>
    <w:rsid w:val="00643148"/>
    <w:rsid w:val="00644984"/>
    <w:rsid w:val="00646DE0"/>
    <w:rsid w:val="006511F1"/>
    <w:rsid w:val="00651BF9"/>
    <w:rsid w:val="00667D1F"/>
    <w:rsid w:val="00670C2C"/>
    <w:rsid w:val="00675165"/>
    <w:rsid w:val="006769D9"/>
    <w:rsid w:val="00677A02"/>
    <w:rsid w:val="006917C2"/>
    <w:rsid w:val="006927A9"/>
    <w:rsid w:val="00692896"/>
    <w:rsid w:val="006A4ABD"/>
    <w:rsid w:val="006B1595"/>
    <w:rsid w:val="006B203F"/>
    <w:rsid w:val="006C1585"/>
    <w:rsid w:val="006C37E8"/>
    <w:rsid w:val="006D11B5"/>
    <w:rsid w:val="006E1F0E"/>
    <w:rsid w:val="006F0101"/>
    <w:rsid w:val="006F2580"/>
    <w:rsid w:val="006F25F5"/>
    <w:rsid w:val="006F443D"/>
    <w:rsid w:val="006F4DA4"/>
    <w:rsid w:val="00704C34"/>
    <w:rsid w:val="00710A2E"/>
    <w:rsid w:val="00713A46"/>
    <w:rsid w:val="00713BED"/>
    <w:rsid w:val="0072515B"/>
    <w:rsid w:val="007315EC"/>
    <w:rsid w:val="00733F59"/>
    <w:rsid w:val="007340AC"/>
    <w:rsid w:val="00734894"/>
    <w:rsid w:val="00735EED"/>
    <w:rsid w:val="00737CDE"/>
    <w:rsid w:val="00743C29"/>
    <w:rsid w:val="00743D6E"/>
    <w:rsid w:val="0074721C"/>
    <w:rsid w:val="00762090"/>
    <w:rsid w:val="00762693"/>
    <w:rsid w:val="007631CD"/>
    <w:rsid w:val="00770D74"/>
    <w:rsid w:val="00772C0C"/>
    <w:rsid w:val="00774D02"/>
    <w:rsid w:val="0077613E"/>
    <w:rsid w:val="0078308E"/>
    <w:rsid w:val="00783351"/>
    <w:rsid w:val="00783DD0"/>
    <w:rsid w:val="0079159A"/>
    <w:rsid w:val="007B2495"/>
    <w:rsid w:val="007C1A6C"/>
    <w:rsid w:val="007C2934"/>
    <w:rsid w:val="007C617B"/>
    <w:rsid w:val="007E1789"/>
    <w:rsid w:val="007E4AEC"/>
    <w:rsid w:val="007E5324"/>
    <w:rsid w:val="007E7BDE"/>
    <w:rsid w:val="007F591C"/>
    <w:rsid w:val="008049DF"/>
    <w:rsid w:val="00810C21"/>
    <w:rsid w:val="00820234"/>
    <w:rsid w:val="0082122A"/>
    <w:rsid w:val="0082142D"/>
    <w:rsid w:val="00823B44"/>
    <w:rsid w:val="008249CD"/>
    <w:rsid w:val="00825BC8"/>
    <w:rsid w:val="00827465"/>
    <w:rsid w:val="008276B0"/>
    <w:rsid w:val="00835AA8"/>
    <w:rsid w:val="00840AF4"/>
    <w:rsid w:val="00840E4A"/>
    <w:rsid w:val="00841008"/>
    <w:rsid w:val="008451DC"/>
    <w:rsid w:val="00851D28"/>
    <w:rsid w:val="0085337E"/>
    <w:rsid w:val="00855AFD"/>
    <w:rsid w:val="008609CE"/>
    <w:rsid w:val="00862F03"/>
    <w:rsid w:val="00880A81"/>
    <w:rsid w:val="00881281"/>
    <w:rsid w:val="00881E9A"/>
    <w:rsid w:val="00882302"/>
    <w:rsid w:val="00887145"/>
    <w:rsid w:val="00894F79"/>
    <w:rsid w:val="00895401"/>
    <w:rsid w:val="00895793"/>
    <w:rsid w:val="00895A72"/>
    <w:rsid w:val="00897592"/>
    <w:rsid w:val="008977CD"/>
    <w:rsid w:val="008A023D"/>
    <w:rsid w:val="008A25CF"/>
    <w:rsid w:val="008A38E1"/>
    <w:rsid w:val="008A79FB"/>
    <w:rsid w:val="008B5E67"/>
    <w:rsid w:val="008B7FDE"/>
    <w:rsid w:val="008C08FE"/>
    <w:rsid w:val="008C2821"/>
    <w:rsid w:val="008C3496"/>
    <w:rsid w:val="008C3C7A"/>
    <w:rsid w:val="008E5A17"/>
    <w:rsid w:val="008F24AF"/>
    <w:rsid w:val="00910174"/>
    <w:rsid w:val="0091447B"/>
    <w:rsid w:val="00915D37"/>
    <w:rsid w:val="00931BC8"/>
    <w:rsid w:val="00936CDB"/>
    <w:rsid w:val="00944572"/>
    <w:rsid w:val="00951B24"/>
    <w:rsid w:val="009542A5"/>
    <w:rsid w:val="00957D43"/>
    <w:rsid w:val="009617A2"/>
    <w:rsid w:val="00966A5D"/>
    <w:rsid w:val="00970AD9"/>
    <w:rsid w:val="00970BBD"/>
    <w:rsid w:val="0097115E"/>
    <w:rsid w:val="0097142B"/>
    <w:rsid w:val="00973AF7"/>
    <w:rsid w:val="00974854"/>
    <w:rsid w:val="009809C6"/>
    <w:rsid w:val="00980CAB"/>
    <w:rsid w:val="00983065"/>
    <w:rsid w:val="0098318D"/>
    <w:rsid w:val="009847E8"/>
    <w:rsid w:val="009878A9"/>
    <w:rsid w:val="00992729"/>
    <w:rsid w:val="00996695"/>
    <w:rsid w:val="009A1566"/>
    <w:rsid w:val="009A3582"/>
    <w:rsid w:val="009A7CE9"/>
    <w:rsid w:val="009B0340"/>
    <w:rsid w:val="009B0505"/>
    <w:rsid w:val="009B08EB"/>
    <w:rsid w:val="009B467C"/>
    <w:rsid w:val="009B6A5E"/>
    <w:rsid w:val="009C1A0A"/>
    <w:rsid w:val="009C1B3F"/>
    <w:rsid w:val="009C244E"/>
    <w:rsid w:val="009D165D"/>
    <w:rsid w:val="009D6B64"/>
    <w:rsid w:val="009E4E66"/>
    <w:rsid w:val="009E7CB5"/>
    <w:rsid w:val="009F111C"/>
    <w:rsid w:val="009F1FE2"/>
    <w:rsid w:val="00A16596"/>
    <w:rsid w:val="00A20EBA"/>
    <w:rsid w:val="00A26B36"/>
    <w:rsid w:val="00A51B11"/>
    <w:rsid w:val="00A51B42"/>
    <w:rsid w:val="00A51DA8"/>
    <w:rsid w:val="00A51F95"/>
    <w:rsid w:val="00A53AAA"/>
    <w:rsid w:val="00A54FD7"/>
    <w:rsid w:val="00A556D6"/>
    <w:rsid w:val="00A6170C"/>
    <w:rsid w:val="00A63590"/>
    <w:rsid w:val="00A63B26"/>
    <w:rsid w:val="00A734AE"/>
    <w:rsid w:val="00A82883"/>
    <w:rsid w:val="00A844FD"/>
    <w:rsid w:val="00A848C9"/>
    <w:rsid w:val="00A856C3"/>
    <w:rsid w:val="00A8745C"/>
    <w:rsid w:val="00A90AC7"/>
    <w:rsid w:val="00AA0432"/>
    <w:rsid w:val="00AA42FC"/>
    <w:rsid w:val="00AA4FFE"/>
    <w:rsid w:val="00AA525C"/>
    <w:rsid w:val="00AA580F"/>
    <w:rsid w:val="00AB13E5"/>
    <w:rsid w:val="00AB75EB"/>
    <w:rsid w:val="00AC51A9"/>
    <w:rsid w:val="00AC78D0"/>
    <w:rsid w:val="00AD14AE"/>
    <w:rsid w:val="00AD1FFC"/>
    <w:rsid w:val="00AD3C1A"/>
    <w:rsid w:val="00AE0628"/>
    <w:rsid w:val="00AE4429"/>
    <w:rsid w:val="00AF3594"/>
    <w:rsid w:val="00AF36B0"/>
    <w:rsid w:val="00AF3C32"/>
    <w:rsid w:val="00B0077A"/>
    <w:rsid w:val="00B013D9"/>
    <w:rsid w:val="00B07110"/>
    <w:rsid w:val="00B14228"/>
    <w:rsid w:val="00B24E1A"/>
    <w:rsid w:val="00B278AB"/>
    <w:rsid w:val="00B3552F"/>
    <w:rsid w:val="00B450C5"/>
    <w:rsid w:val="00B459DD"/>
    <w:rsid w:val="00B473A6"/>
    <w:rsid w:val="00B550EE"/>
    <w:rsid w:val="00B560C2"/>
    <w:rsid w:val="00B607AE"/>
    <w:rsid w:val="00B613BE"/>
    <w:rsid w:val="00B65568"/>
    <w:rsid w:val="00B669CE"/>
    <w:rsid w:val="00B67F8B"/>
    <w:rsid w:val="00B77766"/>
    <w:rsid w:val="00B801FA"/>
    <w:rsid w:val="00B80CB5"/>
    <w:rsid w:val="00B9261B"/>
    <w:rsid w:val="00B96D71"/>
    <w:rsid w:val="00B96F8B"/>
    <w:rsid w:val="00B97F5E"/>
    <w:rsid w:val="00BA49DD"/>
    <w:rsid w:val="00BA55DB"/>
    <w:rsid w:val="00BB0C5A"/>
    <w:rsid w:val="00BB29E3"/>
    <w:rsid w:val="00BB45B4"/>
    <w:rsid w:val="00BB6C7B"/>
    <w:rsid w:val="00BC05A9"/>
    <w:rsid w:val="00BC23C6"/>
    <w:rsid w:val="00BC4935"/>
    <w:rsid w:val="00BC5FC7"/>
    <w:rsid w:val="00BC67FD"/>
    <w:rsid w:val="00BD7932"/>
    <w:rsid w:val="00BE4B64"/>
    <w:rsid w:val="00BE515A"/>
    <w:rsid w:val="00BE72AE"/>
    <w:rsid w:val="00BE7802"/>
    <w:rsid w:val="00BF01BE"/>
    <w:rsid w:val="00BF293B"/>
    <w:rsid w:val="00BF2B95"/>
    <w:rsid w:val="00BF3AC2"/>
    <w:rsid w:val="00BF4D77"/>
    <w:rsid w:val="00BF68D2"/>
    <w:rsid w:val="00C030EE"/>
    <w:rsid w:val="00C07264"/>
    <w:rsid w:val="00C07590"/>
    <w:rsid w:val="00C075F5"/>
    <w:rsid w:val="00C1637F"/>
    <w:rsid w:val="00C22FF4"/>
    <w:rsid w:val="00C23001"/>
    <w:rsid w:val="00C26CB8"/>
    <w:rsid w:val="00C2757D"/>
    <w:rsid w:val="00C277EC"/>
    <w:rsid w:val="00C30ABC"/>
    <w:rsid w:val="00C31FA4"/>
    <w:rsid w:val="00C3240E"/>
    <w:rsid w:val="00C33266"/>
    <w:rsid w:val="00C34147"/>
    <w:rsid w:val="00C35D50"/>
    <w:rsid w:val="00C45EDC"/>
    <w:rsid w:val="00C52133"/>
    <w:rsid w:val="00C55F05"/>
    <w:rsid w:val="00C56417"/>
    <w:rsid w:val="00C60A62"/>
    <w:rsid w:val="00C64158"/>
    <w:rsid w:val="00C6536C"/>
    <w:rsid w:val="00C70156"/>
    <w:rsid w:val="00C708E2"/>
    <w:rsid w:val="00C70DF7"/>
    <w:rsid w:val="00C72208"/>
    <w:rsid w:val="00C7348C"/>
    <w:rsid w:val="00C80088"/>
    <w:rsid w:val="00C840D0"/>
    <w:rsid w:val="00C84949"/>
    <w:rsid w:val="00C87DB6"/>
    <w:rsid w:val="00C90FF1"/>
    <w:rsid w:val="00C91D33"/>
    <w:rsid w:val="00C93C99"/>
    <w:rsid w:val="00C941B4"/>
    <w:rsid w:val="00C96239"/>
    <w:rsid w:val="00CA07B8"/>
    <w:rsid w:val="00CA2A14"/>
    <w:rsid w:val="00CB25FE"/>
    <w:rsid w:val="00CB2BD1"/>
    <w:rsid w:val="00CC0279"/>
    <w:rsid w:val="00CD098B"/>
    <w:rsid w:val="00CD1EBC"/>
    <w:rsid w:val="00CD2E50"/>
    <w:rsid w:val="00CD513F"/>
    <w:rsid w:val="00CD59DE"/>
    <w:rsid w:val="00CD6B2C"/>
    <w:rsid w:val="00CD7DF7"/>
    <w:rsid w:val="00CE016E"/>
    <w:rsid w:val="00CE70DA"/>
    <w:rsid w:val="00D02AE0"/>
    <w:rsid w:val="00D0637D"/>
    <w:rsid w:val="00D16262"/>
    <w:rsid w:val="00D27290"/>
    <w:rsid w:val="00D277FE"/>
    <w:rsid w:val="00D3183E"/>
    <w:rsid w:val="00D41A86"/>
    <w:rsid w:val="00D42112"/>
    <w:rsid w:val="00D500EB"/>
    <w:rsid w:val="00D53326"/>
    <w:rsid w:val="00D56327"/>
    <w:rsid w:val="00D60C13"/>
    <w:rsid w:val="00D654B1"/>
    <w:rsid w:val="00D7274C"/>
    <w:rsid w:val="00D72F69"/>
    <w:rsid w:val="00D7554D"/>
    <w:rsid w:val="00D848FD"/>
    <w:rsid w:val="00D93445"/>
    <w:rsid w:val="00DA27C8"/>
    <w:rsid w:val="00DA4975"/>
    <w:rsid w:val="00DA5B22"/>
    <w:rsid w:val="00DB0797"/>
    <w:rsid w:val="00DB145D"/>
    <w:rsid w:val="00DB3312"/>
    <w:rsid w:val="00DB5596"/>
    <w:rsid w:val="00DB6977"/>
    <w:rsid w:val="00DC0E44"/>
    <w:rsid w:val="00DC4D13"/>
    <w:rsid w:val="00DC54F2"/>
    <w:rsid w:val="00DC668E"/>
    <w:rsid w:val="00DD5723"/>
    <w:rsid w:val="00DD7F8D"/>
    <w:rsid w:val="00DF1139"/>
    <w:rsid w:val="00DF279D"/>
    <w:rsid w:val="00DF309B"/>
    <w:rsid w:val="00DF47FB"/>
    <w:rsid w:val="00DF5475"/>
    <w:rsid w:val="00E00650"/>
    <w:rsid w:val="00E047E5"/>
    <w:rsid w:val="00E06B19"/>
    <w:rsid w:val="00E11B0D"/>
    <w:rsid w:val="00E13776"/>
    <w:rsid w:val="00E15A7F"/>
    <w:rsid w:val="00E163B9"/>
    <w:rsid w:val="00E17DD3"/>
    <w:rsid w:val="00E232C2"/>
    <w:rsid w:val="00E25024"/>
    <w:rsid w:val="00E3007D"/>
    <w:rsid w:val="00E31879"/>
    <w:rsid w:val="00E3202F"/>
    <w:rsid w:val="00E364D1"/>
    <w:rsid w:val="00E41C19"/>
    <w:rsid w:val="00E46720"/>
    <w:rsid w:val="00E46C72"/>
    <w:rsid w:val="00E46C73"/>
    <w:rsid w:val="00E51054"/>
    <w:rsid w:val="00E522A8"/>
    <w:rsid w:val="00E52AF6"/>
    <w:rsid w:val="00E603C3"/>
    <w:rsid w:val="00E65BA2"/>
    <w:rsid w:val="00E67F6E"/>
    <w:rsid w:val="00E72571"/>
    <w:rsid w:val="00E7259A"/>
    <w:rsid w:val="00E91331"/>
    <w:rsid w:val="00EA0EA2"/>
    <w:rsid w:val="00EA21AD"/>
    <w:rsid w:val="00EA3AAD"/>
    <w:rsid w:val="00EA5473"/>
    <w:rsid w:val="00EA6C52"/>
    <w:rsid w:val="00EA7691"/>
    <w:rsid w:val="00EB0D1C"/>
    <w:rsid w:val="00EB0FBD"/>
    <w:rsid w:val="00EB1806"/>
    <w:rsid w:val="00EB304E"/>
    <w:rsid w:val="00EB64DD"/>
    <w:rsid w:val="00EC2E44"/>
    <w:rsid w:val="00EC6464"/>
    <w:rsid w:val="00ED21B8"/>
    <w:rsid w:val="00ED29AB"/>
    <w:rsid w:val="00ED4ABE"/>
    <w:rsid w:val="00ED5684"/>
    <w:rsid w:val="00EE593F"/>
    <w:rsid w:val="00EE6186"/>
    <w:rsid w:val="00EE6CA5"/>
    <w:rsid w:val="00F00791"/>
    <w:rsid w:val="00F067F9"/>
    <w:rsid w:val="00F11A84"/>
    <w:rsid w:val="00F146B7"/>
    <w:rsid w:val="00F15A71"/>
    <w:rsid w:val="00F17E8E"/>
    <w:rsid w:val="00F32EC2"/>
    <w:rsid w:val="00F346A2"/>
    <w:rsid w:val="00F34D99"/>
    <w:rsid w:val="00F37EBA"/>
    <w:rsid w:val="00F44C06"/>
    <w:rsid w:val="00F45FD8"/>
    <w:rsid w:val="00F50DF9"/>
    <w:rsid w:val="00F57C73"/>
    <w:rsid w:val="00F60F03"/>
    <w:rsid w:val="00F6432B"/>
    <w:rsid w:val="00F6779E"/>
    <w:rsid w:val="00F70494"/>
    <w:rsid w:val="00F77A42"/>
    <w:rsid w:val="00F80B08"/>
    <w:rsid w:val="00F81EFF"/>
    <w:rsid w:val="00F9077D"/>
    <w:rsid w:val="00F9457B"/>
    <w:rsid w:val="00FA2F52"/>
    <w:rsid w:val="00FA3367"/>
    <w:rsid w:val="00FA4819"/>
    <w:rsid w:val="00FB1D03"/>
    <w:rsid w:val="00FB52DE"/>
    <w:rsid w:val="00FC4A67"/>
    <w:rsid w:val="00FD01C5"/>
    <w:rsid w:val="00FD176F"/>
    <w:rsid w:val="00FD1F49"/>
    <w:rsid w:val="00FE1BD9"/>
    <w:rsid w:val="00FE3FBA"/>
    <w:rsid w:val="00FE6D04"/>
    <w:rsid w:val="00FE6DD0"/>
    <w:rsid w:val="00FF5647"/>
    <w:rsid w:val="00FF73B5"/>
    <w:rsid w:val="00FF74BD"/>
    <w:rsid w:val="031F0BF2"/>
    <w:rsid w:val="1E235E2E"/>
    <w:rsid w:val="28839B3F"/>
    <w:rsid w:val="30E39AAD"/>
    <w:rsid w:val="314DA7D6"/>
    <w:rsid w:val="32069539"/>
    <w:rsid w:val="3B913EEE"/>
    <w:rsid w:val="3EB4A3C5"/>
    <w:rsid w:val="3F3967D0"/>
    <w:rsid w:val="4DDE4D7B"/>
    <w:rsid w:val="54844D0D"/>
    <w:rsid w:val="56C59CC5"/>
    <w:rsid w:val="602ECF8D"/>
    <w:rsid w:val="642D9950"/>
    <w:rsid w:val="70188BD6"/>
    <w:rsid w:val="703B60FC"/>
    <w:rsid w:val="70EDD86B"/>
    <w:rsid w:val="7B9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7E17"/>
  <w15:chartTrackingRefBased/>
  <w15:docId w15:val="{817F15EA-AEC4-48A3-B0B2-22473EC0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D7554D"/>
  </w:style>
  <w:style w:type="paragraph" w:customStyle="1" w:styleId="Standard">
    <w:name w:val="Standard"/>
    <w:rsid w:val="00D75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D7554D"/>
    <w:pPr>
      <w:ind w:left="720"/>
      <w:contextualSpacing/>
    </w:pPr>
    <w:rPr>
      <w:kern w:val="0"/>
      <w14:ligatures w14:val="none"/>
    </w:rPr>
  </w:style>
  <w:style w:type="paragraph" w:customStyle="1" w:styleId="Normal3">
    <w:name w:val="Normal3"/>
    <w:basedOn w:val="Standard"/>
    <w:uiPriority w:val="99"/>
    <w:rsid w:val="00D7554D"/>
    <w:pPr>
      <w:ind w:firstLine="567"/>
      <w:jc w:val="both"/>
    </w:pPr>
    <w:rPr>
      <w:rFonts w:ascii="Cambria" w:eastAsia="Calibri" w:hAnsi="Cambria" w:cs="Calibri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D755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D7554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7554D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7554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554D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D7554D"/>
    <w:rPr>
      <w:kern w:val="0"/>
      <w14:ligatures w14:val="none"/>
    </w:rPr>
  </w:style>
  <w:style w:type="paragraph" w:customStyle="1" w:styleId="Estilo1">
    <w:name w:val="Estilo1"/>
    <w:basedOn w:val="CitaoIntensa"/>
    <w:link w:val="Estilo1Char"/>
    <w:qFormat/>
    <w:rsid w:val="00D7554D"/>
    <w:pPr>
      <w:ind w:left="0"/>
      <w:jc w:val="left"/>
    </w:pPr>
  </w:style>
  <w:style w:type="character" w:customStyle="1" w:styleId="Estilo1Char">
    <w:name w:val="Estilo1 Char"/>
    <w:basedOn w:val="CitaoIntensaChar"/>
    <w:link w:val="Estilo1"/>
    <w:rsid w:val="00D7554D"/>
    <w:rPr>
      <w:i/>
      <w:iCs/>
      <w:color w:val="4472C4" w:themeColor="accent1"/>
      <w:kern w:val="0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55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554D"/>
    <w:rPr>
      <w:i/>
      <w:iCs/>
      <w:color w:val="4472C4" w:themeColor="accent1"/>
      <w:kern w:val="0"/>
      <w14:ligatures w14:val="none"/>
    </w:rPr>
  </w:style>
  <w:style w:type="table" w:styleId="TabelaSimples4">
    <w:name w:val="Plain Table 4"/>
    <w:basedOn w:val="Tabelanormal"/>
    <w:uiPriority w:val="44"/>
    <w:rsid w:val="00D7554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D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D7554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7554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54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54D"/>
    <w:rPr>
      <w:color w:val="605E5C"/>
      <w:shd w:val="clear" w:color="auto" w:fill="E1DFDD"/>
    </w:rPr>
  </w:style>
  <w:style w:type="table" w:customStyle="1" w:styleId="SimplesTabela11">
    <w:name w:val="Simples Tabela 11"/>
    <w:basedOn w:val="Tabelanormal"/>
    <w:next w:val="SimplesTabela1"/>
    <w:uiPriority w:val="41"/>
    <w:rsid w:val="00D7554D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12">
    <w:name w:val="Simples Tabela 12"/>
    <w:basedOn w:val="Tabelanormal"/>
    <w:next w:val="SimplesTabela1"/>
    <w:uiPriority w:val="41"/>
    <w:rsid w:val="00AD1FFC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9D16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16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1"/>
      <w:szCs w:val="1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D165D"/>
    <w:rPr>
      <w:rFonts w:ascii="Arial MT" w:eastAsia="Arial MT" w:hAnsi="Arial MT" w:cs="Arial MT"/>
      <w:kern w:val="0"/>
      <w:sz w:val="11"/>
      <w:szCs w:val="11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9D165D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b/>
      <w:bCs/>
      <w:kern w:val="0"/>
      <w:sz w:val="11"/>
      <w:szCs w:val="11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9D165D"/>
    <w:rPr>
      <w:rFonts w:ascii="Arial" w:eastAsia="Arial" w:hAnsi="Arial" w:cs="Arial"/>
      <w:b/>
      <w:bCs/>
      <w:kern w:val="0"/>
      <w:sz w:val="11"/>
      <w:szCs w:val="11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165D"/>
    <w:pPr>
      <w:widowControl w:val="0"/>
      <w:autoSpaceDE w:val="0"/>
      <w:autoSpaceDN w:val="0"/>
      <w:spacing w:before="3" w:after="0" w:line="240" w:lineRule="auto"/>
      <w:ind w:right="7"/>
      <w:jc w:val="right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sudeco/pt-br/assuntos/fundo-de-desenvolvimento-do-centro-oeste%20%2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B467AC92EB446A5CEDA19238C938C" ma:contentTypeVersion="4" ma:contentTypeDescription="Crie um novo documento." ma:contentTypeScope="" ma:versionID="ca9d02ace535b57b4ca4d77b06f01d45">
  <xsd:schema xmlns:xsd="http://www.w3.org/2001/XMLSchema" xmlns:xs="http://www.w3.org/2001/XMLSchema" xmlns:p="http://schemas.microsoft.com/office/2006/metadata/properties" xmlns:ns2="dd03eef8-b9a8-43a5-98ba-032367fbc299" targetNamespace="http://schemas.microsoft.com/office/2006/metadata/properties" ma:root="true" ma:fieldsID="5f5510f7643407e81bfc051d2d9381a3" ns2:_="">
    <xsd:import namespace="dd03eef8-b9a8-43a5-98ba-032367fbc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3eef8-b9a8-43a5-98ba-032367fbc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58EB-BD23-4A34-B3C6-C8AD4F5A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3eef8-b9a8-43a5-98ba-032367fbc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5D9D2-2333-431B-8668-3C49C00A1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A1795-DD03-4B7A-B83A-9473F0F6D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B10E5C-A010-49CF-92B7-74A67C33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17</Pages>
  <Words>3039</Words>
  <Characters>20544</Characters>
  <Application>Microsoft Office Word</Application>
  <DocSecurity>0</DocSecurity>
  <Lines>1369</Lines>
  <Paragraphs>842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Yukie Nakandakari Ishihara</dc:creator>
  <cp:keywords/>
  <dc:description/>
  <cp:lastModifiedBy>Carlos André do Carmo Silveira</cp:lastModifiedBy>
  <cp:revision>142</cp:revision>
  <dcterms:created xsi:type="dcterms:W3CDTF">2026-01-27T13:25:00Z</dcterms:created>
  <dcterms:modified xsi:type="dcterms:W3CDTF">2026-01-30T13:49:00Z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0x010100914B467AC92EB446A5CEDA19238C938C</vt:lpwstr>
  </property>
</Properties>
</file>