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CE9E" w14:textId="77777777" w:rsidR="00D80965" w:rsidRDefault="00F23765">
      <w:pPr>
        <w:spacing w:after="171"/>
        <w:ind w:left="3279"/>
      </w:pPr>
      <w:r>
        <w:rPr>
          <w:sz w:val="28"/>
        </w:rPr>
        <w:t xml:space="preserve">COORDENAÇÃO-GERAL DE REGIMES DE ORIGEM (CGRO) – DEINT/SECEX/MDIC </w:t>
      </w:r>
    </w:p>
    <w:p w14:paraId="4F3A6661" w14:textId="06A10099" w:rsidR="00D80965" w:rsidRDefault="00F23765">
      <w:pPr>
        <w:spacing w:after="127"/>
      </w:pPr>
      <w:r>
        <w:rPr>
          <w:sz w:val="28"/>
          <w:u w:val="single" w:color="000000"/>
        </w:rPr>
        <w:t>F</w:t>
      </w:r>
      <w:r>
        <w:rPr>
          <w:u w:val="single" w:color="000000"/>
        </w:rPr>
        <w:t xml:space="preserve">ICHA </w:t>
      </w:r>
      <w:r>
        <w:rPr>
          <w:sz w:val="28"/>
          <w:u w:val="single" w:color="000000"/>
        </w:rPr>
        <w:t>T</w:t>
      </w:r>
      <w:r>
        <w:rPr>
          <w:u w:val="single" w:color="000000"/>
        </w:rPr>
        <w:t>ÉCNICA</w:t>
      </w:r>
      <w:r>
        <w:rPr>
          <w:sz w:val="28"/>
          <w:u w:val="single" w:color="000000"/>
        </w:rPr>
        <w:t xml:space="preserve">: </w:t>
      </w:r>
      <w:r w:rsidR="007B789F">
        <w:rPr>
          <w:sz w:val="28"/>
          <w:u w:val="single" w:color="000000"/>
        </w:rPr>
        <w:t>UNIÃO EUROPEIA</w:t>
      </w:r>
      <w:r>
        <w:rPr>
          <w:sz w:val="28"/>
          <w:u w:val="single" w:color="000000"/>
        </w:rPr>
        <w:t xml:space="preserve"> </w:t>
      </w:r>
      <w:r w:rsidR="007B789F">
        <w:rPr>
          <w:sz w:val="28"/>
          <w:u w:val="single" w:color="000000"/>
        </w:rPr>
        <w:t xml:space="preserve">- </w:t>
      </w:r>
      <w:r>
        <w:rPr>
          <w:sz w:val="28"/>
          <w:u w:val="single" w:color="000000"/>
        </w:rPr>
        <w:t>MERCOSUL</w:t>
      </w:r>
      <w:r>
        <w:rPr>
          <w:sz w:val="28"/>
        </w:rPr>
        <w:t xml:space="preserve"> </w:t>
      </w:r>
    </w:p>
    <w:p w14:paraId="708F416D" w14:textId="1B67D310" w:rsidR="00D80965" w:rsidRDefault="00077D69" w:rsidP="007B789F">
      <w:pPr>
        <w:spacing w:after="159"/>
        <w:ind w:left="-5" w:hanging="10"/>
      </w:pPr>
      <w:r>
        <w:rPr>
          <w:sz w:val="24"/>
        </w:rPr>
        <w:t>Acordo não está</w:t>
      </w:r>
      <w:r w:rsidR="00F23765">
        <w:rPr>
          <w:sz w:val="24"/>
        </w:rPr>
        <w:t xml:space="preserve"> em vigor</w:t>
      </w:r>
      <w:r>
        <w:rPr>
          <w:sz w:val="24"/>
        </w:rPr>
        <w:t xml:space="preserve">. </w:t>
      </w:r>
      <w:r w:rsidR="00F23765">
        <w:rPr>
          <w:sz w:val="24"/>
        </w:rPr>
        <w:t xml:space="preserve">Última Atualização: </w:t>
      </w:r>
      <w:r w:rsidR="007B789F">
        <w:rPr>
          <w:color w:val="FF0000"/>
          <w:sz w:val="24"/>
        </w:rPr>
        <w:t>julho</w:t>
      </w:r>
      <w:r w:rsidR="00F23765">
        <w:rPr>
          <w:color w:val="FF0000"/>
          <w:sz w:val="24"/>
        </w:rPr>
        <w:t xml:space="preserve"> de 202</w:t>
      </w:r>
      <w:r w:rsidR="007B789F">
        <w:rPr>
          <w:color w:val="FF0000"/>
          <w:sz w:val="24"/>
        </w:rPr>
        <w:t>5</w:t>
      </w:r>
      <w:r w:rsidR="00F23765">
        <w:rPr>
          <w:color w:val="FF0000"/>
          <w:sz w:val="24"/>
        </w:rPr>
        <w:t>.</w:t>
      </w:r>
      <w:r w:rsidR="00F23765">
        <w:rPr>
          <w:sz w:val="24"/>
        </w:rPr>
        <w:t xml:space="preserve"> </w:t>
      </w:r>
    </w:p>
    <w:tbl>
      <w:tblPr>
        <w:tblStyle w:val="TableGrid"/>
        <w:tblW w:w="15446" w:type="dxa"/>
        <w:tblInd w:w="6" w:type="dxa"/>
        <w:tblCellMar>
          <w:top w:w="4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2542"/>
        <w:gridCol w:w="1421"/>
        <w:gridCol w:w="4395"/>
        <w:gridCol w:w="3403"/>
        <w:gridCol w:w="3350"/>
        <w:gridCol w:w="335"/>
      </w:tblGrid>
      <w:tr w:rsidR="00D80965" w14:paraId="656919FA" w14:textId="77777777" w:rsidTr="00077D69">
        <w:trPr>
          <w:trHeight w:val="276"/>
        </w:trPr>
        <w:tc>
          <w:tcPr>
            <w:tcW w:w="8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DEE87" w14:textId="77777777" w:rsidR="00D80965" w:rsidRDefault="00F23765">
            <w:pPr>
              <w:ind w:right="49"/>
              <w:jc w:val="center"/>
            </w:pPr>
            <w:r>
              <w:t xml:space="preserve">CONCEITO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49BAA" w14:textId="77777777" w:rsidR="00D80965" w:rsidRDefault="00F23765">
            <w:pPr>
              <w:ind w:right="45"/>
              <w:jc w:val="center"/>
            </w:pPr>
            <w:r>
              <w:t xml:space="preserve">NORMAS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4B4CD" w14:textId="77777777" w:rsidR="00D80965" w:rsidRDefault="00F23765">
            <w:pPr>
              <w:ind w:right="51"/>
              <w:jc w:val="center"/>
            </w:pPr>
            <w:r>
              <w:t xml:space="preserve">OBSERVAÇÕES </w:t>
            </w:r>
          </w:p>
        </w:tc>
      </w:tr>
      <w:tr w:rsidR="00DA19C8" w14:paraId="1CC28B52" w14:textId="77777777" w:rsidTr="00077D69">
        <w:trPr>
          <w:trHeight w:val="1501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6F41" w14:textId="77777777" w:rsidR="00DA19C8" w:rsidRDefault="00DA19C8" w:rsidP="00DA19C8">
            <w:r>
              <w:t xml:space="preserve">Nomenclatura do Acordo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583" w14:textId="77777777" w:rsidR="00DA19C8" w:rsidRDefault="00DA19C8" w:rsidP="00DA19C8">
            <w:pPr>
              <w:ind w:left="2" w:right="48"/>
              <w:jc w:val="both"/>
            </w:pPr>
            <w:r>
              <w:t xml:space="preserve">Nomenclatura do Sistema Harmonizado utilizada para definir os produtos negociados no acordo e suas respectivas regras de origem e preferências tarifárias.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9DA" w14:textId="79A48135" w:rsidR="00DA19C8" w:rsidRDefault="00DA19C8" w:rsidP="00DA19C8">
            <w:pPr>
              <w:ind w:left="1"/>
            </w:pPr>
            <w:r>
              <w:t>Anexo I, Nota 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61A3" w14:textId="50B46A35" w:rsidR="00DA19C8" w:rsidRDefault="00DA19C8" w:rsidP="00DA19C8">
            <w:pPr>
              <w:ind w:right="46"/>
              <w:jc w:val="both"/>
            </w:pPr>
            <w:r>
              <w:t>A lista de produtos sujeitos a requisitos específicos de origem (</w:t>
            </w:r>
            <w:proofErr w:type="spellStart"/>
            <w:r>
              <w:t>REOs</w:t>
            </w:r>
            <w:proofErr w:type="spellEnd"/>
            <w:r>
              <w:t>), no Anexo II, estão na NCM SH-2017</w:t>
            </w:r>
          </w:p>
          <w:p w14:paraId="13CC3965" w14:textId="737F91CA" w:rsidR="00524417" w:rsidRDefault="00524417" w:rsidP="00DA19C8">
            <w:pPr>
              <w:ind w:right="46"/>
              <w:jc w:val="both"/>
            </w:pPr>
          </w:p>
        </w:tc>
      </w:tr>
      <w:tr w:rsidR="00DA19C8" w14:paraId="28492CED" w14:textId="77777777" w:rsidTr="00DA19C8">
        <w:tblPrEx>
          <w:tblCellMar>
            <w:left w:w="0" w:type="dxa"/>
          </w:tblCellMar>
        </w:tblPrEx>
        <w:trPr>
          <w:trHeight w:val="545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BCFA" w14:textId="77777777" w:rsidR="00DA19C8" w:rsidRDefault="00DA19C8" w:rsidP="00DA19C8">
            <w:pPr>
              <w:ind w:left="107"/>
            </w:pPr>
            <w:r>
              <w:t xml:space="preserve">Totalmente Elaborados ou Obtidos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C850" w14:textId="77777777" w:rsidR="00DA19C8" w:rsidRDefault="00DA19C8" w:rsidP="00DA19C8">
            <w:pPr>
              <w:ind w:left="109"/>
              <w:jc w:val="both"/>
            </w:pPr>
            <w:r>
              <w:t xml:space="preserve">Produtos totalmente elaborados ou obtidos no território de um ou mais Estados Partes. </w:t>
            </w:r>
          </w:p>
          <w:p w14:paraId="37C4B71C" w14:textId="73E36183" w:rsidR="000F601E" w:rsidRDefault="000F601E" w:rsidP="00DA19C8">
            <w:pPr>
              <w:ind w:left="109"/>
              <w:jc w:val="bot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836B" w14:textId="3D59F9DB" w:rsidR="00DA19C8" w:rsidRDefault="00DA19C8" w:rsidP="00DA19C8">
            <w:pPr>
              <w:ind w:left="108" w:right="35"/>
            </w:pPr>
            <w:r>
              <w:t>Artigo 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B55F9" w14:textId="459EF5F0" w:rsidR="00DA19C8" w:rsidRDefault="00DA19C8" w:rsidP="00DA19C8">
            <w:pPr>
              <w:ind w:left="107"/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DEA7B" w14:textId="065B421F" w:rsidR="00DA19C8" w:rsidRDefault="00DA19C8" w:rsidP="00DA19C8">
            <w:pPr>
              <w:jc w:val="both"/>
            </w:pPr>
          </w:p>
        </w:tc>
      </w:tr>
      <w:tr w:rsidR="00DA19C8" w14:paraId="3E21B252" w14:textId="77777777" w:rsidTr="00DA19C8">
        <w:tblPrEx>
          <w:tblCellMar>
            <w:left w:w="0" w:type="dxa"/>
          </w:tblCellMar>
        </w:tblPrEx>
        <w:trPr>
          <w:trHeight w:val="817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B70" w14:textId="0F12FD26" w:rsidR="00256A75" w:rsidRPr="00077D69" w:rsidRDefault="00256A75" w:rsidP="00DA19C8">
            <w:pPr>
              <w:ind w:left="107"/>
            </w:pPr>
            <w:r w:rsidRPr="00077D69">
              <w:t>Elaborados exclusivamente a partir de materiais originários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2203" w14:textId="77777777" w:rsidR="00DA19C8" w:rsidRDefault="00DA19C8" w:rsidP="00DA19C8">
            <w:pPr>
              <w:ind w:left="109" w:right="49"/>
              <w:jc w:val="both"/>
            </w:pPr>
            <w:r>
              <w:t xml:space="preserve">Produtos elaborados no território de um ou mais Estados Partes exclusivamente a partir de materiais originários.  </w:t>
            </w:r>
          </w:p>
          <w:p w14:paraId="24B99B46" w14:textId="05B18A4B" w:rsidR="000F601E" w:rsidRDefault="000F601E" w:rsidP="00DA19C8">
            <w:pPr>
              <w:ind w:left="109" w:right="49"/>
              <w:jc w:val="bot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01F" w14:textId="3FD31FCC" w:rsidR="00DA19C8" w:rsidRDefault="00DA19C8" w:rsidP="00DA19C8">
            <w:pPr>
              <w:ind w:left="108" w:right="23"/>
            </w:pPr>
            <w:r>
              <w:t>Artigo 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9C157" w14:textId="7E4DDEE9" w:rsidR="00DA19C8" w:rsidRDefault="00DA19C8" w:rsidP="00DA19C8">
            <w:pPr>
              <w:ind w:left="107"/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B1F03" w14:textId="760462FE" w:rsidR="00DA19C8" w:rsidRDefault="00DA19C8" w:rsidP="00DA19C8">
            <w:pPr>
              <w:jc w:val="both"/>
            </w:pPr>
          </w:p>
        </w:tc>
      </w:tr>
      <w:tr w:rsidR="00D80965" w14:paraId="2FB28333" w14:textId="77777777" w:rsidTr="00DA19C8">
        <w:tblPrEx>
          <w:tblCellMar>
            <w:left w:w="0" w:type="dxa"/>
          </w:tblCellMar>
        </w:tblPrEx>
        <w:trPr>
          <w:trHeight w:val="1085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D3EC" w14:textId="77777777" w:rsidR="00D80965" w:rsidRDefault="00F23765">
            <w:pPr>
              <w:ind w:left="107"/>
            </w:pPr>
            <w:r>
              <w:t xml:space="preserve">Regra Geral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36D2" w14:textId="77777777" w:rsidR="00D80965" w:rsidRDefault="00F23765">
            <w:pPr>
              <w:ind w:left="109" w:right="46"/>
              <w:jc w:val="both"/>
            </w:pPr>
            <w:r>
              <w:t xml:space="preserve">Princípio de determinação de origem que se aplica a todos os produtos negociados, exceto aquelas mercadorias para as quais se deseja estabelecer uma exigência de origem distinta. </w:t>
            </w:r>
          </w:p>
          <w:p w14:paraId="2648E04C" w14:textId="040C7A80" w:rsidR="000F601E" w:rsidRDefault="000F601E">
            <w:pPr>
              <w:ind w:left="109" w:right="46"/>
              <w:jc w:val="bot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9C19" w14:textId="77777777" w:rsidR="00D80965" w:rsidRDefault="00F23765">
            <w:pPr>
              <w:ind w:left="108"/>
            </w:pPr>
            <w:r>
              <w:t xml:space="preserve">NÃO APLICÁVEL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E58C8" w14:textId="77777777" w:rsidR="00D80965" w:rsidRDefault="00F23765">
            <w:pPr>
              <w:ind w:left="107"/>
            </w:pPr>
            <w: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0A123" w14:textId="77777777" w:rsidR="00D80965" w:rsidRDefault="00D80965"/>
        </w:tc>
      </w:tr>
      <w:tr w:rsidR="00D80965" w14:paraId="18E0A386" w14:textId="77777777" w:rsidTr="00DA19C8">
        <w:tblPrEx>
          <w:tblCellMar>
            <w:left w:w="0" w:type="dxa"/>
          </w:tblCellMar>
        </w:tblPrEx>
        <w:trPr>
          <w:trHeight w:val="547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161A" w14:textId="77777777" w:rsidR="00D80965" w:rsidRDefault="00F23765">
            <w:pPr>
              <w:ind w:left="107"/>
            </w:pPr>
            <w:r>
              <w:t xml:space="preserve">Regras Específicas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6F44" w14:textId="77777777" w:rsidR="00D80965" w:rsidRDefault="00F23765">
            <w:pPr>
              <w:ind w:left="109"/>
              <w:jc w:val="both"/>
            </w:pPr>
            <w:r>
              <w:t xml:space="preserve">São as exceções à regra geral. Para cada produto é definido uma rega específica. </w:t>
            </w:r>
          </w:p>
          <w:p w14:paraId="01A18DA2" w14:textId="254E918C" w:rsidR="000F601E" w:rsidRDefault="000F601E">
            <w:pPr>
              <w:ind w:left="109"/>
              <w:jc w:val="bot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DBB" w14:textId="5B420F53" w:rsidR="00F81AF0" w:rsidRDefault="00DA19C8" w:rsidP="00077D69">
            <w:r>
              <w:t xml:space="preserve"> </w:t>
            </w:r>
            <w:r w:rsidR="00F23765">
              <w:t xml:space="preserve"> </w:t>
            </w:r>
            <w:r w:rsidRPr="00DA19C8">
              <w:t>Anexo II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AC091" w14:textId="49849E1F" w:rsidR="00E3244A" w:rsidRPr="00E3244A" w:rsidRDefault="00E3244A" w:rsidP="00F81AF0">
            <w:pPr>
              <w:ind w:left="107"/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A63BA" w14:textId="4D3C96E5" w:rsidR="00D80965" w:rsidRDefault="00D80965">
            <w:pPr>
              <w:jc w:val="both"/>
            </w:pPr>
          </w:p>
        </w:tc>
      </w:tr>
      <w:tr w:rsidR="00D80965" w14:paraId="20C80824" w14:textId="77777777" w:rsidTr="00E97010">
        <w:tblPrEx>
          <w:tblCellMar>
            <w:left w:w="0" w:type="dxa"/>
          </w:tblCellMar>
        </w:tblPrEx>
        <w:trPr>
          <w:trHeight w:val="1351"/>
        </w:trPr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140F" w14:textId="77777777" w:rsidR="00D80965" w:rsidRDefault="00F23765">
            <w:pPr>
              <w:ind w:left="107"/>
            </w:pPr>
            <w:r>
              <w:t xml:space="preserve">Critérios de Qualificação de Origem (utilização de materiais não-originários)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F1F" w14:textId="77777777" w:rsidR="00D80965" w:rsidRDefault="00F23765">
            <w:pPr>
              <w:ind w:left="108"/>
            </w:pPr>
            <w:r>
              <w:t xml:space="preserve">Salto </w:t>
            </w:r>
          </w:p>
          <w:p w14:paraId="77A7D2D9" w14:textId="77777777" w:rsidR="00D80965" w:rsidRDefault="00F23765">
            <w:pPr>
              <w:ind w:left="108"/>
            </w:pPr>
            <w:r>
              <w:t xml:space="preserve">Tarifário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BFD2" w14:textId="77777777" w:rsidR="00D80965" w:rsidRDefault="00F23765">
            <w:pPr>
              <w:ind w:left="109" w:right="45"/>
              <w:jc w:val="both"/>
            </w:pPr>
            <w:r>
              <w:t xml:space="preserve">Estabelece que a mudança de classificação tarifária dos insumos originários, em qualquer nível de abertura da nomenclatura, pode resultar em uma mercadoria originária, uma vez que houve uma transformação substancial.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C836" w14:textId="412645C5" w:rsidR="00D80965" w:rsidRDefault="00DA19C8">
            <w:pPr>
              <w:ind w:left="108"/>
            </w:pPr>
            <w:r w:rsidRPr="00DA19C8">
              <w:t>Anexo I, Nota 1, parágrafo 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E88" w14:textId="4835434C" w:rsidR="00D80965" w:rsidRDefault="00D80965">
            <w:pPr>
              <w:ind w:left="107"/>
            </w:pPr>
          </w:p>
        </w:tc>
      </w:tr>
      <w:tr w:rsidR="00D80965" w14:paraId="74D7EECA" w14:textId="77777777" w:rsidTr="00E97010">
        <w:tblPrEx>
          <w:tblCellMar>
            <w:left w:w="0" w:type="dxa"/>
          </w:tblCellMar>
        </w:tblPrEx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13A9" w14:textId="77777777" w:rsidR="00D80965" w:rsidRDefault="00D80965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1849" w14:textId="77777777" w:rsidR="00D80965" w:rsidRDefault="00F23765">
            <w:pPr>
              <w:ind w:left="108"/>
            </w:pPr>
            <w:r>
              <w:t xml:space="preserve">Máximo </w:t>
            </w:r>
          </w:p>
          <w:p w14:paraId="65684C7C" w14:textId="77777777" w:rsidR="00D80965" w:rsidRDefault="00F23765">
            <w:pPr>
              <w:ind w:left="108"/>
            </w:pPr>
            <w:r>
              <w:t xml:space="preserve">Conteúdo </w:t>
            </w:r>
          </w:p>
          <w:p w14:paraId="6D4B1214" w14:textId="77777777" w:rsidR="00D80965" w:rsidRDefault="00F23765">
            <w:pPr>
              <w:ind w:left="108"/>
            </w:pPr>
            <w:r>
              <w:t xml:space="preserve">Importado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6BB8" w14:textId="77777777" w:rsidR="00D80965" w:rsidRDefault="00F23765">
            <w:pPr>
              <w:ind w:left="109" w:right="48"/>
              <w:jc w:val="both"/>
            </w:pPr>
            <w:r>
              <w:t xml:space="preserve">Define um limite máximo da participação dos insumos importados no preço da mercadoria exportada.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9D50" w14:textId="41163E1F" w:rsidR="00D80965" w:rsidRDefault="007538D3">
            <w:pPr>
              <w:ind w:left="108"/>
            </w:pPr>
            <w:r w:rsidRPr="007538D3">
              <w:t>Anexo I, Nota 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E006" w14:textId="6939D4F3" w:rsidR="00D80965" w:rsidRDefault="00D80965">
            <w:pPr>
              <w:ind w:left="107"/>
            </w:pPr>
          </w:p>
        </w:tc>
      </w:tr>
      <w:tr w:rsidR="00406995" w14:paraId="12ED11FF" w14:textId="77777777" w:rsidTr="00E97010">
        <w:tblPrEx>
          <w:tblCellMar>
            <w:left w:w="0" w:type="dxa"/>
          </w:tblCellMar>
        </w:tblPrEx>
        <w:trPr>
          <w:trHeight w:val="135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A675" w14:textId="77777777" w:rsidR="00406995" w:rsidRDefault="00406995" w:rsidP="00406995">
            <w:pPr>
              <w:ind w:left="107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9FB6" w14:textId="77777777" w:rsidR="00406995" w:rsidRDefault="00406995" w:rsidP="00406995">
            <w:pPr>
              <w:ind w:left="108"/>
            </w:pPr>
            <w:r>
              <w:t xml:space="preserve">Requisitos </w:t>
            </w:r>
          </w:p>
          <w:p w14:paraId="20B1CE5A" w14:textId="77777777" w:rsidR="00406995" w:rsidRDefault="00406995" w:rsidP="00406995">
            <w:pPr>
              <w:ind w:left="108"/>
            </w:pPr>
            <w:r>
              <w:t xml:space="preserve">Técnicos/ </w:t>
            </w:r>
          </w:p>
          <w:p w14:paraId="6046263D" w14:textId="77777777" w:rsidR="00406995" w:rsidRDefault="00406995" w:rsidP="00406995">
            <w:pPr>
              <w:ind w:left="108"/>
            </w:pPr>
            <w:r>
              <w:t xml:space="preserve">Processos </w:t>
            </w:r>
          </w:p>
          <w:p w14:paraId="7E35E04D" w14:textId="77777777" w:rsidR="00406995" w:rsidRDefault="00406995" w:rsidP="00406995">
            <w:pPr>
              <w:ind w:left="108"/>
            </w:pPr>
            <w:r>
              <w:t xml:space="preserve">Produtivos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EA9F" w14:textId="77777777" w:rsidR="00406995" w:rsidRDefault="00406995" w:rsidP="00406995">
            <w:pPr>
              <w:ind w:left="109" w:right="46"/>
              <w:jc w:val="both"/>
            </w:pPr>
            <w:r>
              <w:t xml:space="preserve">Exigência que especifica certos processos produtivos que devem ser efetuados, obrigatoriamente, no território de um país membro, para que a mercadoria produzida seja considerada originária.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FE7E" w14:textId="3D3AFD3E" w:rsidR="00406995" w:rsidRDefault="00406995" w:rsidP="00406995">
            <w:pPr>
              <w:ind w:left="108"/>
            </w:pPr>
            <w:r>
              <w:t>Anexo II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85AE" w14:textId="1E8BFAFA" w:rsidR="00406995" w:rsidRDefault="00406995" w:rsidP="00406995">
            <w:pPr>
              <w:ind w:left="107"/>
            </w:pPr>
            <w:r>
              <w:t>Definições dos processos estão no Anexo I, Nota 8</w:t>
            </w:r>
          </w:p>
        </w:tc>
      </w:tr>
      <w:tr w:rsidR="00D80965" w14:paraId="6A9FA58E" w14:textId="77777777" w:rsidTr="00E97010">
        <w:tblPrEx>
          <w:tblCellMar>
            <w:right w:w="58" w:type="dxa"/>
          </w:tblCellMar>
        </w:tblPrEx>
        <w:trPr>
          <w:trHeight w:val="1355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4CB2" w14:textId="6FC71786" w:rsidR="00132555" w:rsidRPr="00133C29" w:rsidRDefault="00132555">
            <w:r w:rsidRPr="00133C29">
              <w:t>Expedição direta/Não alteração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18B0" w14:textId="0EC993EC" w:rsidR="00D80965" w:rsidRDefault="00F23765">
            <w:pPr>
              <w:ind w:left="2" w:right="46"/>
              <w:jc w:val="both"/>
            </w:pPr>
            <w:r>
              <w:t xml:space="preserve">Exigências adicionais relacionadas com a </w:t>
            </w:r>
            <w:r w:rsidR="00132555" w:rsidRPr="00133C29">
              <w:t>logística</w:t>
            </w:r>
            <w:r w:rsidR="00132555">
              <w:t xml:space="preserve"> para a</w:t>
            </w:r>
            <w:r>
              <w:t xml:space="preserve"> comercialização da mercadoria que devem ser obedecidas para que esta seja considerada originária. Os critérios de produção são condições necessárias, mas não suficientes.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1C16" w14:textId="76A523F9" w:rsidR="00D80965" w:rsidRDefault="001625CD">
            <w:pPr>
              <w:ind w:left="1"/>
            </w:pPr>
            <w:r w:rsidRPr="001625CD">
              <w:t>Artigos 13, 14</w:t>
            </w:r>
            <w:r w:rsidR="00133C29">
              <w:t xml:space="preserve"> e</w:t>
            </w:r>
            <w:r w:rsidRPr="001625CD">
              <w:t xml:space="preserve"> 15</w:t>
            </w:r>
          </w:p>
          <w:p w14:paraId="31BEF17A" w14:textId="4FC7143C" w:rsidR="002A73D9" w:rsidRDefault="002A73D9">
            <w:pPr>
              <w:ind w:left="1"/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17C" w14:textId="663C7775" w:rsidR="00D80965" w:rsidRDefault="00F23765">
            <w:r>
              <w:t xml:space="preserve"> </w:t>
            </w:r>
          </w:p>
        </w:tc>
      </w:tr>
      <w:tr w:rsidR="00D80965" w14:paraId="7177B809" w14:textId="77777777" w:rsidTr="00E97010">
        <w:tblPrEx>
          <w:tblCellMar>
            <w:right w:w="58" w:type="dxa"/>
          </w:tblCellMar>
        </w:tblPrEx>
        <w:trPr>
          <w:trHeight w:val="1082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2BAE" w14:textId="77777777" w:rsidR="00D80965" w:rsidRDefault="00F23765">
            <w:r>
              <w:t xml:space="preserve">Operações Mínimas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65B0" w14:textId="77777777" w:rsidR="00D80965" w:rsidRDefault="00F23765">
            <w:pPr>
              <w:ind w:left="2" w:right="49"/>
              <w:jc w:val="both"/>
            </w:pPr>
            <w:r>
              <w:t xml:space="preserve">Processos produtivos que, por sua simplicidade e por agregar pouco valor, não são considerados suficientemente importantes para conferir origem à mercadoria final.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E29C" w14:textId="32C82F07" w:rsidR="00D80965" w:rsidRDefault="001625CD">
            <w:pPr>
              <w:ind w:left="1"/>
            </w:pPr>
            <w:r w:rsidRPr="001625CD">
              <w:t>Artigo 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540F" w14:textId="77777777" w:rsidR="00D80965" w:rsidRDefault="00F23765">
            <w:r>
              <w:t xml:space="preserve"> </w:t>
            </w:r>
          </w:p>
        </w:tc>
      </w:tr>
      <w:tr w:rsidR="00D80965" w14:paraId="4A5052FB" w14:textId="77777777" w:rsidTr="00E97010">
        <w:tblPrEx>
          <w:tblCellMar>
            <w:right w:w="58" w:type="dxa"/>
          </w:tblCellMar>
        </w:tblPrEx>
        <w:trPr>
          <w:trHeight w:val="1623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2363" w14:textId="77777777" w:rsidR="00D80965" w:rsidRDefault="00F23765">
            <w:r>
              <w:t xml:space="preserve">“De </w:t>
            </w:r>
            <w:proofErr w:type="spellStart"/>
            <w:r>
              <w:t>minimis</w:t>
            </w:r>
            <w:proofErr w:type="spellEnd"/>
            <w:r>
              <w:t xml:space="preserve">”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5904" w14:textId="77777777" w:rsidR="00D80965" w:rsidRDefault="00F23765">
            <w:pPr>
              <w:spacing w:after="1" w:line="239" w:lineRule="auto"/>
              <w:ind w:left="2" w:right="48"/>
              <w:jc w:val="both"/>
            </w:pPr>
            <w:r>
              <w:t xml:space="preserve">Permite que um determinado percentual de insumos não-originários que não cumprem a exigência de salto tarifário estabelecida possa ser utilizado na produção de uma mercadoria, sem que esta perca sua condição de originária. </w:t>
            </w:r>
          </w:p>
          <w:p w14:paraId="35D1D64E" w14:textId="77777777" w:rsidR="00D80965" w:rsidRDefault="00F23765">
            <w:pPr>
              <w:ind w:left="2"/>
            </w:pPr>
            <w:r>
              <w:t xml:space="preserve">Ele pode ser de quantidade ou valor.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3EBC" w14:textId="62856A64" w:rsidR="00D80965" w:rsidRDefault="001625CD">
            <w:pPr>
              <w:ind w:left="1"/>
            </w:pPr>
            <w:r w:rsidRPr="001625CD">
              <w:t xml:space="preserve">Artigo </w:t>
            </w:r>
            <w: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8850" w14:textId="77777777" w:rsidR="00D80965" w:rsidRDefault="00F23765">
            <w:r>
              <w:t xml:space="preserve"> </w:t>
            </w:r>
          </w:p>
        </w:tc>
      </w:tr>
      <w:tr w:rsidR="00D80965" w14:paraId="5188B728" w14:textId="77777777" w:rsidTr="00E97010">
        <w:tblPrEx>
          <w:tblCellMar>
            <w:right w:w="58" w:type="dxa"/>
          </w:tblCellMar>
        </w:tblPrEx>
        <w:trPr>
          <w:trHeight w:val="547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5302" w14:textId="77777777" w:rsidR="00D80965" w:rsidRDefault="00F23765">
            <w:r>
              <w:t xml:space="preserve">Tratamento Diferenciado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35D0" w14:textId="77777777" w:rsidR="00D80965" w:rsidRDefault="00F23765">
            <w:pPr>
              <w:ind w:left="2"/>
              <w:jc w:val="both"/>
            </w:pPr>
            <w:r>
              <w:t xml:space="preserve">Flexibilidade para países membros de menor desenvolvimento econômico.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4E59" w14:textId="3BF51C68" w:rsidR="00D80965" w:rsidRDefault="00F457C8">
            <w:pPr>
              <w:ind w:left="1"/>
            </w:pPr>
            <w:r>
              <w:t>Anexo II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6163" w14:textId="580E605F" w:rsidR="00D80965" w:rsidRDefault="00F457C8">
            <w:r>
              <w:t>Flexibilidade ao Paraguai por quatro anos</w:t>
            </w:r>
          </w:p>
        </w:tc>
      </w:tr>
      <w:tr w:rsidR="00D80965" w14:paraId="23A345BB" w14:textId="77777777" w:rsidTr="00E97010">
        <w:tblPrEx>
          <w:tblCellMar>
            <w:right w:w="58" w:type="dxa"/>
          </w:tblCellMar>
        </w:tblPrEx>
        <w:trPr>
          <w:trHeight w:val="54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491C" w14:textId="77777777" w:rsidR="00D80965" w:rsidRDefault="00F23765">
            <w:r>
              <w:t xml:space="preserve">Fórmula de Cálculo de Máximo Conteúdo Importado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725E" w14:textId="7CC79E79" w:rsidR="00D80965" w:rsidRDefault="00F23765">
            <w:pPr>
              <w:ind w:left="2"/>
              <w:jc w:val="both"/>
            </w:pPr>
            <w:r>
              <w:t xml:space="preserve">Fórmula para calcular o critério de </w:t>
            </w:r>
            <w:r w:rsidR="00F457C8">
              <w:t>máximo conteúdo importado</w:t>
            </w:r>
            <w:r>
              <w:t xml:space="preserve">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46A9" w14:textId="01E80025" w:rsidR="00D80965" w:rsidRDefault="00F50FE7">
            <w:pPr>
              <w:ind w:left="1"/>
            </w:pPr>
            <w:r w:rsidRPr="00F50FE7">
              <w:t>Anexo I, Nota 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71F2" w14:textId="77777777" w:rsidR="00D80965" w:rsidRDefault="00F23765">
            <w:r>
              <w:t xml:space="preserve"> </w:t>
            </w:r>
          </w:p>
        </w:tc>
      </w:tr>
      <w:tr w:rsidR="00D80965" w14:paraId="156D335F" w14:textId="77777777" w:rsidTr="00E97010">
        <w:tblPrEx>
          <w:tblCellMar>
            <w:right w:w="58" w:type="dxa"/>
          </w:tblCellMar>
        </w:tblPrEx>
        <w:trPr>
          <w:trHeight w:val="1085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D14D" w14:textId="77777777" w:rsidR="00D80965" w:rsidRDefault="00F23765">
            <w:r>
              <w:t xml:space="preserve">Acumulação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63EC" w14:textId="77777777" w:rsidR="00D80965" w:rsidRDefault="00F23765">
            <w:pPr>
              <w:ind w:left="2" w:right="49"/>
              <w:jc w:val="both"/>
            </w:pPr>
            <w:r>
              <w:t xml:space="preserve">Permite que os insumos originários de outros países membros do acordo sejam considerados também como originários para determinar a origem da mercadoria final.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0C41" w14:textId="3A37950B" w:rsidR="00D80965" w:rsidRDefault="00F50FE7">
            <w:pPr>
              <w:ind w:left="1"/>
            </w:pPr>
            <w:r w:rsidRPr="00F50FE7">
              <w:t>Artigo 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0A4F" w14:textId="77777777" w:rsidR="00D80965" w:rsidRDefault="00F23765">
            <w:r>
              <w:t xml:space="preserve"> </w:t>
            </w:r>
          </w:p>
        </w:tc>
      </w:tr>
      <w:tr w:rsidR="00D80965" w14:paraId="79CDFDAE" w14:textId="77777777" w:rsidTr="00E97010">
        <w:tblPrEx>
          <w:tblCellMar>
            <w:right w:w="58" w:type="dxa"/>
          </w:tblCellMar>
        </w:tblPrEx>
        <w:trPr>
          <w:trHeight w:val="1621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7F9B" w14:textId="77777777" w:rsidR="00D80965" w:rsidRDefault="00F23765">
            <w:r>
              <w:lastRenderedPageBreak/>
              <w:t xml:space="preserve">Acumulação Estendida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2AB5" w14:textId="77777777" w:rsidR="00D80965" w:rsidRDefault="00F23765">
            <w:pPr>
              <w:ind w:left="2" w:right="49"/>
              <w:jc w:val="both"/>
            </w:pPr>
            <w:r>
              <w:t xml:space="preserve">Permite que os países membros possam acumular insumos de terceiros países sempre que estes tenham acordos vigentes com cada um dos países membros e adotem as mesmas regras de origem ou outras condicionantes aplicáveis.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53F2" w14:textId="76F17F24" w:rsidR="00D80965" w:rsidRDefault="00F50FE7">
            <w:pPr>
              <w:ind w:left="1"/>
            </w:pPr>
            <w:r w:rsidRPr="00F50FE7">
              <w:t>NÃO APLICÁVEL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3DDC" w14:textId="77777777" w:rsidR="00D80965" w:rsidRDefault="00F23765">
            <w:r>
              <w:t xml:space="preserve"> </w:t>
            </w:r>
          </w:p>
        </w:tc>
      </w:tr>
      <w:tr w:rsidR="00D80965" w14:paraId="51E53AFA" w14:textId="77777777" w:rsidTr="00E97010">
        <w:tblPrEx>
          <w:tblCellMar>
            <w:right w:w="58" w:type="dxa"/>
          </w:tblCellMar>
        </w:tblPrEx>
        <w:trPr>
          <w:trHeight w:val="816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F777" w14:textId="77777777" w:rsidR="00D80965" w:rsidRDefault="00F23765">
            <w:r>
              <w:t xml:space="preserve">Acumulação de Processos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88CA" w14:textId="77777777" w:rsidR="00D80965" w:rsidRDefault="00F23765">
            <w:pPr>
              <w:ind w:left="2" w:right="51"/>
              <w:jc w:val="both"/>
            </w:pPr>
            <w:r>
              <w:t xml:space="preserve">Considera o território dos países membros como um único território, priorizando os processos.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9142" w14:textId="55864088" w:rsidR="00D80965" w:rsidRDefault="00F457C8">
            <w:pPr>
              <w:ind w:left="1"/>
            </w:pPr>
            <w:r>
              <w:t>Artigo 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960C" w14:textId="77777777" w:rsidR="00D80965" w:rsidRDefault="00F23765">
            <w:r>
              <w:t xml:space="preserve"> </w:t>
            </w:r>
          </w:p>
        </w:tc>
      </w:tr>
      <w:tr w:rsidR="00080555" w14:paraId="7C2D5FC6" w14:textId="77777777" w:rsidTr="00E97010">
        <w:tblPrEx>
          <w:tblCellMar>
            <w:right w:w="58" w:type="dxa"/>
          </w:tblCellMar>
        </w:tblPrEx>
        <w:trPr>
          <w:trHeight w:val="1085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62E2" w14:textId="77777777" w:rsidR="00080555" w:rsidRDefault="00080555" w:rsidP="00080555">
            <w:r>
              <w:t xml:space="preserve">Prova de Origem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EAE" w14:textId="77777777" w:rsidR="00080555" w:rsidRDefault="00080555" w:rsidP="00080555">
            <w:pPr>
              <w:ind w:left="2" w:right="48"/>
              <w:jc w:val="both"/>
            </w:pPr>
            <w:r>
              <w:t xml:space="preserve">Documento que comprova que a mercadoria cumpre o estabelecido em determinado regime de origem de um acordo comercial, permitindo assim o tratamento tarifário preferencial.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063D" w14:textId="137FCF17" w:rsidR="00080555" w:rsidRDefault="00080555" w:rsidP="00080555">
            <w:pPr>
              <w:ind w:left="1"/>
            </w:pPr>
            <w:r>
              <w:t>Artigos 16 e 17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182" w14:textId="741BD95F" w:rsidR="00080555" w:rsidRDefault="00080555" w:rsidP="00080555">
            <w:r>
              <w:t>Exceções no artigo 20</w:t>
            </w:r>
          </w:p>
        </w:tc>
      </w:tr>
      <w:tr w:rsidR="002C62B2" w14:paraId="3CD22827" w14:textId="77777777" w:rsidTr="00E97010">
        <w:tblPrEx>
          <w:tblCellMar>
            <w:left w:w="0" w:type="dxa"/>
          </w:tblCellMar>
        </w:tblPrEx>
        <w:trPr>
          <w:trHeight w:val="1624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58E" w14:textId="77777777" w:rsidR="002C62B2" w:rsidRDefault="002C62B2" w:rsidP="002C62B2">
            <w:r>
              <w:t xml:space="preserve">Certificado de Origem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F50" w14:textId="77777777" w:rsidR="002C62B2" w:rsidRDefault="002C62B2" w:rsidP="002C62B2">
            <w:pPr>
              <w:ind w:left="2" w:right="48"/>
              <w:jc w:val="both"/>
            </w:pPr>
            <w:r>
              <w:t xml:space="preserve">É o documento específico – em papel ou eletrônico, emitido por autoridade pública ou por qualquer outra entidade – necessário para que as mercadorias se beneficiem do tratamento tarifário preferencial estabelecido em determinado acordo.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E727" w14:textId="77777777" w:rsidR="002C62B2" w:rsidRDefault="002C62B2" w:rsidP="002C62B2">
            <w:pPr>
              <w:ind w:left="1"/>
            </w:pPr>
            <w:r>
              <w:t xml:space="preserve">Anexo IV </w:t>
            </w:r>
          </w:p>
          <w:p w14:paraId="1EB55B07" w14:textId="5C44CE7A" w:rsidR="00011F7A" w:rsidRDefault="00011F7A" w:rsidP="002C62B2">
            <w:pPr>
              <w:ind w:left="1"/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E29A" w14:textId="681A36FD" w:rsidR="002C62B2" w:rsidRDefault="002C62B2" w:rsidP="002C62B2">
            <w:pPr>
              <w:ind w:right="49"/>
              <w:jc w:val="both"/>
            </w:pPr>
            <w:r>
              <w:t>Durante o período de transição</w:t>
            </w:r>
            <w:r w:rsidR="000F571B">
              <w:t>,</w:t>
            </w:r>
            <w:r>
              <w:t xml:space="preserve"> a União </w:t>
            </w:r>
            <w:r w:rsidR="00F457C8">
              <w:t>Europeia</w:t>
            </w:r>
            <w:r>
              <w:t xml:space="preserve"> aceitará os certificados de origem emitidos pelas entidades habilitadas do Mercosul.</w:t>
            </w:r>
          </w:p>
        </w:tc>
      </w:tr>
      <w:tr w:rsidR="002C7947" w14:paraId="2D1A5D9A" w14:textId="77777777" w:rsidTr="00E97010">
        <w:tblPrEx>
          <w:tblCellMar>
            <w:left w:w="0" w:type="dxa"/>
          </w:tblCellMar>
        </w:tblPrEx>
        <w:trPr>
          <w:trHeight w:val="2427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43D2" w14:textId="77777777" w:rsidR="002C7947" w:rsidRDefault="002C7947" w:rsidP="002C7947">
            <w:r>
              <w:t xml:space="preserve">Declaração de Origem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BF74" w14:textId="77777777" w:rsidR="002C7947" w:rsidRDefault="002C7947" w:rsidP="002C7947">
            <w:pPr>
              <w:ind w:left="2" w:right="47"/>
              <w:jc w:val="both"/>
            </w:pPr>
            <w:r>
              <w:t xml:space="preserve">Afirmação do caráter originário das mercadorias, efetuada pelo produtor, fabricante, exportador ou importador na fatura comercial, na nota de entrega ou em qualquer outro documento em que a descrição das mercadorias seja suficientemente pormenorizada para permitir sua identificação.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096F" w14:textId="77777777" w:rsidR="002C7947" w:rsidRDefault="002C7947" w:rsidP="002C7947">
            <w:pPr>
              <w:ind w:left="1"/>
            </w:pPr>
            <w:r>
              <w:t>Artigo 17</w:t>
            </w:r>
          </w:p>
          <w:p w14:paraId="306767A0" w14:textId="77777777" w:rsidR="008E65DF" w:rsidRDefault="008E65DF" w:rsidP="002C7947">
            <w:pPr>
              <w:ind w:left="1"/>
            </w:pPr>
          </w:p>
          <w:p w14:paraId="03CEC220" w14:textId="50BC74EE" w:rsidR="008E65DF" w:rsidRDefault="008E65DF" w:rsidP="002C7947">
            <w:pPr>
              <w:ind w:left="1"/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ADAB" w14:textId="68DEB350" w:rsidR="002C7947" w:rsidRDefault="002C7947" w:rsidP="00F457C8">
            <w:pPr>
              <w:jc w:val="both"/>
            </w:pPr>
          </w:p>
        </w:tc>
      </w:tr>
      <w:tr w:rsidR="004A4D9E" w14:paraId="75948775" w14:textId="77777777" w:rsidTr="00E97010">
        <w:tblPrEx>
          <w:tblCellMar>
            <w:left w:w="0" w:type="dxa"/>
          </w:tblCellMar>
        </w:tblPrEx>
        <w:trPr>
          <w:trHeight w:val="547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A6AC" w14:textId="77777777" w:rsidR="004A4D9E" w:rsidRDefault="004A4D9E" w:rsidP="004A4D9E">
            <w:r>
              <w:t xml:space="preserve">Entidades Certificadoras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A80" w14:textId="77777777" w:rsidR="004A4D9E" w:rsidRDefault="004A4D9E" w:rsidP="004A4D9E">
            <w:pPr>
              <w:ind w:left="2"/>
              <w:jc w:val="both"/>
            </w:pPr>
            <w:r>
              <w:t xml:space="preserve">Entidades habilitadas pelos governos a emitirem certificados de origem.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8734" w14:textId="62D02B53" w:rsidR="004A4D9E" w:rsidRDefault="004A4D9E" w:rsidP="004A4D9E">
            <w:pPr>
              <w:ind w:left="1"/>
            </w:pPr>
            <w:r>
              <w:t>NÃO APLICÁVEL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79EF" w14:textId="3DDEBC45" w:rsidR="004A4D9E" w:rsidRDefault="00E45417" w:rsidP="004A4D9E">
            <w:r>
              <w:t>D</w:t>
            </w:r>
            <w:r w:rsidR="004A4D9E">
              <w:t xml:space="preserve">urante o período de transição serão aceitos pela União </w:t>
            </w:r>
            <w:r>
              <w:t>Europeia</w:t>
            </w:r>
            <w:r w:rsidR="004A4D9E">
              <w:t xml:space="preserve"> os certificados de origem emitidos pelas entidades habilitadas do</w:t>
            </w:r>
            <w:r>
              <w:t>s</w:t>
            </w:r>
            <w:r w:rsidR="004A4D9E">
              <w:t xml:space="preserve"> países do Mercosul.</w:t>
            </w:r>
          </w:p>
        </w:tc>
      </w:tr>
      <w:tr w:rsidR="004A4D9E" w14:paraId="370682D0" w14:textId="77777777" w:rsidTr="00E97010">
        <w:tblPrEx>
          <w:tblCellMar>
            <w:left w:w="0" w:type="dxa"/>
          </w:tblCellMar>
        </w:tblPrEx>
        <w:trPr>
          <w:trHeight w:val="54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9833" w14:textId="77777777" w:rsidR="004A4D9E" w:rsidRDefault="004A4D9E" w:rsidP="004A4D9E">
            <w:r>
              <w:lastRenderedPageBreak/>
              <w:t xml:space="preserve">Terceiro Operador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0BE" w14:textId="77777777" w:rsidR="004A4D9E" w:rsidRDefault="004A4D9E" w:rsidP="004A4D9E">
            <w:pPr>
              <w:ind w:left="2"/>
              <w:jc w:val="both"/>
            </w:pPr>
            <w:r>
              <w:t xml:space="preserve">Operador diferente ao produtor e exportador da mercadoria.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D84D" w14:textId="1A79B5E5" w:rsidR="004A4D9E" w:rsidRDefault="004A4D9E" w:rsidP="004A4D9E">
            <w:pPr>
              <w:ind w:left="1"/>
            </w:pPr>
            <w:r>
              <w:t>Artigo 1</w:t>
            </w:r>
            <w:r w:rsidR="0099463C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BC31" w14:textId="77777777" w:rsidR="004A4D9E" w:rsidRDefault="004A4D9E" w:rsidP="004A4D9E">
            <w:r>
              <w:t xml:space="preserve"> </w:t>
            </w:r>
          </w:p>
        </w:tc>
      </w:tr>
      <w:tr w:rsidR="004A4D9E" w14:paraId="1FAD9E40" w14:textId="77777777" w:rsidTr="00E97010">
        <w:tblPrEx>
          <w:tblCellMar>
            <w:left w:w="0" w:type="dxa"/>
          </w:tblCellMar>
        </w:tblPrEx>
        <w:trPr>
          <w:trHeight w:val="1085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2554" w14:textId="77777777" w:rsidR="004A4D9E" w:rsidRDefault="004A4D9E" w:rsidP="004A4D9E">
            <w:r>
              <w:t xml:space="preserve">Verificação de Origem e Investigação de Origem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D117" w14:textId="77777777" w:rsidR="004A4D9E" w:rsidRDefault="004A4D9E" w:rsidP="004A4D9E">
            <w:pPr>
              <w:ind w:left="2" w:right="50"/>
              <w:jc w:val="both"/>
            </w:pPr>
            <w:r>
              <w:t xml:space="preserve">Atividades relacionadas com o controle e constatação do cumprimento das regras de origem por uma mercadoria declarada como originária.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6DCC" w14:textId="13839018" w:rsidR="004A4D9E" w:rsidRDefault="004A4D9E" w:rsidP="004A4D9E">
            <w:pPr>
              <w:ind w:left="1"/>
            </w:pPr>
            <w:r>
              <w:t>Artigo 25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EA1F" w14:textId="77777777" w:rsidR="004A4D9E" w:rsidRDefault="004A4D9E" w:rsidP="004A4D9E">
            <w:r>
              <w:t xml:space="preserve"> </w:t>
            </w:r>
          </w:p>
        </w:tc>
      </w:tr>
      <w:tr w:rsidR="004A4D9E" w14:paraId="78DB3CAD" w14:textId="77777777" w:rsidTr="00E97010">
        <w:tblPrEx>
          <w:tblCellMar>
            <w:left w:w="0" w:type="dxa"/>
          </w:tblCellMar>
        </w:tblPrEx>
        <w:trPr>
          <w:trHeight w:val="814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CF" w14:textId="77777777" w:rsidR="004A4D9E" w:rsidRDefault="004A4D9E" w:rsidP="004A4D9E">
            <w:r>
              <w:t xml:space="preserve">Sanções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03C2" w14:textId="77777777" w:rsidR="004A4D9E" w:rsidRDefault="004A4D9E" w:rsidP="004A4D9E">
            <w:pPr>
              <w:ind w:left="2" w:right="50"/>
              <w:jc w:val="both"/>
            </w:pPr>
            <w:r>
              <w:t xml:space="preserve">Ações para punir eventuais infrações cometidas pelas entidades emissoras dos certificados de origem ou seus solicitantes.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FFC" w14:textId="393B971A" w:rsidR="004A4D9E" w:rsidRDefault="004A4D9E" w:rsidP="004A4D9E">
            <w:pPr>
              <w:ind w:left="1"/>
            </w:pPr>
            <w:r>
              <w:t>Artigo 27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D76" w14:textId="77777777" w:rsidR="004A4D9E" w:rsidRDefault="004A4D9E" w:rsidP="004A4D9E">
            <w:r>
              <w:t xml:space="preserve"> </w:t>
            </w:r>
          </w:p>
        </w:tc>
      </w:tr>
      <w:tr w:rsidR="00D80965" w14:paraId="64BC5376" w14:textId="77777777" w:rsidTr="00E97010">
        <w:tblPrEx>
          <w:tblCellMar>
            <w:left w:w="0" w:type="dxa"/>
          </w:tblCellMar>
        </w:tblPrEx>
        <w:trPr>
          <w:trHeight w:val="54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BFF2" w14:textId="77777777" w:rsidR="00D80965" w:rsidRDefault="00F23765">
            <w:r>
              <w:t xml:space="preserve">Quota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6F4B" w14:textId="77777777" w:rsidR="00D80965" w:rsidRDefault="00F23765">
            <w:pPr>
              <w:ind w:left="2"/>
              <w:jc w:val="both"/>
            </w:pPr>
            <w:r>
              <w:t xml:space="preserve">Limite quantitativo para a importação de determinado bem com preferência tarifária. </w:t>
            </w:r>
          </w:p>
          <w:p w14:paraId="43D76D92" w14:textId="18909302" w:rsidR="00D77D4A" w:rsidRDefault="00D77D4A">
            <w:pPr>
              <w:ind w:left="2"/>
              <w:jc w:val="bot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5EE5" w14:textId="008CF992" w:rsidR="00D80965" w:rsidRDefault="004A4D9E">
            <w:pPr>
              <w:ind w:left="1"/>
            </w:pPr>
            <w:r w:rsidRPr="004A4D9E">
              <w:t>NÃO APLICÁVEL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3D66" w14:textId="77777777" w:rsidR="00D80965" w:rsidRDefault="00F23765">
            <w:r>
              <w:t xml:space="preserve"> </w:t>
            </w:r>
          </w:p>
        </w:tc>
      </w:tr>
      <w:tr w:rsidR="007D73BB" w14:paraId="3268C990" w14:textId="77777777" w:rsidTr="00E97010">
        <w:tblPrEx>
          <w:tblCellMar>
            <w:left w:w="0" w:type="dxa"/>
          </w:tblCellMar>
        </w:tblPrEx>
        <w:trPr>
          <w:trHeight w:val="816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B4CE" w14:textId="77777777" w:rsidR="007D73BB" w:rsidRDefault="007D73BB" w:rsidP="007D73BB">
            <w:r>
              <w:t xml:space="preserve">Mercadoria Originária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BA3" w14:textId="77777777" w:rsidR="007D73BB" w:rsidRDefault="007D73BB" w:rsidP="007D73BB">
            <w:pPr>
              <w:ind w:left="2" w:right="49"/>
              <w:jc w:val="both"/>
            </w:pPr>
            <w:r>
              <w:t xml:space="preserve">Mercadoria que cumpre com as exigências do regime de origem e, por conseguinte, faz jus ao tratamento preferencial.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8E" w14:textId="4E6255DB" w:rsidR="007D73BB" w:rsidRDefault="007D73BB" w:rsidP="007D73BB">
            <w:pPr>
              <w:ind w:left="1"/>
              <w:jc w:val="both"/>
            </w:pPr>
            <w:r>
              <w:t>Artigo 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1156" w14:textId="77777777" w:rsidR="007D73BB" w:rsidRDefault="007D73BB" w:rsidP="007D73BB">
            <w:pPr>
              <w:jc w:val="both"/>
            </w:pPr>
            <w:r>
              <w:t xml:space="preserve">Artigo 28 estabelece que, às exportações de Ceuta e Melilla para o Mercosul e às exportações do Mercosul para Ceuta e Melilla, se aplicarão o regime de origem deste acordo. </w:t>
            </w:r>
          </w:p>
          <w:p w14:paraId="252C5FED" w14:textId="0E387771" w:rsidR="007D73BB" w:rsidRDefault="0099463C" w:rsidP="007D73BB">
            <w:pPr>
              <w:jc w:val="both"/>
            </w:pPr>
            <w:r>
              <w:t>O</w:t>
            </w:r>
            <w:r w:rsidR="007D73BB">
              <w:t xml:space="preserve"> Anexo VI,</w:t>
            </w:r>
            <w:r>
              <w:t xml:space="preserve"> por sua vez,</w:t>
            </w:r>
            <w:r w:rsidR="007D73BB">
              <w:t xml:space="preserve"> estabelece que o Mercosul deverá aceitar como da União </w:t>
            </w:r>
            <w:r>
              <w:t>Europeia</w:t>
            </w:r>
            <w:r w:rsidR="007D73BB">
              <w:t xml:space="preserve"> as exportações de Andorra (Capítulos 25 a 97) e de San Marino</w:t>
            </w:r>
            <w:r>
              <w:t>, sendo que</w:t>
            </w:r>
            <w:r w:rsidR="007D73BB">
              <w:t xml:space="preserve"> se aplicarão as </w:t>
            </w:r>
            <w:r w:rsidR="00D26F2B" w:rsidRPr="0099463C">
              <w:rPr>
                <w:color w:val="auto"/>
              </w:rPr>
              <w:t>disposições</w:t>
            </w:r>
            <w:r w:rsidR="00D26F2B">
              <w:t xml:space="preserve"> </w:t>
            </w:r>
            <w:r w:rsidR="007D73BB">
              <w:t>do regime de origem deste acordo.</w:t>
            </w:r>
          </w:p>
        </w:tc>
      </w:tr>
      <w:tr w:rsidR="00A0715C" w14:paraId="5606FE0A" w14:textId="77777777" w:rsidTr="00E97010">
        <w:tblPrEx>
          <w:tblCellMar>
            <w:left w:w="0" w:type="dxa"/>
          </w:tblCellMar>
        </w:tblPrEx>
        <w:trPr>
          <w:trHeight w:val="816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5EFE" w14:textId="77777777" w:rsidR="00A0715C" w:rsidRDefault="00A0715C" w:rsidP="00A0715C">
            <w:r>
              <w:t xml:space="preserve">Materiais Indiretos ou Neutros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1C5" w14:textId="77777777" w:rsidR="00A0715C" w:rsidRDefault="00A0715C" w:rsidP="00A0715C">
            <w:pPr>
              <w:ind w:left="2" w:right="49"/>
              <w:jc w:val="both"/>
            </w:pPr>
            <w:r>
              <w:t xml:space="preserve">Materiais empregados na produção, verificação ou inspeção de uma mercadoria, podendo estar ou não fisicamente incorporados a ela. </w:t>
            </w:r>
          </w:p>
          <w:p w14:paraId="778E33A0" w14:textId="3525A611" w:rsidR="00D77D4A" w:rsidRDefault="00D77D4A" w:rsidP="00A0715C">
            <w:pPr>
              <w:ind w:left="2" w:right="49"/>
              <w:jc w:val="bot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7CFC" w14:textId="1497398A" w:rsidR="00A0715C" w:rsidRDefault="00A0715C" w:rsidP="00A0715C">
            <w:pPr>
              <w:ind w:left="1"/>
            </w:pPr>
            <w:r>
              <w:t>Artigo 12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8CC3" w14:textId="77777777" w:rsidR="00A0715C" w:rsidRDefault="00A0715C" w:rsidP="00A0715C">
            <w:r>
              <w:t xml:space="preserve"> </w:t>
            </w:r>
          </w:p>
        </w:tc>
      </w:tr>
      <w:tr w:rsidR="00A0715C" w14:paraId="7B3647E8" w14:textId="77777777" w:rsidTr="00E97010">
        <w:tblPrEx>
          <w:tblCellMar>
            <w:left w:w="0" w:type="dxa"/>
          </w:tblCellMar>
        </w:tblPrEx>
        <w:trPr>
          <w:trHeight w:val="547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A05E" w14:textId="77777777" w:rsidR="00A0715C" w:rsidRDefault="00A0715C" w:rsidP="00A0715C">
            <w:r>
              <w:t xml:space="preserve">Materiais Intermediários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DF42" w14:textId="77777777" w:rsidR="00A0715C" w:rsidRDefault="00A0715C" w:rsidP="00A0715C">
            <w:pPr>
              <w:ind w:left="2"/>
              <w:jc w:val="both"/>
            </w:pPr>
            <w:r>
              <w:t xml:space="preserve">Material originário produzido por um fabricante que o utiliza na produção de outra mercadoria. </w:t>
            </w:r>
          </w:p>
          <w:p w14:paraId="47B13514" w14:textId="5F2426E4" w:rsidR="00D77D4A" w:rsidRDefault="00D77D4A" w:rsidP="00A0715C">
            <w:pPr>
              <w:ind w:left="2"/>
              <w:jc w:val="bot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0E90" w14:textId="0E9175EE" w:rsidR="00A0715C" w:rsidRDefault="00A0715C" w:rsidP="00A0715C">
            <w:pPr>
              <w:ind w:left="1"/>
            </w:pPr>
            <w:r>
              <w:t>Artigo 2, parágrafo 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A365" w14:textId="77777777" w:rsidR="00A0715C" w:rsidRDefault="00A0715C" w:rsidP="00A0715C">
            <w:r>
              <w:t xml:space="preserve"> </w:t>
            </w:r>
          </w:p>
        </w:tc>
      </w:tr>
      <w:tr w:rsidR="00A0715C" w14:paraId="5E004DDA" w14:textId="77777777" w:rsidTr="00E97010">
        <w:tblPrEx>
          <w:tblCellMar>
            <w:left w:w="0" w:type="dxa"/>
          </w:tblCellMar>
        </w:tblPrEx>
        <w:trPr>
          <w:trHeight w:val="81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2517" w14:textId="77777777" w:rsidR="00A0715C" w:rsidRDefault="00A0715C" w:rsidP="00A0715C">
            <w:pPr>
              <w:ind w:left="107"/>
            </w:pPr>
            <w:r>
              <w:t xml:space="preserve">Materiais Fungíveis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D4F2" w14:textId="77777777" w:rsidR="00A0715C" w:rsidRDefault="00A0715C" w:rsidP="00A0715C">
            <w:pPr>
              <w:ind w:left="109" w:right="48"/>
              <w:jc w:val="both"/>
            </w:pPr>
            <w:r>
              <w:t xml:space="preserve">Materiais intercambiáveis para efeitos comerciais cujas propriedades são essencialmente idênticas.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2FD6" w14:textId="7506266B" w:rsidR="00A0715C" w:rsidRDefault="00A0715C" w:rsidP="00A0715C">
            <w:pPr>
              <w:ind w:left="108"/>
            </w:pPr>
            <w:r>
              <w:t>Artigo 10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2279" w14:textId="01691324" w:rsidR="00A0715C" w:rsidRDefault="00A0715C" w:rsidP="00A0715C">
            <w:pPr>
              <w:ind w:left="107"/>
            </w:pPr>
          </w:p>
        </w:tc>
      </w:tr>
      <w:tr w:rsidR="00A0715C" w14:paraId="4BF598CC" w14:textId="77777777" w:rsidTr="00E97010">
        <w:tblPrEx>
          <w:tblCellMar>
            <w:left w:w="0" w:type="dxa"/>
          </w:tblCellMar>
        </w:tblPrEx>
        <w:trPr>
          <w:trHeight w:val="1354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927D" w14:textId="77777777" w:rsidR="00A0715C" w:rsidRDefault="00A0715C" w:rsidP="00A0715C">
            <w:pPr>
              <w:ind w:left="107"/>
            </w:pPr>
            <w:r>
              <w:lastRenderedPageBreak/>
              <w:t xml:space="preserve">Jogos e Sortidos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ADA3" w14:textId="77777777" w:rsidR="00A0715C" w:rsidRDefault="00A0715C" w:rsidP="00A0715C">
            <w:pPr>
              <w:ind w:left="109" w:right="48"/>
              <w:jc w:val="both"/>
            </w:pPr>
            <w:r>
              <w:t xml:space="preserve">Bens que podem ser comercializados conjuntamente, constituindo um conjunto de mercadorias de uma mesma gama ou que se complementam em seu uso, de acordo com a Regra Geral 3 do SH.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1317" w14:textId="07FCC9AA" w:rsidR="00A0715C" w:rsidRDefault="00A0715C" w:rsidP="00A0715C">
            <w:pPr>
              <w:ind w:left="108"/>
            </w:pPr>
            <w:r>
              <w:t>Artigo 11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7EC8" w14:textId="7CC01143" w:rsidR="00A0715C" w:rsidRDefault="00A0715C" w:rsidP="00A0715C">
            <w:pPr>
              <w:ind w:left="107"/>
            </w:pPr>
          </w:p>
        </w:tc>
      </w:tr>
      <w:tr w:rsidR="00A0715C" w14:paraId="0584B87D" w14:textId="77777777" w:rsidTr="00E97010">
        <w:tblPrEx>
          <w:tblCellMar>
            <w:left w:w="0" w:type="dxa"/>
          </w:tblCellMar>
        </w:tblPrEx>
        <w:trPr>
          <w:trHeight w:val="215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A84C" w14:textId="77777777" w:rsidR="00A0715C" w:rsidRDefault="00A0715C" w:rsidP="00A0715C">
            <w:pPr>
              <w:ind w:left="107"/>
            </w:pPr>
            <w:r>
              <w:t xml:space="preserve">Mecanismo de Desabastecimento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2B73" w14:textId="77777777" w:rsidR="00A0715C" w:rsidRDefault="00A0715C" w:rsidP="00A0715C">
            <w:pPr>
              <w:ind w:left="109" w:right="47"/>
              <w:jc w:val="both"/>
            </w:pPr>
            <w:r>
              <w:t xml:space="preserve">Mecanismo que determina a possibilidade de utilização de materiais não-originários, sem que comprometa a qualificação de origem da mercadoria, quando não houver produção dos insumos nos países membros ou quando houver problemas circunstanciais de abastecimento, tais como: disponibilidade ou prazo de entrega.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AB54" w14:textId="0113675E" w:rsidR="00A0715C" w:rsidRDefault="00A0715C" w:rsidP="00A0715C">
            <w:pPr>
              <w:ind w:left="108"/>
            </w:pPr>
            <w:r>
              <w:t>NÃO APLICÁVEL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731B" w14:textId="77777777" w:rsidR="00A0715C" w:rsidRDefault="00A0715C" w:rsidP="00A0715C">
            <w:pPr>
              <w:ind w:left="107"/>
            </w:pPr>
            <w:r>
              <w:t xml:space="preserve"> </w:t>
            </w:r>
          </w:p>
        </w:tc>
      </w:tr>
    </w:tbl>
    <w:p w14:paraId="4FA6598B" w14:textId="77777777" w:rsidR="00D80965" w:rsidRDefault="00F23765">
      <w:pPr>
        <w:spacing w:after="0"/>
        <w:jc w:val="both"/>
      </w:pPr>
      <w:r>
        <w:rPr>
          <w:sz w:val="24"/>
        </w:rPr>
        <w:t xml:space="preserve"> </w:t>
      </w:r>
    </w:p>
    <w:sectPr w:rsidR="00D80965">
      <w:footerReference w:type="even" r:id="rId6"/>
      <w:footerReference w:type="default" r:id="rId7"/>
      <w:footerReference w:type="first" r:id="rId8"/>
      <w:pgSz w:w="16838" w:h="11906" w:orient="landscape"/>
      <w:pgMar w:top="726" w:right="2800" w:bottom="1092" w:left="720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FB2D" w14:textId="77777777" w:rsidR="00C0034C" w:rsidRDefault="00C0034C">
      <w:pPr>
        <w:spacing w:after="0" w:line="240" w:lineRule="auto"/>
      </w:pPr>
      <w:r>
        <w:separator/>
      </w:r>
    </w:p>
  </w:endnote>
  <w:endnote w:type="continuationSeparator" w:id="0">
    <w:p w14:paraId="7ABE228A" w14:textId="77777777" w:rsidR="00C0034C" w:rsidRDefault="00C0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4F8C" w14:textId="77777777" w:rsidR="00D80965" w:rsidRDefault="00F23765">
    <w:pPr>
      <w:spacing w:after="0"/>
      <w:ind w:right="-20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EB87F45" w14:textId="77777777" w:rsidR="00D80965" w:rsidRDefault="00F2376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26A7" w14:textId="77777777" w:rsidR="00D80965" w:rsidRDefault="00F23765">
    <w:pPr>
      <w:spacing w:after="0"/>
      <w:ind w:right="-20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A6EB03B" w14:textId="77777777" w:rsidR="00D80965" w:rsidRDefault="00F23765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0E6E" w14:textId="77777777" w:rsidR="00D80965" w:rsidRDefault="00F23765">
    <w:pPr>
      <w:spacing w:after="0"/>
      <w:ind w:right="-20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BAD68CD" w14:textId="77777777" w:rsidR="00D80965" w:rsidRDefault="00F2376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5B8C" w14:textId="77777777" w:rsidR="00C0034C" w:rsidRDefault="00C0034C">
      <w:pPr>
        <w:spacing w:after="0" w:line="240" w:lineRule="auto"/>
      </w:pPr>
      <w:r>
        <w:separator/>
      </w:r>
    </w:p>
  </w:footnote>
  <w:footnote w:type="continuationSeparator" w:id="0">
    <w:p w14:paraId="0CA47603" w14:textId="77777777" w:rsidR="00C0034C" w:rsidRDefault="00C00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65"/>
    <w:rsid w:val="00011F7A"/>
    <w:rsid w:val="00077D69"/>
    <w:rsid w:val="00080555"/>
    <w:rsid w:val="00094C95"/>
    <w:rsid w:val="00094EA4"/>
    <w:rsid w:val="000F571B"/>
    <w:rsid w:val="000F601E"/>
    <w:rsid w:val="00132555"/>
    <w:rsid w:val="00133C29"/>
    <w:rsid w:val="001625CD"/>
    <w:rsid w:val="00235155"/>
    <w:rsid w:val="00256A75"/>
    <w:rsid w:val="002A73D9"/>
    <w:rsid w:val="002C62B2"/>
    <w:rsid w:val="002C7947"/>
    <w:rsid w:val="002D6C9D"/>
    <w:rsid w:val="003365FB"/>
    <w:rsid w:val="0035383F"/>
    <w:rsid w:val="00382070"/>
    <w:rsid w:val="00406995"/>
    <w:rsid w:val="00422204"/>
    <w:rsid w:val="0047404F"/>
    <w:rsid w:val="004A4D9E"/>
    <w:rsid w:val="004F4618"/>
    <w:rsid w:val="00524417"/>
    <w:rsid w:val="00585FD3"/>
    <w:rsid w:val="005B504E"/>
    <w:rsid w:val="007538D3"/>
    <w:rsid w:val="007565D5"/>
    <w:rsid w:val="007B789F"/>
    <w:rsid w:val="007D73BB"/>
    <w:rsid w:val="008D2F8B"/>
    <w:rsid w:val="008E65DF"/>
    <w:rsid w:val="0099463C"/>
    <w:rsid w:val="009D554F"/>
    <w:rsid w:val="009F7141"/>
    <w:rsid w:val="00A0715C"/>
    <w:rsid w:val="00A71556"/>
    <w:rsid w:val="00B5085D"/>
    <w:rsid w:val="00B7064F"/>
    <w:rsid w:val="00BC6AF5"/>
    <w:rsid w:val="00C0034C"/>
    <w:rsid w:val="00C90DD0"/>
    <w:rsid w:val="00C94020"/>
    <w:rsid w:val="00CE5FB6"/>
    <w:rsid w:val="00D26F2B"/>
    <w:rsid w:val="00D77D4A"/>
    <w:rsid w:val="00D80965"/>
    <w:rsid w:val="00D9615F"/>
    <w:rsid w:val="00DA19C8"/>
    <w:rsid w:val="00DA562E"/>
    <w:rsid w:val="00DC534E"/>
    <w:rsid w:val="00E3244A"/>
    <w:rsid w:val="00E45417"/>
    <w:rsid w:val="00E97010"/>
    <w:rsid w:val="00ED2C4D"/>
    <w:rsid w:val="00F23765"/>
    <w:rsid w:val="00F457C8"/>
    <w:rsid w:val="00F50FE7"/>
    <w:rsid w:val="00F63834"/>
    <w:rsid w:val="00F81AF0"/>
    <w:rsid w:val="00F92783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F915"/>
  <w15:docId w15:val="{B514DBBF-DC6E-416F-93CA-B90A42B3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365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65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65FB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65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65F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5FB"/>
    <w:rPr>
      <w:rFonts w:ascii="Segoe UI" w:eastAsia="Calibri" w:hAnsi="Segoe UI" w:cs="Segoe UI"/>
      <w:color w:val="000000"/>
      <w:sz w:val="18"/>
      <w:szCs w:val="18"/>
    </w:rPr>
  </w:style>
  <w:style w:type="paragraph" w:styleId="Reviso">
    <w:name w:val="Revision"/>
    <w:hidden/>
    <w:uiPriority w:val="99"/>
    <w:semiHidden/>
    <w:rsid w:val="00D9615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5</Pages>
  <Words>1081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cp:lastModifiedBy>Thalis Rafael Figueiredo Silva</cp:lastModifiedBy>
  <cp:revision>2</cp:revision>
  <dcterms:created xsi:type="dcterms:W3CDTF">2025-08-13T18:39:00Z</dcterms:created>
  <dcterms:modified xsi:type="dcterms:W3CDTF">2025-08-13T18:39:00Z</dcterms:modified>
</cp:coreProperties>
</file>