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18B6" w:rsidR="004603AD" w:rsidP="06F68B68" w:rsidRDefault="00620E39" w14:paraId="71D8FC41" w14:textId="7ED573DB">
      <w:pPr>
        <w:pStyle w:val="Heading2"/>
        <w:jc w:val="center"/>
        <w:rPr>
          <w:lang w:val="pt-BR"/>
        </w:rPr>
      </w:pPr>
      <w:r w:rsidRPr="00F618B6">
        <w:rPr>
          <w:lang w:val="pt-BR"/>
        </w:rPr>
        <w:t xml:space="preserve">Modelo de </w:t>
      </w:r>
      <w:r w:rsidRPr="00F618B6" w:rsidR="004603AD">
        <w:rPr>
          <w:lang w:val="pt-BR"/>
        </w:rPr>
        <w:t>Nota Técnica</w:t>
      </w:r>
    </w:p>
    <w:p w:rsidRPr="004603AD" w:rsidR="004603AD" w:rsidP="00AF14A5" w:rsidRDefault="004603AD" w14:paraId="4A26F3B8" w14:textId="77777777">
      <w:pPr>
        <w:jc w:val="both"/>
      </w:pPr>
    </w:p>
    <w:p w:rsidRPr="004603AD" w:rsidR="004603AD" w:rsidP="00AF14A5" w:rsidRDefault="004603AD" w14:paraId="3EE89D1C" w14:textId="77777777">
      <w:pPr>
        <w:jc w:val="both"/>
      </w:pPr>
    </w:p>
    <w:p w:rsidRPr="004603AD" w:rsidR="004603AD" w:rsidP="00AF14A5" w:rsidRDefault="004603AD" w14:paraId="34B492D9" w14:textId="036B3725">
      <w:pPr>
        <w:jc w:val="both"/>
      </w:pPr>
      <w:r w:rsidRPr="06F68B68">
        <w:rPr>
          <w:b/>
          <w:bCs/>
        </w:rPr>
        <w:t>Assunto</w:t>
      </w:r>
    </w:p>
    <w:p w:rsidRPr="004603AD" w:rsidR="004603AD" w:rsidP="00AF14A5" w:rsidRDefault="004603AD" w14:paraId="3E2F4511" w14:textId="44A93CDF">
      <w:pPr>
        <w:jc w:val="both"/>
      </w:pPr>
    </w:p>
    <w:p w:rsidRPr="004603AD" w:rsidR="004603AD" w:rsidP="00AF14A5" w:rsidRDefault="004603AD" w14:paraId="6A45DB7F" w14:textId="2D8B32C0">
      <w:pPr>
        <w:jc w:val="both"/>
      </w:pPr>
      <w:r w:rsidR="004603AD">
        <w:rPr/>
        <w:t xml:space="preserve">Minuta de </w:t>
      </w:r>
      <w:r w:rsidR="0008128A">
        <w:rPr/>
        <w:t>p</w:t>
      </w:r>
      <w:r w:rsidR="004603AD">
        <w:rPr/>
        <w:t>ortaria</w:t>
      </w:r>
      <w:r w:rsidR="00AF14A5">
        <w:rPr/>
        <w:t xml:space="preserve"> </w:t>
      </w:r>
      <w:r w:rsidR="004603AD">
        <w:rPr/>
        <w:t xml:space="preserve">que </w:t>
      </w:r>
      <w:r w:rsidR="00AF14A5">
        <w:rPr/>
        <w:t xml:space="preserve">institui, no âmbito </w:t>
      </w:r>
      <w:r w:rsidRPr="684BD505" w:rsidR="00AF14A5">
        <w:rPr>
          <w:i w:val="1"/>
          <w:iCs w:val="1"/>
          <w:color w:val="FF0000"/>
        </w:rPr>
        <w:t>[da autarquia, fundação pública ou unidade da administração direta de nível não inferior ao de Secretaria ou equivalente]</w:t>
      </w:r>
      <w:r w:rsidR="00AF14A5">
        <w:rPr/>
        <w:t>, o Programa de Gestão e Desempenho (PGD).</w:t>
      </w:r>
    </w:p>
    <w:p w:rsidRPr="004603AD" w:rsidR="004603AD" w:rsidP="06F68B68" w:rsidRDefault="004603AD" w14:paraId="61168C6E" w14:textId="40035904">
      <w:pPr>
        <w:jc w:val="both"/>
      </w:pPr>
    </w:p>
    <w:p w:rsidRPr="004603AD" w:rsidR="004603AD" w:rsidP="00AF14A5" w:rsidRDefault="004603AD" w14:paraId="258C7F9C" w14:textId="65606EC2">
      <w:pPr>
        <w:jc w:val="both"/>
        <w:rPr>
          <w:b/>
          <w:bCs/>
        </w:rPr>
      </w:pPr>
      <w:r w:rsidRPr="06F68B68">
        <w:rPr>
          <w:b/>
          <w:bCs/>
        </w:rPr>
        <w:t>Sumário Executivo</w:t>
      </w:r>
    </w:p>
    <w:p w:rsidR="06F68B68" w:rsidP="06F68B68" w:rsidRDefault="06F68B68" w14:paraId="6E1E006F" w14:textId="2B1E6023">
      <w:pPr>
        <w:jc w:val="both"/>
        <w:rPr>
          <w:b/>
          <w:bCs/>
        </w:rPr>
      </w:pPr>
    </w:p>
    <w:p w:rsidRPr="00B073DF" w:rsidR="00B073DF" w:rsidP="00B073DF" w:rsidRDefault="00620E39" w14:paraId="59E9267F" w14:textId="485DD4B6">
      <w:pPr>
        <w:pStyle w:val="ListParagraph"/>
        <w:numPr>
          <w:ilvl w:val="0"/>
          <w:numId w:val="3"/>
        </w:numPr>
        <w:ind w:left="0" w:hanging="11"/>
        <w:jc w:val="both"/>
        <w:rPr/>
      </w:pPr>
      <w:r w:rsidR="00620E39">
        <w:rPr/>
        <w:t>Esta</w:t>
      </w:r>
      <w:r w:rsidR="004603AD">
        <w:rPr/>
        <w:t xml:space="preserve"> Nota Técnica trata da </w:t>
      </w:r>
      <w:r w:rsidR="0008128A">
        <w:rPr/>
        <w:t>m</w:t>
      </w:r>
      <w:r w:rsidR="004603AD">
        <w:rPr/>
        <w:t xml:space="preserve">inuta de </w:t>
      </w:r>
      <w:r w:rsidR="0008128A">
        <w:rPr/>
        <w:t>p</w:t>
      </w:r>
      <w:r w:rsidR="004603AD">
        <w:rPr/>
        <w:t xml:space="preserve">ortaria que </w:t>
      </w:r>
      <w:r w:rsidR="00AF14A5">
        <w:rPr/>
        <w:t xml:space="preserve">institui, no âmbito </w:t>
      </w:r>
      <w:r w:rsidRPr="7E95C4A8" w:rsidR="00AF14A5">
        <w:rPr>
          <w:rFonts w:ascii="Calibri" w:hAnsi="Calibri" w:eastAsia="Calibri" w:cs="" w:asciiTheme="minorAscii" w:hAnsiTheme="minorAscii" w:eastAsiaTheme="minorAscii" w:cstheme="minorBidi"/>
          <w:i w:val="1"/>
          <w:iCs w:val="1"/>
          <w:color w:val="FF0000"/>
          <w:sz w:val="24"/>
          <w:szCs w:val="24"/>
          <w:lang w:eastAsia="en-US" w:bidi="ar-SA"/>
        </w:rPr>
        <w:t>[da autarquia, fundação pública ou unidade da administração direta de nível não inferior ao de Secretaria ou equivalente]</w:t>
      </w:r>
      <w:r w:rsidR="00AF14A5">
        <w:rPr/>
        <w:t>, o Programa de Gestão e Desempenho (PGD)</w:t>
      </w:r>
      <w:r w:rsidR="32914DD0">
        <w:rPr/>
        <w:t>,</w:t>
      </w:r>
      <w:r w:rsidR="37D1F46C">
        <w:rPr/>
        <w:t xml:space="preserve"> nos termos do art. </w:t>
      </w:r>
      <w:r w:rsidR="00B073DF">
        <w:rPr/>
        <w:t>4º do Decreto n</w:t>
      </w:r>
      <w:r w:rsidR="00B073DF">
        <w:rPr/>
        <w:t>o</w:t>
      </w:r>
      <w:r w:rsidR="00B073DF">
        <w:rPr/>
        <w:t xml:space="preserve"> 11.072, de 17 de maio de 2022, </w:t>
      </w:r>
      <w:r w:rsidR="00B073DF">
        <w:rPr/>
        <w:t>d</w:t>
      </w:r>
      <w:r w:rsidR="00B073DF">
        <w:rPr/>
        <w:t xml:space="preserve">o art. 6º da Instrução Normativa Conjunta SEGES-SGPRT /MGI nº 24, de 28 de julho de 2023 e </w:t>
      </w:r>
      <w:r w:rsidR="00B073DF">
        <w:rPr/>
        <w:t xml:space="preserve">das </w:t>
      </w:r>
      <w:r w:rsidR="00B073DF">
        <w:rPr/>
        <w:t xml:space="preserve">atualizações contidas na </w:t>
      </w:r>
      <w:r w:rsidR="00B073DF">
        <w:rPr/>
        <w:t>Instruç</w:t>
      </w:r>
      <w:r w:rsidR="00B073DF">
        <w:rPr/>
        <w:t xml:space="preserve">ão </w:t>
      </w:r>
      <w:r w:rsidR="00B073DF">
        <w:rPr/>
        <w:t>Normativa nº 21/2024</w:t>
      </w:r>
      <w:r w:rsidR="00B073DF">
        <w:rPr/>
        <w:t>.</w:t>
      </w:r>
    </w:p>
    <w:p w:rsidRPr="004603AD" w:rsidR="004603AD" w:rsidP="00B073DF" w:rsidRDefault="004603AD" w14:paraId="5E68C7D6" w14:textId="6076B392">
      <w:pPr>
        <w:pStyle w:val="ListParagraph"/>
        <w:ind w:left="0"/>
        <w:jc w:val="both"/>
      </w:pPr>
    </w:p>
    <w:p w:rsidRPr="004603AD" w:rsidR="004603AD" w:rsidP="00AF14A5" w:rsidRDefault="37D1F46C" w14:paraId="4C06A784" w14:textId="6C29269A">
      <w:pPr>
        <w:pStyle w:val="ListParagraph"/>
        <w:numPr>
          <w:ilvl w:val="0"/>
          <w:numId w:val="3"/>
        </w:numPr>
        <w:ind w:left="0" w:hanging="11"/>
        <w:jc w:val="both"/>
        <w:rPr/>
      </w:pPr>
      <w:r w:rsidR="37D1F46C">
        <w:rPr/>
        <w:t>A implementação do PGD</w:t>
      </w:r>
      <w:r w:rsidR="32914DD0">
        <w:rPr/>
        <w:t xml:space="preserve"> </w:t>
      </w:r>
      <w:r w:rsidR="0094720B">
        <w:rPr/>
        <w:t>te</w:t>
      </w:r>
      <w:r w:rsidR="0094720B">
        <w:rPr/>
        <w:t>m por objetivo aprimorar</w:t>
      </w:r>
      <w:r w:rsidR="32914DD0">
        <w:rPr/>
        <w:t xml:space="preserve"> o desempenho do serviço público, alinhando estratégias, entregas e atividades das organizações públicas. Por meio de um ciclo de planejamento, execução, monitoramento e avaliação</w:t>
      </w:r>
      <w:r w:rsidR="63B6414A">
        <w:rPr/>
        <w:t xml:space="preserve">, o </w:t>
      </w:r>
      <w:r w:rsidR="32914DD0">
        <w:rPr/>
        <w:t>PGD busca proporcionar uma estrutura lógica que guie a entrega de resultados, mantendo um foco consistente nas demandas e destinatários dos serviços, assim como na contribuição de cada membro da equipe.</w:t>
      </w:r>
    </w:p>
    <w:p w:rsidRPr="004603AD" w:rsidR="004603AD" w:rsidP="00AF14A5" w:rsidRDefault="004603AD" w14:paraId="2AE99CA9" w14:textId="77777777">
      <w:pPr>
        <w:jc w:val="both"/>
      </w:pPr>
    </w:p>
    <w:p w:rsidR="00DC0606" w:rsidP="00AF14A5" w:rsidRDefault="1920DB1F" w14:paraId="1607D3E6" w14:textId="77777777">
      <w:pPr>
        <w:jc w:val="both"/>
        <w:rPr>
          <w:b/>
          <w:bCs/>
        </w:rPr>
      </w:pPr>
      <w:r w:rsidRPr="06F68B68">
        <w:rPr>
          <w:b/>
          <w:bCs/>
        </w:rPr>
        <w:t xml:space="preserve">Contextualização </w:t>
      </w:r>
    </w:p>
    <w:p w:rsidR="06F68B68" w:rsidP="06F68B68" w:rsidRDefault="06F68B68" w14:paraId="75F044B9" w14:textId="1FD12A95">
      <w:pPr>
        <w:jc w:val="both"/>
        <w:rPr>
          <w:b/>
          <w:bCs/>
        </w:rPr>
      </w:pPr>
    </w:p>
    <w:p w:rsidRPr="00DC0606" w:rsidR="004603AD" w:rsidP="06F68B68" w:rsidRDefault="06F68B68" w14:paraId="56AADE54" w14:textId="52DAC38B">
      <w:pPr>
        <w:jc w:val="both"/>
        <w:rPr>
          <w:b/>
          <w:bCs/>
        </w:rPr>
      </w:pPr>
      <w:r>
        <w:t>3</w:t>
      </w:r>
      <w:r w:rsidRPr="06F68B68">
        <w:rPr>
          <w:b/>
          <w:bCs/>
        </w:rPr>
        <w:t xml:space="preserve">. </w:t>
      </w:r>
      <w:r w:rsidRPr="06F68B68" w:rsidR="00DC0606">
        <w:rPr>
          <w:b/>
          <w:bCs/>
        </w:rPr>
        <w:t xml:space="preserve"> </w:t>
      </w:r>
      <w:r w:rsidR="004603AD">
        <w:t>Aplicável à administração pública federal direta, autárquica e fundacional, o PGD encontra-se disciplinado no Decr</w:t>
      </w:r>
      <w:r w:rsidR="00DC0606">
        <w:t>eto nº 11.072/</w:t>
      </w:r>
      <w:r w:rsidR="004603AD">
        <w:t>2022</w:t>
      </w:r>
      <w:r w:rsidR="5C1F23E0">
        <w:t xml:space="preserve">: </w:t>
      </w:r>
    </w:p>
    <w:p w:rsidR="3839F589" w:rsidP="00AF14A5" w:rsidRDefault="3839F589" w14:paraId="299E28D1" w14:textId="148DBAF1">
      <w:pPr>
        <w:jc w:val="both"/>
      </w:pPr>
    </w:p>
    <w:p w:rsidR="14E1A4D0" w:rsidP="00AF14A5" w:rsidRDefault="14E1A4D0" w14:paraId="0EC2C4B4" w14:textId="3272AF39">
      <w:pPr>
        <w:spacing w:line="259" w:lineRule="auto"/>
        <w:ind w:left="2700"/>
        <w:jc w:val="both"/>
      </w:pPr>
      <w:r w:rsidRPr="06F68B68">
        <w:rPr>
          <w:rFonts w:ascii="Arial" w:hAnsi="Arial" w:eastAsia="Arial" w:cs="Arial"/>
          <w:color w:val="000000" w:themeColor="text1"/>
          <w:sz w:val="20"/>
          <w:szCs w:val="20"/>
        </w:rPr>
        <w:t>Art.1º.............................................................................................................</w:t>
      </w:r>
    </w:p>
    <w:p w:rsidR="14E1A4D0" w:rsidP="00AF14A5" w:rsidRDefault="14E1A4D0" w14:paraId="28C492E2" w14:textId="17B03D68">
      <w:pPr>
        <w:ind w:left="2700"/>
        <w:jc w:val="both"/>
        <w:rPr>
          <w:rFonts w:ascii="Calibri" w:hAnsi="Calibri" w:eastAsia="Calibri" w:cs="Calibri"/>
        </w:rPr>
      </w:pPr>
      <w:r w:rsidRPr="3839F589">
        <w:rPr>
          <w:rFonts w:ascii="Arial" w:hAnsi="Arial" w:eastAsia="Arial" w:cs="Arial"/>
          <w:color w:val="000000" w:themeColor="text1"/>
          <w:sz w:val="20"/>
          <w:szCs w:val="20"/>
        </w:rPr>
        <w:t xml:space="preserve">Parágrafo único. </w:t>
      </w:r>
      <w:r w:rsidRPr="3839F589" w:rsidR="5C1F23E0">
        <w:rPr>
          <w:rFonts w:ascii="Arial" w:hAnsi="Arial" w:eastAsia="Arial" w:cs="Arial"/>
          <w:color w:val="000000" w:themeColor="text1"/>
          <w:sz w:val="19"/>
          <w:szCs w:val="19"/>
        </w:rPr>
        <w:t>O PGD é instrumento de gestão que disciplina o desenvolvimento e a mensuração das atividades realizadas pelos seus participantes, com foco na entrega por resultados e na qualidade dos serviços prestados à sociedade.</w:t>
      </w:r>
    </w:p>
    <w:p w:rsidR="3839F589" w:rsidP="00AF14A5" w:rsidRDefault="3839F589" w14:paraId="4E50657E" w14:textId="5EAF08F1">
      <w:pPr>
        <w:jc w:val="both"/>
      </w:pPr>
    </w:p>
    <w:p w:rsidR="3839F589" w:rsidP="06F68B68" w:rsidRDefault="06F55B7C" w14:paraId="3F4D1693" w14:textId="13AECF1A">
      <w:pPr>
        <w:spacing w:line="259" w:lineRule="auto"/>
        <w:jc w:val="both"/>
      </w:pPr>
      <w:r>
        <w:t xml:space="preserve">4. </w:t>
      </w:r>
      <w:r w:rsidR="180AB58D">
        <w:t xml:space="preserve">A implementação do PGD obedece às seguintes etapas: “autorização, instituição, seleção dos participantes e estabelecimento do ciclo do PGD” (art. 4º da </w:t>
      </w:r>
      <w:r w:rsidR="12C1545E">
        <w:t>IN nº 24/23</w:t>
      </w:r>
      <w:r w:rsidR="56AF9ABE">
        <w:t>).</w:t>
      </w:r>
    </w:p>
    <w:p w:rsidR="3839F589" w:rsidP="06F68B68" w:rsidRDefault="3839F589" w14:paraId="3C19E1BE" w14:textId="639D03D6">
      <w:pPr>
        <w:spacing w:line="259" w:lineRule="auto"/>
        <w:jc w:val="both"/>
      </w:pPr>
    </w:p>
    <w:p w:rsidR="3839F589" w:rsidP="7CA827FC" w:rsidRDefault="43F0674A" w14:paraId="4D2513D3" w14:textId="2CD1BDC4">
      <w:pPr>
        <w:spacing w:line="259" w:lineRule="auto"/>
        <w:jc w:val="both"/>
        <w:rPr>
          <w:i w:val="1"/>
          <w:iCs w:val="1"/>
          <w:color w:val="FF0000"/>
        </w:rPr>
      </w:pPr>
      <w:r w:rsidR="43F0674A">
        <w:rPr/>
        <w:t xml:space="preserve">5. </w:t>
      </w:r>
      <w:r w:rsidR="56AF9ABE">
        <w:rPr/>
        <w:t xml:space="preserve">A instituição do PGD, objeto da presente minuta de portaria, </w:t>
      </w:r>
      <w:r w:rsidR="0094720B">
        <w:rPr/>
        <w:t xml:space="preserve">é de </w:t>
      </w:r>
      <w:r w:rsidR="56AF9ABE">
        <w:rPr/>
        <w:t>compet</w:t>
      </w:r>
      <w:r w:rsidR="0094720B">
        <w:rPr/>
        <w:t xml:space="preserve">ência de </w:t>
      </w:r>
      <w:r w:rsidR="006A1C5C">
        <w:rPr/>
        <w:t xml:space="preserve">cada autarquia, fundação pública ou unidade da administração direta de nível não inferior ao de Secretaria ou equivalente, </w:t>
      </w:r>
      <w:r w:rsidR="74A6F288">
        <w:rPr/>
        <w:t>conforme estabelece o</w:t>
      </w:r>
      <w:r w:rsidR="180AB58D">
        <w:rPr/>
        <w:t xml:space="preserve"> art. 6º da </w:t>
      </w:r>
      <w:r w:rsidR="12C1545E">
        <w:rPr/>
        <w:t>IN nº 24/23</w:t>
      </w:r>
      <w:r w:rsidR="180AB58D">
        <w:rPr/>
        <w:t xml:space="preserve">, </w:t>
      </w:r>
      <w:r w:rsidRPr="7CA827FC" w:rsidR="180AB58D">
        <w:rPr>
          <w:i w:val="1"/>
          <w:iCs w:val="1"/>
        </w:rPr>
        <w:t xml:space="preserve">in </w:t>
      </w:r>
      <w:r w:rsidRPr="7CA827FC" w:rsidR="180AB58D">
        <w:rPr>
          <w:i w:val="1"/>
          <w:iCs w:val="1"/>
        </w:rPr>
        <w:t>verbis</w:t>
      </w:r>
      <w:r w:rsidR="180AB58D">
        <w:rPr/>
        <w:t xml:space="preserve">: </w:t>
      </w:r>
    </w:p>
    <w:p w:rsidR="3839F589" w:rsidP="06F68B68" w:rsidRDefault="3839F589" w14:paraId="0479FA93" w14:textId="53C7788E">
      <w:pPr>
        <w:spacing w:line="259" w:lineRule="auto"/>
        <w:jc w:val="both"/>
      </w:pPr>
    </w:p>
    <w:p w:rsidR="3839F589" w:rsidP="06F68B68" w:rsidRDefault="180AB58D" w14:paraId="31437F5D" w14:textId="2606600F">
      <w:pPr>
        <w:spacing w:after="80"/>
        <w:ind w:left="2700"/>
        <w:jc w:val="both"/>
      </w:pPr>
      <w:r w:rsidRPr="06F68B68">
        <w:rPr>
          <w:rFonts w:ascii="Calibri" w:hAnsi="Calibri" w:eastAsia="Calibri" w:cs="Calibri"/>
          <w:color w:val="162937"/>
          <w:sz w:val="20"/>
          <w:szCs w:val="20"/>
        </w:rPr>
        <w:lastRenderedPageBreak/>
        <w:t>Art. 6º O ato de instituição do PGD, de competência das autoridades definidas no art. 4º do Decreto nº 11.072, de 2022, deverá conter:</w:t>
      </w:r>
    </w:p>
    <w:p w:rsidR="3839F589" w:rsidP="06F68B68" w:rsidRDefault="180AB58D" w14:paraId="28BBCD51" w14:textId="612738E7" w14:noSpellErr="1">
      <w:pPr>
        <w:spacing w:after="80"/>
        <w:ind w:left="2700"/>
        <w:jc w:val="both"/>
      </w:pPr>
      <w:r w:rsidRPr="7A344D0A" w:rsidR="180AB58D">
        <w:rPr>
          <w:rFonts w:ascii="Calibri" w:hAnsi="Calibri" w:eastAsia="Calibri" w:cs="Calibri"/>
          <w:color w:val="162937"/>
          <w:sz w:val="20"/>
          <w:szCs w:val="20"/>
        </w:rPr>
        <w:t xml:space="preserve">I - </w:t>
      </w:r>
      <w:bookmarkStart w:name="_Int_z4nD3tUJ" w:id="447474250"/>
      <w:r w:rsidRPr="7A344D0A" w:rsidR="180AB58D">
        <w:rPr>
          <w:rFonts w:ascii="Calibri" w:hAnsi="Calibri" w:eastAsia="Calibri" w:cs="Calibri"/>
          <w:color w:val="162937"/>
          <w:sz w:val="20"/>
          <w:szCs w:val="20"/>
        </w:rPr>
        <w:t>os</w:t>
      </w:r>
      <w:bookmarkEnd w:id="447474250"/>
      <w:r w:rsidRPr="7A344D0A" w:rsidR="180AB58D">
        <w:rPr>
          <w:rFonts w:ascii="Calibri" w:hAnsi="Calibri" w:eastAsia="Calibri" w:cs="Calibri"/>
          <w:color w:val="162937"/>
          <w:sz w:val="20"/>
          <w:szCs w:val="20"/>
        </w:rPr>
        <w:t xml:space="preserve"> tipos de atividades que poderão ser incluídas no PGD;</w:t>
      </w:r>
    </w:p>
    <w:p w:rsidR="3839F589" w:rsidP="06F68B68" w:rsidRDefault="180AB58D" w14:paraId="469160B9" w14:textId="2FD94A9E" w14:noSpellErr="1">
      <w:pPr>
        <w:spacing w:after="80"/>
        <w:ind w:left="2700"/>
        <w:jc w:val="both"/>
      </w:pPr>
      <w:r w:rsidRPr="7A344D0A" w:rsidR="180AB58D">
        <w:rPr>
          <w:rFonts w:ascii="Calibri" w:hAnsi="Calibri" w:eastAsia="Calibri" w:cs="Calibri"/>
          <w:color w:val="162937"/>
          <w:sz w:val="20"/>
          <w:szCs w:val="20"/>
        </w:rPr>
        <w:t xml:space="preserve">II - </w:t>
      </w:r>
      <w:bookmarkStart w:name="_Int_J3j7kB67" w:id="591399325"/>
      <w:r w:rsidRPr="7A344D0A" w:rsidR="180AB58D">
        <w:rPr>
          <w:rFonts w:ascii="Calibri" w:hAnsi="Calibri" w:eastAsia="Calibri" w:cs="Calibri"/>
          <w:color w:val="162937"/>
          <w:sz w:val="20"/>
          <w:szCs w:val="20"/>
        </w:rPr>
        <w:t>as</w:t>
      </w:r>
      <w:bookmarkEnd w:id="591399325"/>
      <w:r w:rsidRPr="7A344D0A" w:rsidR="180AB58D">
        <w:rPr>
          <w:rFonts w:ascii="Calibri" w:hAnsi="Calibri" w:eastAsia="Calibri" w:cs="Calibri"/>
          <w:color w:val="162937"/>
          <w:sz w:val="20"/>
          <w:szCs w:val="20"/>
        </w:rPr>
        <w:t xml:space="preserve"> modalidades e regimes de execução;</w:t>
      </w:r>
    </w:p>
    <w:p w:rsidR="3839F589" w:rsidP="06F68B68" w:rsidRDefault="180AB58D" w14:paraId="5FA1CCA4" w14:textId="2F75E5E6">
      <w:pPr>
        <w:spacing w:after="80"/>
        <w:ind w:left="2700"/>
        <w:jc w:val="both"/>
        <w:rPr>
          <w:rFonts w:ascii="Calibri" w:hAnsi="Calibri" w:eastAsia="Calibri" w:cs="Calibri"/>
          <w:color w:val="162937"/>
          <w:sz w:val="20"/>
          <w:szCs w:val="20"/>
        </w:rPr>
      </w:pPr>
      <w:r w:rsidRPr="06F68B68">
        <w:rPr>
          <w:rFonts w:ascii="Calibri" w:hAnsi="Calibri" w:eastAsia="Calibri" w:cs="Calibri"/>
          <w:color w:val="162937"/>
          <w:sz w:val="20"/>
          <w:szCs w:val="20"/>
        </w:rPr>
        <w:t>III - o quantitativo de vagas expresso em percentual, por modalidade, em relação ao total de agentes públicos da unidade instituidora;</w:t>
      </w:r>
    </w:p>
    <w:p w:rsidR="3839F589" w:rsidP="06F68B68" w:rsidRDefault="180AB58D" w14:paraId="5E7782D6" w14:textId="0E12E59D" w14:noSpellErr="1">
      <w:pPr>
        <w:spacing w:after="80"/>
        <w:ind w:left="2700"/>
        <w:jc w:val="both"/>
      </w:pPr>
      <w:r w:rsidRPr="7A344D0A" w:rsidR="180AB58D">
        <w:rPr>
          <w:rFonts w:ascii="Calibri" w:hAnsi="Calibri" w:eastAsia="Calibri" w:cs="Calibri"/>
          <w:color w:val="162937"/>
          <w:sz w:val="20"/>
          <w:szCs w:val="20"/>
        </w:rPr>
        <w:t xml:space="preserve">IV - </w:t>
      </w:r>
      <w:bookmarkStart w:name="_Int_zyK8zIJh" w:id="396406659"/>
      <w:r w:rsidRPr="7A344D0A" w:rsidR="180AB58D">
        <w:rPr>
          <w:rFonts w:ascii="Calibri" w:hAnsi="Calibri" w:eastAsia="Calibri" w:cs="Calibri"/>
          <w:color w:val="162937"/>
          <w:sz w:val="20"/>
          <w:szCs w:val="20"/>
        </w:rPr>
        <w:t>as</w:t>
      </w:r>
      <w:bookmarkEnd w:id="396406659"/>
      <w:r w:rsidRPr="7A344D0A" w:rsidR="180AB58D">
        <w:rPr>
          <w:rFonts w:ascii="Calibri" w:hAnsi="Calibri" w:eastAsia="Calibri" w:cs="Calibri"/>
          <w:color w:val="162937"/>
          <w:sz w:val="20"/>
          <w:szCs w:val="20"/>
        </w:rPr>
        <w:t xml:space="preserve"> vedações à participação, se houver;</w:t>
      </w:r>
    </w:p>
    <w:p w:rsidR="3839F589" w:rsidP="06F68B68" w:rsidRDefault="180AB58D" w14:paraId="6FF2602B" w14:textId="2B81C073" w14:noSpellErr="1">
      <w:pPr>
        <w:spacing w:after="80"/>
        <w:ind w:left="2700"/>
        <w:jc w:val="both"/>
      </w:pPr>
      <w:r w:rsidRPr="7A344D0A" w:rsidR="180AB58D">
        <w:rPr>
          <w:rFonts w:ascii="Calibri" w:hAnsi="Calibri" w:eastAsia="Calibri" w:cs="Calibri"/>
          <w:color w:val="162937"/>
          <w:sz w:val="20"/>
          <w:szCs w:val="20"/>
        </w:rPr>
        <w:t xml:space="preserve">V - </w:t>
      </w:r>
      <w:bookmarkStart w:name="_Int_6mthp3pf" w:id="1989625030"/>
      <w:r w:rsidRPr="7A344D0A" w:rsidR="180AB58D">
        <w:rPr>
          <w:rFonts w:ascii="Calibri" w:hAnsi="Calibri" w:eastAsia="Calibri" w:cs="Calibri"/>
          <w:color w:val="162937"/>
          <w:sz w:val="20"/>
          <w:szCs w:val="20"/>
        </w:rPr>
        <w:t>o</w:t>
      </w:r>
      <w:bookmarkEnd w:id="1989625030"/>
      <w:r w:rsidRPr="7A344D0A" w:rsidR="180AB58D">
        <w:rPr>
          <w:rFonts w:ascii="Calibri" w:hAnsi="Calibri" w:eastAsia="Calibri" w:cs="Calibri"/>
          <w:color w:val="162937"/>
          <w:sz w:val="20"/>
          <w:szCs w:val="20"/>
        </w:rPr>
        <w:t xml:space="preserve"> conteúdo mínimo do TCR; e</w:t>
      </w:r>
    </w:p>
    <w:p w:rsidR="3839F589" w:rsidP="06F68B68" w:rsidRDefault="180AB58D" w14:paraId="3E92E848" w14:textId="4B6D0B25" w14:noSpellErr="1">
      <w:pPr>
        <w:spacing w:after="80"/>
        <w:ind w:left="2700"/>
        <w:jc w:val="both"/>
        <w:rPr>
          <w:rFonts w:ascii="Calibri" w:hAnsi="Calibri" w:eastAsia="Calibri" w:cs="Calibri"/>
          <w:color w:val="162937"/>
          <w:sz w:val="20"/>
          <w:szCs w:val="20"/>
        </w:rPr>
      </w:pPr>
      <w:r w:rsidRPr="7A344D0A" w:rsidR="180AB58D">
        <w:rPr>
          <w:rFonts w:ascii="Calibri" w:hAnsi="Calibri" w:eastAsia="Calibri" w:cs="Calibri"/>
          <w:color w:val="162937"/>
          <w:sz w:val="20"/>
          <w:szCs w:val="20"/>
        </w:rPr>
        <w:t xml:space="preserve">VI - </w:t>
      </w:r>
      <w:bookmarkStart w:name="_Int_0RgiVyZf" w:id="237772278"/>
      <w:r w:rsidRPr="7A344D0A" w:rsidR="180AB58D">
        <w:rPr>
          <w:rFonts w:ascii="Calibri" w:hAnsi="Calibri" w:eastAsia="Calibri" w:cs="Calibri"/>
          <w:color w:val="162937"/>
          <w:sz w:val="20"/>
          <w:szCs w:val="20"/>
        </w:rPr>
        <w:t>o</w:t>
      </w:r>
      <w:bookmarkEnd w:id="237772278"/>
      <w:r w:rsidRPr="7A344D0A" w:rsidR="180AB58D">
        <w:rPr>
          <w:rFonts w:ascii="Calibri" w:hAnsi="Calibri" w:eastAsia="Calibri" w:cs="Calibri"/>
          <w:color w:val="162937"/>
          <w:sz w:val="20"/>
          <w:szCs w:val="20"/>
        </w:rPr>
        <w:t xml:space="preserve"> prazo de antecedência mínima para convocações presenciais.</w:t>
      </w:r>
    </w:p>
    <w:p w:rsidR="00AC0890" w:rsidP="00AF14A5" w:rsidRDefault="00AC0890" w14:paraId="6011CA75" w14:textId="77777777">
      <w:pPr>
        <w:jc w:val="both"/>
        <w:rPr>
          <w:b/>
          <w:bCs/>
        </w:rPr>
      </w:pPr>
    </w:p>
    <w:p w:rsidR="5251853E" w:rsidP="00AF14A5" w:rsidRDefault="5251853E" w14:paraId="3448E397" w14:textId="20518C7A">
      <w:pPr>
        <w:jc w:val="both"/>
        <w:rPr>
          <w:b/>
          <w:bCs/>
        </w:rPr>
      </w:pPr>
      <w:r w:rsidRPr="3839F589">
        <w:rPr>
          <w:b/>
          <w:bCs/>
        </w:rPr>
        <w:t>Análise</w:t>
      </w:r>
    </w:p>
    <w:p w:rsidR="00AC0890" w:rsidP="00AF14A5" w:rsidRDefault="00AC0890" w14:paraId="7F5BE824" w14:textId="77777777">
      <w:pPr>
        <w:jc w:val="both"/>
        <w:rPr>
          <w:b/>
          <w:bCs/>
        </w:rPr>
      </w:pPr>
    </w:p>
    <w:p w:rsidRPr="00B8294D" w:rsidR="00B8294D" w:rsidP="06F68B68" w:rsidRDefault="286A3EF8" w14:paraId="0465E508" w14:textId="17962036">
      <w:pPr>
        <w:spacing w:line="259" w:lineRule="auto"/>
        <w:jc w:val="both"/>
      </w:pPr>
      <w:r>
        <w:t>6.</w:t>
      </w:r>
      <w:r w:rsidR="00B83B2E">
        <w:t xml:space="preserve"> </w:t>
      </w:r>
      <w:r w:rsidR="00B8294D">
        <w:t>O art. 1º da minuta institui o PGD no âmbito</w:t>
      </w:r>
      <w:r w:rsidRPr="06F68B68" w:rsidR="00B8294D">
        <w:rPr>
          <w:i/>
          <w:iCs/>
          <w:color w:val="FF0000"/>
        </w:rPr>
        <w:t xml:space="preserve"> [da autarquia, fundação pública ou unidade da administração direta de nível não inferior ao de Secretaria ou equivalente]</w:t>
      </w:r>
      <w:r w:rsidRPr="06F68B68" w:rsidR="47517C0A">
        <w:t xml:space="preserve">, conforme competência definida </w:t>
      </w:r>
      <w:r w:rsidRPr="06F68B68" w:rsidR="278E17F2">
        <w:t xml:space="preserve">no art. 4º do Decreto nº 11.072, de 2022, </w:t>
      </w:r>
      <w:r w:rsidRPr="06F68B68" w:rsidR="278E17F2">
        <w:rPr>
          <w:i/>
          <w:iCs/>
        </w:rPr>
        <w:t xml:space="preserve">in </w:t>
      </w:r>
      <w:proofErr w:type="spellStart"/>
      <w:r w:rsidRPr="06F68B68" w:rsidR="278E17F2">
        <w:rPr>
          <w:i/>
          <w:iCs/>
        </w:rPr>
        <w:t>verbis</w:t>
      </w:r>
      <w:proofErr w:type="spellEnd"/>
      <w:r w:rsidRPr="06F68B68" w:rsidR="278E17F2">
        <w:rPr>
          <w:i/>
          <w:iCs/>
        </w:rPr>
        <w:t>:</w:t>
      </w:r>
    </w:p>
    <w:p w:rsidRPr="00B8294D" w:rsidR="00B8294D" w:rsidP="06F68B68" w:rsidRDefault="00B8294D" w14:paraId="32F7CC1A" w14:textId="0667D1D4">
      <w:pPr>
        <w:spacing w:line="259" w:lineRule="auto"/>
        <w:jc w:val="both"/>
      </w:pPr>
    </w:p>
    <w:p w:rsidRPr="00B8294D" w:rsidR="00B8294D" w:rsidP="06F68B68" w:rsidRDefault="278E17F2" w14:paraId="78D30A9A" w14:textId="697AD8F2">
      <w:pPr>
        <w:spacing w:after="80"/>
        <w:ind w:left="2700"/>
        <w:jc w:val="both"/>
        <w:rPr>
          <w:rFonts w:ascii="Calibri" w:hAnsi="Calibri" w:eastAsia="Calibri" w:cs="Calibri"/>
          <w:color w:val="162937"/>
          <w:sz w:val="20"/>
          <w:szCs w:val="20"/>
        </w:rPr>
      </w:pPr>
      <w:r w:rsidRPr="06F68B68">
        <w:rPr>
          <w:rFonts w:ascii="Calibri" w:hAnsi="Calibri" w:eastAsia="Calibri" w:cs="Calibri"/>
          <w:color w:val="162937"/>
          <w:sz w:val="20"/>
          <w:szCs w:val="20"/>
        </w:rPr>
        <w:t>Art. 4º A instituição do PGD se dará no âmbito de cada autarquia, fundação pública ou unidade da administração direta de nível não inferior ao de Secretaria ou equivalente, por meio de portaria da autoridade máxima, vedada a delegação</w:t>
      </w:r>
      <w:r w:rsidRPr="06F68B68" w:rsidR="2221ACB8">
        <w:rPr>
          <w:rFonts w:ascii="Calibri" w:hAnsi="Calibri" w:eastAsia="Calibri" w:cs="Calibri"/>
          <w:color w:val="162937"/>
          <w:sz w:val="20"/>
          <w:szCs w:val="20"/>
        </w:rPr>
        <w:t>.</w:t>
      </w:r>
    </w:p>
    <w:p w:rsidR="06F68B68" w:rsidP="06F68B68" w:rsidRDefault="06F68B68" w14:paraId="6CF2BDBC" w14:textId="7941F8EA">
      <w:pPr>
        <w:spacing w:after="80"/>
        <w:ind w:left="2700"/>
        <w:jc w:val="both"/>
        <w:rPr>
          <w:rFonts w:ascii="Calibri" w:hAnsi="Calibri" w:eastAsia="Calibri" w:cs="Calibri"/>
          <w:color w:val="162937"/>
          <w:sz w:val="20"/>
          <w:szCs w:val="20"/>
        </w:rPr>
      </w:pPr>
    </w:p>
    <w:p w:rsidR="0AF51290" w:rsidP="7CA827FC" w:rsidRDefault="0AF51290" w14:paraId="4B787C55" w14:textId="6355BEC5">
      <w:pPr>
        <w:spacing w:after="200" w:line="276" w:lineRule="auto"/>
        <w:jc w:val="both"/>
        <w:rPr>
          <w:i w:val="1"/>
          <w:iCs w:val="1"/>
          <w:color w:val="FF0000"/>
        </w:rPr>
      </w:pPr>
      <w:r w:rsidR="0AF51290">
        <w:rPr/>
        <w:t>7.</w:t>
      </w:r>
      <w:r w:rsidR="00B83B2E">
        <w:rPr/>
        <w:t xml:space="preserve"> </w:t>
      </w:r>
      <w:r w:rsidR="00B8294D">
        <w:rPr/>
        <w:t xml:space="preserve">O art. 2º </w:t>
      </w:r>
      <w:r w:rsidR="0094720B">
        <w:rPr/>
        <w:t>trata dos</w:t>
      </w:r>
      <w:r w:rsidR="0094720B">
        <w:rPr/>
        <w:t xml:space="preserve"> </w:t>
      </w:r>
      <w:r w:rsidR="00B8294D">
        <w:rPr/>
        <w:t>tipos de atividades que poderão ser incluídas no PGD para cada modalidade e regime de execução</w:t>
      </w:r>
      <w:r w:rsidR="1904E0B7">
        <w:rPr/>
        <w:t xml:space="preserve">, conforme determina o inciso I do art. 6º da </w:t>
      </w:r>
      <w:r w:rsidR="12C1545E">
        <w:rPr/>
        <w:t>IN nº 24/23</w:t>
      </w:r>
      <w:r w:rsidR="00B8294D">
        <w:rPr/>
        <w:t xml:space="preserve">. </w:t>
      </w:r>
      <w:r w:rsidRPr="7CA827FC" w:rsidR="7672FED6">
        <w:rPr>
          <w:i w:val="1"/>
          <w:iCs w:val="1"/>
          <w:color w:val="FF0000"/>
        </w:rPr>
        <w:t>[Se a minuta de portaria previu alguma exceção a tipos de atividades q</w:t>
      </w:r>
      <w:r w:rsidRPr="7CA827FC" w:rsidR="4FE30D2D">
        <w:rPr>
          <w:i w:val="1"/>
          <w:iCs w:val="1"/>
          <w:color w:val="FF0000"/>
        </w:rPr>
        <w:t>ue poderiam</w:t>
      </w:r>
      <w:r w:rsidRPr="7CA827FC" w:rsidR="3B7E7A6C">
        <w:rPr>
          <w:i w:val="1"/>
          <w:iCs w:val="1"/>
          <w:color w:val="FF0000"/>
        </w:rPr>
        <w:t xml:space="preserve"> entrar no PGD</w:t>
      </w:r>
      <w:r w:rsidRPr="7CA827FC" w:rsidR="4FE30D2D">
        <w:rPr>
          <w:i w:val="1"/>
          <w:iCs w:val="1"/>
          <w:color w:val="FF0000"/>
        </w:rPr>
        <w:t>, a</w:t>
      </w:r>
      <w:r w:rsidRPr="7CA827FC" w:rsidR="7672FED6">
        <w:rPr>
          <w:i w:val="1"/>
          <w:iCs w:val="1"/>
          <w:color w:val="FF0000"/>
        </w:rPr>
        <w:t xml:space="preserve">qui deverão ser apresentados os </w:t>
      </w:r>
      <w:r w:rsidRPr="7CA827FC" w:rsidR="7672FED6">
        <w:rPr>
          <w:i w:val="1"/>
          <w:iCs w:val="1"/>
          <w:color w:val="FF0000"/>
        </w:rPr>
        <w:t xml:space="preserve">critérios </w:t>
      </w:r>
      <w:r w:rsidRPr="7CA827FC" w:rsidR="359C162A">
        <w:rPr>
          <w:i w:val="1"/>
          <w:iCs w:val="1"/>
          <w:color w:val="FF0000"/>
        </w:rPr>
        <w:t>utilizados para essa definição e suas</w:t>
      </w:r>
      <w:r w:rsidRPr="7CA827FC" w:rsidR="7672FED6">
        <w:rPr>
          <w:i w:val="1"/>
          <w:iCs w:val="1"/>
          <w:color w:val="FF0000"/>
        </w:rPr>
        <w:t xml:space="preserve"> respectivas motivações</w:t>
      </w:r>
      <w:r w:rsidRPr="7CA827FC" w:rsidR="3586200F">
        <w:rPr>
          <w:i w:val="1"/>
          <w:iCs w:val="1"/>
          <w:color w:val="FF0000"/>
        </w:rPr>
        <w:t>]</w:t>
      </w:r>
    </w:p>
    <w:p w:rsidR="0B000926" w:rsidP="7E95C4A8" w:rsidRDefault="0B000926" w14:paraId="4573B776" w14:textId="34E90DF6">
      <w:pPr>
        <w:spacing w:after="200" w:line="276" w:lineRule="auto"/>
        <w:jc w:val="both"/>
        <w:rPr>
          <w:i w:val="1"/>
          <w:iCs w:val="1"/>
          <w:color w:val="FF0000"/>
        </w:rPr>
      </w:pPr>
      <w:r w:rsidR="0B000926">
        <w:rPr/>
        <w:t>8.</w:t>
      </w:r>
      <w:r w:rsidR="00B83B2E">
        <w:rPr/>
        <w:t xml:space="preserve"> </w:t>
      </w:r>
      <w:r w:rsidR="00B8294D">
        <w:rPr/>
        <w:t>O artigo 3º disciplina</w:t>
      </w:r>
      <w:r w:rsidR="3E24AE2E">
        <w:rPr/>
        <w:t xml:space="preserve"> as</w:t>
      </w:r>
      <w:r w:rsidR="00B8294D">
        <w:rPr/>
        <w:t xml:space="preserve"> modalidades e regimes de execução</w:t>
      </w:r>
      <w:r w:rsidR="6A9179DE">
        <w:rPr/>
        <w:t xml:space="preserve"> permitidos no </w:t>
      </w:r>
      <w:r w:rsidR="6A9179DE">
        <w:rPr/>
        <w:t>PGD</w:t>
      </w:r>
      <w:r w:rsidR="1F6B771B">
        <w:rPr/>
        <w:t xml:space="preserve">, em observância ao inciso II do art. 6º da </w:t>
      </w:r>
      <w:r w:rsidR="12C1545E">
        <w:rPr/>
        <w:t>IN nº 24/23</w:t>
      </w:r>
      <w:r w:rsidR="6B33238F">
        <w:rPr/>
        <w:t xml:space="preserve">. </w:t>
      </w:r>
      <w:r w:rsidRPr="7E95C4A8" w:rsidR="511FFD16">
        <w:rPr>
          <w:i w:val="1"/>
          <w:iCs w:val="1"/>
          <w:color w:val="FF0000"/>
        </w:rPr>
        <w:t xml:space="preserve">Se a minuta de portaria previu alguma exceção </w:t>
      </w:r>
      <w:r w:rsidRPr="7E95C4A8" w:rsidR="511FFD16">
        <w:rPr>
          <w:i w:val="1"/>
          <w:iCs w:val="1"/>
          <w:color w:val="FF0000"/>
        </w:rPr>
        <w:t>exceções às modalidades permitidas</w:t>
      </w:r>
      <w:r w:rsidRPr="7E95C4A8" w:rsidR="511FFD16">
        <w:rPr>
          <w:i w:val="1"/>
          <w:iCs w:val="1"/>
          <w:color w:val="FF0000"/>
        </w:rPr>
        <w:t xml:space="preserve">, aqui deverão ser apresentados os </w:t>
      </w:r>
      <w:r w:rsidRPr="7E95C4A8" w:rsidR="511FFD16">
        <w:rPr>
          <w:i w:val="1"/>
          <w:iCs w:val="1"/>
          <w:color w:val="FF0000"/>
        </w:rPr>
        <w:t>critérios utilizados para essa definição e suas respectivas motivações</w:t>
      </w:r>
    </w:p>
    <w:p w:rsidR="28F53813" w:rsidP="7E95C4A8" w:rsidRDefault="28F53813" w14:paraId="24153AA0" w14:textId="3694A840">
      <w:pPr>
        <w:spacing w:after="200" w:line="276" w:lineRule="auto"/>
        <w:jc w:val="both"/>
        <w:rPr>
          <w:i w:val="1"/>
          <w:iCs w:val="1"/>
          <w:color w:val="FF0000"/>
        </w:rPr>
      </w:pPr>
      <w:r w:rsidR="28F53813">
        <w:rPr/>
        <w:t>9.</w:t>
      </w:r>
      <w:r w:rsidR="00B83B2E">
        <w:rPr/>
        <w:t xml:space="preserve"> </w:t>
      </w:r>
      <w:r w:rsidR="23DDB72B">
        <w:rPr/>
        <w:t>O art. 4º define o quantitativo de vagas, limitado a um determinado percentual, por modalidade e regime de execução</w:t>
      </w:r>
      <w:r w:rsidR="43453327">
        <w:rPr/>
        <w:t xml:space="preserve">, em relação ao total de agentes públicos desta unidade </w:t>
      </w:r>
      <w:r w:rsidR="6F3A874E">
        <w:rPr/>
        <w:t>instituidora</w:t>
      </w:r>
      <w:r w:rsidR="43453327">
        <w:rPr/>
        <w:t xml:space="preserve">. O disposto no art. 4º da minuta, </w:t>
      </w:r>
      <w:r w:rsidR="21D0CF24">
        <w:rPr/>
        <w:t>obedece aos</w:t>
      </w:r>
      <w:r w:rsidR="43453327">
        <w:rPr/>
        <w:t xml:space="preserve"> termos do inciso III do art. 6º da </w:t>
      </w:r>
      <w:r w:rsidR="12C1545E">
        <w:rPr/>
        <w:t>IN nº 24/23</w:t>
      </w:r>
      <w:r w:rsidR="43453327">
        <w:rPr/>
        <w:t>.</w:t>
      </w:r>
      <w:r w:rsidR="033029C4">
        <w:rPr/>
        <w:t xml:space="preserve"> </w:t>
      </w:r>
      <w:r w:rsidR="43A50C2D">
        <w:rPr/>
        <w:t>A escolha pelas modalidades e percentuais levou em consideração</w:t>
      </w:r>
      <w:r w:rsidRPr="7E95C4A8" w:rsidR="43A50C2D">
        <w:rPr>
          <w:color w:val="FF0000"/>
        </w:rPr>
        <w:t>_</w:t>
      </w:r>
      <w:r w:rsidRPr="7E95C4A8" w:rsidR="446167E6">
        <w:rPr>
          <w:color w:val="FF0000"/>
        </w:rPr>
        <w:t>___</w:t>
      </w:r>
      <w:r w:rsidRPr="7E95C4A8" w:rsidR="43A50C2D">
        <w:rPr>
          <w:color w:val="FF0000"/>
        </w:rPr>
        <w:t>__</w:t>
      </w:r>
      <w:r w:rsidR="43A50C2D">
        <w:rPr/>
        <w:t xml:space="preserve"> </w:t>
      </w:r>
      <w:r w:rsidRPr="7E95C4A8" w:rsidR="43A50C2D">
        <w:rPr>
          <w:rFonts w:ascii="Calibri" w:hAnsi="Calibri" w:eastAsia="Calibri" w:cs="" w:asciiTheme="minorAscii" w:hAnsiTheme="minorAscii" w:eastAsiaTheme="minorAscii" w:cstheme="minorBidi"/>
          <w:i w:val="1"/>
          <w:iCs w:val="1"/>
          <w:color w:val="FF0000"/>
          <w:sz w:val="24"/>
          <w:szCs w:val="24"/>
          <w:lang w:eastAsia="en-US" w:bidi="ar-SA"/>
        </w:rPr>
        <w:t xml:space="preserve">[é recomendável constar a justificativa/ mérito administrativo para a escolha/aplicação no caso concreto]. </w:t>
      </w:r>
      <w:r w:rsidRPr="7E95C4A8" w:rsidR="43A50C2D">
        <w:rPr>
          <w:rFonts w:ascii="Calibri" w:hAnsi="Calibri" w:eastAsia="Calibri" w:cs="Calibri"/>
          <w:noProof w:val="0"/>
          <w:sz w:val="24"/>
          <w:szCs w:val="24"/>
          <w:lang w:val="pt-BR"/>
        </w:rPr>
        <w:t xml:space="preserve"> </w:t>
      </w:r>
    </w:p>
    <w:p w:rsidR="28F53813" w:rsidP="7E95C4A8" w:rsidRDefault="28F53813" w14:paraId="5471F6F0" w14:textId="03FC536F">
      <w:pPr>
        <w:spacing w:line="259" w:lineRule="auto"/>
        <w:jc w:val="both"/>
        <w:rPr>
          <w:i w:val="1"/>
          <w:iCs w:val="1"/>
          <w:color w:val="FF0000"/>
        </w:rPr>
      </w:pPr>
      <w:r w:rsidRPr="7E95C4A8" w:rsidR="033029C4">
        <w:rPr>
          <w:i w:val="1"/>
          <w:iCs w:val="1"/>
          <w:color w:val="FF0000"/>
        </w:rPr>
        <w:t>Se a minuta de portaria</w:t>
      </w:r>
      <w:r w:rsidRPr="7E95C4A8" w:rsidR="39B26E1E">
        <w:rPr>
          <w:i w:val="1"/>
          <w:iCs w:val="1"/>
          <w:color w:val="FF0000"/>
        </w:rPr>
        <w:t xml:space="preserve"> previu</w:t>
      </w:r>
      <w:r w:rsidRPr="7E95C4A8" w:rsidR="033029C4">
        <w:rPr>
          <w:i w:val="1"/>
          <w:iCs w:val="1"/>
          <w:color w:val="FF0000"/>
        </w:rPr>
        <w:t xml:space="preserve"> restrição percentual a determinada modalidade ou regime de execução, aqui deverão ser apresentados os </w:t>
      </w:r>
      <w:r w:rsidRPr="7E95C4A8" w:rsidR="033029C4">
        <w:rPr>
          <w:i w:val="1"/>
          <w:iCs w:val="1"/>
          <w:color w:val="FF0000"/>
        </w:rPr>
        <w:t>critérios utilizados para essa definição e suas respectivas motivaçõe</w:t>
      </w:r>
      <w:r w:rsidRPr="7E95C4A8" w:rsidR="557BE756">
        <w:rPr>
          <w:i w:val="1"/>
          <w:iCs w:val="1"/>
          <w:color w:val="FF0000"/>
        </w:rPr>
        <w:t>s.</w:t>
      </w:r>
    </w:p>
    <w:p w:rsidR="06F68B68" w:rsidP="06F68B68" w:rsidRDefault="06F68B68" w14:paraId="533BC77B" w14:textId="3AFE9F7D">
      <w:pPr>
        <w:jc w:val="both"/>
      </w:pPr>
    </w:p>
    <w:p w:rsidR="00B83B2E" w:rsidP="7E95C4A8" w:rsidRDefault="00B83B2E" w14:paraId="3149161C" w14:textId="30CEDD21">
      <w:pPr>
        <w:spacing w:line="259" w:lineRule="auto"/>
        <w:jc w:val="both"/>
        <w:rPr>
          <w:i w:val="1"/>
          <w:iCs w:val="1"/>
          <w:color w:val="FF0000"/>
        </w:rPr>
      </w:pPr>
      <w:r w:rsidR="00B83B2E">
        <w:rPr/>
        <w:t>1</w:t>
      </w:r>
      <w:r w:rsidR="3F3CC207">
        <w:rPr/>
        <w:t>0</w:t>
      </w:r>
      <w:r w:rsidR="00B83B2E">
        <w:rPr/>
        <w:t xml:space="preserve">. </w:t>
      </w:r>
      <w:r w:rsidRPr="7E95C4A8" w:rsidR="6E31B045">
        <w:rPr>
          <w:rFonts w:ascii="Calibri" w:hAnsi="Calibri" w:eastAsia="Calibri" w:cs="" w:asciiTheme="minorAscii" w:hAnsiTheme="minorAscii" w:eastAsiaTheme="minorAscii" w:cstheme="minorBidi"/>
          <w:noProof w:val="0"/>
          <w:color w:val="auto"/>
          <w:sz w:val="24"/>
          <w:szCs w:val="24"/>
          <w:lang w:val="pt-BR" w:eastAsia="en-US" w:bidi="ar-SA"/>
        </w:rPr>
        <w:t>O art. 5º versa sobre eventuais vedações à participação no PGD, conforme determina o inciso IV do art. 6° da IN 24/23</w:t>
      </w:r>
      <w:r w:rsidRPr="7E95C4A8" w:rsidR="6E31B045">
        <w:rPr>
          <w:rFonts w:ascii="Segoe UI" w:hAnsi="Segoe UI" w:eastAsia="Segoe UI" w:cs="Segoe UI"/>
          <w:b w:val="1"/>
          <w:bCs w:val="1"/>
          <w:i w:val="0"/>
          <w:iCs w:val="0"/>
          <w:caps w:val="0"/>
          <w:smallCaps w:val="0"/>
          <w:noProof w:val="0"/>
          <w:color w:val="333333"/>
          <w:sz w:val="18"/>
          <w:szCs w:val="18"/>
          <w:lang w:val="pt-BR"/>
        </w:rPr>
        <w:t>.</w:t>
      </w:r>
      <w:r w:rsidRPr="7E95C4A8" w:rsidR="6E31B045">
        <w:rPr>
          <w:rFonts w:ascii="Calibri" w:hAnsi="Calibri" w:eastAsia="Calibri" w:cs="Calibri"/>
          <w:noProof w:val="0"/>
          <w:sz w:val="24"/>
          <w:szCs w:val="24"/>
          <w:lang w:val="pt-BR"/>
        </w:rPr>
        <w:t xml:space="preserve"> </w:t>
      </w:r>
      <w:r w:rsidRPr="7E95C4A8" w:rsidR="334BD7BA">
        <w:rPr>
          <w:i w:val="1"/>
          <w:iCs w:val="1"/>
          <w:color w:val="FF0000"/>
        </w:rPr>
        <w:t xml:space="preserve">[Se a minuta de portaria previu alguma </w:t>
      </w:r>
      <w:r w:rsidRPr="7E95C4A8" w:rsidR="334BD7BA">
        <w:rPr>
          <w:rFonts w:ascii="Calibri" w:hAnsi="Calibri" w:eastAsia="Calibri" w:cs="Calibri"/>
          <w:i w:val="1"/>
          <w:iCs w:val="1"/>
          <w:color w:val="FF0000"/>
          <w:sz w:val="22"/>
          <w:szCs w:val="22"/>
        </w:rPr>
        <w:t>vedação para participação de alguns agentes públicos</w:t>
      </w:r>
      <w:r w:rsidRPr="7E95C4A8" w:rsidR="334BD7BA">
        <w:rPr>
          <w:i w:val="1"/>
          <w:iCs w:val="1"/>
          <w:color w:val="FF0000"/>
        </w:rPr>
        <w:t xml:space="preserve">, aqui deverão ser apresentados os </w:t>
      </w:r>
      <w:r w:rsidRPr="7E95C4A8" w:rsidR="334BD7BA">
        <w:rPr>
          <w:i w:val="1"/>
          <w:iCs w:val="1"/>
          <w:color w:val="FF0000"/>
        </w:rPr>
        <w:t>critérios utilizados para essa definição e suas respectivas motivações]</w:t>
      </w:r>
    </w:p>
    <w:p w:rsidR="00B83B2E" w:rsidP="06F68B68" w:rsidRDefault="00B83B2E" w14:paraId="5A72EDB8" w14:textId="3AFE9F7D">
      <w:pPr>
        <w:jc w:val="both"/>
      </w:pPr>
    </w:p>
    <w:p w:rsidR="00B83B2E" w:rsidP="7CA827FC" w:rsidRDefault="78BD4D22" w14:paraId="75881B3B" w14:textId="25CC496C">
      <w:pPr>
        <w:spacing w:line="259" w:lineRule="auto"/>
        <w:jc w:val="both"/>
        <w:rPr>
          <w:i w:val="1"/>
          <w:iCs w:val="1"/>
          <w:color w:val="FF0000"/>
        </w:rPr>
      </w:pPr>
      <w:r w:rsidR="78BD4D22">
        <w:rPr/>
        <w:t>11.</w:t>
      </w:r>
      <w:r w:rsidR="41D50EF5">
        <w:rPr/>
        <w:t xml:space="preserve"> </w:t>
      </w:r>
      <w:r w:rsidR="408EFD8A">
        <w:rPr/>
        <w:t>O art. 6º reforça a necessidade de observância</w:t>
      </w:r>
      <w:r w:rsidR="00506EFC">
        <w:rPr/>
        <w:t>, por parte da chefia</w:t>
      </w:r>
      <w:r w:rsidR="00506EFC">
        <w:rPr/>
        <w:t xml:space="preserve"> </w:t>
      </w:r>
      <w:r w:rsidR="4BD6C44A">
        <w:rPr/>
        <w:t>da unidade de execução</w:t>
      </w:r>
      <w:r w:rsidR="00506EFC">
        <w:rPr/>
        <w:t>,</w:t>
      </w:r>
      <w:r w:rsidR="4BD6C44A">
        <w:rPr/>
        <w:t xml:space="preserve"> </w:t>
      </w:r>
      <w:r w:rsidR="00506EFC">
        <w:rPr/>
        <w:t>d</w:t>
      </w:r>
      <w:r w:rsidR="408EFD8A">
        <w:rPr/>
        <w:t xml:space="preserve">o disposto no art. 13 da </w:t>
      </w:r>
      <w:r w:rsidR="12C1545E">
        <w:rPr/>
        <w:t>IN nº 24/23</w:t>
      </w:r>
      <w:r w:rsidR="69CE1C14">
        <w:rPr/>
        <w:t>,</w:t>
      </w:r>
      <w:r w:rsidR="6E5F33F9">
        <w:rPr/>
        <w:t xml:space="preserve"> no momento da seleção dos participantes. </w:t>
      </w:r>
      <w:r w:rsidRPr="7CA827FC" w:rsidR="6E5F33F9">
        <w:rPr>
          <w:i w:val="1"/>
          <w:iCs w:val="1"/>
          <w:color w:val="FF0000"/>
        </w:rPr>
        <w:t xml:space="preserve">[Se a minuta de portaria previu critérios adicionais para seleção dos participantes, aqui deverão ser apresentados os </w:t>
      </w:r>
      <w:r w:rsidRPr="7CA827FC" w:rsidR="6E5F33F9">
        <w:rPr>
          <w:i w:val="1"/>
          <w:iCs w:val="1"/>
          <w:color w:val="FF0000"/>
        </w:rPr>
        <w:t>critérios utilizados para essa definição e suas respectivas motivações]</w:t>
      </w:r>
    </w:p>
    <w:p w:rsidR="06F68B68" w:rsidP="06F68B68" w:rsidRDefault="06F68B68" w14:paraId="7D60691F" w14:textId="06E9DA69">
      <w:pPr>
        <w:spacing w:line="259" w:lineRule="auto"/>
        <w:jc w:val="both"/>
      </w:pPr>
    </w:p>
    <w:p w:rsidR="74C9FC93" w:rsidP="7CA827FC" w:rsidRDefault="74C9FC93" w14:paraId="43FF0237" w14:textId="53E0D7E2">
      <w:pPr>
        <w:spacing w:line="259" w:lineRule="auto"/>
        <w:jc w:val="both"/>
        <w:rPr>
          <w:i w:val="1"/>
          <w:iCs w:val="1"/>
          <w:color w:val="FF0000"/>
        </w:rPr>
      </w:pPr>
      <w:r w:rsidR="74C9FC93">
        <w:rPr/>
        <w:t xml:space="preserve">12. </w:t>
      </w:r>
      <w:r w:rsidR="0A7BA97C">
        <w:rPr/>
        <w:t xml:space="preserve">O art. 7º </w:t>
      </w:r>
      <w:r w:rsidR="0A7BA97C">
        <w:rPr/>
        <w:t xml:space="preserve">define a ordem de aplicação dos critérios </w:t>
      </w:r>
      <w:r w:rsidR="00506EFC">
        <w:rPr/>
        <w:t>de</w:t>
      </w:r>
      <w:r w:rsidR="00506EFC">
        <w:rPr/>
        <w:t xml:space="preserve"> prioriza</w:t>
      </w:r>
      <w:r w:rsidR="00506EFC">
        <w:rPr/>
        <w:t xml:space="preserve">ção de </w:t>
      </w:r>
      <w:r w:rsidR="64F9773E">
        <w:rPr/>
        <w:t>candidatos,</w:t>
      </w:r>
      <w:r w:rsidR="00506EFC">
        <w:rPr/>
        <w:t xml:space="preserve"> </w:t>
      </w:r>
      <w:r w:rsidR="00506EFC">
        <w:rPr/>
        <w:t xml:space="preserve">quando o quantitativo de vagas for inferior à quantidade de interessados em participar do PGD, </w:t>
      </w:r>
      <w:r w:rsidR="00506EFC">
        <w:rPr/>
        <w:t xml:space="preserve">conforme </w:t>
      </w:r>
      <w:r w:rsidRPr="7CA827FC" w:rsidR="00FC3012">
        <w:rPr>
          <w:i w:val="1"/>
          <w:iCs w:val="1"/>
          <w:color w:val="FF0000"/>
        </w:rPr>
        <w:t xml:space="preserve">as Instruções Normativas 21/2024 e 20/2025, que alteram </w:t>
      </w:r>
      <w:r w:rsidRPr="7CA827FC" w:rsidR="00FC3012">
        <w:rPr>
          <w:i w:val="1"/>
          <w:iCs w:val="1"/>
          <w:color w:val="FF0000"/>
        </w:rPr>
        <w:t>o art. 14 da IN nº 24/23</w:t>
      </w:r>
      <w:r w:rsidR="35E7D6E0">
        <w:rPr/>
        <w:t xml:space="preserve">. </w:t>
      </w:r>
      <w:r w:rsidRPr="7CA827FC" w:rsidR="35E7D6E0">
        <w:rPr>
          <w:i w:val="1"/>
          <w:iCs w:val="1"/>
          <w:color w:val="FF0000"/>
        </w:rPr>
        <w:t>[Se a minuta de portaria previu ordem de aplicação</w:t>
      </w:r>
      <w:r w:rsidRPr="7CA827FC" w:rsidR="5BD01FB7">
        <w:rPr>
          <w:i w:val="1"/>
          <w:iCs w:val="1"/>
          <w:color w:val="FF0000"/>
        </w:rPr>
        <w:t xml:space="preserve"> diversa ou se acrescentou outros</w:t>
      </w:r>
      <w:r w:rsidRPr="7CA827FC" w:rsidR="35E7D6E0">
        <w:rPr>
          <w:i w:val="1"/>
          <w:iCs w:val="1"/>
          <w:color w:val="FF0000"/>
        </w:rPr>
        <w:t xml:space="preserve"> </w:t>
      </w:r>
      <w:r w:rsidRPr="7CA827FC" w:rsidR="7D7079C6">
        <w:rPr>
          <w:i w:val="1"/>
          <w:iCs w:val="1"/>
          <w:color w:val="FF0000"/>
        </w:rPr>
        <w:t xml:space="preserve">critérios </w:t>
      </w:r>
      <w:r w:rsidRPr="7CA827FC" w:rsidR="35E7D6E0">
        <w:rPr>
          <w:i w:val="1"/>
          <w:iCs w:val="1"/>
          <w:color w:val="FF0000"/>
        </w:rPr>
        <w:t xml:space="preserve">para </w:t>
      </w:r>
      <w:r w:rsidRPr="7CA827FC" w:rsidR="78FC2C8A">
        <w:rPr>
          <w:i w:val="1"/>
          <w:iCs w:val="1"/>
          <w:color w:val="FF0000"/>
        </w:rPr>
        <w:t>priorização de determinados candidatos</w:t>
      </w:r>
      <w:r w:rsidRPr="7CA827FC" w:rsidR="35E7D6E0">
        <w:rPr>
          <w:i w:val="1"/>
          <w:iCs w:val="1"/>
          <w:color w:val="FF0000"/>
        </w:rPr>
        <w:t xml:space="preserve">, aqui deverão ser apresentados os </w:t>
      </w:r>
      <w:r w:rsidRPr="7CA827FC" w:rsidR="35E7D6E0">
        <w:rPr>
          <w:i w:val="1"/>
          <w:iCs w:val="1"/>
          <w:color w:val="FF0000"/>
        </w:rPr>
        <w:t>critérios utilizados para essa definição e suas respectivas motivações]</w:t>
      </w:r>
    </w:p>
    <w:p w:rsidR="06F68B68" w:rsidP="06F68B68" w:rsidRDefault="06F68B68" w14:paraId="0A3A552A" w14:textId="5217FB9C">
      <w:pPr>
        <w:spacing w:line="259" w:lineRule="auto"/>
        <w:jc w:val="both"/>
      </w:pPr>
    </w:p>
    <w:p w:rsidR="43C114D9" w:rsidP="06F68B68" w:rsidRDefault="43C114D9" w14:paraId="194BF4B0" w14:textId="48D082CC">
      <w:pPr>
        <w:spacing w:line="259" w:lineRule="auto"/>
        <w:jc w:val="both"/>
      </w:pPr>
      <w:r w:rsidR="43C114D9">
        <w:rPr/>
        <w:t xml:space="preserve">13. </w:t>
      </w:r>
      <w:r w:rsidR="1A7504E9">
        <w:rPr/>
        <w:t xml:space="preserve">O art. 8º </w:t>
      </w:r>
      <w:r w:rsidR="1A7504E9">
        <w:rPr/>
        <w:t xml:space="preserve">reforça a obrigatoriedade de </w:t>
      </w:r>
      <w:r w:rsidR="00506EFC">
        <w:rPr/>
        <w:t>assinatura</w:t>
      </w:r>
      <w:r w:rsidR="1A7504E9">
        <w:rPr/>
        <w:t xml:space="preserve"> </w:t>
      </w:r>
      <w:r w:rsidR="00506EFC">
        <w:rPr/>
        <w:t>d</w:t>
      </w:r>
      <w:r w:rsidR="1A7504E9">
        <w:rPr/>
        <w:t xml:space="preserve">o Termo de Ciência e Responsabilidade </w:t>
      </w:r>
      <w:r w:rsidR="00506EFC">
        <w:rPr/>
        <w:t xml:space="preserve">pelo participante </w:t>
      </w:r>
      <w:r w:rsidR="1A7504E9">
        <w:rPr/>
        <w:t>e apresenta o Anexo constante</w:t>
      </w:r>
      <w:r w:rsidR="1A7504E9">
        <w:rPr/>
        <w:t xml:space="preserve"> na minuta de portaria.</w:t>
      </w:r>
    </w:p>
    <w:p w:rsidR="06F68B68" w:rsidP="06F68B68" w:rsidRDefault="06F68B68" w14:paraId="2D1BBFCE" w14:textId="2344CDD9">
      <w:pPr>
        <w:spacing w:line="259" w:lineRule="auto"/>
        <w:jc w:val="both"/>
      </w:pPr>
    </w:p>
    <w:p w:rsidR="31349537" w:rsidP="06F68B68" w:rsidRDefault="31349537" w14:paraId="29601F57" w14:textId="405C03F0">
      <w:pPr>
        <w:spacing w:line="259" w:lineRule="auto"/>
        <w:jc w:val="both"/>
      </w:pPr>
      <w:r w:rsidR="31349537">
        <w:rPr/>
        <w:t xml:space="preserve">14. </w:t>
      </w:r>
      <w:r w:rsidR="214A63F7">
        <w:rPr/>
        <w:t xml:space="preserve">O art. 9º define o prazo </w:t>
      </w:r>
      <w:r w:rsidR="0008128A">
        <w:rPr/>
        <w:t xml:space="preserve">mínimo </w:t>
      </w:r>
      <w:r w:rsidR="214A63F7">
        <w:rPr/>
        <w:t xml:space="preserve">de antecedência </w:t>
      </w:r>
      <w:r w:rsidR="214A63F7">
        <w:rPr/>
        <w:t xml:space="preserve">para convocação presencial, </w:t>
      </w:r>
      <w:r w:rsidR="00FC3012">
        <w:rPr/>
        <w:t>conforme determina o</w:t>
      </w:r>
      <w:r w:rsidR="214A63F7">
        <w:rPr/>
        <w:t xml:space="preserve"> inciso VI do art. 6º da </w:t>
      </w:r>
      <w:r w:rsidR="12C1545E">
        <w:rPr/>
        <w:t>IN nº 24/23</w:t>
      </w:r>
      <w:r w:rsidR="214A63F7">
        <w:rPr/>
        <w:t>.</w:t>
      </w:r>
      <w:r w:rsidR="050F3E42">
        <w:rPr/>
        <w:t xml:space="preserve"> O seu parágrafo único reforça o previsto no </w:t>
      </w:r>
      <w:r w:rsidR="43B42373">
        <w:rPr/>
        <w:t>parágrafo</w:t>
      </w:r>
      <w:r w:rsidR="050F3E42">
        <w:rPr/>
        <w:t xml:space="preserve"> único do art. 10 do mesmo normativo.</w:t>
      </w:r>
    </w:p>
    <w:p w:rsidR="06F68B68" w:rsidP="06F68B68" w:rsidRDefault="06F68B68" w14:paraId="506A5EFE" w14:textId="145892FF">
      <w:pPr>
        <w:spacing w:line="259" w:lineRule="auto"/>
        <w:jc w:val="both"/>
      </w:pPr>
    </w:p>
    <w:p w:rsidRPr="00B8294D" w:rsidR="00B8294D" w:rsidP="06F68B68" w:rsidRDefault="264FB08E" w14:paraId="42407D10" w14:textId="025D1755">
      <w:pPr>
        <w:spacing w:line="259" w:lineRule="auto"/>
        <w:jc w:val="both"/>
        <w:rPr>
          <w:i/>
          <w:iCs/>
          <w:color w:val="FF0000"/>
        </w:rPr>
      </w:pPr>
      <w:r>
        <w:t xml:space="preserve">15. </w:t>
      </w:r>
      <w:r w:rsidR="0C81BF94">
        <w:t xml:space="preserve">O art. 10 </w:t>
      </w:r>
      <w:r w:rsidR="4D811701">
        <w:t>autoriza</w:t>
      </w:r>
      <w:r w:rsidR="0C81BF94">
        <w:t xml:space="preserve"> </w:t>
      </w:r>
      <w:r w:rsidR="2306960C">
        <w:t xml:space="preserve">o registro de comparecimento do participante, em alguns casos, a serem definidos pela chefia da unidade de execução e registrados no Termo de Ciência e Responsabilidade. </w:t>
      </w:r>
      <w:r w:rsidR="025908A5">
        <w:t>O art. 10 da minuta</w:t>
      </w:r>
      <w:r w:rsidR="2306960C">
        <w:t xml:space="preserve"> está amparad</w:t>
      </w:r>
      <w:r w:rsidR="61AB7B3D">
        <w:t>o</w:t>
      </w:r>
      <w:r w:rsidR="2306960C">
        <w:t xml:space="preserve"> no</w:t>
      </w:r>
      <w:r w:rsidR="540A627A">
        <w:t xml:space="preserve"> §5º do art. 6º da </w:t>
      </w:r>
      <w:r w:rsidR="12C1545E">
        <w:t>IN nº 24/23</w:t>
      </w:r>
      <w:r w:rsidR="540A627A">
        <w:t xml:space="preserve">. </w:t>
      </w:r>
      <w:r w:rsidRPr="06F68B68" w:rsidR="32FFF179">
        <w:rPr>
          <w:i/>
          <w:iCs/>
          <w:color w:val="FF0000"/>
        </w:rPr>
        <w:t>[</w:t>
      </w:r>
      <w:r w:rsidRPr="06F68B68" w:rsidR="540A627A">
        <w:rPr>
          <w:i/>
          <w:iCs/>
          <w:color w:val="FF0000"/>
        </w:rPr>
        <w:t>Fica dis</w:t>
      </w:r>
      <w:r w:rsidRPr="06F68B68" w:rsidR="53AD7EE0">
        <w:rPr>
          <w:i/>
          <w:iCs/>
          <w:color w:val="FF0000"/>
        </w:rPr>
        <w:t>pensado este item, caso o art. 10 não esteja presente na minuta de portaria.]</w:t>
      </w:r>
    </w:p>
    <w:p w:rsidRPr="00B8294D" w:rsidR="00B8294D" w:rsidP="00B8294D" w:rsidRDefault="00B8294D" w14:paraId="72C2375C" w14:textId="08D34329">
      <w:pPr>
        <w:jc w:val="both"/>
      </w:pPr>
    </w:p>
    <w:p w:rsidRPr="00B8294D" w:rsidR="00B8294D" w:rsidP="06F68B68" w:rsidRDefault="6AC64F9F" w14:paraId="5306D284" w14:textId="7C38F2A6">
      <w:pPr>
        <w:jc w:val="both"/>
      </w:pPr>
      <w:r>
        <w:t xml:space="preserve">16. </w:t>
      </w:r>
      <w:r w:rsidR="59A1991C">
        <w:t>O art. 11 trata da data de entrada em vigor da portaria.</w:t>
      </w:r>
    </w:p>
    <w:p w:rsidRPr="00B8294D" w:rsidR="00B8294D" w:rsidP="06F68B68" w:rsidRDefault="00B8294D" w14:paraId="58B64418" w14:textId="414F377F">
      <w:pPr>
        <w:jc w:val="both"/>
      </w:pPr>
    </w:p>
    <w:p w:rsidRPr="00B8294D" w:rsidR="00B8294D" w:rsidP="06F68B68" w:rsidRDefault="51D9FA00" w14:paraId="622E79D8" w14:textId="7E0DF143">
      <w:pPr>
        <w:jc w:val="both"/>
      </w:pPr>
      <w:r w:rsidR="51D9FA00">
        <w:rPr/>
        <w:t xml:space="preserve">17. </w:t>
      </w:r>
      <w:r w:rsidR="5A3AE699">
        <w:rPr/>
        <w:t>O</w:t>
      </w:r>
      <w:r w:rsidR="59A1991C">
        <w:rPr/>
        <w:t xml:space="preserve"> </w:t>
      </w:r>
      <w:r w:rsidR="0008128A">
        <w:rPr/>
        <w:t>A</w:t>
      </w:r>
      <w:r w:rsidR="59A1991C">
        <w:rPr/>
        <w:t>nexo</w:t>
      </w:r>
      <w:r w:rsidR="0008128A">
        <w:rPr/>
        <w:t xml:space="preserve"> I</w:t>
      </w:r>
      <w:r w:rsidR="59A1991C">
        <w:rPr/>
        <w:t xml:space="preserve"> trata de modelo de Termo</w:t>
      </w:r>
      <w:r w:rsidR="59A1991C">
        <w:rPr/>
        <w:t xml:space="preserve"> de Ciência e Responsabilidades a ser seguido pelas chefias de unidade de execução. Ele</w:t>
      </w:r>
      <w:r w:rsidR="59A1991C">
        <w:rPr/>
        <w:t xml:space="preserve"> fo</w:t>
      </w:r>
      <w:r w:rsidR="0024713B">
        <w:rPr/>
        <w:t>i</w:t>
      </w:r>
      <w:r w:rsidR="59A1991C">
        <w:rPr/>
        <w:t xml:space="preserve"> elaborado</w:t>
      </w:r>
      <w:r w:rsidR="59A1991C">
        <w:rPr/>
        <w:t xml:space="preserve"> com base no conteúdo obrigatório previsto ao longo da </w:t>
      </w:r>
      <w:r w:rsidR="12C1545E">
        <w:rPr/>
        <w:t>IN nº 24/23</w:t>
      </w:r>
      <w:r w:rsidR="0024713B">
        <w:rPr/>
        <w:t xml:space="preserve"> e suas alterações</w:t>
      </w:r>
      <w:r w:rsidR="398D5932">
        <w:rPr/>
        <w:t>.</w:t>
      </w:r>
    </w:p>
    <w:p w:rsidR="06F68B68" w:rsidP="06F68B68" w:rsidRDefault="06F68B68" w14:paraId="2F7EE4F9" w14:textId="2C353602">
      <w:pPr>
        <w:jc w:val="both"/>
      </w:pPr>
    </w:p>
    <w:p w:rsidR="3D0E70D8" w:rsidP="00AF14A5" w:rsidRDefault="3D0E70D8" w14:paraId="516922CC" w14:textId="039666AA">
      <w:pPr>
        <w:jc w:val="both"/>
        <w:rPr>
          <w:b/>
          <w:bCs/>
        </w:rPr>
      </w:pPr>
      <w:r w:rsidRPr="3839F589">
        <w:rPr>
          <w:b/>
          <w:bCs/>
        </w:rPr>
        <w:t xml:space="preserve">Conclusão </w:t>
      </w:r>
    </w:p>
    <w:p w:rsidR="3D0E70D8" w:rsidP="00AF14A5" w:rsidRDefault="3D0E70D8" w14:paraId="1B0B9539" w14:textId="0BAEB99C">
      <w:pPr>
        <w:jc w:val="both"/>
      </w:pPr>
      <w:r w:rsidRPr="3839F589">
        <w:t xml:space="preserve"> </w:t>
      </w:r>
    </w:p>
    <w:p w:rsidR="3D0E70D8" w:rsidP="00AF14A5" w:rsidRDefault="5E900B29" w14:paraId="2751E75A" w14:textId="7D2DD117">
      <w:pPr>
        <w:pStyle w:val="ListParagraph"/>
        <w:ind w:left="0"/>
        <w:jc w:val="both"/>
      </w:pPr>
      <w:r w:rsidR="5E900B29">
        <w:rPr/>
        <w:t>18.</w:t>
      </w:r>
      <w:r w:rsidR="00316F4A">
        <w:rPr/>
        <w:t xml:space="preserve"> </w:t>
      </w:r>
      <w:r w:rsidR="3D0E70D8">
        <w:rPr/>
        <w:t>Esta Nota Técnica apresentou os fundamentos que embasam a</w:t>
      </w:r>
      <w:r w:rsidR="38DB4CFF">
        <w:rPr/>
        <w:t xml:space="preserve"> presente</w:t>
      </w:r>
      <w:r w:rsidR="3D0E70D8">
        <w:rPr/>
        <w:t xml:space="preserve"> minuta de </w:t>
      </w:r>
      <w:r w:rsidR="0008128A">
        <w:rPr/>
        <w:t>p</w:t>
      </w:r>
      <w:r w:rsidR="3D0E70D8">
        <w:rPr/>
        <w:t xml:space="preserve">ortaria, a ser assinada </w:t>
      </w:r>
      <w:r w:rsidR="00316F4A">
        <w:rPr/>
        <w:t xml:space="preserve">pela </w:t>
      </w:r>
      <w:r w:rsidRPr="7CA827FC" w:rsidR="00316F4A">
        <w:rPr>
          <w:i w:val="1"/>
          <w:iCs w:val="1"/>
          <w:color w:val="FF0000"/>
        </w:rPr>
        <w:t>[</w:t>
      </w:r>
      <w:r w:rsidRPr="7CA827FC" w:rsidR="2ADD50A2">
        <w:rPr>
          <w:i w:val="1"/>
          <w:iCs w:val="1"/>
          <w:color w:val="FF0000"/>
        </w:rPr>
        <w:t>dirigente máximo da autarquia, fundação pública ou unidade da administração direta de nível não inferior ao de Secretaria ou equivalente]</w:t>
      </w:r>
      <w:r w:rsidR="3D0E70D8">
        <w:rPr/>
        <w:t xml:space="preserve">, </w:t>
      </w:r>
      <w:r w:rsidR="34AFCF0C">
        <w:rPr/>
        <w:t>co</w:t>
      </w:r>
      <w:r w:rsidR="3D0E70D8">
        <w:rPr/>
        <w:t xml:space="preserve">m o propósito de </w:t>
      </w:r>
      <w:r w:rsidR="00B83B2E">
        <w:rPr/>
        <w:t xml:space="preserve">instituir </w:t>
      </w:r>
      <w:r w:rsidR="3D0E70D8">
        <w:rPr/>
        <w:t xml:space="preserve">o PGD no </w:t>
      </w:r>
      <w:r w:rsidRPr="7CA827FC" w:rsidR="77C424B6">
        <w:rPr>
          <w:i w:val="1"/>
          <w:iCs w:val="1"/>
          <w:color w:val="FF0000"/>
        </w:rPr>
        <w:t>[autarquia, fundação pública ou unidade da administração direta de nível não inferior ao de Secretaria ou equivalente</w:t>
      </w:r>
      <w:r w:rsidRPr="7CA827FC" w:rsidR="00316F4A">
        <w:rPr>
          <w:i w:val="1"/>
          <w:iCs w:val="1"/>
          <w:color w:val="FF0000"/>
        </w:rPr>
        <w:t>]</w:t>
      </w:r>
      <w:r w:rsidR="3D0E70D8">
        <w:rPr/>
        <w:t xml:space="preserve">. </w:t>
      </w:r>
    </w:p>
    <w:p w:rsidR="00B83B2E" w:rsidP="00AF14A5" w:rsidRDefault="00B83B2E" w14:paraId="7E608A69" w14:textId="77777777">
      <w:pPr>
        <w:pStyle w:val="ListParagraph"/>
        <w:ind w:left="0"/>
        <w:jc w:val="both"/>
      </w:pPr>
    </w:p>
    <w:p w:rsidRPr="004603AD" w:rsidR="004603AD" w:rsidP="7CA827FC" w:rsidRDefault="004603AD" w14:paraId="24D6A6BF" w14:textId="1284CF81">
      <w:pPr>
        <w:pStyle w:val="ListParagraph"/>
        <w:ind w:left="0"/>
        <w:jc w:val="both"/>
      </w:pPr>
      <w:r w:rsidR="7B0EDBCB">
        <w:rPr/>
        <w:t>19.</w:t>
      </w:r>
      <w:r w:rsidR="00AD406B">
        <w:rPr/>
        <w:t xml:space="preserve"> Diante</w:t>
      </w:r>
      <w:r w:rsidR="3D0E70D8">
        <w:rPr/>
        <w:t xml:space="preserve"> do exposto, propõe-se o encaminhamento da minuta de </w:t>
      </w:r>
      <w:r w:rsidR="0008128A">
        <w:rPr/>
        <w:t>p</w:t>
      </w:r>
      <w:r w:rsidR="3D0E70D8">
        <w:rPr/>
        <w:t xml:space="preserve">ortaria </w:t>
      </w:r>
      <w:r w:rsidR="00AD406B">
        <w:rPr/>
        <w:t>a</w:t>
      </w:r>
      <w:r w:rsidR="7A3667CD">
        <w:rPr/>
        <w:t xml:space="preserve"> </w:t>
      </w:r>
      <w:r w:rsidRPr="7CA827FC" w:rsidR="7A3667CD">
        <w:rPr>
          <w:i w:val="1"/>
          <w:iCs w:val="1"/>
          <w:color w:val="FF0000"/>
        </w:rPr>
        <w:t>[</w:t>
      </w:r>
      <w:r w:rsidRPr="7CA827FC" w:rsidR="009CFE32">
        <w:rPr>
          <w:i w:val="1"/>
          <w:iCs w:val="1"/>
          <w:color w:val="FF0000"/>
        </w:rPr>
        <w:t>autoridade signatária</w:t>
      </w:r>
      <w:r w:rsidRPr="7CA827FC" w:rsidR="00C800A2">
        <w:rPr>
          <w:i w:val="1"/>
          <w:iCs w:val="1"/>
          <w:color w:val="FF0000"/>
        </w:rPr>
        <w:t>]</w:t>
      </w:r>
      <w:r w:rsidRPr="7CA827FC" w:rsidR="3D0E70D8">
        <w:rPr>
          <w:i w:val="1"/>
          <w:iCs w:val="1"/>
          <w:color w:val="FF0000"/>
        </w:rPr>
        <w:t>.</w:t>
      </w:r>
      <w:r w:rsidR="3D0E70D8">
        <w:rPr/>
        <w:t xml:space="preserve"> </w:t>
      </w:r>
    </w:p>
    <w:sectPr w:rsidRPr="004603AD" w:rsidR="004603AD">
      <w:pgSz w:w="12240" w:h="15840"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MyXzzlXS3dnHk" int2:id="rlxlNJHe">
      <int2:state int2:type="spell" int2:value="Rejected"/>
    </int2:textHash>
    <int2:textHash int2:hashCode="LVBO7cwe8mY7Su" int2:id="dtDl92RK">
      <int2:state int2:type="AugLoop_Text_Critique" int2:value="Rejected"/>
    </int2:textHash>
    <int2:bookmark int2:bookmarkName="_Int_0RgiVyZf" int2:invalidationBookmarkName="" int2:hashCode="eoGvPlkaxxP4Hq" int2:id="RFAJ1b99">
      <int2:state int2:type="gram" int2:value="Rejected"/>
    </int2:bookmark>
    <int2:bookmark int2:bookmarkName="_Int_6mthp3pf" int2:invalidationBookmarkName="" int2:hashCode="eoGvPlkaxxP4Hq" int2:id="FdURBdGX">
      <int2:state int2:type="gram" int2:value="Rejected"/>
    </int2:bookmark>
    <int2:bookmark int2:bookmarkName="_Int_zyK8zIJh" int2:invalidationBookmarkName="" int2:hashCode="3yEczdlKY+C8ue" int2:id="jW1DFJ9Y">
      <int2:state int2:type="gram" int2:value="Rejected"/>
    </int2:bookmark>
    <int2:bookmark int2:bookmarkName="_Int_J3j7kB67" int2:invalidationBookmarkName="" int2:hashCode="3yEczdlKY+C8ue" int2:id="UAArX94h">
      <int2:state int2:type="gram" int2:value="Rejected"/>
    </int2:bookmark>
    <int2:bookmark int2:bookmarkName="_Int_z4nD3tUJ" int2:invalidationBookmarkName="" int2:hashCode="mZo0GdmVnTw5sR" int2:id="1Gld3kAK">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ABE"/>
    <w:multiLevelType w:val="hybridMultilevel"/>
    <w:tmpl w:val="5210B25A"/>
    <w:lvl w:ilvl="0" w:tplc="B5BC9478">
      <w:start w:val="1"/>
      <w:numFmt w:val="decimal"/>
      <w:lvlText w:val="%1."/>
      <w:lvlJc w:val="left"/>
      <w:pPr>
        <w:ind w:left="602" w:hanging="197"/>
      </w:pPr>
      <w:rPr>
        <w:rFonts w:hint="default" w:ascii="Times New Roman" w:hAnsi="Times New Roman" w:eastAsia="Times New Roman" w:cs="Times New Roman"/>
        <w:w w:val="100"/>
        <w:sz w:val="18"/>
        <w:szCs w:val="18"/>
      </w:rPr>
    </w:lvl>
    <w:lvl w:ilvl="1" w:tplc="3F9EE2DC">
      <w:numFmt w:val="bullet"/>
      <w:lvlText w:val="•"/>
      <w:lvlJc w:val="left"/>
      <w:pPr>
        <w:ind w:left="1630" w:hanging="197"/>
      </w:pPr>
      <w:rPr>
        <w:rFonts w:hint="default"/>
      </w:rPr>
    </w:lvl>
    <w:lvl w:ilvl="2" w:tplc="935E042E">
      <w:numFmt w:val="bullet"/>
      <w:lvlText w:val="•"/>
      <w:lvlJc w:val="left"/>
      <w:pPr>
        <w:ind w:left="2660" w:hanging="197"/>
      </w:pPr>
      <w:rPr>
        <w:rFonts w:hint="default"/>
      </w:rPr>
    </w:lvl>
    <w:lvl w:ilvl="3" w:tplc="AEF460CC">
      <w:numFmt w:val="bullet"/>
      <w:lvlText w:val="•"/>
      <w:lvlJc w:val="left"/>
      <w:pPr>
        <w:ind w:left="3690" w:hanging="197"/>
      </w:pPr>
      <w:rPr>
        <w:rFonts w:hint="default"/>
      </w:rPr>
    </w:lvl>
    <w:lvl w:ilvl="4" w:tplc="0784AE64">
      <w:numFmt w:val="bullet"/>
      <w:lvlText w:val="•"/>
      <w:lvlJc w:val="left"/>
      <w:pPr>
        <w:ind w:left="4720" w:hanging="197"/>
      </w:pPr>
      <w:rPr>
        <w:rFonts w:hint="default"/>
      </w:rPr>
    </w:lvl>
    <w:lvl w:ilvl="5" w:tplc="D074910A">
      <w:numFmt w:val="bullet"/>
      <w:lvlText w:val="•"/>
      <w:lvlJc w:val="left"/>
      <w:pPr>
        <w:ind w:left="5750" w:hanging="197"/>
      </w:pPr>
      <w:rPr>
        <w:rFonts w:hint="default"/>
      </w:rPr>
    </w:lvl>
    <w:lvl w:ilvl="6" w:tplc="CC6CD66C">
      <w:numFmt w:val="bullet"/>
      <w:lvlText w:val="•"/>
      <w:lvlJc w:val="left"/>
      <w:pPr>
        <w:ind w:left="6780" w:hanging="197"/>
      </w:pPr>
      <w:rPr>
        <w:rFonts w:hint="default"/>
      </w:rPr>
    </w:lvl>
    <w:lvl w:ilvl="7" w:tplc="6AFE2CF0">
      <w:numFmt w:val="bullet"/>
      <w:lvlText w:val="•"/>
      <w:lvlJc w:val="left"/>
      <w:pPr>
        <w:ind w:left="7810" w:hanging="197"/>
      </w:pPr>
      <w:rPr>
        <w:rFonts w:hint="default"/>
      </w:rPr>
    </w:lvl>
    <w:lvl w:ilvl="8" w:tplc="648006C8">
      <w:numFmt w:val="bullet"/>
      <w:lvlText w:val="•"/>
      <w:lvlJc w:val="left"/>
      <w:pPr>
        <w:ind w:left="8840" w:hanging="197"/>
      </w:pPr>
      <w:rPr>
        <w:rFonts w:hint="default"/>
      </w:rPr>
    </w:lvl>
  </w:abstractNum>
  <w:abstractNum w:abstractNumId="1" w15:restartNumberingAfterBreak="0">
    <w:nsid w:val="13E61A6A"/>
    <w:multiLevelType w:val="hybridMultilevel"/>
    <w:tmpl w:val="0EE855AA"/>
    <w:lvl w:ilvl="0" w:tplc="CB9EE8A8">
      <w:start w:val="1"/>
      <w:numFmt w:val="decimal"/>
      <w:lvlText w:val="%1."/>
      <w:lvlJc w:val="left"/>
      <w:pPr>
        <w:ind w:left="1730" w:hanging="1129"/>
      </w:pPr>
      <w:rPr>
        <w:rFonts w:hint="default" w:ascii="Times New Roman" w:hAnsi="Times New Roman" w:eastAsia="Times New Roman" w:cs="Times New Roman"/>
        <w:spacing w:val="-1"/>
        <w:w w:val="100"/>
        <w:sz w:val="18"/>
        <w:szCs w:val="18"/>
      </w:rPr>
    </w:lvl>
    <w:lvl w:ilvl="1" w:tplc="071AD508">
      <w:start w:val="1"/>
      <w:numFmt w:val="upperRoman"/>
      <w:lvlText w:val="%2"/>
      <w:lvlJc w:val="left"/>
      <w:pPr>
        <w:ind w:left="110" w:hanging="178"/>
        <w:jc w:val="right"/>
      </w:pPr>
      <w:rPr>
        <w:rFonts w:hint="default" w:ascii="Arial" w:hAnsi="Arial" w:eastAsia="Arial" w:cs="Arial"/>
        <w:w w:val="90"/>
        <w:sz w:val="24"/>
        <w:szCs w:val="24"/>
      </w:rPr>
    </w:lvl>
    <w:lvl w:ilvl="2" w:tplc="2BE2EBE2">
      <w:numFmt w:val="bullet"/>
      <w:lvlText w:val="•"/>
      <w:lvlJc w:val="left"/>
      <w:pPr>
        <w:ind w:left="2757" w:hanging="178"/>
      </w:pPr>
      <w:rPr>
        <w:rFonts w:hint="default"/>
      </w:rPr>
    </w:lvl>
    <w:lvl w:ilvl="3" w:tplc="F51CD06A">
      <w:numFmt w:val="bullet"/>
      <w:lvlText w:val="•"/>
      <w:lvlJc w:val="left"/>
      <w:pPr>
        <w:ind w:left="3775" w:hanging="178"/>
      </w:pPr>
      <w:rPr>
        <w:rFonts w:hint="default"/>
      </w:rPr>
    </w:lvl>
    <w:lvl w:ilvl="4" w:tplc="E752C036">
      <w:numFmt w:val="bullet"/>
      <w:lvlText w:val="•"/>
      <w:lvlJc w:val="left"/>
      <w:pPr>
        <w:ind w:left="4793" w:hanging="178"/>
      </w:pPr>
      <w:rPr>
        <w:rFonts w:hint="default"/>
      </w:rPr>
    </w:lvl>
    <w:lvl w:ilvl="5" w:tplc="6456A2AA">
      <w:numFmt w:val="bullet"/>
      <w:lvlText w:val="•"/>
      <w:lvlJc w:val="left"/>
      <w:pPr>
        <w:ind w:left="5811" w:hanging="178"/>
      </w:pPr>
      <w:rPr>
        <w:rFonts w:hint="default"/>
      </w:rPr>
    </w:lvl>
    <w:lvl w:ilvl="6" w:tplc="C77A3768">
      <w:numFmt w:val="bullet"/>
      <w:lvlText w:val="•"/>
      <w:lvlJc w:val="left"/>
      <w:pPr>
        <w:ind w:left="6828" w:hanging="178"/>
      </w:pPr>
      <w:rPr>
        <w:rFonts w:hint="default"/>
      </w:rPr>
    </w:lvl>
    <w:lvl w:ilvl="7" w:tplc="EA72A3E0">
      <w:numFmt w:val="bullet"/>
      <w:lvlText w:val="•"/>
      <w:lvlJc w:val="left"/>
      <w:pPr>
        <w:ind w:left="7846" w:hanging="178"/>
      </w:pPr>
      <w:rPr>
        <w:rFonts w:hint="default"/>
      </w:rPr>
    </w:lvl>
    <w:lvl w:ilvl="8" w:tplc="468CC2A0">
      <w:numFmt w:val="bullet"/>
      <w:lvlText w:val="•"/>
      <w:lvlJc w:val="left"/>
      <w:pPr>
        <w:ind w:left="8864" w:hanging="178"/>
      </w:pPr>
      <w:rPr>
        <w:rFonts w:hint="default"/>
      </w:rPr>
    </w:lvl>
  </w:abstractNum>
  <w:abstractNum w:abstractNumId="2" w15:restartNumberingAfterBreak="0">
    <w:nsid w:val="1F971F36"/>
    <w:multiLevelType w:val="hybridMultilevel"/>
    <w:tmpl w:val="222A2044"/>
    <w:lvl w:ilvl="0" w:tplc="1284A0A8">
      <w:start w:val="4"/>
      <w:numFmt w:val="upperRoman"/>
      <w:lvlText w:val="%1"/>
      <w:lvlJc w:val="left"/>
      <w:pPr>
        <w:ind w:left="110" w:hanging="326"/>
      </w:pPr>
      <w:rPr>
        <w:rFonts w:hint="default" w:ascii="Arial" w:hAnsi="Arial" w:eastAsia="Arial" w:cs="Arial"/>
        <w:spacing w:val="0"/>
        <w:w w:val="85"/>
        <w:sz w:val="24"/>
        <w:szCs w:val="24"/>
      </w:rPr>
    </w:lvl>
    <w:lvl w:ilvl="1" w:tplc="B6544E7E">
      <w:numFmt w:val="bullet"/>
      <w:lvlText w:val="•"/>
      <w:lvlJc w:val="left"/>
      <w:pPr>
        <w:ind w:left="1198" w:hanging="326"/>
      </w:pPr>
      <w:rPr>
        <w:rFonts w:hint="default"/>
      </w:rPr>
    </w:lvl>
    <w:lvl w:ilvl="2" w:tplc="9796EF58">
      <w:numFmt w:val="bullet"/>
      <w:lvlText w:val="•"/>
      <w:lvlJc w:val="left"/>
      <w:pPr>
        <w:ind w:left="2276" w:hanging="326"/>
      </w:pPr>
      <w:rPr>
        <w:rFonts w:hint="default"/>
      </w:rPr>
    </w:lvl>
    <w:lvl w:ilvl="3" w:tplc="B8062DB8">
      <w:numFmt w:val="bullet"/>
      <w:lvlText w:val="•"/>
      <w:lvlJc w:val="left"/>
      <w:pPr>
        <w:ind w:left="3354" w:hanging="326"/>
      </w:pPr>
      <w:rPr>
        <w:rFonts w:hint="default"/>
      </w:rPr>
    </w:lvl>
    <w:lvl w:ilvl="4" w:tplc="7060AF12">
      <w:numFmt w:val="bullet"/>
      <w:lvlText w:val="•"/>
      <w:lvlJc w:val="left"/>
      <w:pPr>
        <w:ind w:left="4432" w:hanging="326"/>
      </w:pPr>
      <w:rPr>
        <w:rFonts w:hint="default"/>
      </w:rPr>
    </w:lvl>
    <w:lvl w:ilvl="5" w:tplc="FC12CE28">
      <w:numFmt w:val="bullet"/>
      <w:lvlText w:val="•"/>
      <w:lvlJc w:val="left"/>
      <w:pPr>
        <w:ind w:left="5510" w:hanging="326"/>
      </w:pPr>
      <w:rPr>
        <w:rFonts w:hint="default"/>
      </w:rPr>
    </w:lvl>
    <w:lvl w:ilvl="6" w:tplc="713475AA">
      <w:numFmt w:val="bullet"/>
      <w:lvlText w:val="•"/>
      <w:lvlJc w:val="left"/>
      <w:pPr>
        <w:ind w:left="6588" w:hanging="326"/>
      </w:pPr>
      <w:rPr>
        <w:rFonts w:hint="default"/>
      </w:rPr>
    </w:lvl>
    <w:lvl w:ilvl="7" w:tplc="65A61B36">
      <w:numFmt w:val="bullet"/>
      <w:lvlText w:val="•"/>
      <w:lvlJc w:val="left"/>
      <w:pPr>
        <w:ind w:left="7666" w:hanging="326"/>
      </w:pPr>
      <w:rPr>
        <w:rFonts w:hint="default"/>
      </w:rPr>
    </w:lvl>
    <w:lvl w:ilvl="8" w:tplc="63DA0914">
      <w:numFmt w:val="bullet"/>
      <w:lvlText w:val="•"/>
      <w:lvlJc w:val="left"/>
      <w:pPr>
        <w:ind w:left="8744" w:hanging="326"/>
      </w:pPr>
      <w:rPr>
        <w:rFonts w:hint="default"/>
      </w:rPr>
    </w:lvl>
  </w:abstractNum>
  <w:abstractNum w:abstractNumId="3" w15:restartNumberingAfterBreak="0">
    <w:nsid w:val="21BA06F3"/>
    <w:multiLevelType w:val="hybridMultilevel"/>
    <w:tmpl w:val="80B8936C"/>
    <w:lvl w:ilvl="0" w:tplc="372039E2">
      <w:start w:val="1"/>
      <w:numFmt w:val="lowerRoman"/>
      <w:lvlText w:val="(%1)"/>
      <w:lvlJc w:val="left"/>
      <w:pPr>
        <w:ind w:left="602" w:hanging="217"/>
      </w:pPr>
      <w:rPr>
        <w:rFonts w:hint="default" w:ascii="Times New Roman" w:hAnsi="Times New Roman" w:eastAsia="Times New Roman" w:cs="Times New Roman"/>
        <w:spacing w:val="-1"/>
        <w:w w:val="100"/>
        <w:sz w:val="18"/>
        <w:szCs w:val="18"/>
      </w:rPr>
    </w:lvl>
    <w:lvl w:ilvl="1" w:tplc="015ED038">
      <w:numFmt w:val="bullet"/>
      <w:lvlText w:val="•"/>
      <w:lvlJc w:val="left"/>
      <w:pPr>
        <w:ind w:left="1630" w:hanging="217"/>
      </w:pPr>
      <w:rPr>
        <w:rFonts w:hint="default"/>
      </w:rPr>
    </w:lvl>
    <w:lvl w:ilvl="2" w:tplc="9836C924">
      <w:numFmt w:val="bullet"/>
      <w:lvlText w:val="•"/>
      <w:lvlJc w:val="left"/>
      <w:pPr>
        <w:ind w:left="2660" w:hanging="217"/>
      </w:pPr>
      <w:rPr>
        <w:rFonts w:hint="default"/>
      </w:rPr>
    </w:lvl>
    <w:lvl w:ilvl="3" w:tplc="15B04A96">
      <w:numFmt w:val="bullet"/>
      <w:lvlText w:val="•"/>
      <w:lvlJc w:val="left"/>
      <w:pPr>
        <w:ind w:left="3690" w:hanging="217"/>
      </w:pPr>
      <w:rPr>
        <w:rFonts w:hint="default"/>
      </w:rPr>
    </w:lvl>
    <w:lvl w:ilvl="4" w:tplc="F0C2E638">
      <w:numFmt w:val="bullet"/>
      <w:lvlText w:val="•"/>
      <w:lvlJc w:val="left"/>
      <w:pPr>
        <w:ind w:left="4720" w:hanging="217"/>
      </w:pPr>
      <w:rPr>
        <w:rFonts w:hint="default"/>
      </w:rPr>
    </w:lvl>
    <w:lvl w:ilvl="5" w:tplc="8668C716">
      <w:numFmt w:val="bullet"/>
      <w:lvlText w:val="•"/>
      <w:lvlJc w:val="left"/>
      <w:pPr>
        <w:ind w:left="5750" w:hanging="217"/>
      </w:pPr>
      <w:rPr>
        <w:rFonts w:hint="default"/>
      </w:rPr>
    </w:lvl>
    <w:lvl w:ilvl="6" w:tplc="332ECA84">
      <w:numFmt w:val="bullet"/>
      <w:lvlText w:val="•"/>
      <w:lvlJc w:val="left"/>
      <w:pPr>
        <w:ind w:left="6780" w:hanging="217"/>
      </w:pPr>
      <w:rPr>
        <w:rFonts w:hint="default"/>
      </w:rPr>
    </w:lvl>
    <w:lvl w:ilvl="7" w:tplc="BF48C5D6">
      <w:numFmt w:val="bullet"/>
      <w:lvlText w:val="•"/>
      <w:lvlJc w:val="left"/>
      <w:pPr>
        <w:ind w:left="7810" w:hanging="217"/>
      </w:pPr>
      <w:rPr>
        <w:rFonts w:hint="default"/>
      </w:rPr>
    </w:lvl>
    <w:lvl w:ilvl="8" w:tplc="2E40D666">
      <w:numFmt w:val="bullet"/>
      <w:lvlText w:val="•"/>
      <w:lvlJc w:val="left"/>
      <w:pPr>
        <w:ind w:left="8840" w:hanging="217"/>
      </w:pPr>
      <w:rPr>
        <w:rFonts w:hint="default"/>
      </w:rPr>
    </w:lvl>
  </w:abstractNum>
  <w:abstractNum w:abstractNumId="4" w15:restartNumberingAfterBreak="0">
    <w:nsid w:val="26890F32"/>
    <w:multiLevelType w:val="hybridMultilevel"/>
    <w:tmpl w:val="4F468FEA"/>
    <w:lvl w:ilvl="0" w:tplc="9F5AC198">
      <w:start w:val="1"/>
      <w:numFmt w:val="lowerRoman"/>
      <w:lvlText w:val="(%1)"/>
      <w:lvlJc w:val="left"/>
      <w:pPr>
        <w:ind w:left="602" w:hanging="220"/>
      </w:pPr>
      <w:rPr>
        <w:rFonts w:hint="default" w:ascii="Times New Roman" w:hAnsi="Times New Roman" w:eastAsia="Times New Roman" w:cs="Times New Roman"/>
        <w:spacing w:val="-1"/>
        <w:w w:val="100"/>
        <w:sz w:val="18"/>
        <w:szCs w:val="18"/>
      </w:rPr>
    </w:lvl>
    <w:lvl w:ilvl="1" w:tplc="95C8AE08">
      <w:numFmt w:val="bullet"/>
      <w:lvlText w:val="•"/>
      <w:lvlJc w:val="left"/>
      <w:pPr>
        <w:ind w:left="1630" w:hanging="220"/>
      </w:pPr>
      <w:rPr>
        <w:rFonts w:hint="default"/>
      </w:rPr>
    </w:lvl>
    <w:lvl w:ilvl="2" w:tplc="FC10A91A">
      <w:numFmt w:val="bullet"/>
      <w:lvlText w:val="•"/>
      <w:lvlJc w:val="left"/>
      <w:pPr>
        <w:ind w:left="2660" w:hanging="220"/>
      </w:pPr>
      <w:rPr>
        <w:rFonts w:hint="default"/>
      </w:rPr>
    </w:lvl>
    <w:lvl w:ilvl="3" w:tplc="BA328064">
      <w:numFmt w:val="bullet"/>
      <w:lvlText w:val="•"/>
      <w:lvlJc w:val="left"/>
      <w:pPr>
        <w:ind w:left="3690" w:hanging="220"/>
      </w:pPr>
      <w:rPr>
        <w:rFonts w:hint="default"/>
      </w:rPr>
    </w:lvl>
    <w:lvl w:ilvl="4" w:tplc="0D66747A">
      <w:numFmt w:val="bullet"/>
      <w:lvlText w:val="•"/>
      <w:lvlJc w:val="left"/>
      <w:pPr>
        <w:ind w:left="4720" w:hanging="220"/>
      </w:pPr>
      <w:rPr>
        <w:rFonts w:hint="default"/>
      </w:rPr>
    </w:lvl>
    <w:lvl w:ilvl="5" w:tplc="CA084C6C">
      <w:numFmt w:val="bullet"/>
      <w:lvlText w:val="•"/>
      <w:lvlJc w:val="left"/>
      <w:pPr>
        <w:ind w:left="5750" w:hanging="220"/>
      </w:pPr>
      <w:rPr>
        <w:rFonts w:hint="default"/>
      </w:rPr>
    </w:lvl>
    <w:lvl w:ilvl="6" w:tplc="206E9918">
      <w:numFmt w:val="bullet"/>
      <w:lvlText w:val="•"/>
      <w:lvlJc w:val="left"/>
      <w:pPr>
        <w:ind w:left="6780" w:hanging="220"/>
      </w:pPr>
      <w:rPr>
        <w:rFonts w:hint="default"/>
      </w:rPr>
    </w:lvl>
    <w:lvl w:ilvl="7" w:tplc="A176C9AA">
      <w:numFmt w:val="bullet"/>
      <w:lvlText w:val="•"/>
      <w:lvlJc w:val="left"/>
      <w:pPr>
        <w:ind w:left="7810" w:hanging="220"/>
      </w:pPr>
      <w:rPr>
        <w:rFonts w:hint="default"/>
      </w:rPr>
    </w:lvl>
    <w:lvl w:ilvl="8" w:tplc="0F2AF9C4">
      <w:numFmt w:val="bullet"/>
      <w:lvlText w:val="•"/>
      <w:lvlJc w:val="left"/>
      <w:pPr>
        <w:ind w:left="8840" w:hanging="220"/>
      </w:pPr>
      <w:rPr>
        <w:rFonts w:hint="default"/>
      </w:rPr>
    </w:lvl>
  </w:abstractNum>
  <w:abstractNum w:abstractNumId="5" w15:restartNumberingAfterBreak="0">
    <w:nsid w:val="2E6B7D6C"/>
    <w:multiLevelType w:val="hybridMultilevel"/>
    <w:tmpl w:val="E084D2FA"/>
    <w:lvl w:ilvl="0" w:tplc="47445CC0">
      <w:start w:val="1"/>
      <w:numFmt w:val="upperRoman"/>
      <w:lvlText w:val="%1"/>
      <w:lvlJc w:val="left"/>
      <w:pPr>
        <w:ind w:left="115" w:hanging="228"/>
        <w:jc w:val="right"/>
      </w:pPr>
      <w:rPr>
        <w:rFonts w:hint="default" w:ascii="Arial" w:hAnsi="Arial" w:eastAsia="Arial" w:cs="Arial"/>
        <w:color w:val="162937"/>
        <w:w w:val="93"/>
        <w:sz w:val="27"/>
        <w:szCs w:val="27"/>
      </w:rPr>
    </w:lvl>
    <w:lvl w:ilvl="1" w:tplc="B5669BFC">
      <w:start w:val="1"/>
      <w:numFmt w:val="upperRoman"/>
      <w:lvlText w:val="%2"/>
      <w:lvlJc w:val="left"/>
      <w:pPr>
        <w:ind w:left="1641" w:hanging="176"/>
      </w:pPr>
      <w:rPr>
        <w:rFonts w:hint="default" w:ascii="Arial" w:hAnsi="Arial" w:eastAsia="Arial" w:cs="Arial"/>
        <w:color w:val="162937"/>
        <w:w w:val="93"/>
        <w:sz w:val="27"/>
        <w:szCs w:val="27"/>
      </w:rPr>
    </w:lvl>
    <w:lvl w:ilvl="2" w:tplc="C0E6DBA4">
      <w:numFmt w:val="bullet"/>
      <w:lvlText w:val="•"/>
      <w:lvlJc w:val="left"/>
      <w:pPr>
        <w:ind w:left="2984" w:hanging="176"/>
      </w:pPr>
      <w:rPr>
        <w:rFonts w:hint="default"/>
      </w:rPr>
    </w:lvl>
    <w:lvl w:ilvl="3" w:tplc="D4DC75B4">
      <w:numFmt w:val="bullet"/>
      <w:lvlText w:val="•"/>
      <w:lvlJc w:val="left"/>
      <w:pPr>
        <w:ind w:left="4328" w:hanging="176"/>
      </w:pPr>
      <w:rPr>
        <w:rFonts w:hint="default"/>
      </w:rPr>
    </w:lvl>
    <w:lvl w:ilvl="4" w:tplc="08562E8E">
      <w:numFmt w:val="bullet"/>
      <w:lvlText w:val="•"/>
      <w:lvlJc w:val="left"/>
      <w:pPr>
        <w:ind w:left="5672" w:hanging="176"/>
      </w:pPr>
      <w:rPr>
        <w:rFonts w:hint="default"/>
      </w:rPr>
    </w:lvl>
    <w:lvl w:ilvl="5" w:tplc="50CC0804">
      <w:numFmt w:val="bullet"/>
      <w:lvlText w:val="•"/>
      <w:lvlJc w:val="left"/>
      <w:pPr>
        <w:ind w:left="7016" w:hanging="176"/>
      </w:pPr>
      <w:rPr>
        <w:rFonts w:hint="default"/>
      </w:rPr>
    </w:lvl>
    <w:lvl w:ilvl="6" w:tplc="BF86EC8C">
      <w:numFmt w:val="bullet"/>
      <w:lvlText w:val="•"/>
      <w:lvlJc w:val="left"/>
      <w:pPr>
        <w:ind w:left="8360" w:hanging="176"/>
      </w:pPr>
      <w:rPr>
        <w:rFonts w:hint="default"/>
      </w:rPr>
    </w:lvl>
    <w:lvl w:ilvl="7" w:tplc="3E548368">
      <w:numFmt w:val="bullet"/>
      <w:lvlText w:val="•"/>
      <w:lvlJc w:val="left"/>
      <w:pPr>
        <w:ind w:left="9705" w:hanging="176"/>
      </w:pPr>
      <w:rPr>
        <w:rFonts w:hint="default"/>
      </w:rPr>
    </w:lvl>
    <w:lvl w:ilvl="8" w:tplc="CE400B70">
      <w:numFmt w:val="bullet"/>
      <w:lvlText w:val="•"/>
      <w:lvlJc w:val="left"/>
      <w:pPr>
        <w:ind w:left="11049" w:hanging="176"/>
      </w:pPr>
      <w:rPr>
        <w:rFonts w:hint="default"/>
      </w:rPr>
    </w:lvl>
  </w:abstractNum>
  <w:abstractNum w:abstractNumId="6" w15:restartNumberingAfterBreak="0">
    <w:nsid w:val="50DE8CEA"/>
    <w:multiLevelType w:val="hybridMultilevel"/>
    <w:tmpl w:val="5DFE4C78"/>
    <w:lvl w:ilvl="0" w:tplc="1CD45142">
      <w:start w:val="1"/>
      <w:numFmt w:val="bullet"/>
      <w:lvlText w:val=""/>
      <w:lvlJc w:val="left"/>
      <w:pPr>
        <w:ind w:left="720" w:hanging="360"/>
      </w:pPr>
      <w:rPr>
        <w:rFonts w:hint="default" w:ascii="Symbol" w:hAnsi="Symbol"/>
      </w:rPr>
    </w:lvl>
    <w:lvl w:ilvl="1" w:tplc="BB7E603E">
      <w:start w:val="1"/>
      <w:numFmt w:val="bullet"/>
      <w:lvlText w:val="o"/>
      <w:lvlJc w:val="left"/>
      <w:pPr>
        <w:ind w:left="1440" w:hanging="360"/>
      </w:pPr>
      <w:rPr>
        <w:rFonts w:hint="default" w:ascii="Courier New" w:hAnsi="Courier New"/>
      </w:rPr>
    </w:lvl>
    <w:lvl w:ilvl="2" w:tplc="C26C3F6A">
      <w:start w:val="1"/>
      <w:numFmt w:val="bullet"/>
      <w:lvlText w:val=""/>
      <w:lvlJc w:val="left"/>
      <w:pPr>
        <w:ind w:left="2160" w:hanging="360"/>
      </w:pPr>
      <w:rPr>
        <w:rFonts w:hint="default" w:ascii="Wingdings" w:hAnsi="Wingdings"/>
      </w:rPr>
    </w:lvl>
    <w:lvl w:ilvl="3" w:tplc="271E0D8C">
      <w:start w:val="1"/>
      <w:numFmt w:val="bullet"/>
      <w:lvlText w:val=""/>
      <w:lvlJc w:val="left"/>
      <w:pPr>
        <w:ind w:left="2880" w:hanging="360"/>
      </w:pPr>
      <w:rPr>
        <w:rFonts w:hint="default" w:ascii="Symbol" w:hAnsi="Symbol"/>
      </w:rPr>
    </w:lvl>
    <w:lvl w:ilvl="4" w:tplc="084A51F8">
      <w:start w:val="1"/>
      <w:numFmt w:val="bullet"/>
      <w:lvlText w:val="o"/>
      <w:lvlJc w:val="left"/>
      <w:pPr>
        <w:ind w:left="3600" w:hanging="360"/>
      </w:pPr>
      <w:rPr>
        <w:rFonts w:hint="default" w:ascii="Courier New" w:hAnsi="Courier New"/>
      </w:rPr>
    </w:lvl>
    <w:lvl w:ilvl="5" w:tplc="2EC6CFA8">
      <w:start w:val="1"/>
      <w:numFmt w:val="bullet"/>
      <w:lvlText w:val=""/>
      <w:lvlJc w:val="left"/>
      <w:pPr>
        <w:ind w:left="4320" w:hanging="360"/>
      </w:pPr>
      <w:rPr>
        <w:rFonts w:hint="default" w:ascii="Wingdings" w:hAnsi="Wingdings"/>
      </w:rPr>
    </w:lvl>
    <w:lvl w:ilvl="6" w:tplc="E710E366">
      <w:start w:val="1"/>
      <w:numFmt w:val="bullet"/>
      <w:lvlText w:val=""/>
      <w:lvlJc w:val="left"/>
      <w:pPr>
        <w:ind w:left="5040" w:hanging="360"/>
      </w:pPr>
      <w:rPr>
        <w:rFonts w:hint="default" w:ascii="Symbol" w:hAnsi="Symbol"/>
      </w:rPr>
    </w:lvl>
    <w:lvl w:ilvl="7" w:tplc="486241EE">
      <w:start w:val="1"/>
      <w:numFmt w:val="bullet"/>
      <w:lvlText w:val="o"/>
      <w:lvlJc w:val="left"/>
      <w:pPr>
        <w:ind w:left="5760" w:hanging="360"/>
      </w:pPr>
      <w:rPr>
        <w:rFonts w:hint="default" w:ascii="Courier New" w:hAnsi="Courier New"/>
      </w:rPr>
    </w:lvl>
    <w:lvl w:ilvl="8" w:tplc="D0FC0CA4">
      <w:start w:val="1"/>
      <w:numFmt w:val="bullet"/>
      <w:lvlText w:val=""/>
      <w:lvlJc w:val="left"/>
      <w:pPr>
        <w:ind w:left="6480" w:hanging="360"/>
      </w:pPr>
      <w:rPr>
        <w:rFonts w:hint="default" w:ascii="Wingdings" w:hAnsi="Wingdings"/>
      </w:rPr>
    </w:lvl>
  </w:abstractNum>
  <w:abstractNum w:abstractNumId="7" w15:restartNumberingAfterBreak="0">
    <w:nsid w:val="6AB60AD5"/>
    <w:multiLevelType w:val="hybridMultilevel"/>
    <w:tmpl w:val="8BEEAE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AD7961"/>
    <w:multiLevelType w:val="hybridMultilevel"/>
    <w:tmpl w:val="D8BE6F14"/>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D50311"/>
    <w:multiLevelType w:val="hybridMultilevel"/>
    <w:tmpl w:val="67DCC6F8"/>
    <w:lvl w:ilvl="0" w:tplc="95EAC1F0">
      <w:start w:val="1"/>
      <w:numFmt w:val="bullet"/>
      <w:lvlText w:val=""/>
      <w:lvlJc w:val="left"/>
      <w:pPr>
        <w:ind w:left="720" w:hanging="360"/>
      </w:pPr>
      <w:rPr>
        <w:rFonts w:hint="default" w:ascii="Symbol" w:hAnsi="Symbol"/>
      </w:rPr>
    </w:lvl>
    <w:lvl w:ilvl="1" w:tplc="B052D56A">
      <w:start w:val="1"/>
      <w:numFmt w:val="bullet"/>
      <w:lvlText w:val="o"/>
      <w:lvlJc w:val="left"/>
      <w:pPr>
        <w:ind w:left="1440" w:hanging="360"/>
      </w:pPr>
      <w:rPr>
        <w:rFonts w:hint="default" w:ascii="Courier New" w:hAnsi="Courier New"/>
      </w:rPr>
    </w:lvl>
    <w:lvl w:ilvl="2" w:tplc="C2E2D3A6">
      <w:start w:val="1"/>
      <w:numFmt w:val="bullet"/>
      <w:lvlText w:val=""/>
      <w:lvlJc w:val="left"/>
      <w:pPr>
        <w:ind w:left="2160" w:hanging="360"/>
      </w:pPr>
      <w:rPr>
        <w:rFonts w:hint="default" w:ascii="Wingdings" w:hAnsi="Wingdings"/>
      </w:rPr>
    </w:lvl>
    <w:lvl w:ilvl="3" w:tplc="48AEC644">
      <w:start w:val="1"/>
      <w:numFmt w:val="bullet"/>
      <w:lvlText w:val=""/>
      <w:lvlJc w:val="left"/>
      <w:pPr>
        <w:ind w:left="2880" w:hanging="360"/>
      </w:pPr>
      <w:rPr>
        <w:rFonts w:hint="default" w:ascii="Symbol" w:hAnsi="Symbol"/>
      </w:rPr>
    </w:lvl>
    <w:lvl w:ilvl="4" w:tplc="A2261A1E">
      <w:start w:val="1"/>
      <w:numFmt w:val="bullet"/>
      <w:lvlText w:val="o"/>
      <w:lvlJc w:val="left"/>
      <w:pPr>
        <w:ind w:left="3600" w:hanging="360"/>
      </w:pPr>
      <w:rPr>
        <w:rFonts w:hint="default" w:ascii="Courier New" w:hAnsi="Courier New"/>
      </w:rPr>
    </w:lvl>
    <w:lvl w:ilvl="5" w:tplc="58DA1500">
      <w:start w:val="1"/>
      <w:numFmt w:val="bullet"/>
      <w:lvlText w:val=""/>
      <w:lvlJc w:val="left"/>
      <w:pPr>
        <w:ind w:left="4320" w:hanging="360"/>
      </w:pPr>
      <w:rPr>
        <w:rFonts w:hint="default" w:ascii="Wingdings" w:hAnsi="Wingdings"/>
      </w:rPr>
    </w:lvl>
    <w:lvl w:ilvl="6" w:tplc="15E8B996">
      <w:start w:val="1"/>
      <w:numFmt w:val="bullet"/>
      <w:lvlText w:val=""/>
      <w:lvlJc w:val="left"/>
      <w:pPr>
        <w:ind w:left="5040" w:hanging="360"/>
      </w:pPr>
      <w:rPr>
        <w:rFonts w:hint="default" w:ascii="Symbol" w:hAnsi="Symbol"/>
      </w:rPr>
    </w:lvl>
    <w:lvl w:ilvl="7" w:tplc="5B1E2584">
      <w:start w:val="1"/>
      <w:numFmt w:val="bullet"/>
      <w:lvlText w:val="o"/>
      <w:lvlJc w:val="left"/>
      <w:pPr>
        <w:ind w:left="5760" w:hanging="360"/>
      </w:pPr>
      <w:rPr>
        <w:rFonts w:hint="default" w:ascii="Courier New" w:hAnsi="Courier New"/>
      </w:rPr>
    </w:lvl>
    <w:lvl w:ilvl="8" w:tplc="B3D6971C">
      <w:start w:val="1"/>
      <w:numFmt w:val="bullet"/>
      <w:lvlText w:val=""/>
      <w:lvlJc w:val="left"/>
      <w:pPr>
        <w:ind w:left="6480" w:hanging="360"/>
      </w:pPr>
      <w:rPr>
        <w:rFonts w:hint="default" w:ascii="Wingdings" w:hAnsi="Wingdings"/>
      </w:rPr>
    </w:lvl>
  </w:abstractNum>
  <w:abstractNum w:abstractNumId="10" w15:restartNumberingAfterBreak="0">
    <w:nsid w:val="72905CC5"/>
    <w:multiLevelType w:val="hybridMultilevel"/>
    <w:tmpl w:val="2A649A2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3510CC"/>
    <w:multiLevelType w:val="hybridMultilevel"/>
    <w:tmpl w:val="318E70A4"/>
    <w:lvl w:ilvl="0" w:tplc="9DE60646">
      <w:start w:val="1"/>
      <w:numFmt w:val="decimal"/>
      <w:lvlText w:val="%1."/>
      <w:lvlJc w:val="left"/>
      <w:pPr>
        <w:ind w:left="110" w:hanging="1422"/>
      </w:pPr>
      <w:rPr>
        <w:rFonts w:hint="default" w:ascii="Arial" w:hAnsi="Arial" w:eastAsia="Arial" w:cs="Arial"/>
        <w:spacing w:val="-2"/>
        <w:w w:val="90"/>
        <w:sz w:val="24"/>
        <w:szCs w:val="24"/>
      </w:rPr>
    </w:lvl>
    <w:lvl w:ilvl="1" w:tplc="FCF4B2D6">
      <w:start w:val="2"/>
      <w:numFmt w:val="upperRoman"/>
      <w:lvlText w:val="%2"/>
      <w:lvlJc w:val="left"/>
      <w:pPr>
        <w:ind w:left="1485" w:hanging="175"/>
      </w:pPr>
      <w:rPr>
        <w:rFonts w:hint="default" w:ascii="Arial" w:hAnsi="Arial" w:eastAsia="Arial" w:cs="Arial"/>
        <w:spacing w:val="-1"/>
        <w:w w:val="90"/>
        <w:sz w:val="24"/>
        <w:szCs w:val="24"/>
      </w:rPr>
    </w:lvl>
    <w:lvl w:ilvl="2" w:tplc="4E7C47A0">
      <w:numFmt w:val="bullet"/>
      <w:lvlText w:val="•"/>
      <w:lvlJc w:val="left"/>
      <w:pPr>
        <w:ind w:left="2526" w:hanging="175"/>
      </w:pPr>
      <w:rPr>
        <w:rFonts w:hint="default"/>
      </w:rPr>
    </w:lvl>
    <w:lvl w:ilvl="3" w:tplc="530C750C">
      <w:numFmt w:val="bullet"/>
      <w:lvlText w:val="•"/>
      <w:lvlJc w:val="left"/>
      <w:pPr>
        <w:ind w:left="3573" w:hanging="175"/>
      </w:pPr>
      <w:rPr>
        <w:rFonts w:hint="default"/>
      </w:rPr>
    </w:lvl>
    <w:lvl w:ilvl="4" w:tplc="D01A1F50">
      <w:numFmt w:val="bullet"/>
      <w:lvlText w:val="•"/>
      <w:lvlJc w:val="left"/>
      <w:pPr>
        <w:ind w:left="4620" w:hanging="175"/>
      </w:pPr>
      <w:rPr>
        <w:rFonts w:hint="default"/>
      </w:rPr>
    </w:lvl>
    <w:lvl w:ilvl="5" w:tplc="AF48D8A0">
      <w:numFmt w:val="bullet"/>
      <w:lvlText w:val="•"/>
      <w:lvlJc w:val="left"/>
      <w:pPr>
        <w:ind w:left="5666" w:hanging="175"/>
      </w:pPr>
      <w:rPr>
        <w:rFonts w:hint="default"/>
      </w:rPr>
    </w:lvl>
    <w:lvl w:ilvl="6" w:tplc="325C5144">
      <w:numFmt w:val="bullet"/>
      <w:lvlText w:val="•"/>
      <w:lvlJc w:val="left"/>
      <w:pPr>
        <w:ind w:left="6713" w:hanging="175"/>
      </w:pPr>
      <w:rPr>
        <w:rFonts w:hint="default"/>
      </w:rPr>
    </w:lvl>
    <w:lvl w:ilvl="7" w:tplc="055CD8F2">
      <w:numFmt w:val="bullet"/>
      <w:lvlText w:val="•"/>
      <w:lvlJc w:val="left"/>
      <w:pPr>
        <w:ind w:left="7760" w:hanging="175"/>
      </w:pPr>
      <w:rPr>
        <w:rFonts w:hint="default"/>
      </w:rPr>
    </w:lvl>
    <w:lvl w:ilvl="8" w:tplc="7CDEEF90">
      <w:numFmt w:val="bullet"/>
      <w:lvlText w:val="•"/>
      <w:lvlJc w:val="left"/>
      <w:pPr>
        <w:ind w:left="8806" w:hanging="175"/>
      </w:pPr>
      <w:rPr>
        <w:rFonts w:hint="default"/>
      </w:rPr>
    </w:lvl>
  </w:abstractNum>
  <w:num w:numId="1" w16cid:durableId="1110584293">
    <w:abstractNumId w:val="9"/>
  </w:num>
  <w:num w:numId="2" w16cid:durableId="1274553515">
    <w:abstractNumId w:val="6"/>
  </w:num>
  <w:num w:numId="3" w16cid:durableId="1693843565">
    <w:abstractNumId w:val="10"/>
  </w:num>
  <w:num w:numId="4" w16cid:durableId="385760742">
    <w:abstractNumId w:val="11"/>
  </w:num>
  <w:num w:numId="5" w16cid:durableId="2108427228">
    <w:abstractNumId w:val="7"/>
  </w:num>
  <w:num w:numId="6" w16cid:durableId="800029074">
    <w:abstractNumId w:val="2"/>
  </w:num>
  <w:num w:numId="7" w16cid:durableId="1419673584">
    <w:abstractNumId w:val="5"/>
  </w:num>
  <w:num w:numId="8" w16cid:durableId="521211240">
    <w:abstractNumId w:val="1"/>
  </w:num>
  <w:num w:numId="9" w16cid:durableId="1481926928">
    <w:abstractNumId w:val="4"/>
  </w:num>
  <w:num w:numId="10" w16cid:durableId="787048810">
    <w:abstractNumId w:val="3"/>
  </w:num>
  <w:num w:numId="11" w16cid:durableId="346564512">
    <w:abstractNumId w:val="0"/>
  </w:num>
  <w:num w:numId="12" w16cid:durableId="1624191676">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AD"/>
    <w:rsid w:val="000005B9"/>
    <w:rsid w:val="00013447"/>
    <w:rsid w:val="00056C7B"/>
    <w:rsid w:val="0008128A"/>
    <w:rsid w:val="000B963D"/>
    <w:rsid w:val="000C1FE5"/>
    <w:rsid w:val="000D0378"/>
    <w:rsid w:val="000F018E"/>
    <w:rsid w:val="00114C25"/>
    <w:rsid w:val="001314FA"/>
    <w:rsid w:val="00166B24"/>
    <w:rsid w:val="00171185"/>
    <w:rsid w:val="0023767A"/>
    <w:rsid w:val="00242208"/>
    <w:rsid w:val="0024713B"/>
    <w:rsid w:val="0024736A"/>
    <w:rsid w:val="00256133"/>
    <w:rsid w:val="002566CA"/>
    <w:rsid w:val="002942FD"/>
    <w:rsid w:val="002E687C"/>
    <w:rsid w:val="002F1D79"/>
    <w:rsid w:val="00316F4A"/>
    <w:rsid w:val="0034770E"/>
    <w:rsid w:val="00376AA5"/>
    <w:rsid w:val="00377B66"/>
    <w:rsid w:val="00386706"/>
    <w:rsid w:val="003E4832"/>
    <w:rsid w:val="00412A60"/>
    <w:rsid w:val="004603AD"/>
    <w:rsid w:val="004B670D"/>
    <w:rsid w:val="004C51EF"/>
    <w:rsid w:val="00506EFC"/>
    <w:rsid w:val="00520CAF"/>
    <w:rsid w:val="00543345"/>
    <w:rsid w:val="00595E53"/>
    <w:rsid w:val="005A0649"/>
    <w:rsid w:val="005B3ED2"/>
    <w:rsid w:val="005F3595"/>
    <w:rsid w:val="00620E39"/>
    <w:rsid w:val="00653087"/>
    <w:rsid w:val="00691586"/>
    <w:rsid w:val="006A1C5C"/>
    <w:rsid w:val="006B341D"/>
    <w:rsid w:val="006F7F60"/>
    <w:rsid w:val="007825F8"/>
    <w:rsid w:val="007B6476"/>
    <w:rsid w:val="007B7845"/>
    <w:rsid w:val="007C230C"/>
    <w:rsid w:val="007F054A"/>
    <w:rsid w:val="007F26F8"/>
    <w:rsid w:val="00857232"/>
    <w:rsid w:val="008F3DEC"/>
    <w:rsid w:val="008F6931"/>
    <w:rsid w:val="008F7671"/>
    <w:rsid w:val="009040CC"/>
    <w:rsid w:val="0092467F"/>
    <w:rsid w:val="00945306"/>
    <w:rsid w:val="0094720B"/>
    <w:rsid w:val="00995422"/>
    <w:rsid w:val="009959CC"/>
    <w:rsid w:val="009A73F2"/>
    <w:rsid w:val="009B0E66"/>
    <w:rsid w:val="009B3466"/>
    <w:rsid w:val="009CFE32"/>
    <w:rsid w:val="009F0753"/>
    <w:rsid w:val="00A552C3"/>
    <w:rsid w:val="00A957EC"/>
    <w:rsid w:val="00AA3F7B"/>
    <w:rsid w:val="00AC0890"/>
    <w:rsid w:val="00AC1599"/>
    <w:rsid w:val="00AD406B"/>
    <w:rsid w:val="00AF14A5"/>
    <w:rsid w:val="00AF2F54"/>
    <w:rsid w:val="00B005E6"/>
    <w:rsid w:val="00B073DF"/>
    <w:rsid w:val="00B1437D"/>
    <w:rsid w:val="00B35863"/>
    <w:rsid w:val="00B45018"/>
    <w:rsid w:val="00B6700D"/>
    <w:rsid w:val="00B80553"/>
    <w:rsid w:val="00B8294D"/>
    <w:rsid w:val="00B83B2E"/>
    <w:rsid w:val="00BA3056"/>
    <w:rsid w:val="00BB6E1F"/>
    <w:rsid w:val="00BE3ACE"/>
    <w:rsid w:val="00C23DDF"/>
    <w:rsid w:val="00C27EEF"/>
    <w:rsid w:val="00C35BD3"/>
    <w:rsid w:val="00C41DD8"/>
    <w:rsid w:val="00C42D32"/>
    <w:rsid w:val="00C800A2"/>
    <w:rsid w:val="00D3323C"/>
    <w:rsid w:val="00D52BE3"/>
    <w:rsid w:val="00D66BFA"/>
    <w:rsid w:val="00DA2D66"/>
    <w:rsid w:val="00DC0606"/>
    <w:rsid w:val="00DD1C36"/>
    <w:rsid w:val="00DD2AD9"/>
    <w:rsid w:val="00DD4D7C"/>
    <w:rsid w:val="00DE38CF"/>
    <w:rsid w:val="00E4265B"/>
    <w:rsid w:val="00E63633"/>
    <w:rsid w:val="00EF5F30"/>
    <w:rsid w:val="00EF738C"/>
    <w:rsid w:val="00F314C8"/>
    <w:rsid w:val="00F329E9"/>
    <w:rsid w:val="00F336C5"/>
    <w:rsid w:val="00F44139"/>
    <w:rsid w:val="00F618B6"/>
    <w:rsid w:val="00F83DB5"/>
    <w:rsid w:val="00F93341"/>
    <w:rsid w:val="00FC3012"/>
    <w:rsid w:val="00FD6D3F"/>
    <w:rsid w:val="00FF3FC2"/>
    <w:rsid w:val="00FF4745"/>
    <w:rsid w:val="017A99A5"/>
    <w:rsid w:val="025908A5"/>
    <w:rsid w:val="033029C4"/>
    <w:rsid w:val="034336FF"/>
    <w:rsid w:val="039C26E0"/>
    <w:rsid w:val="03A40F9D"/>
    <w:rsid w:val="04C35801"/>
    <w:rsid w:val="04F82FBD"/>
    <w:rsid w:val="050F3E42"/>
    <w:rsid w:val="055ABB07"/>
    <w:rsid w:val="0567F3A5"/>
    <w:rsid w:val="06F55B7C"/>
    <w:rsid w:val="06F68B68"/>
    <w:rsid w:val="07A84B19"/>
    <w:rsid w:val="07C573DF"/>
    <w:rsid w:val="08133B51"/>
    <w:rsid w:val="0816A822"/>
    <w:rsid w:val="082FD07F"/>
    <w:rsid w:val="0877BBCB"/>
    <w:rsid w:val="0886C60D"/>
    <w:rsid w:val="0924BB02"/>
    <w:rsid w:val="0A4D8D3E"/>
    <w:rsid w:val="0A7BA97C"/>
    <w:rsid w:val="0AF51290"/>
    <w:rsid w:val="0B000926"/>
    <w:rsid w:val="0B01D8F6"/>
    <w:rsid w:val="0B0208F3"/>
    <w:rsid w:val="0B3911FE"/>
    <w:rsid w:val="0C5B1E80"/>
    <w:rsid w:val="0C81BF94"/>
    <w:rsid w:val="0C839E2F"/>
    <w:rsid w:val="0C91A99E"/>
    <w:rsid w:val="0DDDAC8D"/>
    <w:rsid w:val="0E1D6285"/>
    <w:rsid w:val="0EE55AA4"/>
    <w:rsid w:val="0F39D611"/>
    <w:rsid w:val="1029A78D"/>
    <w:rsid w:val="115EA67D"/>
    <w:rsid w:val="11BD8A68"/>
    <w:rsid w:val="11C577EE"/>
    <w:rsid w:val="125C351D"/>
    <w:rsid w:val="12BF8957"/>
    <w:rsid w:val="12C1545E"/>
    <w:rsid w:val="12FA8B54"/>
    <w:rsid w:val="134A6146"/>
    <w:rsid w:val="14965BB5"/>
    <w:rsid w:val="14E1A4D0"/>
    <w:rsid w:val="15D1E992"/>
    <w:rsid w:val="1664686C"/>
    <w:rsid w:val="1670E3BD"/>
    <w:rsid w:val="17F9AD2A"/>
    <w:rsid w:val="180AB58D"/>
    <w:rsid w:val="185B9181"/>
    <w:rsid w:val="1895F307"/>
    <w:rsid w:val="1900DC68"/>
    <w:rsid w:val="1904E0B7"/>
    <w:rsid w:val="1920DB1F"/>
    <w:rsid w:val="19683F20"/>
    <w:rsid w:val="19D089D3"/>
    <w:rsid w:val="19EA689A"/>
    <w:rsid w:val="1A31C368"/>
    <w:rsid w:val="1A7504E9"/>
    <w:rsid w:val="1AA649D9"/>
    <w:rsid w:val="1AE3F535"/>
    <w:rsid w:val="1B0BFD07"/>
    <w:rsid w:val="1B6C5A34"/>
    <w:rsid w:val="1D7D1941"/>
    <w:rsid w:val="1E3BB043"/>
    <w:rsid w:val="1E439DC9"/>
    <w:rsid w:val="1E53D9B6"/>
    <w:rsid w:val="1E7469D9"/>
    <w:rsid w:val="1F05348B"/>
    <w:rsid w:val="1F237630"/>
    <w:rsid w:val="1F6B771B"/>
    <w:rsid w:val="1FD780A4"/>
    <w:rsid w:val="1FDB54C2"/>
    <w:rsid w:val="1FDF6E2A"/>
    <w:rsid w:val="204D7B09"/>
    <w:rsid w:val="214A63F7"/>
    <w:rsid w:val="21D0CF24"/>
    <w:rsid w:val="21E94B6A"/>
    <w:rsid w:val="2221ACB8"/>
    <w:rsid w:val="223B0CB6"/>
    <w:rsid w:val="2306960C"/>
    <w:rsid w:val="23170EEC"/>
    <w:rsid w:val="23C88B60"/>
    <w:rsid w:val="23DDB72B"/>
    <w:rsid w:val="23FB283D"/>
    <w:rsid w:val="246E8EE7"/>
    <w:rsid w:val="24AB2CD2"/>
    <w:rsid w:val="24DB003D"/>
    <w:rsid w:val="25120466"/>
    <w:rsid w:val="259E893F"/>
    <w:rsid w:val="25EDD710"/>
    <w:rsid w:val="264EAFAE"/>
    <w:rsid w:val="264FB08E"/>
    <w:rsid w:val="270E7DD9"/>
    <w:rsid w:val="273B385D"/>
    <w:rsid w:val="278E17F2"/>
    <w:rsid w:val="27C85C1F"/>
    <w:rsid w:val="281C7DF9"/>
    <w:rsid w:val="286A3EF8"/>
    <w:rsid w:val="28D68215"/>
    <w:rsid w:val="28F53813"/>
    <w:rsid w:val="29690EAB"/>
    <w:rsid w:val="297CFB4A"/>
    <w:rsid w:val="297E62EA"/>
    <w:rsid w:val="29B84E5A"/>
    <w:rsid w:val="29E32578"/>
    <w:rsid w:val="29F45D4F"/>
    <w:rsid w:val="2A15A8BB"/>
    <w:rsid w:val="2A78740C"/>
    <w:rsid w:val="2ABC9B8E"/>
    <w:rsid w:val="2ADD50A2"/>
    <w:rsid w:val="2AE20528"/>
    <w:rsid w:val="2B1A334B"/>
    <w:rsid w:val="2C3C48A4"/>
    <w:rsid w:val="2C83F0A3"/>
    <w:rsid w:val="2CBE1036"/>
    <w:rsid w:val="2D293B8A"/>
    <w:rsid w:val="2E51D40D"/>
    <w:rsid w:val="2E54594A"/>
    <w:rsid w:val="2E8BBF7D"/>
    <w:rsid w:val="2F1309D8"/>
    <w:rsid w:val="2F94B956"/>
    <w:rsid w:val="2FAA0D1D"/>
    <w:rsid w:val="2FF591F4"/>
    <w:rsid w:val="3022C6FD"/>
    <w:rsid w:val="31349537"/>
    <w:rsid w:val="31B430C1"/>
    <w:rsid w:val="3252D48E"/>
    <w:rsid w:val="32914DD0"/>
    <w:rsid w:val="32FFF179"/>
    <w:rsid w:val="3334D0A1"/>
    <w:rsid w:val="334BD7BA"/>
    <w:rsid w:val="34AFCF0C"/>
    <w:rsid w:val="34D25068"/>
    <w:rsid w:val="34F02019"/>
    <w:rsid w:val="34FB0101"/>
    <w:rsid w:val="3506869F"/>
    <w:rsid w:val="35824B5C"/>
    <w:rsid w:val="3586200F"/>
    <w:rsid w:val="359C162A"/>
    <w:rsid w:val="35A7BCCE"/>
    <w:rsid w:val="35D5891A"/>
    <w:rsid w:val="35E7D6E0"/>
    <w:rsid w:val="3611AA8C"/>
    <w:rsid w:val="36760E4F"/>
    <w:rsid w:val="36822D03"/>
    <w:rsid w:val="37316E32"/>
    <w:rsid w:val="373DCEB7"/>
    <w:rsid w:val="377D60C7"/>
    <w:rsid w:val="379FCB3B"/>
    <w:rsid w:val="37D1F46C"/>
    <w:rsid w:val="3800A3D9"/>
    <w:rsid w:val="3839F589"/>
    <w:rsid w:val="383C7E52"/>
    <w:rsid w:val="38DB4CFF"/>
    <w:rsid w:val="38E1CDC8"/>
    <w:rsid w:val="393B9B9C"/>
    <w:rsid w:val="398D5932"/>
    <w:rsid w:val="399C743A"/>
    <w:rsid w:val="39B26E1E"/>
    <w:rsid w:val="39B58C06"/>
    <w:rsid w:val="3A126E9F"/>
    <w:rsid w:val="3AB962EC"/>
    <w:rsid w:val="3AD76BFD"/>
    <w:rsid w:val="3B38449B"/>
    <w:rsid w:val="3B7E7A6C"/>
    <w:rsid w:val="3B91829C"/>
    <w:rsid w:val="3BF9B6D4"/>
    <w:rsid w:val="3C733C5E"/>
    <w:rsid w:val="3C89D40A"/>
    <w:rsid w:val="3CCC2776"/>
    <w:rsid w:val="3CD414FC"/>
    <w:rsid w:val="3D0E70D8"/>
    <w:rsid w:val="3E24AE2E"/>
    <w:rsid w:val="3E67F7D7"/>
    <w:rsid w:val="3F3CC207"/>
    <w:rsid w:val="4003C838"/>
    <w:rsid w:val="403ED24C"/>
    <w:rsid w:val="407EED9C"/>
    <w:rsid w:val="408EFD8A"/>
    <w:rsid w:val="41A7861F"/>
    <w:rsid w:val="41D50EF5"/>
    <w:rsid w:val="41E1718F"/>
    <w:rsid w:val="42D25807"/>
    <w:rsid w:val="4335B1F1"/>
    <w:rsid w:val="433B68FA"/>
    <w:rsid w:val="43453327"/>
    <w:rsid w:val="43A50C2D"/>
    <w:rsid w:val="43B42373"/>
    <w:rsid w:val="43B68E5E"/>
    <w:rsid w:val="43C114D9"/>
    <w:rsid w:val="43F0674A"/>
    <w:rsid w:val="43FA6941"/>
    <w:rsid w:val="446167E6"/>
    <w:rsid w:val="44DF26E1"/>
    <w:rsid w:val="45525EBF"/>
    <w:rsid w:val="47517C0A"/>
    <w:rsid w:val="4756765E"/>
    <w:rsid w:val="4792E1DF"/>
    <w:rsid w:val="480A6F5A"/>
    <w:rsid w:val="4816C7A3"/>
    <w:rsid w:val="48D839DC"/>
    <w:rsid w:val="492EB240"/>
    <w:rsid w:val="49B29804"/>
    <w:rsid w:val="49DD72B1"/>
    <w:rsid w:val="4B4E6865"/>
    <w:rsid w:val="4BD6C44A"/>
    <w:rsid w:val="4CD95EE6"/>
    <w:rsid w:val="4CEA38C6"/>
    <w:rsid w:val="4CFB739D"/>
    <w:rsid w:val="4D811701"/>
    <w:rsid w:val="4E860927"/>
    <w:rsid w:val="4F02CB4D"/>
    <w:rsid w:val="4F15595E"/>
    <w:rsid w:val="4F477B60"/>
    <w:rsid w:val="4F60A3BD"/>
    <w:rsid w:val="4FE30D2D"/>
    <w:rsid w:val="5021D988"/>
    <w:rsid w:val="50AA3997"/>
    <w:rsid w:val="50D05464"/>
    <w:rsid w:val="511FFD16"/>
    <w:rsid w:val="518B94C3"/>
    <w:rsid w:val="51B5BC63"/>
    <w:rsid w:val="51D9FA00"/>
    <w:rsid w:val="51E8FCA1"/>
    <w:rsid w:val="523F5967"/>
    <w:rsid w:val="5251853E"/>
    <w:rsid w:val="531726DE"/>
    <w:rsid w:val="532B2ED4"/>
    <w:rsid w:val="53518CC4"/>
    <w:rsid w:val="53AD7EE0"/>
    <w:rsid w:val="540A627A"/>
    <w:rsid w:val="5451B257"/>
    <w:rsid w:val="549E2576"/>
    <w:rsid w:val="54AA0F45"/>
    <w:rsid w:val="5534E21C"/>
    <w:rsid w:val="557BE756"/>
    <w:rsid w:val="55A1410D"/>
    <w:rsid w:val="56892D86"/>
    <w:rsid w:val="56AF9ABE"/>
    <w:rsid w:val="59A1991C"/>
    <w:rsid w:val="59B8D80C"/>
    <w:rsid w:val="5A3AE699"/>
    <w:rsid w:val="5A63196D"/>
    <w:rsid w:val="5A6CEB92"/>
    <w:rsid w:val="5B648C2F"/>
    <w:rsid w:val="5BD01FB7"/>
    <w:rsid w:val="5C1F23E0"/>
    <w:rsid w:val="5CF86F0A"/>
    <w:rsid w:val="5D043A4B"/>
    <w:rsid w:val="5D21AEE1"/>
    <w:rsid w:val="5D5FFB07"/>
    <w:rsid w:val="5D7712AE"/>
    <w:rsid w:val="5D8F4812"/>
    <w:rsid w:val="5DD303F4"/>
    <w:rsid w:val="5E900B29"/>
    <w:rsid w:val="5E9C2CF1"/>
    <w:rsid w:val="5FB0B2F7"/>
    <w:rsid w:val="5FC7BADD"/>
    <w:rsid w:val="6037FD52"/>
    <w:rsid w:val="609D8F1B"/>
    <w:rsid w:val="60A08473"/>
    <w:rsid w:val="61AB7B3D"/>
    <w:rsid w:val="61CBE02D"/>
    <w:rsid w:val="61D3CDB3"/>
    <w:rsid w:val="61DBF7A7"/>
    <w:rsid w:val="621A70E9"/>
    <w:rsid w:val="62A98DCD"/>
    <w:rsid w:val="6371683A"/>
    <w:rsid w:val="6377C808"/>
    <w:rsid w:val="63B6414A"/>
    <w:rsid w:val="64F9773E"/>
    <w:rsid w:val="650B6E75"/>
    <w:rsid w:val="65139869"/>
    <w:rsid w:val="65D2C253"/>
    <w:rsid w:val="662B7B66"/>
    <w:rsid w:val="66AF68CA"/>
    <w:rsid w:val="66F9CB92"/>
    <w:rsid w:val="6770FF8C"/>
    <w:rsid w:val="684BD505"/>
    <w:rsid w:val="695C5CB7"/>
    <w:rsid w:val="69CE1C14"/>
    <w:rsid w:val="6A9179DE"/>
    <w:rsid w:val="6AC64F9F"/>
    <w:rsid w:val="6B33238F"/>
    <w:rsid w:val="6B82D9ED"/>
    <w:rsid w:val="6BD1984C"/>
    <w:rsid w:val="6BD47C6B"/>
    <w:rsid w:val="6BE72891"/>
    <w:rsid w:val="6C098199"/>
    <w:rsid w:val="6C26CA00"/>
    <w:rsid w:val="6CF38245"/>
    <w:rsid w:val="6DE04110"/>
    <w:rsid w:val="6DEC00BC"/>
    <w:rsid w:val="6E31B045"/>
    <w:rsid w:val="6E5F33F9"/>
    <w:rsid w:val="6EB250BB"/>
    <w:rsid w:val="6EBA7AAF"/>
    <w:rsid w:val="6F3A874E"/>
    <w:rsid w:val="6F41AFEB"/>
    <w:rsid w:val="6F7C1171"/>
    <w:rsid w:val="6F994ED2"/>
    <w:rsid w:val="6FCC1EA3"/>
    <w:rsid w:val="7036D8D0"/>
    <w:rsid w:val="704E211C"/>
    <w:rsid w:val="7139F689"/>
    <w:rsid w:val="71E9C6BE"/>
    <w:rsid w:val="72C48C13"/>
    <w:rsid w:val="7371478C"/>
    <w:rsid w:val="7385C1DE"/>
    <w:rsid w:val="7386F48C"/>
    <w:rsid w:val="73A7142F"/>
    <w:rsid w:val="74267002"/>
    <w:rsid w:val="74406BDF"/>
    <w:rsid w:val="74A6F288"/>
    <w:rsid w:val="74C9FC93"/>
    <w:rsid w:val="751326BF"/>
    <w:rsid w:val="752F4B2C"/>
    <w:rsid w:val="75A11DB2"/>
    <w:rsid w:val="7672FED6"/>
    <w:rsid w:val="76E58659"/>
    <w:rsid w:val="77C424B6"/>
    <w:rsid w:val="784DB12F"/>
    <w:rsid w:val="78B76FB7"/>
    <w:rsid w:val="78BD4D22"/>
    <w:rsid w:val="78FC2C8A"/>
    <w:rsid w:val="79AD6695"/>
    <w:rsid w:val="79F194BC"/>
    <w:rsid w:val="79FD2D56"/>
    <w:rsid w:val="7A344D0A"/>
    <w:rsid w:val="7A3667CD"/>
    <w:rsid w:val="7A8F8033"/>
    <w:rsid w:val="7B0EDBCB"/>
    <w:rsid w:val="7B10A6D4"/>
    <w:rsid w:val="7B94E05C"/>
    <w:rsid w:val="7B98FDB7"/>
    <w:rsid w:val="7CA827FC"/>
    <w:rsid w:val="7CEC9D6A"/>
    <w:rsid w:val="7CFB822D"/>
    <w:rsid w:val="7D1587D2"/>
    <w:rsid w:val="7D7079C6"/>
    <w:rsid w:val="7DF8A4F9"/>
    <w:rsid w:val="7E95C4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16CC"/>
  <w15:docId w15:val="{7256865A-FCCD-4023-BFEC-0778E4A3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4603AD"/>
    <w:pPr>
      <w:widowControl w:val="0"/>
      <w:autoSpaceDE w:val="0"/>
      <w:autoSpaceDN w:val="0"/>
      <w:spacing w:before="147"/>
      <w:ind w:left="115" w:right="111" w:firstLine="1350"/>
      <w:jc w:val="both"/>
      <w:outlineLvl w:val="0"/>
    </w:pPr>
    <w:rPr>
      <w:rFonts w:ascii="Arial" w:hAnsi="Arial" w:eastAsia="Arial" w:cs="Arial"/>
      <w:kern w:val="0"/>
      <w:sz w:val="27"/>
      <w:szCs w:val="27"/>
      <w:lang w:val="en-US"/>
      <w14:ligatures w14:val="none"/>
    </w:rPr>
  </w:style>
  <w:style w:type="paragraph" w:styleId="Heading2">
    <w:name w:val="heading 2"/>
    <w:basedOn w:val="Normal"/>
    <w:link w:val="Heading2Char"/>
    <w:uiPriority w:val="9"/>
    <w:unhideWhenUsed/>
    <w:qFormat/>
    <w:rsid w:val="004603AD"/>
    <w:pPr>
      <w:widowControl w:val="0"/>
      <w:autoSpaceDE w:val="0"/>
      <w:autoSpaceDN w:val="0"/>
      <w:spacing w:before="132"/>
      <w:ind w:left="110"/>
      <w:outlineLvl w:val="1"/>
    </w:pPr>
    <w:rPr>
      <w:rFonts w:ascii="Arial" w:hAnsi="Arial" w:eastAsia="Arial" w:cs="Arial"/>
      <w:b/>
      <w:bCs/>
      <w:kern w:val="0"/>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4603AD"/>
    <w:pPr>
      <w:ind w:left="720"/>
      <w:contextualSpacing/>
    </w:pPr>
  </w:style>
  <w:style w:type="character" w:styleId="Heading1Char" w:customStyle="1">
    <w:name w:val="Heading 1 Char"/>
    <w:basedOn w:val="DefaultParagraphFont"/>
    <w:link w:val="Heading1"/>
    <w:uiPriority w:val="9"/>
    <w:rsid w:val="004603AD"/>
    <w:rPr>
      <w:rFonts w:ascii="Arial" w:hAnsi="Arial" w:eastAsia="Arial" w:cs="Arial"/>
      <w:kern w:val="0"/>
      <w:sz w:val="27"/>
      <w:szCs w:val="27"/>
      <w:lang w:val="en-US"/>
      <w14:ligatures w14:val="none"/>
    </w:rPr>
  </w:style>
  <w:style w:type="character" w:styleId="Heading2Char" w:customStyle="1">
    <w:name w:val="Heading 2 Char"/>
    <w:basedOn w:val="DefaultParagraphFont"/>
    <w:link w:val="Heading2"/>
    <w:uiPriority w:val="9"/>
    <w:rsid w:val="004603AD"/>
    <w:rPr>
      <w:rFonts w:ascii="Arial" w:hAnsi="Arial" w:eastAsia="Arial" w:cs="Arial"/>
      <w:b/>
      <w:bCs/>
      <w:kern w:val="0"/>
      <w:lang w:val="en-US"/>
      <w14:ligatures w14:val="none"/>
    </w:rPr>
  </w:style>
  <w:style w:type="paragraph" w:styleId="BodyText">
    <w:name w:val="Body Text"/>
    <w:basedOn w:val="Normal"/>
    <w:link w:val="BodyTextChar"/>
    <w:uiPriority w:val="1"/>
    <w:qFormat/>
    <w:rsid w:val="004603AD"/>
    <w:pPr>
      <w:widowControl w:val="0"/>
      <w:autoSpaceDE w:val="0"/>
      <w:autoSpaceDN w:val="0"/>
    </w:pPr>
    <w:rPr>
      <w:rFonts w:ascii="Arial" w:hAnsi="Arial" w:eastAsia="Arial" w:cs="Arial"/>
      <w:kern w:val="0"/>
      <w:lang w:val="en-US"/>
      <w14:ligatures w14:val="none"/>
    </w:rPr>
  </w:style>
  <w:style w:type="character" w:styleId="BodyTextChar" w:customStyle="1">
    <w:name w:val="Body Text Char"/>
    <w:basedOn w:val="DefaultParagraphFont"/>
    <w:link w:val="BodyText"/>
    <w:uiPriority w:val="1"/>
    <w:rsid w:val="004603AD"/>
    <w:rPr>
      <w:rFonts w:ascii="Arial" w:hAnsi="Arial" w:eastAsia="Arial" w:cs="Arial"/>
      <w:kern w:val="0"/>
      <w:lang w:val="en-US"/>
      <w14:ligatures w14:val="none"/>
    </w:rPr>
  </w:style>
  <w:style w:type="paragraph" w:styleId="TableParagraph" w:customStyle="1">
    <w:name w:val="Table Paragraph"/>
    <w:basedOn w:val="Normal"/>
    <w:uiPriority w:val="1"/>
    <w:qFormat/>
    <w:rsid w:val="004603AD"/>
    <w:pPr>
      <w:widowControl w:val="0"/>
      <w:autoSpaceDE w:val="0"/>
      <w:autoSpaceDN w:val="0"/>
    </w:pPr>
    <w:rPr>
      <w:rFonts w:ascii="Arial" w:hAnsi="Arial" w:eastAsia="Arial" w:cs="Arial"/>
      <w:kern w:val="0"/>
      <w:sz w:val="22"/>
      <w:szCs w:val="22"/>
      <w:lang w:val="en-US"/>
      <w14:ligatures w14:val="none"/>
    </w:rPr>
  </w:style>
  <w:style w:type="character" w:styleId="Hyperlink">
    <w:name w:val="Hyperlink"/>
    <w:basedOn w:val="DefaultParagraphFont"/>
    <w:uiPriority w:val="99"/>
    <w:unhideWhenUsed/>
    <w:rsid w:val="004603AD"/>
    <w:rPr>
      <w:color w:val="0563C1" w:themeColor="hyperlink"/>
      <w:u w:val="single"/>
    </w:rPr>
  </w:style>
  <w:style w:type="character" w:styleId="UnresolvedMention1" w:customStyle="1">
    <w:name w:val="Unresolved Mention1"/>
    <w:basedOn w:val="DefaultParagraphFont"/>
    <w:uiPriority w:val="99"/>
    <w:semiHidden/>
    <w:unhideWhenUsed/>
    <w:rsid w:val="004603AD"/>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0E39"/>
    <w:rPr>
      <w:rFonts w:ascii="Tahoma" w:hAnsi="Tahoma" w:cs="Tahoma"/>
      <w:sz w:val="16"/>
      <w:szCs w:val="16"/>
    </w:rPr>
  </w:style>
  <w:style w:type="character" w:styleId="BalloonTextChar" w:customStyle="1">
    <w:name w:val="Balloon Text Char"/>
    <w:basedOn w:val="DefaultParagraphFont"/>
    <w:link w:val="BalloonText"/>
    <w:uiPriority w:val="99"/>
    <w:semiHidden/>
    <w:rsid w:val="00620E39"/>
    <w:rPr>
      <w:rFonts w:ascii="Tahoma" w:hAnsi="Tahoma" w:cs="Tahoma"/>
      <w:sz w:val="16"/>
      <w:szCs w:val="16"/>
    </w:rPr>
  </w:style>
  <w:style w:type="paragraph" w:styleId="Revision">
    <w:name w:val="Revision"/>
    <w:hidden/>
    <w:uiPriority w:val="99"/>
    <w:semiHidden/>
    <w:rsid w:val="00242208"/>
  </w:style>
  <w:style w:type="paragraph" w:styleId="CommentSubject">
    <w:name w:val="annotation subject"/>
    <w:basedOn w:val="CommentText"/>
    <w:next w:val="CommentText"/>
    <w:link w:val="CommentSubjectChar"/>
    <w:uiPriority w:val="99"/>
    <w:semiHidden/>
    <w:unhideWhenUsed/>
    <w:rsid w:val="00FC3012"/>
    <w:rPr>
      <w:b/>
      <w:bCs/>
    </w:rPr>
  </w:style>
  <w:style w:type="character" w:styleId="CommentSubjectChar" w:customStyle="1">
    <w:name w:val="Comment Subject Char"/>
    <w:basedOn w:val="CommentTextChar"/>
    <w:link w:val="CommentSubject"/>
    <w:uiPriority w:val="99"/>
    <w:semiHidden/>
    <w:rsid w:val="00FC3012"/>
    <w:rPr>
      <w:b/>
      <w:bCs/>
      <w:sz w:val="20"/>
      <w:szCs w:val="20"/>
    </w:rPr>
  </w:style>
  <w:style w:type="character" w:styleId="UnresolvedMention">
    <w:name w:val="Unresolved Mention"/>
    <w:basedOn w:val="DefaultParagraphFont"/>
    <w:uiPriority w:val="99"/>
    <w:semiHidden/>
    <w:unhideWhenUsed/>
    <w:rsid w:val="00FC3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d84230-1b0b-4dab-a641-3e0c4f931559" xsi:nil="true"/>
    <lcf76f155ced4ddcb4097134ff3c332f xmlns="413ef446-1dc2-4c64-9959-2639a6e659e3">
      <Terms xmlns="http://schemas.microsoft.com/office/infopath/2007/PartnerControls"/>
    </lcf76f155ced4ddcb4097134ff3c332f>
    <MediaLengthInSeconds xmlns="413ef446-1dc2-4c64-9959-2639a6e659e3" xsi:nil="true"/>
    <Dataehora xmlns="413ef446-1dc2-4c64-9959-2639a6e65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2FF0166993A5F40B7BDD93F8405956F" ma:contentTypeVersion="15" ma:contentTypeDescription="Crie um novo documento." ma:contentTypeScope="" ma:versionID="3b61e7cf7f85b59fa4c3336c4d205f5e">
  <xsd:schema xmlns:xsd="http://www.w3.org/2001/XMLSchema" xmlns:xs="http://www.w3.org/2001/XMLSchema" xmlns:p="http://schemas.microsoft.com/office/2006/metadata/properties" xmlns:ns2="413ef446-1dc2-4c64-9959-2639a6e659e3" xmlns:ns3="7fd84230-1b0b-4dab-a641-3e0c4f931559" targetNamespace="http://schemas.microsoft.com/office/2006/metadata/properties" ma:root="true" ma:fieldsID="167d8077796ea5d931c50a86e32097bf" ns2:_="" ns3:_="">
    <xsd:import namespace="413ef446-1dc2-4c64-9959-2639a6e659e3"/>
    <xsd:import namespace="7fd84230-1b0b-4dab-a641-3e0c4f9315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ae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f446-1dc2-4c64-9959-2639a6e65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aehora" ma:index="22" nillable="true" ma:displayName="Data e hora" ma:format="DateTime" ma:internalName="Data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fd84230-1b0b-4dab-a641-3e0c4f9315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c35530f-79ad-411a-b000-07c0496dffeb}" ma:internalName="TaxCatchAll" ma:showField="CatchAllData" ma:web="7fd84230-1b0b-4dab-a641-3e0c4f9315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884D7-1F97-455A-87A3-8E0BD67A4341}">
  <ds:schemaRefs>
    <ds:schemaRef ds:uri="http://schemas.microsoft.com/office/2006/metadata/properties"/>
    <ds:schemaRef ds:uri="http://schemas.microsoft.com/office/infopath/2007/PartnerControls"/>
    <ds:schemaRef ds:uri="7fd84230-1b0b-4dab-a641-3e0c4f931559"/>
    <ds:schemaRef ds:uri="413ef446-1dc2-4c64-9959-2639a6e659e3"/>
  </ds:schemaRefs>
</ds:datastoreItem>
</file>

<file path=customXml/itemProps2.xml><?xml version="1.0" encoding="utf-8"?>
<ds:datastoreItem xmlns:ds="http://schemas.openxmlformats.org/officeDocument/2006/customXml" ds:itemID="{FADE7410-10EE-469D-B8F8-A0E73D859EFA}">
  <ds:schemaRefs>
    <ds:schemaRef ds:uri="http://schemas.microsoft.com/sharepoint/v3/contenttype/forms"/>
  </ds:schemaRefs>
</ds:datastoreItem>
</file>

<file path=customXml/itemProps3.xml><?xml version="1.0" encoding="utf-8"?>
<ds:datastoreItem xmlns:ds="http://schemas.openxmlformats.org/officeDocument/2006/customXml" ds:itemID="{50301F3D-30DA-4B1B-870B-3BA02812B6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Rogerio de Souza Farias</dc:creator>
  <lastModifiedBy>Nathália Junca Nogueira</lastModifiedBy>
  <revision>11</revision>
  <dcterms:created xsi:type="dcterms:W3CDTF">2025-06-04T16:37:00.0000000Z</dcterms:created>
  <dcterms:modified xsi:type="dcterms:W3CDTF">2025-06-17T17:33:28.1215761Z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0x010100C2FF0166993A5F40B7BDD93F8405956F</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