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F910" w14:textId="77777777" w:rsidR="0006224B" w:rsidRPr="0006224B" w:rsidRDefault="0006224B" w:rsidP="0006224B">
      <w:pPr>
        <w:shd w:val="clear" w:color="auto" w:fill="FFFFFF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48"/>
          <w:szCs w:val="48"/>
          <w:lang w:eastAsia="pt-BR"/>
        </w:rPr>
      </w:pPr>
      <w:r w:rsidRPr="0006224B">
        <w:rPr>
          <w:rFonts w:ascii="Times New Roman" w:eastAsia="Times New Roman" w:hAnsi="Times New Roman" w:cs="Times New Roman"/>
          <w:b/>
          <w:bCs/>
          <w:caps/>
          <w:color w:val="222222"/>
          <w:sz w:val="48"/>
          <w:szCs w:val="48"/>
          <w:lang w:eastAsia="pt-BR"/>
        </w:rPr>
        <w:t>DIÁRIO OFICIAL DA UNIÃO</w:t>
      </w:r>
    </w:p>
    <w:p w14:paraId="66E2BF11" w14:textId="77777777" w:rsidR="0006224B" w:rsidRPr="0006224B" w:rsidRDefault="0006224B" w:rsidP="0006224B">
      <w:pPr>
        <w:shd w:val="clear" w:color="auto" w:fill="FFFFFF"/>
        <w:spacing w:before="30" w:after="45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Publicado em: 16/09/2020</w:t>
      </w:r>
      <w:r w:rsidRPr="000622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06224B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Edição: 178</w:t>
      </w:r>
      <w:r w:rsidRPr="000622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06224B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Seção: 1</w:t>
      </w:r>
      <w:r w:rsidRPr="000622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06224B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Página: 269</w:t>
      </w:r>
    </w:p>
    <w:p w14:paraId="23C8CA84" w14:textId="77777777" w:rsidR="0006224B" w:rsidRPr="0006224B" w:rsidRDefault="0006224B" w:rsidP="0006224B">
      <w:pPr>
        <w:shd w:val="clear" w:color="auto" w:fill="FFFFFF"/>
        <w:spacing w:before="30" w:after="45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b/>
          <w:bCs/>
          <w:color w:val="666666"/>
          <w:sz w:val="19"/>
          <w:szCs w:val="19"/>
          <w:lang w:eastAsia="pt-BR"/>
        </w:rPr>
        <w:t>Órgão: Ministério da Justiça e Segurança Pública/Gabinete do Ministro</w:t>
      </w:r>
    </w:p>
    <w:p w14:paraId="690DED89" w14:textId="77777777" w:rsidR="0006224B" w:rsidRPr="0006224B" w:rsidRDefault="0006224B" w:rsidP="0006224B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b/>
          <w:bCs/>
          <w:caps/>
          <w:color w:val="162937"/>
          <w:sz w:val="29"/>
          <w:szCs w:val="29"/>
          <w:lang w:eastAsia="pt-BR"/>
        </w:rPr>
      </w:pPr>
      <w:r w:rsidRPr="0006224B">
        <w:rPr>
          <w:rFonts w:ascii="Arial" w:eastAsia="Times New Roman" w:hAnsi="Arial" w:cs="Arial"/>
          <w:b/>
          <w:bCs/>
          <w:caps/>
          <w:color w:val="162937"/>
          <w:sz w:val="29"/>
          <w:szCs w:val="29"/>
          <w:lang w:eastAsia="pt-BR"/>
        </w:rPr>
        <w:t>PORTARIA Nº 513, DE 15 DE SETEMBRO DE 2020</w:t>
      </w:r>
    </w:p>
    <w:p w14:paraId="565E9AD4" w14:textId="77777777" w:rsidR="0006224B" w:rsidRPr="0006224B" w:rsidRDefault="0006224B" w:rsidP="0006224B">
      <w:pPr>
        <w:shd w:val="clear" w:color="auto" w:fill="FFFFFF"/>
        <w:spacing w:after="450" w:line="240" w:lineRule="auto"/>
        <w:ind w:left="54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Dispõe sobre a implantação de Programa de Integridade em empresas contratadas pelo Ministério da Justiça e Segurança Pública.</w:t>
      </w:r>
    </w:p>
    <w:p w14:paraId="06668CBD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O MINISTRO DE ESTADO DA JUSTIÇA E SEGURANÇA PÚBLICA-SUBSTITUTO, no uso das atribuições que lhe confere o inciso II do parágrafo único do art. 87 da CRFB, c/c o inciso III do art. 1º do Decreto nº 8.851, de 20 de setembro de 2016, e tendo em vista o disposto no inciso VIII do art. 7º da Lei nº 12.846, de 1º de agosto de 2013, nos </w:t>
      </w:r>
      <w:proofErr w:type="spell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arts</w:t>
      </w:r>
      <w:proofErr w:type="spell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. 41 e 42 do Decreto nº 8.420, de 18 de março de 2015, no parágrafo único do art. 7º da Portaria CGU nº 57, de 4 de janeiro de 2019, e no Anexo IX da Portaria MJSP nº 86, de 23 de março de 2020, e o consta no processo administrativo nº 08001.004150/2019-11, resolve:</w:t>
      </w:r>
    </w:p>
    <w:p w14:paraId="2731DA5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1º Dispor sobre a implantação de Programa de Integridade em empresas contratadas pelo Ministério da Justiça e Segurança Pública.</w:t>
      </w:r>
    </w:p>
    <w:p w14:paraId="3E9237D6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Parágrafo único. Esta Portaria se aplica:</w:t>
      </w:r>
    </w:p>
    <w:p w14:paraId="0A74ECBB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no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caso de contratações cujos valores sejam iguais ou superiores a R$ 10.000.000,00 (dez milhões de reais); e</w:t>
      </w:r>
    </w:p>
    <w:p w14:paraId="42AA693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nos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casos de contratações em que sejam celebrados termos aditivos para prorrogação da prestação de serviços continuados ou para efetivar acréscimos legais ao preço, ao ser atingida a alçada prevista no inciso I, pelo somatório dos valores.</w:t>
      </w:r>
    </w:p>
    <w:p w14:paraId="1E9283E6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2º São objetivos desta Portaria:</w:t>
      </w:r>
    </w:p>
    <w:p w14:paraId="75DAD52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inserir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as empresas contratadas na política e nas ações de integridade da administração pública;</w:t>
      </w:r>
    </w:p>
    <w:p w14:paraId="672F7D99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contribuir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para a redução dos riscos de práticas ilegais ou irregulares que possam gerar atos lesivos ou potencialmente lesivos aos princípios da administração pública, ao erário e à imagem do Ministério da Justiça e Segurança Pública;</w:t>
      </w:r>
    </w:p>
    <w:p w14:paraId="23F2475A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III - prevenir a ocorrência de irregularidades relacionadas a desvios de conduta administrativa ou ética;</w:t>
      </w:r>
    </w:p>
    <w:p w14:paraId="20A80956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IV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orientar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o relacionamento entre os agentes públicos e as empresas contratadas e seus dirigentes e funcionários; e</w:t>
      </w:r>
    </w:p>
    <w:p w14:paraId="697AE036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 xml:space="preserve">V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propiciar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a prestação do serviço público com transparência e previsibilidade.</w:t>
      </w:r>
    </w:p>
    <w:p w14:paraId="29F86BC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3º Deverá haver previsão expressa nos editais de licitação e em documentação prévia às contratações de que as empresas contratadas deverão se comprometer a implantar Programa de Integridade ou adequar seu Programa de Integridade já existente ao previsto nesta Portaria.</w:t>
      </w:r>
    </w:p>
    <w:p w14:paraId="3A4AB9C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4º Os termos de referência e projetos básicos das contratações deverão conter cláusulas específicas com as obrigações deste Ministério e da empresa contratada relativamente às exigências de integridade, nos seguintes moldes:</w:t>
      </w:r>
    </w:p>
    <w:p w14:paraId="5FC6125C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das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obrigações dos órgãos do Ministério da Justiça e Segurança Pública e seus agentes públicos:</w:t>
      </w:r>
    </w:p>
    <w:p w14:paraId="4CBB320E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a) não praticar atos para ingerência na administração da empresa contratada, especialmente quanto a direcionamento de escolha de possíveis trabalhadores;</w:t>
      </w:r>
    </w:p>
    <w:p w14:paraId="447C2CBC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b) para contratos de prestação de serviços com regime de dedicação exclusiva de mão de obra, não praticar atos tendentes a gerar vínculo empregatício entre os empregados da empresa contratada e o Ministério, vedando-se qualquer relação entre estes que caracterize pessoalidade e subordinação direta, atentando-se às vedações explícitas no art. 5º da Instrução Normativa SEGES/MPOG nº 5, de 26 de maio de 2017; e</w:t>
      </w:r>
    </w:p>
    <w:p w14:paraId="6ACD067B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c) notificar a empresa contratada, por escrito, sobre desvios de conduta, irregularidades, fraudes ou atos ilícitos, praticados na execução do contrato; e</w:t>
      </w:r>
    </w:p>
    <w:p w14:paraId="567E82E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das</w:t>
      </w:r>
      <w:proofErr w:type="gramEnd"/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obrigações da empresa contratada:</w:t>
      </w:r>
    </w:p>
    <w:p w14:paraId="4E700F03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a) estabelecer normas gerais de integridade:</w:t>
      </w:r>
    </w:p>
    <w:p w14:paraId="3BFCCA0B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1. em até 6 (seis) meses para contratos de até 12 (doze) meses; e</w:t>
      </w:r>
    </w:p>
    <w:p w14:paraId="6BDFEDAC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2. em até 9 (nove) meses para contratos de mais de 12 (doze) meses;</w:t>
      </w:r>
    </w:p>
    <w:p w14:paraId="08ADCBFC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b) orientar seus empregados alocados para a execução do contrato sobre as normas de integridade e a indispensabilidade de seu cumprimento;</w:t>
      </w:r>
    </w:p>
    <w:p w14:paraId="0E7736A0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c) adotar práticas de governança e gestão capazes de identificar e mitigar desvios de conduta, irregularidades, fraudes e atos ilícitos, de acordo com as normas de integridade previstas na Lei nº 12.846, de 1º de agosto de 2013, e no Decreto nº 8.420, de 18 de março de 2015;</w:t>
      </w:r>
    </w:p>
    <w:p w14:paraId="0E7754D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d) relatar ao órgão contratante, por escrito, qualquer descumprimento das normas de integridade praticado por agentes públicos com os quais mantenha contato em decorrência da execução do contrato;</w:t>
      </w:r>
    </w:p>
    <w:p w14:paraId="12FDB4B7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e) substituir com presteza qualquer profissional que tenha cometido desvios de conduta, irregularidades, fraudes e atos ilícitos, conforme observado e notificado pelo agente público competente;</w:t>
      </w:r>
    </w:p>
    <w:p w14:paraId="2A0A7B57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f) apresentar, no momento da celebração do contrato, Declaração de Inexistência de Vínculo Familiar, nos termos do art. 7º do Decreto nº 7.203, de 4 </w:t>
      </w: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>de junho de 2010, em que é assumido o compromisso de não utilizar, na execução do contrato, mão de obra que seja cônjuge, companheiro ou parente em linha reta ou colateral, por consanguinidade ou afinidade, até o terceiro grau, de agente público que exerce cargo em comissão ou função de confiança no âmbito do Ministério da Justiça e Segurança Pública;</w:t>
      </w:r>
    </w:p>
    <w:p w14:paraId="6F2A8E8C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g) apresentar à equipe de fiscalização do contrato, juntamente com o rol de documentos obrigatórios do empregado alocado para a execução do contrato, Termo de Ciência e Concordância, devidamente assinado pelo empregado, conforme modelo constante no anexo a esta Portaria; e</w:t>
      </w:r>
    </w:p>
    <w:p w14:paraId="4EAB77CF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h) encaminhar à equipe de fiscalização do contrato, observados os prazos estabelecidos na alínea "a", documentação que evidencie, em alinhamento com os parâmetros do Capítulo IV do Decreto nº 8.420, de 2015, a realização das seguintes ações e atividades:</w:t>
      </w:r>
    </w:p>
    <w:p w14:paraId="2320303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1. promoção e participação em reuniões, apresentações, palestras e quaisquer outros eventos de natureza semelhante que evidenciam o comprometimento da alta direção da empresa em temas relacionados à integridade;</w:t>
      </w:r>
    </w:p>
    <w:p w14:paraId="24E69D07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2. mapeamento dos riscos de integridade e estabelecimento de ações mitigadoras, revisadas periodicamente;</w:t>
      </w:r>
    </w:p>
    <w:p w14:paraId="3E22D05D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3. canal de denúncia, aberto e amplamente divulgado, com garantia do devido sigilo ao denunciante;</w:t>
      </w:r>
    </w:p>
    <w:p w14:paraId="58A049D0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4. código de ética ou de conduta aplicável a todos os dirigentes, administradores e empregados, independente de cargo, emprego, posto ou função exercidos;</w:t>
      </w:r>
    </w:p>
    <w:p w14:paraId="183C9C16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5. treinamentos periódicos sobre o Programa de Integridade, que envolvam as vedações incidentes na relação público-privada;</w:t>
      </w:r>
    </w:p>
    <w:p w14:paraId="683CC491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6. promoção de campanhas para divulgar os princípios e valores que regem a empresa contratada e o serviço público, bem como outros temas sobre integridade e combate a desvios de conduta, fraudes, irregularidades e atos ilícitos;</w:t>
      </w:r>
    </w:p>
    <w:p w14:paraId="7E4DE0F0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7. adoção de medidas disciplinares, em caso de violação do Programa de Integridade, e de procedimentos e determinações que assegurem a pronta interrupção da tentativa ou da prática de desvios de conduta, fraudes, irregularidades e atos ilícitos;</w:t>
      </w:r>
    </w:p>
    <w:p w14:paraId="0CBB577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8. monitoramento contínuo do Programa de Integridade, com objetivo de aperfeiçoar os mecanismos de prevenção de atos lesivos, bem como sua detecção e combate; e</w:t>
      </w:r>
    </w:p>
    <w:p w14:paraId="0A1748E0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9. encaminhamento semestral de relatório da execução do Programa de Integridade à equipe de fiscalização do contrato; e</w:t>
      </w:r>
    </w:p>
    <w:p w14:paraId="3A53684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i) cumprir e exigir que os empregados alocados para a execução do contrato nas repartições administrativas cumpram, no que couber, as regras estabelecidas pelos órgãos do Ministério da Justiça e Segurança Pública.</w:t>
      </w:r>
    </w:p>
    <w:p w14:paraId="2CD460C2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>Art. 5º A implantação ou a adequação do Programa de Integridade poderá ser comprovada por qualquer documento hábil a ser encaminhado à equipe de fiscalização do contrato, preferencialmente, em meio digital.</w:t>
      </w:r>
    </w:p>
    <w:p w14:paraId="6A90BAB5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6º Caberá à equipe de fiscalização do contrato acompanhar o cumprimento do prazo para apresentação dos documentos comprobatórios, que, após análise da conformidade das informações, deverá dar ciência à unidade do Ministério da Justiça e Segurança Pública responsável pelo Programa de Integridade e à empresa contratada.</w:t>
      </w:r>
    </w:p>
    <w:p w14:paraId="4D578F7D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 1º Após a implementação ou adequação do Programa de Integridade pela contratada, a equipe de fiscalização deverá realizar acompanhamento da execução do programa, por meio do relatório encaminhado pela empresa contratada, semestralmente.</w:t>
      </w:r>
    </w:p>
    <w:p w14:paraId="3328912B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 2º Em caso de descumprimento do envio do relatório semestral, o responsável pelo acompanhamento deverá notificar a empresa contratada e proceder com o registro do ocorrido.</w:t>
      </w:r>
    </w:p>
    <w:p w14:paraId="3655E188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 3º Em caso de descumprimento da obrigação de apresentar o Programa de Integridade dentro dos prazos estabelecidos, a equipe de fiscalização deverá tomar as providências cabíveis para a aplicação de penalidade à empresa contratada.</w:t>
      </w:r>
    </w:p>
    <w:p w14:paraId="17BA001E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7º O descumprimento das obrigações previstas nesta Portaria ensejará aplicação das penalidades previstas e acordadas no contrato ou de penalidades de natureza administrativa, no caso dos agentes públicos.</w:t>
      </w:r>
    </w:p>
    <w:p w14:paraId="55A32CFA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8º Esta Portaria deverá constar como anexo dos editais referentes às licitações e contratações, inclusive em potencial, de que tratam os incisos do parágrafo único do art. 1º.</w:t>
      </w:r>
    </w:p>
    <w:p w14:paraId="700167DB" w14:textId="77777777" w:rsidR="0006224B" w:rsidRPr="0006224B" w:rsidRDefault="0006224B" w:rsidP="0006224B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06224B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9º Esta Portaria entrará em vigor no dia 30 de novembro de 2020.</w:t>
      </w:r>
    </w:p>
    <w:p w14:paraId="00FA3220" w14:textId="77777777" w:rsidR="0006224B" w:rsidRPr="0006224B" w:rsidRDefault="0006224B" w:rsidP="0006224B">
      <w:pPr>
        <w:shd w:val="clear" w:color="auto" w:fill="FFFFFF"/>
        <w:spacing w:before="300" w:line="240" w:lineRule="auto"/>
        <w:ind w:left="6975"/>
        <w:jc w:val="both"/>
        <w:rPr>
          <w:rFonts w:ascii="Arial" w:eastAsia="Times New Roman" w:hAnsi="Arial" w:cs="Arial"/>
          <w:b/>
          <w:bCs/>
          <w:caps/>
          <w:color w:val="162937"/>
          <w:sz w:val="26"/>
          <w:szCs w:val="26"/>
          <w:lang w:eastAsia="pt-BR"/>
        </w:rPr>
      </w:pPr>
      <w:r w:rsidRPr="0006224B">
        <w:rPr>
          <w:rFonts w:ascii="Arial" w:eastAsia="Times New Roman" w:hAnsi="Arial" w:cs="Arial"/>
          <w:b/>
          <w:bCs/>
          <w:caps/>
          <w:color w:val="162937"/>
          <w:sz w:val="26"/>
          <w:szCs w:val="26"/>
          <w:lang w:eastAsia="pt-BR"/>
        </w:rPr>
        <w:t>TERCIO ISSAMI TOKANO</w:t>
      </w:r>
    </w:p>
    <w:p w14:paraId="1961A8F4" w14:textId="77777777" w:rsidR="0006224B" w:rsidRPr="0006224B" w:rsidRDefault="0006224B" w:rsidP="000622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  <w:lang w:eastAsia="pt-BR"/>
        </w:rPr>
      </w:pPr>
      <w:r w:rsidRPr="0006224B">
        <w:rPr>
          <w:rFonts w:ascii="Arial" w:eastAsia="Times New Roman" w:hAnsi="Arial" w:cs="Arial"/>
          <w:color w:val="FF0000"/>
          <w:sz w:val="19"/>
          <w:szCs w:val="19"/>
          <w:lang w:eastAsia="pt-BR"/>
        </w:rPr>
        <w:t>Este conteúdo não substitui o publicado na versão certificada.</w:t>
      </w:r>
    </w:p>
    <w:p w14:paraId="566E1D1F" w14:textId="77777777" w:rsidR="00335488" w:rsidRDefault="0006224B"/>
    <w:sectPr w:rsidR="00335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4B"/>
    <w:rsid w:val="0006224B"/>
    <w:rsid w:val="00C14879"/>
    <w:rsid w:val="00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811D"/>
  <w15:chartTrackingRefBased/>
  <w15:docId w15:val="{22DFE837-53AB-48C9-BF39-D677348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62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6224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ext-center">
    <w:name w:val="text-center"/>
    <w:basedOn w:val="Normal"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06224B"/>
  </w:style>
  <w:style w:type="character" w:customStyle="1" w:styleId="publicado-dou-data">
    <w:name w:val="publicado-dou-data"/>
    <w:basedOn w:val="Fontepargpadro"/>
    <w:rsid w:val="0006224B"/>
  </w:style>
  <w:style w:type="character" w:customStyle="1" w:styleId="pipe">
    <w:name w:val="pipe"/>
    <w:basedOn w:val="Fontepargpadro"/>
    <w:rsid w:val="0006224B"/>
  </w:style>
  <w:style w:type="character" w:customStyle="1" w:styleId="edicao-dou">
    <w:name w:val="edicao-dou"/>
    <w:basedOn w:val="Fontepargpadro"/>
    <w:rsid w:val="0006224B"/>
  </w:style>
  <w:style w:type="character" w:customStyle="1" w:styleId="edicao-dou-data">
    <w:name w:val="edicao-dou-data"/>
    <w:basedOn w:val="Fontepargpadro"/>
    <w:rsid w:val="0006224B"/>
  </w:style>
  <w:style w:type="character" w:customStyle="1" w:styleId="secao-dou">
    <w:name w:val="secao-dou"/>
    <w:basedOn w:val="Fontepargpadro"/>
    <w:rsid w:val="0006224B"/>
  </w:style>
  <w:style w:type="character" w:customStyle="1" w:styleId="secao-dou-data">
    <w:name w:val="secao-dou-data"/>
    <w:basedOn w:val="Fontepargpadro"/>
    <w:rsid w:val="0006224B"/>
  </w:style>
  <w:style w:type="character" w:customStyle="1" w:styleId="orgao-dou">
    <w:name w:val="orgao-dou"/>
    <w:basedOn w:val="Fontepargpadro"/>
    <w:rsid w:val="0006224B"/>
  </w:style>
  <w:style w:type="character" w:customStyle="1" w:styleId="orgao-dou-data">
    <w:name w:val="orgao-dou-data"/>
    <w:basedOn w:val="Fontepargpadro"/>
    <w:rsid w:val="0006224B"/>
  </w:style>
  <w:style w:type="paragraph" w:customStyle="1" w:styleId="identifica">
    <w:name w:val="identifica"/>
    <w:basedOn w:val="Normal"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Antonio de Almeida Py</dc:creator>
  <cp:keywords/>
  <dc:description/>
  <cp:lastModifiedBy>Claudio Antonio de Almeida Py</cp:lastModifiedBy>
  <cp:revision>1</cp:revision>
  <dcterms:created xsi:type="dcterms:W3CDTF">2020-11-11T18:24:00Z</dcterms:created>
  <dcterms:modified xsi:type="dcterms:W3CDTF">2020-11-11T18:25:00Z</dcterms:modified>
</cp:coreProperties>
</file>