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5FF910" w14:textId="77777777" w:rsidR="0006224B" w:rsidRPr="0006224B" w:rsidRDefault="0006224B" w:rsidP="0006224B">
      <w:pPr>
        <w:shd w:val="clear" w:color="auto" w:fill="FFFFFF"/>
        <w:spacing w:before="180"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color w:val="222222"/>
          <w:sz w:val="48"/>
          <w:szCs w:val="48"/>
          <w:lang w:eastAsia="pt-BR"/>
        </w:rPr>
      </w:pPr>
      <w:r w:rsidRPr="0006224B">
        <w:rPr>
          <w:rFonts w:ascii="Times New Roman" w:eastAsia="Times New Roman" w:hAnsi="Times New Roman" w:cs="Times New Roman"/>
          <w:b/>
          <w:bCs/>
          <w:caps/>
          <w:color w:val="222222"/>
          <w:sz w:val="48"/>
          <w:szCs w:val="48"/>
          <w:lang w:eastAsia="pt-BR"/>
        </w:rPr>
        <w:t>DIÁRIO OFICIAL DA UNIÃO</w:t>
      </w:r>
    </w:p>
    <w:p w14:paraId="66E2BF11" w14:textId="77777777" w:rsidR="0006224B" w:rsidRPr="0006224B" w:rsidRDefault="0006224B" w:rsidP="0006224B">
      <w:pPr>
        <w:shd w:val="clear" w:color="auto" w:fill="FFFFFF"/>
        <w:spacing w:before="30" w:after="45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666666"/>
          <w:sz w:val="19"/>
          <w:szCs w:val="19"/>
          <w:lang w:eastAsia="pt-BR"/>
        </w:rPr>
        <w:t>Publicado em: 16/09/2020</w:t>
      </w:r>
      <w:r w:rsidRPr="000622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06224B">
        <w:rPr>
          <w:rFonts w:ascii="Arial" w:eastAsia="Times New Roman" w:hAnsi="Arial" w:cs="Arial"/>
          <w:color w:val="666666"/>
          <w:sz w:val="19"/>
          <w:szCs w:val="19"/>
          <w:lang w:eastAsia="pt-BR"/>
        </w:rPr>
        <w:t>| Edição: 178</w:t>
      </w:r>
      <w:r w:rsidRPr="000622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06224B">
        <w:rPr>
          <w:rFonts w:ascii="Arial" w:eastAsia="Times New Roman" w:hAnsi="Arial" w:cs="Arial"/>
          <w:color w:val="666666"/>
          <w:sz w:val="19"/>
          <w:szCs w:val="19"/>
          <w:lang w:eastAsia="pt-BR"/>
        </w:rPr>
        <w:t>| Seção: 1</w:t>
      </w:r>
      <w:r w:rsidRPr="0006224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  <w:r w:rsidRPr="0006224B">
        <w:rPr>
          <w:rFonts w:ascii="Arial" w:eastAsia="Times New Roman" w:hAnsi="Arial" w:cs="Arial"/>
          <w:color w:val="666666"/>
          <w:sz w:val="19"/>
          <w:szCs w:val="19"/>
          <w:lang w:eastAsia="pt-BR"/>
        </w:rPr>
        <w:t>| Página: 269</w:t>
      </w:r>
    </w:p>
    <w:p w14:paraId="23C8CA84" w14:textId="77777777" w:rsidR="0006224B" w:rsidRPr="0006224B" w:rsidRDefault="0006224B" w:rsidP="0006224B">
      <w:pPr>
        <w:shd w:val="clear" w:color="auto" w:fill="FFFFFF"/>
        <w:spacing w:before="30" w:after="45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b/>
          <w:bCs/>
          <w:color w:val="666666"/>
          <w:sz w:val="19"/>
          <w:szCs w:val="19"/>
          <w:lang w:eastAsia="pt-BR"/>
        </w:rPr>
        <w:t>Órgão: Ministério da Justiça e Segurança Pública/Gabinete do Ministro</w:t>
      </w:r>
    </w:p>
    <w:p w14:paraId="690DED89" w14:textId="77777777" w:rsidR="0006224B" w:rsidRPr="0006224B" w:rsidRDefault="0006224B" w:rsidP="0006224B">
      <w:pPr>
        <w:shd w:val="clear" w:color="auto" w:fill="FFFFFF"/>
        <w:spacing w:before="450" w:after="450" w:line="240" w:lineRule="auto"/>
        <w:jc w:val="center"/>
        <w:rPr>
          <w:rFonts w:ascii="Arial" w:eastAsia="Times New Roman" w:hAnsi="Arial" w:cs="Arial"/>
          <w:b/>
          <w:bCs/>
          <w:caps/>
          <w:color w:val="162937"/>
          <w:sz w:val="29"/>
          <w:szCs w:val="29"/>
          <w:lang w:eastAsia="pt-BR"/>
        </w:rPr>
      </w:pPr>
      <w:r w:rsidRPr="0006224B">
        <w:rPr>
          <w:rFonts w:ascii="Arial" w:eastAsia="Times New Roman" w:hAnsi="Arial" w:cs="Arial"/>
          <w:b/>
          <w:bCs/>
          <w:caps/>
          <w:color w:val="162937"/>
          <w:sz w:val="29"/>
          <w:szCs w:val="29"/>
          <w:lang w:eastAsia="pt-BR"/>
        </w:rPr>
        <w:t>PORTARIA Nº 513, DE 15 DE SETEMBRO DE 2020</w:t>
      </w:r>
    </w:p>
    <w:p w14:paraId="565E9AD4" w14:textId="77777777" w:rsidR="0006224B" w:rsidRPr="0006224B" w:rsidRDefault="0006224B" w:rsidP="0006224B">
      <w:pPr>
        <w:shd w:val="clear" w:color="auto" w:fill="FFFFFF"/>
        <w:spacing w:after="450" w:line="240" w:lineRule="auto"/>
        <w:ind w:left="54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Dispõe sobre a implantação de Programa de Integridade em empresas contratadas pelo Ministério da Justiça e Segurança Pública.</w:t>
      </w:r>
    </w:p>
    <w:p w14:paraId="06668CBD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O MINISTRO DE ESTADO DA JUSTIÇA E SEGURANÇA PÚBLICA-SUBSTITUTO, no uso das atribuições que lhe confere o inciso II do parágrafo único do art. 87 da CRFB, c/c o inciso III do art. 1º do Decreto nº 8.851, de 20 de setembro de 2016, e tendo em vista o disposto no inciso VIII do art. 7º da Lei nº 12.846, de 1º de agosto de 2013, nos </w:t>
      </w:r>
      <w:proofErr w:type="spell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arts</w:t>
      </w:r>
      <w:proofErr w:type="spell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. 41 e 42 do Decreto nº 8.420, de 18 de março de 2015, no parágrafo único do art. 7º da Portaria CGU nº 57, de 4 de janeiro de 2019, e no Anexo IX da Portaria MJSP nº 86, de 23 de março de 2020, e o consta no processo administrativo nº 08001.004150/2019-11, resolve:</w:t>
      </w:r>
    </w:p>
    <w:p w14:paraId="2731DA5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1º Dispor sobre a implantação de Programa de Integridade em empresas contratadas pelo Ministério da Justiça e Segurança Pública.</w:t>
      </w:r>
    </w:p>
    <w:p w14:paraId="3E9237D6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Parágrafo único. Esta Portaria se aplica:</w:t>
      </w:r>
    </w:p>
    <w:p w14:paraId="0A74ECBB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no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caso de contratações cujos valores sejam iguais ou superiores a R$ 10.000.000,00 (dez milhões de reais); e</w:t>
      </w:r>
    </w:p>
    <w:p w14:paraId="42AA693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nos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casos de contratações em que sejam celebrados termos aditivos para prorrogação da prestação de serviços continuados ou para efetivar acréscimos legais ao preço, ao ser atingida a alçada prevista no inciso I, pelo somatório dos valores.</w:t>
      </w:r>
    </w:p>
    <w:p w14:paraId="1E9283E6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2º São objetivos desta Portaria:</w:t>
      </w:r>
    </w:p>
    <w:p w14:paraId="75DAD52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inserir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as empresas contratadas na política e nas ações de integridade da administração pública;</w:t>
      </w:r>
    </w:p>
    <w:p w14:paraId="672F7D99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contribuir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para a redução dos riscos de práticas ilegais ou irregulares que possam gerar atos lesivos ou potencialmente lesivos aos princípios da administração pública, ao erário e à imagem do Ministério da Justiça e Segurança Pública;</w:t>
      </w:r>
    </w:p>
    <w:p w14:paraId="23F2475A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III - prevenir a ocorrência de irregularidades relacionadas a desvios de conduta administrativa ou ética;</w:t>
      </w:r>
    </w:p>
    <w:p w14:paraId="20A80956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IV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orientar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o relacionamento entre os agentes públicos e as empresas contratadas e seus dirigentes e funcionários; e</w:t>
      </w:r>
    </w:p>
    <w:p w14:paraId="697AE036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lastRenderedPageBreak/>
        <w:t xml:space="preserve">V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propiciar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a prestação do serviço público com transparência e previsibilidade.</w:t>
      </w:r>
    </w:p>
    <w:p w14:paraId="29F86BC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3º Deverá haver previsão expressa nos editais de licitação e em documentação prévia às contratações de que as empresas contratadas deverão se comprometer a implantar Programa de Integridade ou adequar seu Programa de Integridade já existente ao previsto nesta Portaria.</w:t>
      </w:r>
    </w:p>
    <w:p w14:paraId="3A4AB9C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4º Os termos de referência e projetos básicos das contratações deverão conter cláusulas específicas com as obrigações deste Ministério e da empresa contratada relativamente às exigências de integridade, nos seguintes moldes:</w:t>
      </w:r>
    </w:p>
    <w:p w14:paraId="5FC6125C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das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obrigações dos órgãos do Ministério da Justiça e Segurança Pública e seus agentes públicos:</w:t>
      </w:r>
    </w:p>
    <w:p w14:paraId="4CBB320E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a) não praticar atos para ingerência na administração da empresa contratada, especialmente quanto a direcionamento de escolha de possíveis trabalhadores;</w:t>
      </w:r>
    </w:p>
    <w:p w14:paraId="447C2CBC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b) para contratos de prestação de serviços com regime de dedicação exclusiva de mão de obra, não praticar atos tendentes a gerar vínculo empregatício entre os empregados da empresa contratada e o Ministério, vedando-se qualquer relação entre estes que caracterize pessoalidade e subordinação direta, atentando-se às vedações explícitas no art. 5º da Instrução Normativa SEGES/MPOG nº 5, de 26 de maio de 2017; e</w:t>
      </w:r>
    </w:p>
    <w:p w14:paraId="6ACD067B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c) notificar a empresa contratada, por escrito, sobre desvios de conduta, irregularidades, fraudes ou atos ilícitos, praticados na execução do contrato; e</w:t>
      </w:r>
    </w:p>
    <w:p w14:paraId="567E82E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II - </w:t>
      </w:r>
      <w:proofErr w:type="gramStart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das</w:t>
      </w:r>
      <w:proofErr w:type="gramEnd"/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 obrigações da empresa contratada:</w:t>
      </w:r>
    </w:p>
    <w:p w14:paraId="4E700F03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a) estabelecer normas gerais de integridade:</w:t>
      </w:r>
    </w:p>
    <w:p w14:paraId="3BFCCA0B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1. em até 6 (seis) meses para contratos de até 12 (doze) meses; e</w:t>
      </w:r>
    </w:p>
    <w:p w14:paraId="6BDFEDAC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2. em até 9 (nove) meses para contratos de mais de 12 (doze) meses;</w:t>
      </w:r>
    </w:p>
    <w:p w14:paraId="08ADCBFC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b) orientar seus empregados alocados para a execução do contrato sobre as normas de integridade e a indispensabilidade de seu cumprimento;</w:t>
      </w:r>
    </w:p>
    <w:p w14:paraId="0E7736A0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c) adotar práticas de governança e gestão capazes de identificar e mitigar desvios de conduta, irregularidades, fraudes e atos ilícitos, de acordo com as normas de integridade previstas na Lei nº 12.846, de 1º de agosto de 2013, e no Decreto nº 8.420, de 18 de março de 2015;</w:t>
      </w:r>
    </w:p>
    <w:p w14:paraId="0E7754D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d) relatar ao órgão contratante, por escrito, qualquer descumprimento das normas de integridade praticado por agentes públicos com os quais mantenha contato em decorrência da execução do contrato;</w:t>
      </w:r>
    </w:p>
    <w:p w14:paraId="12FDB4B7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e) substituir com presteza qualquer profissional que tenha cometido desvios de conduta, irregularidades, fraudes e atos ilícitos, conforme observado e notificado pelo agente público competente;</w:t>
      </w:r>
    </w:p>
    <w:p w14:paraId="2A0A7B57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 xml:space="preserve">f) apresentar, no momento da celebração do contrato, Declaração de Inexistência de Vínculo Familiar, nos termos do art. 7º do Decreto nº 7.203, de 4 </w:t>
      </w: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lastRenderedPageBreak/>
        <w:t>de junho de 2010, em que é assumido o compromisso de não utilizar, na execução do contrato, mão de obra que seja cônjuge, companheiro ou parente em linha reta ou colateral, por consanguinidade ou afinidade, até o terceiro grau, de agente público que exerce cargo em comissão ou função de confiança no âmbito do Ministério da Justiça e Segurança Pública;</w:t>
      </w:r>
    </w:p>
    <w:p w14:paraId="6F2A8E8C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g) apresentar à equipe de fiscalização do contrato, juntamente com o rol de documentos obrigatórios do empregado alocado para a execução do contrato, Termo de Ciência e Concordância, devidamente assinado pelo empregado, conforme modelo constante no anexo a esta Portaria; e</w:t>
      </w:r>
    </w:p>
    <w:p w14:paraId="4EAB77CF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h) encaminhar à equipe de fiscalização do contrato, observados os prazos estabelecidos na alínea "a", documentação que evidencie, em alinhamento com os parâmetros do Capítulo IV do Decreto nº 8.420, de 2015, a realização das seguintes ações e atividades:</w:t>
      </w:r>
    </w:p>
    <w:p w14:paraId="2320303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1. promoção e participação em reuniões, apresentações, palestras e quaisquer outros eventos de natureza semelhante que evidenciam o comprometimento da alta direção da empresa em temas relacionados à integridade;</w:t>
      </w:r>
    </w:p>
    <w:p w14:paraId="24E69D07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2. mapeamento dos riscos de integridade e estabelecimento de ações mitigadoras, revisadas periodicamente;</w:t>
      </w:r>
    </w:p>
    <w:p w14:paraId="3E22D05D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3. canal de denúncia, aberto e amplamente divulgado, com garantia do devido sigilo ao denunciante;</w:t>
      </w:r>
    </w:p>
    <w:p w14:paraId="58A049D0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4. código de ética ou de conduta aplicável a todos os dirigentes, administradores e empregados, independente de cargo, emprego, posto ou função exercidos;</w:t>
      </w:r>
    </w:p>
    <w:p w14:paraId="183C9C16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5. treinamentos periódicos sobre o Programa de Integridade, que envolvam as vedações incidentes na relação público-privada;</w:t>
      </w:r>
    </w:p>
    <w:p w14:paraId="683CC491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6. promoção de campanhas para divulgar os princípios e valores que regem a empresa contratada e o serviço público, bem como outros temas sobre integridade e combate a desvios de conduta, fraudes, irregularidades e atos ilícitos;</w:t>
      </w:r>
    </w:p>
    <w:p w14:paraId="7E4DE0F0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7. adoção de medidas disciplinares, em caso de violação do Programa de Integridade, e de procedimentos e determinações que assegurem a pronta interrupção da tentativa ou da prática de desvios de conduta, fraudes, irregularidades e atos ilícitos;</w:t>
      </w:r>
    </w:p>
    <w:p w14:paraId="0CBB577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8. monitoramento contínuo do Programa de Integridade, com objetivo de aperfeiçoar os mecanismos de prevenção de atos lesivos, bem como sua detecção e combate; e</w:t>
      </w:r>
    </w:p>
    <w:p w14:paraId="0A1748E0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9. encaminhamento semestral de relatório da execução do Programa de Integridade à equipe de fiscalização do contrato; e</w:t>
      </w:r>
    </w:p>
    <w:p w14:paraId="3A53684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i) cumprir e exigir que os empregados alocados para a execução do contrato nas repartições administrativas cumpram, no que couber, as regras estabelecidas pelos órgãos do Ministério da Justiça e Segurança Pública.</w:t>
      </w:r>
    </w:p>
    <w:p w14:paraId="2CD460C2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lastRenderedPageBreak/>
        <w:t>Art. 5º A implantação ou a adequação do Programa de Integridade poderá ser comprovada por qualquer documento hábil a ser encaminhado à equipe de fiscalização do contrato, preferencialmente, em meio digital.</w:t>
      </w:r>
    </w:p>
    <w:p w14:paraId="6A90BAB5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6º Caberá à equipe de fiscalização do contrato acompanhar o cumprimento do prazo para apresentação dos documentos comprobatórios, que, após análise da conformidade das informações, deverá dar ciência à unidade do Ministério da Justiça e Segurança Pública responsável pelo Programa de Integridade e à empresa contratada.</w:t>
      </w:r>
    </w:p>
    <w:p w14:paraId="4D578F7D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§ 1º Após a implementação ou adequação do Programa de Integridade pela contratada, a equipe de fiscalização deverá realizar acompanhamento da execução do programa, por meio do relatório encaminhado pela empresa contratada, semestralmente.</w:t>
      </w:r>
    </w:p>
    <w:p w14:paraId="3328912B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§ 2º Em caso de descumprimento do envio do relatório semestral, o responsável pelo acompanhamento deverá notificar a empresa contratada e proceder com o registro do ocorrido.</w:t>
      </w:r>
    </w:p>
    <w:p w14:paraId="3655E188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§ 3º Em caso de descumprimento da obrigação de apresentar o Programa de Integridade dentro dos prazos estabelecidos, a equipe de fiscalização deverá tomar as providências cabíveis para a aplicação de penalidade à empresa contratada.</w:t>
      </w:r>
    </w:p>
    <w:p w14:paraId="17BA001E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7º O descumprimento das obrigações previstas nesta Portaria ensejará aplicação das penalidades previstas e acordadas no contrato ou de penalidades de natureza administrativa, no caso dos agentes públicos.</w:t>
      </w:r>
    </w:p>
    <w:p w14:paraId="55A32CFA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8º Esta Portaria deverá constar como anexo dos editais referentes às licitações e contratações, inclusive em potencial, de que tratam os incisos do parágrafo único do art. 1º.</w:t>
      </w:r>
    </w:p>
    <w:p w14:paraId="700167DB" w14:textId="77777777" w:rsidR="0006224B" w:rsidRPr="0006224B" w:rsidRDefault="0006224B" w:rsidP="0006224B">
      <w:pPr>
        <w:shd w:val="clear" w:color="auto" w:fill="FFFFFF"/>
        <w:spacing w:after="150" w:line="240" w:lineRule="auto"/>
        <w:ind w:firstLine="1200"/>
        <w:jc w:val="both"/>
        <w:rPr>
          <w:rFonts w:ascii="Arial" w:eastAsia="Times New Roman" w:hAnsi="Arial" w:cs="Arial"/>
          <w:color w:val="162937"/>
          <w:sz w:val="24"/>
          <w:szCs w:val="24"/>
          <w:lang w:eastAsia="pt-BR"/>
        </w:rPr>
      </w:pPr>
      <w:r w:rsidRPr="0006224B">
        <w:rPr>
          <w:rFonts w:ascii="Arial" w:eastAsia="Times New Roman" w:hAnsi="Arial" w:cs="Arial"/>
          <w:color w:val="162937"/>
          <w:sz w:val="24"/>
          <w:szCs w:val="24"/>
          <w:lang w:eastAsia="pt-BR"/>
        </w:rPr>
        <w:t>Art. 9º Esta Portaria entrará em vigor no dia 30 de novembro de 2020.</w:t>
      </w:r>
    </w:p>
    <w:p w14:paraId="00FA3220" w14:textId="77777777" w:rsidR="0006224B" w:rsidRPr="0006224B" w:rsidRDefault="0006224B" w:rsidP="0006224B">
      <w:pPr>
        <w:shd w:val="clear" w:color="auto" w:fill="FFFFFF"/>
        <w:spacing w:before="300" w:line="240" w:lineRule="auto"/>
        <w:ind w:left="6975"/>
        <w:jc w:val="both"/>
        <w:rPr>
          <w:rFonts w:ascii="Arial" w:eastAsia="Times New Roman" w:hAnsi="Arial" w:cs="Arial"/>
          <w:b/>
          <w:bCs/>
          <w:caps/>
          <w:color w:val="162937"/>
          <w:sz w:val="26"/>
          <w:szCs w:val="26"/>
          <w:lang w:eastAsia="pt-BR"/>
        </w:rPr>
      </w:pPr>
      <w:r w:rsidRPr="0006224B">
        <w:rPr>
          <w:rFonts w:ascii="Arial" w:eastAsia="Times New Roman" w:hAnsi="Arial" w:cs="Arial"/>
          <w:b/>
          <w:bCs/>
          <w:caps/>
          <w:color w:val="162937"/>
          <w:sz w:val="26"/>
          <w:szCs w:val="26"/>
          <w:lang w:eastAsia="pt-BR"/>
        </w:rPr>
        <w:t>TERCIO ISSAMI TOKANO</w:t>
      </w:r>
    </w:p>
    <w:p w14:paraId="1961A8F4" w14:textId="77777777" w:rsidR="0006224B" w:rsidRPr="0006224B" w:rsidRDefault="0006224B" w:rsidP="0006224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FF0000"/>
          <w:sz w:val="19"/>
          <w:szCs w:val="19"/>
          <w:lang w:eastAsia="pt-BR"/>
        </w:rPr>
      </w:pPr>
      <w:r w:rsidRPr="0006224B">
        <w:rPr>
          <w:rFonts w:ascii="Arial" w:eastAsia="Times New Roman" w:hAnsi="Arial" w:cs="Arial"/>
          <w:color w:val="FF0000"/>
          <w:sz w:val="19"/>
          <w:szCs w:val="19"/>
          <w:lang w:eastAsia="pt-BR"/>
        </w:rPr>
        <w:t>Este conteúdo não substitui o publicado na versão certificada.</w:t>
      </w:r>
    </w:p>
    <w:p w14:paraId="566E1D1F" w14:textId="77777777" w:rsidR="00335488" w:rsidRDefault="0006224B"/>
    <w:sectPr w:rsidR="003354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4B"/>
    <w:rsid w:val="0006224B"/>
    <w:rsid w:val="00C14879"/>
    <w:rsid w:val="00EA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811D"/>
  <w15:chartTrackingRefBased/>
  <w15:docId w15:val="{22DFE837-53AB-48C9-BF39-D677348A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0622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06224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ext-center">
    <w:name w:val="text-center"/>
    <w:basedOn w:val="Normal"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ublicado-dou">
    <w:name w:val="publicado-dou"/>
    <w:basedOn w:val="Fontepargpadro"/>
    <w:rsid w:val="0006224B"/>
  </w:style>
  <w:style w:type="character" w:customStyle="1" w:styleId="publicado-dou-data">
    <w:name w:val="publicado-dou-data"/>
    <w:basedOn w:val="Fontepargpadro"/>
    <w:rsid w:val="0006224B"/>
  </w:style>
  <w:style w:type="character" w:customStyle="1" w:styleId="pipe">
    <w:name w:val="pipe"/>
    <w:basedOn w:val="Fontepargpadro"/>
    <w:rsid w:val="0006224B"/>
  </w:style>
  <w:style w:type="character" w:customStyle="1" w:styleId="edicao-dou">
    <w:name w:val="edicao-dou"/>
    <w:basedOn w:val="Fontepargpadro"/>
    <w:rsid w:val="0006224B"/>
  </w:style>
  <w:style w:type="character" w:customStyle="1" w:styleId="edicao-dou-data">
    <w:name w:val="edicao-dou-data"/>
    <w:basedOn w:val="Fontepargpadro"/>
    <w:rsid w:val="0006224B"/>
  </w:style>
  <w:style w:type="character" w:customStyle="1" w:styleId="secao-dou">
    <w:name w:val="secao-dou"/>
    <w:basedOn w:val="Fontepargpadro"/>
    <w:rsid w:val="0006224B"/>
  </w:style>
  <w:style w:type="character" w:customStyle="1" w:styleId="secao-dou-data">
    <w:name w:val="secao-dou-data"/>
    <w:basedOn w:val="Fontepargpadro"/>
    <w:rsid w:val="0006224B"/>
  </w:style>
  <w:style w:type="character" w:customStyle="1" w:styleId="orgao-dou">
    <w:name w:val="orgao-dou"/>
    <w:basedOn w:val="Fontepargpadro"/>
    <w:rsid w:val="0006224B"/>
  </w:style>
  <w:style w:type="character" w:customStyle="1" w:styleId="orgao-dou-data">
    <w:name w:val="orgao-dou-data"/>
    <w:basedOn w:val="Fontepargpadro"/>
    <w:rsid w:val="0006224B"/>
  </w:style>
  <w:style w:type="paragraph" w:customStyle="1" w:styleId="identifica">
    <w:name w:val="identifica"/>
    <w:basedOn w:val="Normal"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ina">
    <w:name w:val="assina"/>
    <w:basedOn w:val="Normal"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62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9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8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5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1395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Antonio de Almeida Py</dc:creator>
  <cp:keywords/>
  <dc:description/>
  <cp:lastModifiedBy>Claudio Antonio de Almeida Py</cp:lastModifiedBy>
  <cp:revision>1</cp:revision>
  <dcterms:created xsi:type="dcterms:W3CDTF">2020-11-11T18:24:00Z</dcterms:created>
  <dcterms:modified xsi:type="dcterms:W3CDTF">2020-11-11T18:25:00Z</dcterms:modified>
</cp:coreProperties>
</file>