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0027B" w:rsidRDefault="0015098A" w14:paraId="46A73BA2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DQT-M15</w:t>
      </w:r>
    </w:p>
    <w:p xmlns:wp14="http://schemas.microsoft.com/office/word/2010/wordml" w:rsidR="00C0027B" w:rsidRDefault="0015098A" w14:paraId="023C3C41" wp14:textId="77777777">
      <w:pPr>
        <w:pStyle w:val="Ttulo1"/>
        <w:spacing w:before="0" w:after="160"/>
      </w:pPr>
      <w:r>
        <w:t>Critérios de Avaliação do Parecer de Análise Ética do CEP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C0027B" w:rsidTr="55153D32" w14:paraId="08EC96B3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0027B" w:rsidP="55153D32" w:rsidRDefault="0015098A" w14:paraId="3DE57311" wp14:textId="77777777">
            <w:pPr>
              <w:jc w:val="both"/>
            </w:pPr>
            <w:r w:rsidRPr="55153D32" w:rsidR="0015098A">
              <w:rPr>
                <w:b w:val="1"/>
                <w:bCs w:val="1"/>
              </w:rPr>
              <w:t xml:space="preserve">Finalidade. </w:t>
            </w:r>
            <w:r w:rsidR="0015098A">
              <w:rPr/>
              <w:t xml:space="preserve">Elucida os critérios usados pela </w:t>
            </w:r>
            <w:r w:rsidR="0015098A">
              <w:rPr/>
              <w:t>Inaep</w:t>
            </w:r>
            <w:r w:rsidR="0015098A">
              <w:rPr/>
              <w:t xml:space="preserve"> para avaliar a qualidade da análise ética dos pareceres emitidos pelo CEP.</w:t>
            </w:r>
          </w:p>
        </w:tc>
      </w:tr>
    </w:tbl>
    <w:p xmlns:wp14="http://schemas.microsoft.com/office/word/2010/wordml" w:rsidR="00C0027B" w:rsidRDefault="00C0027B" w14:paraId="672A6659" wp14:textId="77777777">
      <w:pPr>
        <w:spacing w:after="120"/>
      </w:pPr>
    </w:p>
    <w:p xmlns:wp14="http://schemas.microsoft.com/office/word/2010/wordml" w:rsidR="00C0027B" w:rsidP="608AD709" w:rsidRDefault="0015098A" w14:paraId="7AD5C350" wp14:textId="77777777">
      <w:pPr>
        <w:spacing w:after="120"/>
        <w:jc w:val="both"/>
      </w:pPr>
      <w:r w:rsidR="0015098A">
        <w:rPr/>
        <w:t xml:space="preserve">A avaliação dos pareceres dos </w:t>
      </w:r>
      <w:r w:rsidR="0015098A">
        <w:rPr/>
        <w:t>CEPs</w:t>
      </w:r>
      <w:r w:rsidR="0015098A">
        <w:rPr/>
        <w:t xml:space="preserve"> </w:t>
      </w:r>
      <w:r w:rsidR="0031721D">
        <w:rPr/>
        <w:t>em processo de acreditação</w:t>
      </w:r>
      <w:r w:rsidR="0015098A">
        <w:rPr/>
        <w:t xml:space="preserve"> organiza-se em </w:t>
      </w:r>
      <w:r w:rsidR="00F918A2">
        <w:rPr/>
        <w:t>oito</w:t>
      </w:r>
      <w:r w:rsidR="0015098A">
        <w:rPr/>
        <w:t xml:space="preserve"> dimensões temáticas, indispensáveis à análise ética e à proteção do participante da pesquisa, em conformidade com as normas vigentes:</w:t>
      </w:r>
    </w:p>
    <w:p xmlns:wp14="http://schemas.microsoft.com/office/word/2010/wordml" w:rsidR="00C0027B" w:rsidRDefault="00C0027B" w14:paraId="0A37501D" wp14:textId="77777777">
      <w:pPr>
        <w:spacing w:after="120"/>
      </w:pPr>
    </w:p>
    <w:p xmlns:wp14="http://schemas.microsoft.com/office/word/2010/wordml" w:rsidR="00C0027B" w:rsidP="608AD709" w:rsidRDefault="0015098A" w14:paraId="5CA19013" wp14:textId="77777777">
      <w:pPr>
        <w:pStyle w:val="Ttulo2"/>
        <w:jc w:val="both"/>
      </w:pPr>
      <w:r w:rsidR="0015098A">
        <w:rPr/>
        <w:t>Seção I — Identificação, rastreabilidade e contexto do</w:t>
      </w:r>
      <w:r w:rsidR="0015098A">
        <w:rPr/>
        <w:t xml:space="preserve"> protocolo</w:t>
      </w:r>
    </w:p>
    <w:p xmlns:wp14="http://schemas.microsoft.com/office/word/2010/wordml" w:rsidR="00C0027B" w:rsidP="608AD709" w:rsidRDefault="0015098A" w14:paraId="433035FF" wp14:textId="77777777">
      <w:pPr>
        <w:spacing w:after="120"/>
        <w:jc w:val="both"/>
      </w:pPr>
      <w:r w:rsidR="0015098A">
        <w:rPr/>
        <w:t>Captura os dados elementares de identificação e rastreabilidade do protocolo e do comitê avaliador, base documental mínima para vincular cada parecer ao seu processo de origem e ao CEP responsável.</w:t>
      </w:r>
    </w:p>
    <w:p xmlns:wp14="http://schemas.microsoft.com/office/word/2010/wordml" w:rsidR="00C0027B" w:rsidP="608AD709" w:rsidRDefault="0015098A" w14:paraId="571309DB" wp14:textId="77777777">
      <w:pPr>
        <w:pStyle w:val="Ttulo2"/>
        <w:jc w:val="both"/>
      </w:pPr>
      <w:r w:rsidR="0015098A">
        <w:rPr/>
        <w:t>Seção II — Autonomia, consentimento e participa</w:t>
      </w:r>
      <w:r w:rsidR="0015098A">
        <w:rPr/>
        <w:t>ção</w:t>
      </w:r>
    </w:p>
    <w:p xmlns:wp14="http://schemas.microsoft.com/office/word/2010/wordml" w:rsidR="00C0027B" w:rsidP="608AD709" w:rsidRDefault="0015098A" w14:paraId="7EED859C" wp14:textId="77777777">
      <w:pPr>
        <w:spacing w:after="120"/>
        <w:jc w:val="both"/>
      </w:pPr>
      <w:r w:rsidR="0015098A">
        <w:rPr/>
        <w:t>Avalia se o CEP garantiu o respeito à autonomia do participante de pesquisa.</w:t>
      </w:r>
    </w:p>
    <w:p xmlns:wp14="http://schemas.microsoft.com/office/word/2010/wordml" w:rsidR="00C0027B" w:rsidP="608AD709" w:rsidRDefault="0015098A" w14:paraId="606BCE3E" wp14:textId="77777777">
      <w:pPr>
        <w:pStyle w:val="Ttulo2"/>
        <w:jc w:val="both"/>
      </w:pPr>
      <w:r w:rsidR="0015098A">
        <w:rPr/>
        <w:t>Seção III — Canais de comunicação e formas de contato</w:t>
      </w:r>
    </w:p>
    <w:p xmlns:wp14="http://schemas.microsoft.com/office/word/2010/wordml" w:rsidR="00C0027B" w:rsidP="608AD709" w:rsidRDefault="0015098A" w14:paraId="6ADB7DD8" wp14:textId="77777777">
      <w:pPr>
        <w:spacing w:after="120"/>
        <w:jc w:val="both"/>
      </w:pPr>
      <w:r w:rsidR="0015098A">
        <w:rPr/>
        <w:t>Avalia se o TCLE e os documentos do protocolo disponibilizam informações completas e precisas de contato, permitindo ao p</w:t>
      </w:r>
      <w:r w:rsidR="0015098A">
        <w:rPr/>
        <w:t>articipante comunicar-se com os pesquisadores e com o CEP.</w:t>
      </w:r>
    </w:p>
    <w:p xmlns:wp14="http://schemas.microsoft.com/office/word/2010/wordml" w:rsidR="00C0027B" w:rsidP="608AD709" w:rsidRDefault="0015098A" w14:paraId="26A53042" wp14:textId="77777777">
      <w:pPr>
        <w:pStyle w:val="Ttulo2"/>
        <w:jc w:val="both"/>
      </w:pPr>
      <w:r w:rsidR="0015098A">
        <w:rPr/>
        <w:t>Seção IV — Qualidade da informação científica, riscos e metodologia</w:t>
      </w:r>
    </w:p>
    <w:p xmlns:wp14="http://schemas.microsoft.com/office/word/2010/wordml" w:rsidR="00C0027B" w:rsidP="608AD709" w:rsidRDefault="0015098A" w14:paraId="705F7B45" wp14:textId="77777777">
      <w:pPr>
        <w:spacing w:after="120"/>
        <w:jc w:val="both"/>
      </w:pPr>
      <w:r w:rsidR="0015098A">
        <w:rPr/>
        <w:t>Avalia se o CEP exigiu que o protocolo descrevesse, em linguagem acessível no TCLE, todos os procedimentos, riscos e demais infor</w:t>
      </w:r>
      <w:r w:rsidR="0015098A">
        <w:rPr/>
        <w:t>mações pertinentes ao desenvolvimento da pesquisa.</w:t>
      </w:r>
    </w:p>
    <w:p xmlns:wp14="http://schemas.microsoft.com/office/word/2010/wordml" w:rsidR="00C0027B" w:rsidP="608AD709" w:rsidRDefault="0015098A" w14:paraId="0753AC02" wp14:textId="4236D5C1">
      <w:pPr>
        <w:pStyle w:val="Ttulo2"/>
        <w:jc w:val="both"/>
      </w:pPr>
      <w:r w:rsidR="0015098A">
        <w:rPr/>
        <w:t>Seção V — Garantias fundamentais</w:t>
      </w:r>
      <w:r w:rsidR="42EC24C9">
        <w:rPr/>
        <w:t xml:space="preserve"> de proteção ao participante de pesquisa</w:t>
      </w:r>
    </w:p>
    <w:p xmlns:wp14="http://schemas.microsoft.com/office/word/2010/wordml" w:rsidR="00C0027B" w:rsidP="608AD709" w:rsidRDefault="0015098A" w14:paraId="0CA79F61" wp14:textId="77777777">
      <w:pPr>
        <w:spacing w:after="120"/>
        <w:jc w:val="both"/>
      </w:pPr>
      <w:r w:rsidR="0015098A">
        <w:rPr/>
        <w:t>Dimensão mais extensa: verifica as garantias materiais e assistenciais devidas ao participante, conforme as características da pesquisa proposta, tal como refletidas no TCLE.</w:t>
      </w:r>
    </w:p>
    <w:p xmlns:wp14="http://schemas.microsoft.com/office/word/2010/wordml" w:rsidR="00C0027B" w:rsidP="608AD709" w:rsidRDefault="0015098A" w14:paraId="75AE6F66" wp14:textId="77777777">
      <w:pPr>
        <w:pStyle w:val="Ttulo2"/>
        <w:jc w:val="both"/>
      </w:pPr>
      <w:r w:rsidR="0015098A">
        <w:rPr/>
        <w:t>Seção VI — Rigor documental e administrativo</w:t>
      </w:r>
    </w:p>
    <w:p xmlns:wp14="http://schemas.microsoft.com/office/word/2010/wordml" w:rsidR="00C0027B" w:rsidP="608AD709" w:rsidRDefault="0015098A" w14:paraId="741ED96D" wp14:textId="77777777">
      <w:pPr>
        <w:spacing w:after="120"/>
        <w:jc w:val="both"/>
      </w:pPr>
      <w:r w:rsidR="0015098A">
        <w:rPr/>
        <w:t>Verifica os documentos administrativ</w:t>
      </w:r>
      <w:r w:rsidR="0015098A">
        <w:rPr/>
        <w:t>os que instruem o protocolo, assegurando o cumprimento dos requisitos formais pelo pesquisador e sua correta avaliação pelo CEP.</w:t>
      </w:r>
    </w:p>
    <w:p xmlns:wp14="http://schemas.microsoft.com/office/word/2010/wordml" w:rsidR="00C0027B" w:rsidP="608AD709" w:rsidRDefault="0015098A" w14:paraId="028CC8B6" wp14:textId="77777777">
      <w:pPr>
        <w:pStyle w:val="Ttulo2"/>
        <w:jc w:val="both"/>
      </w:pPr>
      <w:r w:rsidR="0015098A">
        <w:rPr/>
        <w:t>Seção VII — Harmonização e qualidade redacional do parecer</w:t>
      </w:r>
    </w:p>
    <w:p xmlns:wp14="http://schemas.microsoft.com/office/word/2010/wordml" w:rsidR="00F918A2" w:rsidP="608AD709" w:rsidRDefault="0015098A" w14:paraId="32A284AE" wp14:textId="77777777">
      <w:pPr>
        <w:spacing w:after="120"/>
        <w:jc w:val="both"/>
      </w:pPr>
      <w:r w:rsidR="0015098A">
        <w:rPr/>
        <w:t>Verifica a forma e a redação do parecer emitido pelo CEP, consideran</w:t>
      </w:r>
      <w:r w:rsidR="0015098A">
        <w:rPr/>
        <w:t>do a importância da harmonização.</w:t>
      </w:r>
    </w:p>
    <w:p xmlns:wp14="http://schemas.microsoft.com/office/word/2010/wordml" w:rsidR="00F918A2" w:rsidP="608AD709" w:rsidRDefault="00F918A2" w14:paraId="37DDF882" wp14:textId="77777777">
      <w:pPr>
        <w:pStyle w:val="Ttulo2"/>
        <w:jc w:val="both"/>
      </w:pPr>
      <w:r w:rsidR="00F918A2">
        <w:rPr/>
        <w:t xml:space="preserve">Seção </w:t>
      </w:r>
      <w:r w:rsidR="00F918A2">
        <w:rPr/>
        <w:t>VIII</w:t>
      </w:r>
      <w:r w:rsidR="00F918A2">
        <w:rPr/>
        <w:t xml:space="preserve"> — </w:t>
      </w:r>
      <w:r w:rsidR="00F918A2">
        <w:rPr/>
        <w:t>Outros aspectos éticos relevantes e não previstos nos itens anteriores</w:t>
      </w:r>
    </w:p>
    <w:p xmlns:wp14="http://schemas.microsoft.com/office/word/2010/wordml" w:rsidR="00F918A2" w:rsidP="608AD709" w:rsidRDefault="00F918A2" w14:paraId="73C840CE" wp14:textId="77777777">
      <w:pPr>
        <w:spacing w:after="120"/>
        <w:jc w:val="both"/>
      </w:pPr>
      <w:r w:rsidR="00F918A2">
        <w:rPr/>
        <w:t>Captura outros elementos relevantes para avaliação ética e proteção dos participantes de pesquisas e que não estejam cobertos pelas dimensões anteriores</w:t>
      </w:r>
      <w:bookmarkStart w:name="_GoBack" w:id="0"/>
      <w:bookmarkEnd w:id="0"/>
      <w:r w:rsidR="00F918A2">
        <w:rPr/>
        <w:t>.</w:t>
      </w:r>
    </w:p>
    <w:p xmlns:wp14="http://schemas.microsoft.com/office/word/2010/wordml" w:rsidR="00F918A2" w:rsidRDefault="00F918A2" w14:paraId="5DAB6C7B" wp14:textId="77777777">
      <w:pPr>
        <w:spacing w:after="120"/>
      </w:pPr>
    </w:p>
    <w:sectPr w:rsidR="00F918A2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5098A" w:rsidRDefault="0015098A" w14:paraId="5A39BBE3" wp14:textId="77777777">
      <w:r>
        <w:separator/>
      </w:r>
    </w:p>
  </w:endnote>
  <w:endnote w:type="continuationSeparator" w:id="0">
    <w:p xmlns:wp14="http://schemas.microsoft.com/office/word/2010/wordml" w:rsidR="0015098A" w:rsidRDefault="0015098A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0027B" w:rsidP="168E64F0" w:rsidRDefault="0015098A" w14:paraId="6D0CB181" wp14:textId="034D4C1C">
    <w:pPr>
      <w:pBdr>
        <w:top w:val="single" w:color="2E75B6" w:sz="6" w:space="1"/>
      </w:pBdr>
    </w:pPr>
    <w:r w:rsidRPr="168E64F0" w:rsidR="168E64F0">
      <w:rPr>
        <w:color w:val="808080" w:themeColor="background1" w:themeTint="FF" w:themeShade="80"/>
        <w:sz w:val="16"/>
        <w:szCs w:val="16"/>
      </w:rPr>
      <w:t>DQT-M</w:t>
    </w:r>
    <w:r w:rsidRPr="168E64F0" w:rsidR="168E64F0">
      <w:rPr>
        <w:color w:val="808080" w:themeColor="background1" w:themeTint="FF" w:themeShade="80"/>
        <w:sz w:val="16"/>
        <w:szCs w:val="16"/>
      </w:rPr>
      <w:t>15  |</w:t>
    </w:r>
    <w:r w:rsidRPr="168E64F0" w:rsidR="168E64F0">
      <w:rPr>
        <w:color w:val="808080" w:themeColor="background1" w:themeTint="FF" w:themeShade="80"/>
        <w:sz w:val="16"/>
        <w:szCs w:val="16"/>
      </w:rPr>
      <w:t xml:space="preserve">  Versão </w:t>
    </w:r>
    <w:r w:rsidRPr="168E64F0" w:rsidR="168E64F0">
      <w:rPr>
        <w:color w:val="808080" w:themeColor="background1" w:themeTint="FF" w:themeShade="80"/>
        <w:sz w:val="16"/>
        <w:szCs w:val="16"/>
      </w:rPr>
      <w:t>1.0  |</w:t>
    </w:r>
    <w:r w:rsidRPr="168E64F0" w:rsidR="168E64F0">
      <w:rPr>
        <w:color w:val="808080" w:themeColor="background1" w:themeTint="FF" w:themeShade="80"/>
        <w:sz w:val="16"/>
        <w:szCs w:val="16"/>
      </w:rPr>
      <w:t xml:space="preserve">  </w:t>
    </w:r>
    <w:r w:rsidRPr="168E64F0" w:rsidR="168E64F0">
      <w:rPr>
        <w:color w:val="808080" w:themeColor="background1" w:themeTint="FF" w:themeShade="80"/>
        <w:sz w:val="16"/>
        <w:szCs w:val="16"/>
      </w:rPr>
      <w:t>Julho</w:t>
    </w:r>
    <w:r w:rsidRPr="168E64F0" w:rsidR="168E64F0">
      <w:rPr>
        <w:color w:val="808080" w:themeColor="background1" w:themeTint="FF" w:themeShade="80"/>
        <w:sz w:val="16"/>
        <w:szCs w:val="16"/>
      </w:rPr>
      <w:t>/</w:t>
    </w:r>
    <w:r w:rsidRPr="168E64F0" w:rsidR="168E64F0">
      <w:rPr>
        <w:color w:val="808080" w:themeColor="background1" w:themeTint="FF" w:themeShade="80"/>
        <w:sz w:val="16"/>
        <w:szCs w:val="16"/>
      </w:rPr>
      <w:t>2026  |  Uso institucional</w:t>
    </w:r>
  </w:p>
  <w:p xmlns:wp14="http://schemas.microsoft.com/office/word/2010/wordml" w:rsidR="00C0027B" w:rsidRDefault="0015098A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31721D">
      <w:rPr>
        <w:color w:val="808080"/>
        <w:sz w:val="16"/>
        <w:szCs w:val="16"/>
      </w:rPr>
      <w:fldChar w:fldCharType="separate"/>
    </w:r>
    <w:r w:rsidR="00F918A2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31721D">
      <w:rPr>
        <w:color w:val="808080"/>
        <w:sz w:val="16"/>
        <w:szCs w:val="16"/>
      </w:rPr>
      <w:fldChar w:fldCharType="separate"/>
    </w:r>
    <w:r w:rsidR="00F918A2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5098A" w:rsidRDefault="0015098A" w14:paraId="72A3D3EC" wp14:textId="77777777">
      <w:r>
        <w:separator/>
      </w:r>
    </w:p>
  </w:footnote>
  <w:footnote w:type="continuationSeparator" w:id="0">
    <w:p xmlns:wp14="http://schemas.microsoft.com/office/word/2010/wordml" w:rsidR="0015098A" w:rsidRDefault="0015098A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C0027B" w14:paraId="6AE2E05E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0027B" w:rsidRDefault="0015098A" w14:paraId="02EB378F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19AF3DCD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0027B" w:rsidRDefault="0015098A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0027B" w:rsidP="0031721D" w:rsidRDefault="0031721D" w14:paraId="6806E790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DQT-M15</w:t>
          </w:r>
        </w:p>
      </w:tc>
    </w:tr>
  </w:tbl>
  <w:p xmlns:wp14="http://schemas.microsoft.com/office/word/2010/wordml" w:rsidR="00C0027B" w:rsidRDefault="00C0027B" w14:paraId="6A05A809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053"/>
    <w:multiLevelType w:val="hybridMultilevel"/>
    <w:tmpl w:val="20D62194"/>
    <w:lvl w:ilvl="0" w:tplc="9E5A48B0">
      <w:start w:val="1"/>
      <w:numFmt w:val="bullet"/>
      <w:lvlText w:val="•"/>
      <w:lvlJc w:val="left"/>
      <w:pPr>
        <w:ind w:left="520" w:hanging="260"/>
      </w:pPr>
    </w:lvl>
    <w:lvl w:ilvl="1" w:tplc="10B09814">
      <w:start w:val="1"/>
      <w:numFmt w:val="bullet"/>
      <w:lvlText w:val="◦"/>
      <w:lvlJc w:val="left"/>
      <w:pPr>
        <w:ind w:left="1040" w:hanging="260"/>
      </w:pPr>
    </w:lvl>
    <w:lvl w:ilvl="2" w:tplc="BE82F3BC">
      <w:numFmt w:val="decimal"/>
      <w:lvlText w:val=""/>
      <w:lvlJc w:val="left"/>
    </w:lvl>
    <w:lvl w:ilvl="3" w:tplc="2B2A70BE">
      <w:numFmt w:val="decimal"/>
      <w:lvlText w:val=""/>
      <w:lvlJc w:val="left"/>
    </w:lvl>
    <w:lvl w:ilvl="4" w:tplc="CA5229AA">
      <w:numFmt w:val="decimal"/>
      <w:lvlText w:val=""/>
      <w:lvlJc w:val="left"/>
    </w:lvl>
    <w:lvl w:ilvl="5" w:tplc="CDBE6A6C">
      <w:numFmt w:val="decimal"/>
      <w:lvlText w:val=""/>
      <w:lvlJc w:val="left"/>
    </w:lvl>
    <w:lvl w:ilvl="6" w:tplc="35EE7200">
      <w:numFmt w:val="decimal"/>
      <w:lvlText w:val=""/>
      <w:lvlJc w:val="left"/>
    </w:lvl>
    <w:lvl w:ilvl="7" w:tplc="E654A25C">
      <w:numFmt w:val="decimal"/>
      <w:lvlText w:val=""/>
      <w:lvlJc w:val="left"/>
    </w:lvl>
    <w:lvl w:ilvl="8" w:tplc="451489C4">
      <w:numFmt w:val="decimal"/>
      <w:lvlText w:val=""/>
      <w:lvlJc w:val="left"/>
    </w:lvl>
  </w:abstractNum>
  <w:abstractNum w:abstractNumId="1" w15:restartNumberingAfterBreak="0">
    <w:nsid w:val="0E592283"/>
    <w:multiLevelType w:val="hybridMultilevel"/>
    <w:tmpl w:val="65389D4C"/>
    <w:lvl w:ilvl="0" w:tplc="F0F697D2">
      <w:start w:val="1"/>
      <w:numFmt w:val="bullet"/>
      <w:lvlText w:val="●"/>
      <w:lvlJc w:val="left"/>
      <w:pPr>
        <w:ind w:left="720" w:hanging="360"/>
      </w:pPr>
    </w:lvl>
    <w:lvl w:ilvl="1" w:tplc="EAE8509E">
      <w:start w:val="1"/>
      <w:numFmt w:val="bullet"/>
      <w:lvlText w:val="○"/>
      <w:lvlJc w:val="left"/>
      <w:pPr>
        <w:ind w:left="1440" w:hanging="360"/>
      </w:pPr>
    </w:lvl>
    <w:lvl w:ilvl="2" w:tplc="211A2E10">
      <w:start w:val="1"/>
      <w:numFmt w:val="bullet"/>
      <w:lvlText w:val="■"/>
      <w:lvlJc w:val="left"/>
      <w:pPr>
        <w:ind w:left="2160" w:hanging="360"/>
      </w:pPr>
    </w:lvl>
    <w:lvl w:ilvl="3" w:tplc="9E2EB138">
      <w:start w:val="1"/>
      <w:numFmt w:val="bullet"/>
      <w:lvlText w:val="●"/>
      <w:lvlJc w:val="left"/>
      <w:pPr>
        <w:ind w:left="2880" w:hanging="360"/>
      </w:pPr>
    </w:lvl>
    <w:lvl w:ilvl="4" w:tplc="62C69E48">
      <w:start w:val="1"/>
      <w:numFmt w:val="bullet"/>
      <w:lvlText w:val="○"/>
      <w:lvlJc w:val="left"/>
      <w:pPr>
        <w:ind w:left="3600" w:hanging="360"/>
      </w:pPr>
    </w:lvl>
    <w:lvl w:ilvl="5" w:tplc="C8783ABE">
      <w:start w:val="1"/>
      <w:numFmt w:val="bullet"/>
      <w:lvlText w:val="■"/>
      <w:lvlJc w:val="left"/>
      <w:pPr>
        <w:ind w:left="4320" w:hanging="360"/>
      </w:pPr>
    </w:lvl>
    <w:lvl w:ilvl="6" w:tplc="F6409CCE">
      <w:start w:val="1"/>
      <w:numFmt w:val="bullet"/>
      <w:lvlText w:val="●"/>
      <w:lvlJc w:val="left"/>
      <w:pPr>
        <w:ind w:left="5040" w:hanging="360"/>
      </w:pPr>
    </w:lvl>
    <w:lvl w:ilvl="7" w:tplc="FDBA6F34">
      <w:start w:val="1"/>
      <w:numFmt w:val="bullet"/>
      <w:lvlText w:val="●"/>
      <w:lvlJc w:val="left"/>
      <w:pPr>
        <w:ind w:left="5760" w:hanging="360"/>
      </w:pPr>
    </w:lvl>
    <w:lvl w:ilvl="8" w:tplc="A948B85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7B"/>
    <w:rsid w:val="0015098A"/>
    <w:rsid w:val="0031721D"/>
    <w:rsid w:val="00C0027B"/>
    <w:rsid w:val="00F918A2"/>
    <w:rsid w:val="168E64F0"/>
    <w:rsid w:val="42EC24C9"/>
    <w:rsid w:val="537F8693"/>
    <w:rsid w:val="55153D32"/>
    <w:rsid w:val="608AD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AE2E"/>
  <w15:docId w15:val="{1746CB3C-969C-4095-8D0A-593A98888E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1721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1721D"/>
  </w:style>
  <w:style w:type="paragraph" w:styleId="Rodap">
    <w:name w:val="footer"/>
    <w:basedOn w:val="Normal"/>
    <w:link w:val="RodapChar"/>
    <w:uiPriority w:val="99"/>
    <w:unhideWhenUsed/>
    <w:rsid w:val="0031721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1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166B6-91D5-407E-9F14-70511509958C}"/>
</file>

<file path=customXml/itemProps2.xml><?xml version="1.0" encoding="utf-8"?>
<ds:datastoreItem xmlns:ds="http://schemas.openxmlformats.org/officeDocument/2006/customXml" ds:itemID="{226B90BC-90C3-4A83-A99E-7419E48A237C}"/>
</file>

<file path=customXml/itemProps3.xml><?xml version="1.0" encoding="utf-8"?>
<ds:datastoreItem xmlns:ds="http://schemas.openxmlformats.org/officeDocument/2006/customXml" ds:itemID="{269A0232-ED61-4C6E-B353-152D00D532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DQT-M15 — Critérios de Avaliação do Parecer de Análise Ética do CEP</dc:title>
  <dc:creator>INAEP</dc:creator>
  <lastModifiedBy>Daniel Ribeiro Paes de Castro</lastModifiedBy>
  <revision>7</revision>
  <dcterms:created xsi:type="dcterms:W3CDTF">2026-06-18T16:23:00.0000000Z</dcterms:created>
  <dcterms:modified xsi:type="dcterms:W3CDTF">2026-07-01T20:31:25.6887291Z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