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430DA" w:rsidRDefault="00B54928" w14:paraId="00000001" w14:textId="77777777">
      <w:pPr>
        <w:tabs>
          <w:tab w:val="left" w:pos="5387"/>
        </w:tabs>
        <w:jc w:val="center"/>
        <w:rPr>
          <w:b/>
        </w:rPr>
      </w:pPr>
      <w:r>
        <w:rPr>
          <w:b/>
        </w:rPr>
        <w:t>INFORMAÇÕES RELEVANTES ACERCA DOS TÓPICOS DO ESTUDO TÉCNICO PRELIMINAR</w:t>
      </w:r>
    </w:p>
    <w:p w:rsidR="006430DA" w:rsidRDefault="00B54928" w14:paraId="00000002" w14:textId="77777777">
      <w:pPr>
        <w:jc w:val="center"/>
        <w:rPr>
          <w:b/>
          <w:color w:val="FF0000"/>
          <w:sz w:val="18"/>
          <w:szCs w:val="18"/>
        </w:rPr>
      </w:pPr>
      <w:r>
        <w:rPr>
          <w:b/>
          <w:color w:val="000000"/>
          <w:sz w:val="18"/>
          <w:szCs w:val="18"/>
        </w:rPr>
        <w:t xml:space="preserve">ORIENTAÇÕES - </w:t>
      </w:r>
      <w:r>
        <w:rPr>
          <w:b/>
          <w:color w:val="FF0000"/>
          <w:sz w:val="18"/>
          <w:szCs w:val="18"/>
        </w:rPr>
        <w:t xml:space="preserve">LEITURA IMPORTANTE </w:t>
      </w:r>
    </w:p>
    <w:p w:rsidR="006430DA" w:rsidRDefault="006430DA" w14:paraId="00000003" w14:textId="77777777">
      <w:pPr>
        <w:jc w:val="center"/>
        <w:rPr>
          <w:b/>
          <w:color w:val="000000"/>
          <w:sz w:val="18"/>
          <w:szCs w:val="18"/>
        </w:rPr>
      </w:pPr>
    </w:p>
    <w:p w:rsidR="006430DA" w:rsidP="3E4450F5" w:rsidRDefault="006430DA" w14:paraId="00000005" w14:textId="4B8C3D87">
      <w:pPr>
        <w:jc w:val="both"/>
        <w:rPr>
          <w:b w:val="0"/>
          <w:bCs w:val="0"/>
          <w:color w:val="000000" w:themeColor="text1" w:themeTint="FF" w:themeShade="FF"/>
          <w:sz w:val="22"/>
          <w:szCs w:val="22"/>
        </w:rPr>
      </w:pPr>
      <w:r w:rsidRPr="6CBC204B" w:rsidR="0EF41D6F">
        <w:rPr>
          <w:b w:val="0"/>
          <w:bCs w:val="0"/>
          <w:color w:val="000000" w:themeColor="text1" w:themeTint="FF" w:themeShade="FF"/>
          <w:sz w:val="22"/>
          <w:szCs w:val="22"/>
        </w:rPr>
        <w:t xml:space="preserve">1) </w:t>
      </w:r>
      <w:r w:rsidRPr="6CBC204B" w:rsidR="0EF41D6F">
        <w:rPr>
          <w:b w:val="0"/>
          <w:bCs w:val="0"/>
          <w:color w:val="000000" w:themeColor="text1" w:themeTint="FF" w:themeShade="FF"/>
          <w:sz w:val="22"/>
          <w:szCs w:val="22"/>
        </w:rPr>
        <w:t>O presente</w:t>
      </w:r>
      <w:r w:rsidRPr="6CBC204B" w:rsidR="0EF41D6F">
        <w:rPr>
          <w:b w:val="0"/>
          <w:bCs w:val="0"/>
          <w:sz w:val="22"/>
          <w:szCs w:val="22"/>
        </w:rPr>
        <w:t xml:space="preserve"> referencial do estudo técnico preliminar </w:t>
      </w:r>
      <w:r w:rsidRPr="6CBC204B" w:rsidR="0EF41D6F">
        <w:rPr>
          <w:b w:val="0"/>
          <w:bCs w:val="0"/>
          <w:color w:val="000000" w:themeColor="text1" w:themeTint="FF" w:themeShade="FF"/>
          <w:sz w:val="22"/>
          <w:szCs w:val="22"/>
        </w:rPr>
        <w:t>procura apontar o ponto de partida para a definição e as cond</w:t>
      </w:r>
      <w:r w:rsidRPr="6CBC204B" w:rsidR="0EF41D6F">
        <w:rPr>
          <w:b w:val="0"/>
          <w:bCs w:val="0"/>
          <w:sz w:val="22"/>
          <w:szCs w:val="22"/>
        </w:rPr>
        <w:t xml:space="preserve">ições </w:t>
      </w:r>
      <w:r w:rsidRPr="6CBC204B" w:rsidR="0EF41D6F">
        <w:rPr>
          <w:b w:val="0"/>
          <w:bCs w:val="0"/>
          <w:color w:val="000000" w:themeColor="text1" w:themeTint="FF" w:themeShade="FF"/>
          <w:sz w:val="22"/>
          <w:szCs w:val="22"/>
        </w:rPr>
        <w:t xml:space="preserve">do objeto a ser </w:t>
      </w:r>
      <w:r w:rsidRPr="6CBC204B" w:rsidR="0EF41D6F">
        <w:rPr>
          <w:b w:val="0"/>
          <w:bCs w:val="0"/>
          <w:color w:val="000000" w:themeColor="text1" w:themeTint="FF" w:themeShade="FF"/>
          <w:sz w:val="22"/>
          <w:szCs w:val="22"/>
        </w:rPr>
        <w:t>contratad</w:t>
      </w:r>
      <w:r w:rsidRPr="6CBC204B" w:rsidR="0EF41D6F">
        <w:rPr>
          <w:b w:val="0"/>
          <w:bCs w:val="0"/>
          <w:sz w:val="22"/>
          <w:szCs w:val="22"/>
        </w:rPr>
        <w:t>o.</w:t>
      </w:r>
      <w:r w:rsidRPr="6CBC204B" w:rsidR="0EF41D6F">
        <w:rPr>
          <w:b w:val="0"/>
          <w:bCs w:val="0"/>
          <w:color w:val="000000" w:themeColor="text1" w:themeTint="FF" w:themeShade="FF"/>
          <w:sz w:val="22"/>
          <w:szCs w:val="22"/>
        </w:rPr>
        <w:t xml:space="preserve"> Este documento poder</w:t>
      </w:r>
      <w:r w:rsidRPr="6CBC204B" w:rsidR="0EF41D6F">
        <w:rPr>
          <w:b w:val="0"/>
          <w:bCs w:val="0"/>
          <w:sz w:val="22"/>
          <w:szCs w:val="22"/>
        </w:rPr>
        <w:t>á ser modulado</w:t>
      </w:r>
      <w:r w:rsidRPr="6CBC204B" w:rsidR="0EF41D6F">
        <w:rPr>
          <w:b w:val="0"/>
          <w:bCs w:val="0"/>
          <w:color w:val="000000" w:themeColor="text1" w:themeTint="FF" w:themeShade="FF"/>
          <w:sz w:val="22"/>
          <w:szCs w:val="22"/>
        </w:rPr>
        <w:t xml:space="preserve"> de acordo com as peculiaridades da demanda do </w:t>
      </w:r>
      <w:r w:rsidRPr="6CBC204B" w:rsidR="0EF41D6F">
        <w:rPr>
          <w:b w:val="0"/>
          <w:bCs w:val="0"/>
          <w:sz w:val="22"/>
          <w:szCs w:val="22"/>
        </w:rPr>
        <w:t xml:space="preserve">ente </w:t>
      </w:r>
      <w:r w:rsidRPr="6CBC204B" w:rsidR="0EF41D6F">
        <w:rPr>
          <w:b w:val="0"/>
          <w:bCs w:val="0"/>
          <w:color w:val="000000" w:themeColor="text1" w:themeTint="FF" w:themeShade="FF"/>
          <w:sz w:val="22"/>
          <w:szCs w:val="22"/>
        </w:rPr>
        <w:t xml:space="preserve">e do objeto a ser contratado de acordo com cada região. Cabe ressaltar que o presente documento </w:t>
      </w:r>
      <w:r w:rsidRPr="6CBC204B" w:rsidR="0EF41D6F">
        <w:rPr>
          <w:b w:val="0"/>
          <w:bCs w:val="0"/>
          <w:sz w:val="22"/>
          <w:szCs w:val="22"/>
        </w:rPr>
        <w:t xml:space="preserve">é </w:t>
      </w:r>
      <w:r w:rsidRPr="6CBC204B" w:rsidR="0EF41D6F">
        <w:rPr>
          <w:b w:val="0"/>
          <w:bCs w:val="0"/>
          <w:color w:val="000000" w:themeColor="text1" w:themeTint="FF" w:themeShade="FF"/>
          <w:sz w:val="22"/>
          <w:szCs w:val="22"/>
        </w:rPr>
        <w:t xml:space="preserve">um orientador, devendo ser modulado para atender às necessidades no que diz respeito </w:t>
      </w:r>
      <w:r w:rsidRPr="6CBC204B" w:rsidR="0EF41D6F">
        <w:rPr>
          <w:b w:val="0"/>
          <w:bCs w:val="0"/>
          <w:sz w:val="22"/>
          <w:szCs w:val="22"/>
        </w:rPr>
        <w:t>aos</w:t>
      </w:r>
      <w:r w:rsidRPr="6CBC204B" w:rsidR="0EF41D6F">
        <w:rPr>
          <w:b w:val="0"/>
          <w:bCs w:val="0"/>
          <w:color w:val="000000" w:themeColor="text1" w:themeTint="FF" w:themeShade="FF"/>
          <w:sz w:val="22"/>
          <w:szCs w:val="22"/>
        </w:rPr>
        <w:t xml:space="preserve"> pontos fundamentais da contratação, sempre de forma clara e objetiva.</w:t>
      </w:r>
    </w:p>
    <w:p w:rsidR="006430DA" w:rsidP="3E4450F5" w:rsidRDefault="00B54928" w14:paraId="00000006" w14:textId="77777777">
      <w:pPr>
        <w:jc w:val="both"/>
        <w:rPr>
          <w:b w:val="0"/>
          <w:bCs w:val="0"/>
          <w:sz w:val="22"/>
          <w:szCs w:val="22"/>
        </w:rPr>
      </w:pPr>
      <w:r w:rsidRPr="6CBC204B" w:rsidR="0EF41D6F">
        <w:rPr>
          <w:b w:val="0"/>
          <w:bCs w:val="0"/>
          <w:color w:val="000000" w:themeColor="text1" w:themeTint="FF" w:themeShade="FF"/>
          <w:sz w:val="22"/>
          <w:szCs w:val="22"/>
        </w:rPr>
        <w:t>2)</w:t>
      </w:r>
      <w:r w:rsidRPr="6CBC204B" w:rsidR="0EF41D6F">
        <w:rPr>
          <w:b w:val="0"/>
          <w:bCs w:val="0"/>
          <w:color w:val="000000" w:themeColor="text1" w:themeTint="FF" w:themeShade="FF"/>
          <w:sz w:val="22"/>
          <w:szCs w:val="22"/>
        </w:rPr>
        <w:t xml:space="preserve"> Este referencial poderá ser aplicado às contratações de obras e serviços de engenharia, nos termos do inciso XXIII do </w:t>
      </w:r>
      <w:r w:rsidRPr="6CBC204B" w:rsidR="0EF41D6F">
        <w:rPr>
          <w:b w:val="0"/>
          <w:bCs w:val="0"/>
          <w:color w:val="000000" w:themeColor="text1" w:themeTint="FF" w:themeShade="FF"/>
          <w:sz w:val="22"/>
          <w:szCs w:val="22"/>
        </w:rPr>
        <w:t>art</w:t>
      </w:r>
      <w:r w:rsidRPr="6CBC204B" w:rsidR="0EF41D6F">
        <w:rPr>
          <w:b w:val="0"/>
          <w:bCs w:val="0"/>
          <w:color w:val="000000" w:themeColor="text1" w:themeTint="FF" w:themeShade="FF"/>
          <w:sz w:val="22"/>
          <w:szCs w:val="22"/>
        </w:rPr>
        <w:t xml:space="preserve">. 6º da </w:t>
      </w:r>
      <w:r w:rsidRPr="6CBC204B" w:rsidR="0EF41D6F">
        <w:rPr>
          <w:b w:val="0"/>
          <w:bCs w:val="0"/>
          <w:sz w:val="22"/>
          <w:szCs w:val="22"/>
        </w:rPr>
        <w:t>L</w:t>
      </w:r>
      <w:r w:rsidRPr="6CBC204B" w:rsidR="0EF41D6F">
        <w:rPr>
          <w:b w:val="0"/>
          <w:bCs w:val="0"/>
          <w:color w:val="000000" w:themeColor="text1" w:themeTint="FF" w:themeShade="FF"/>
          <w:sz w:val="22"/>
          <w:szCs w:val="22"/>
        </w:rPr>
        <w:t>ei nº 14.133/2021.</w:t>
      </w:r>
    </w:p>
    <w:p w:rsidR="006430DA" w:rsidP="3E4450F5" w:rsidRDefault="00B54928" w14:paraId="00000007" w14:textId="77777777">
      <w:pPr>
        <w:jc w:val="both"/>
        <w:rPr>
          <w:sz w:val="22"/>
          <w:szCs w:val="22"/>
          <w:highlight w:val="white"/>
        </w:rPr>
      </w:pPr>
      <w:r w:rsidRPr="6CBC204B" w:rsidR="0EF41D6F">
        <w:rPr>
          <w:b w:val="0"/>
          <w:bCs w:val="0"/>
          <w:color w:val="000000" w:themeColor="text1" w:themeTint="FF" w:themeShade="FF"/>
          <w:sz w:val="22"/>
          <w:szCs w:val="22"/>
          <w:highlight w:val="white"/>
        </w:rPr>
        <w:t xml:space="preserve">3) </w:t>
      </w:r>
      <w:r w:rsidRPr="6CBC204B" w:rsidR="0EF41D6F">
        <w:rPr>
          <w:b w:val="0"/>
          <w:bCs w:val="0"/>
          <w:sz w:val="22"/>
          <w:szCs w:val="22"/>
          <w:highlight w:val="white"/>
        </w:rPr>
        <w:t xml:space="preserve">A redação em preto apresenta o conteúdo elaborado com base nos projetos de engenharia e </w:t>
      </w:r>
      <w:r w:rsidRPr="6CBC204B" w:rsidR="0EF41D6F">
        <w:rPr>
          <w:b w:val="0"/>
          <w:bCs w:val="0"/>
          <w:sz w:val="22"/>
          <w:szCs w:val="22"/>
          <w:highlight w:val="white"/>
        </w:rPr>
        <w:t>arq</w:t>
      </w:r>
      <w:r w:rsidRPr="6CBC204B" w:rsidR="0EF41D6F">
        <w:rPr>
          <w:sz w:val="22"/>
          <w:szCs w:val="22"/>
          <w:highlight w:val="white"/>
        </w:rPr>
        <w:t>uitetônicos</w:t>
      </w:r>
      <w:r w:rsidRPr="6CBC204B" w:rsidR="0EF41D6F">
        <w:rPr>
          <w:sz w:val="22"/>
          <w:szCs w:val="22"/>
          <w:highlight w:val="white"/>
        </w:rPr>
        <w:t xml:space="preserve"> disponibilizados pelo Ministério da Saúde. O sequencial lógico da estrutura que compõe o ETP foi elaborado baseado no modelo disponibilizado pela </w:t>
      </w:r>
      <w:r w:rsidRPr="6CBC204B" w:rsidR="0EF41D6F">
        <w:rPr>
          <w:sz w:val="22"/>
          <w:szCs w:val="22"/>
          <w:highlight w:val="white"/>
        </w:rPr>
        <w:t>CompraGov</w:t>
      </w:r>
      <w:r w:rsidRPr="6CBC204B" w:rsidR="0EF41D6F">
        <w:rPr>
          <w:sz w:val="22"/>
          <w:szCs w:val="22"/>
          <w:highlight w:val="white"/>
        </w:rPr>
        <w:t xml:space="preserve"> (ETP Digital), assim como pelas orientações daquele sistema. Não obstante, poderá ser ajustada conforme o caso concreto e as especificidades de cada contratação. </w:t>
      </w:r>
      <w:r w:rsidRPr="6CBC204B" w:rsidR="0EF41D6F">
        <w:rPr>
          <w:b w:val="1"/>
          <w:bCs w:val="1"/>
          <w:sz w:val="22"/>
          <w:szCs w:val="22"/>
          <w:highlight w:val="white"/>
        </w:rPr>
        <w:t xml:space="preserve">Qualquer alteração nas partes em preto deve ser cuidadosamente analisada sob uma </w:t>
      </w:r>
      <w:r w:rsidRPr="6CBC204B" w:rsidR="0EF41D6F">
        <w:rPr>
          <w:b w:val="1"/>
          <w:bCs w:val="1"/>
          <w:sz w:val="22"/>
          <w:szCs w:val="22"/>
          <w:highlight w:val="white"/>
        </w:rPr>
        <w:t>perspectiv</w:t>
      </w:r>
      <w:r w:rsidRPr="6CBC204B" w:rsidR="0EF41D6F">
        <w:rPr>
          <w:b w:val="1"/>
          <w:bCs w:val="1"/>
          <w:sz w:val="22"/>
          <w:szCs w:val="22"/>
          <w:highlight w:val="white"/>
        </w:rPr>
        <w:t>a</w:t>
      </w:r>
      <w:r w:rsidRPr="6CBC204B" w:rsidR="0EF41D6F">
        <w:rPr>
          <w:b w:val="1"/>
          <w:bCs w:val="1"/>
          <w:sz w:val="22"/>
          <w:szCs w:val="22"/>
          <w:highlight w:val="white"/>
        </w:rPr>
        <w:t xml:space="preserve"> técnica, a fim de atender às necessidades específicas do ente</w:t>
      </w:r>
      <w:r w:rsidRPr="6CBC204B" w:rsidR="0EF41D6F">
        <w:rPr>
          <w:sz w:val="22"/>
          <w:szCs w:val="22"/>
          <w:highlight w:val="white"/>
        </w:rPr>
        <w:t xml:space="preserve">. Essas modificações devem sempre observar a legislação vigente aplicável ao caso concreto, sem prejuízo da possibilidade de consulta ao órgão de assessoria jurídica competente, quando necessário, dependendo da matéria. </w:t>
      </w:r>
    </w:p>
    <w:p w:rsidR="006430DA" w:rsidP="3E4450F5" w:rsidRDefault="00B54928" w14:paraId="00000008" w14:textId="77777777">
      <w:pPr>
        <w:jc w:val="both"/>
        <w:rPr>
          <w:color w:val="000000"/>
          <w:sz w:val="22"/>
          <w:szCs w:val="22"/>
          <w:highlight w:val="white"/>
        </w:rPr>
      </w:pPr>
      <w:r w:rsidRPr="3E4450F5" w:rsidR="00B54928">
        <w:rPr>
          <w:color w:val="000000" w:themeColor="text1" w:themeTint="FF" w:themeShade="FF"/>
          <w:sz w:val="22"/>
          <w:szCs w:val="22"/>
          <w:highlight w:val="white"/>
        </w:rPr>
        <w:t xml:space="preserve">4) </w:t>
      </w:r>
      <w:r w:rsidRPr="3E4450F5" w:rsidR="00B54928">
        <w:rPr>
          <w:sz w:val="22"/>
          <w:szCs w:val="22"/>
          <w:highlight w:val="white"/>
        </w:rPr>
        <w:t xml:space="preserve">Os itens do modelo destacados em vermelho devem ser preenchidos e observados pelo Ente contratante segundo critérios de oportunidade e conveniência, de acordo com as peculiaridades do objeto. É relevante que sejam reproduzidas as mesmas definições nos demais instrumentos da contratação (Termo de Referência, minuta de Edital e de Contrato), para que não conflitem. </w:t>
      </w:r>
    </w:p>
    <w:p w:rsidR="006430DA" w:rsidP="3E4450F5" w:rsidRDefault="00B54928" w14:paraId="00000009" w14:textId="77777777">
      <w:pPr>
        <w:jc w:val="both"/>
        <w:rPr>
          <w:strike w:val="1"/>
          <w:sz w:val="22"/>
          <w:szCs w:val="22"/>
        </w:rPr>
      </w:pPr>
      <w:r w:rsidRPr="3E4450F5" w:rsidR="00B54928">
        <w:rPr>
          <w:b w:val="1"/>
          <w:bCs w:val="1"/>
          <w:color w:val="000000" w:themeColor="text1" w:themeTint="FF" w:themeShade="FF"/>
          <w:sz w:val="22"/>
          <w:szCs w:val="22"/>
        </w:rPr>
        <w:t xml:space="preserve">5) Alguns itens devem ser modulados, </w:t>
      </w:r>
      <w:r w:rsidRPr="3E4450F5" w:rsidR="00B54928">
        <w:rPr>
          <w:b w:val="1"/>
          <w:bCs w:val="1"/>
          <w:sz w:val="22"/>
          <w:szCs w:val="22"/>
        </w:rPr>
        <w:t>ajustados</w:t>
      </w:r>
      <w:r w:rsidRPr="3E4450F5" w:rsidR="00B54928">
        <w:rPr>
          <w:b w:val="1"/>
          <w:bCs w:val="1"/>
          <w:color w:val="000000" w:themeColor="text1" w:themeTint="FF" w:themeShade="FF"/>
          <w:sz w:val="22"/>
          <w:szCs w:val="22"/>
        </w:rPr>
        <w:t xml:space="preserve"> e/ou suprimidos</w:t>
      </w:r>
      <w:r w:rsidRPr="3E4450F5" w:rsidR="00B54928">
        <w:rPr>
          <w:b w:val="1"/>
          <w:bCs w:val="1"/>
          <w:sz w:val="22"/>
          <w:szCs w:val="22"/>
        </w:rPr>
        <w:t xml:space="preserve">, </w:t>
      </w:r>
      <w:r w:rsidRPr="3E4450F5" w:rsidR="00B54928">
        <w:rPr>
          <w:b w:val="1"/>
          <w:bCs w:val="1"/>
          <w:color w:val="000000" w:themeColor="text1" w:themeTint="FF" w:themeShade="FF"/>
          <w:sz w:val="22"/>
          <w:szCs w:val="22"/>
        </w:rPr>
        <w:t xml:space="preserve">considerando a discricionariedade dos </w:t>
      </w:r>
      <w:r w:rsidRPr="3E4450F5" w:rsidR="00B54928">
        <w:rPr>
          <w:b w:val="1"/>
          <w:bCs w:val="1"/>
          <w:sz w:val="22"/>
          <w:szCs w:val="22"/>
        </w:rPr>
        <w:t>e</w:t>
      </w:r>
      <w:r w:rsidRPr="3E4450F5" w:rsidR="00B54928">
        <w:rPr>
          <w:b w:val="1"/>
          <w:bCs w:val="1"/>
          <w:color w:val="000000" w:themeColor="text1" w:themeTint="FF" w:themeShade="FF"/>
          <w:sz w:val="22"/>
          <w:szCs w:val="22"/>
        </w:rPr>
        <w:t>ntes subnacionais, as peculiaridades da demanda e o objeto a ser contratado, de acordo com cada região.</w:t>
      </w:r>
    </w:p>
    <w:p w:rsidR="006430DA" w:rsidP="3E4450F5" w:rsidRDefault="00B54928" w14:paraId="0000000A" w14:textId="77777777">
      <w:pPr>
        <w:jc w:val="both"/>
        <w:rPr>
          <w:color w:val="000000"/>
          <w:sz w:val="22"/>
          <w:szCs w:val="22"/>
        </w:rPr>
      </w:pPr>
      <w:r w:rsidRPr="3E4450F5" w:rsidR="00B54928">
        <w:rPr>
          <w:b w:val="1"/>
          <w:bCs w:val="1"/>
          <w:color w:val="000000" w:themeColor="text1" w:themeTint="FF" w:themeShade="FF"/>
          <w:sz w:val="22"/>
          <w:szCs w:val="22"/>
        </w:rPr>
        <w:t>6)</w:t>
      </w:r>
      <w:r w:rsidRPr="3E4450F5" w:rsidR="00B54928">
        <w:rPr>
          <w:color w:val="000000" w:themeColor="text1" w:themeTint="FF" w:themeShade="FF"/>
          <w:sz w:val="22"/>
          <w:szCs w:val="22"/>
        </w:rPr>
        <w:t xml:space="preserve"> </w:t>
      </w:r>
      <w:r w:rsidRPr="3E4450F5" w:rsidR="00B54928">
        <w:rPr>
          <w:b w:val="1"/>
          <w:bCs w:val="1"/>
          <w:color w:val="000000" w:themeColor="text1" w:themeTint="FF" w:themeShade="FF"/>
          <w:sz w:val="22"/>
          <w:szCs w:val="22"/>
        </w:rPr>
        <w:t xml:space="preserve">Este modelo </w:t>
      </w:r>
      <w:r w:rsidRPr="3E4450F5" w:rsidR="00B54928">
        <w:rPr>
          <w:b w:val="1"/>
          <w:bCs w:val="1"/>
          <w:sz w:val="22"/>
          <w:szCs w:val="22"/>
        </w:rPr>
        <w:t xml:space="preserve">poderá </w:t>
      </w:r>
      <w:r w:rsidRPr="3E4450F5" w:rsidR="00B54928">
        <w:rPr>
          <w:b w:val="1"/>
          <w:bCs w:val="1"/>
          <w:color w:val="000000" w:themeColor="text1" w:themeTint="FF" w:themeShade="FF"/>
          <w:sz w:val="22"/>
          <w:szCs w:val="22"/>
        </w:rPr>
        <w:t xml:space="preserve">ser adotado por todos os </w:t>
      </w:r>
      <w:r w:rsidRPr="3E4450F5" w:rsidR="00B54928">
        <w:rPr>
          <w:b w:val="1"/>
          <w:bCs w:val="1"/>
          <w:sz w:val="22"/>
          <w:szCs w:val="22"/>
        </w:rPr>
        <w:t>e</w:t>
      </w:r>
      <w:r w:rsidRPr="3E4450F5" w:rsidR="00B54928">
        <w:rPr>
          <w:b w:val="1"/>
          <w:bCs w:val="1"/>
          <w:color w:val="000000" w:themeColor="text1" w:themeTint="FF" w:themeShade="FF"/>
          <w:sz w:val="22"/>
          <w:szCs w:val="22"/>
        </w:rPr>
        <w:t xml:space="preserve">ntes federados, conforme estabelece o inciso IV do </w:t>
      </w:r>
      <w:r w:rsidRPr="3E4450F5" w:rsidR="00B54928">
        <w:rPr>
          <w:b w:val="1"/>
          <w:bCs w:val="1"/>
          <w:color w:val="000000" w:themeColor="text1" w:themeTint="FF" w:themeShade="FF"/>
          <w:sz w:val="22"/>
          <w:szCs w:val="22"/>
        </w:rPr>
        <w:t>art</w:t>
      </w:r>
      <w:r w:rsidRPr="3E4450F5" w:rsidR="00B54928">
        <w:rPr>
          <w:b w:val="1"/>
          <w:bCs w:val="1"/>
          <w:color w:val="000000" w:themeColor="text1" w:themeTint="FF" w:themeShade="FF"/>
          <w:sz w:val="22"/>
          <w:szCs w:val="22"/>
        </w:rPr>
        <w:t>. 19 da Lei nº 14.133, de 1º de abril de 2021</w:t>
      </w:r>
      <w:r w:rsidRPr="3E4450F5" w:rsidR="00B54928">
        <w:rPr>
          <w:color w:val="000000" w:themeColor="text1" w:themeTint="FF" w:themeShade="FF"/>
          <w:sz w:val="22"/>
          <w:szCs w:val="22"/>
        </w:rPr>
        <w:t>, com a realização das adequações eventualmente necessárias, sobretudo em virtude da possível existência de normas locais específicas, que poderão ser consideradas no caso concreto.</w:t>
      </w:r>
    </w:p>
    <w:p w:rsidR="006430DA" w:rsidP="3E4450F5" w:rsidRDefault="00B54928" w14:paraId="0000000B" w14:textId="77777777">
      <w:pPr>
        <w:jc w:val="both"/>
        <w:rPr>
          <w:color w:val="000000"/>
          <w:sz w:val="22"/>
          <w:szCs w:val="22"/>
        </w:rPr>
      </w:pPr>
      <w:r w:rsidRPr="3E4450F5" w:rsidR="00B54928">
        <w:rPr>
          <w:color w:val="000000" w:themeColor="text1" w:themeTint="FF" w:themeShade="FF"/>
          <w:sz w:val="22"/>
          <w:szCs w:val="22"/>
        </w:rPr>
        <w:t xml:space="preserve">7) Frisa-se que a decisão pelo uso dos modelos, encontra-se na seara </w:t>
      </w:r>
      <w:r w:rsidRPr="3E4450F5" w:rsidR="00B54928">
        <w:rPr>
          <w:b w:val="1"/>
          <w:bCs w:val="1"/>
          <w:color w:val="000000" w:themeColor="text1" w:themeTint="FF" w:themeShade="FF"/>
          <w:sz w:val="22"/>
          <w:szCs w:val="22"/>
        </w:rPr>
        <w:t xml:space="preserve">de decisão e discricionariedade do </w:t>
      </w:r>
      <w:r w:rsidRPr="3E4450F5" w:rsidR="00B54928">
        <w:rPr>
          <w:b w:val="1"/>
          <w:bCs w:val="1"/>
          <w:sz w:val="22"/>
          <w:szCs w:val="22"/>
        </w:rPr>
        <w:t>e</w:t>
      </w:r>
      <w:r w:rsidRPr="3E4450F5" w:rsidR="00B54928">
        <w:rPr>
          <w:b w:val="1"/>
          <w:bCs w:val="1"/>
          <w:color w:val="000000" w:themeColor="text1" w:themeTint="FF" w:themeShade="FF"/>
          <w:sz w:val="22"/>
          <w:szCs w:val="22"/>
        </w:rPr>
        <w:t>nte</w:t>
      </w:r>
      <w:r w:rsidRPr="3E4450F5" w:rsidR="00B54928">
        <w:rPr>
          <w:color w:val="000000" w:themeColor="text1" w:themeTint="FF" w:themeShade="FF"/>
          <w:sz w:val="22"/>
          <w:szCs w:val="22"/>
        </w:rPr>
        <w:t>,</w:t>
      </w:r>
      <w:r w:rsidRPr="3E4450F5" w:rsidR="00B54928">
        <w:rPr>
          <w:b w:val="1"/>
          <w:bCs w:val="1"/>
          <w:color w:val="000000" w:themeColor="text1" w:themeTint="FF" w:themeShade="FF"/>
          <w:sz w:val="22"/>
          <w:szCs w:val="22"/>
        </w:rPr>
        <w:t xml:space="preserve"> fundamentada em suas próprias conclusões e com base na legislação vigente</w:t>
      </w:r>
      <w:r w:rsidRPr="3E4450F5" w:rsidR="00B54928">
        <w:rPr>
          <w:color w:val="000000" w:themeColor="text1" w:themeTint="FF" w:themeShade="FF"/>
          <w:sz w:val="22"/>
          <w:szCs w:val="22"/>
        </w:rPr>
        <w:t>.</w:t>
      </w:r>
      <w:r w:rsidRPr="3E4450F5" w:rsidR="00B54928">
        <w:rPr>
          <w:b w:val="1"/>
          <w:bCs w:val="1"/>
          <w:color w:val="000000" w:themeColor="text1" w:themeTint="FF" w:themeShade="FF"/>
          <w:sz w:val="22"/>
          <w:szCs w:val="22"/>
        </w:rPr>
        <w:t xml:space="preserve"> Ressalta-se que caberá ao </w:t>
      </w:r>
      <w:r w:rsidRPr="3E4450F5" w:rsidR="00B54928">
        <w:rPr>
          <w:b w:val="1"/>
          <w:bCs w:val="1"/>
          <w:sz w:val="22"/>
          <w:szCs w:val="22"/>
        </w:rPr>
        <w:t>e</w:t>
      </w:r>
      <w:r w:rsidRPr="3E4450F5" w:rsidR="00B54928">
        <w:rPr>
          <w:b w:val="1"/>
          <w:bCs w:val="1"/>
          <w:color w:val="000000" w:themeColor="text1" w:themeTint="FF" w:themeShade="FF"/>
          <w:sz w:val="22"/>
          <w:szCs w:val="22"/>
        </w:rPr>
        <w:t>nte</w:t>
      </w:r>
      <w:r w:rsidRPr="3E4450F5" w:rsidR="00B54928">
        <w:rPr>
          <w:b w:val="1"/>
          <w:bCs w:val="1"/>
          <w:sz w:val="22"/>
          <w:szCs w:val="22"/>
        </w:rPr>
        <w:t xml:space="preserve">, </w:t>
      </w:r>
      <w:r w:rsidRPr="3E4450F5" w:rsidR="00B54928">
        <w:rPr>
          <w:b w:val="1"/>
          <w:bCs w:val="1"/>
          <w:color w:val="000000" w:themeColor="text1" w:themeTint="FF" w:themeShade="FF"/>
          <w:sz w:val="22"/>
          <w:szCs w:val="22"/>
        </w:rPr>
        <w:t>a adoção das decisões, incluindo a escolha da modalidade de licitação, o modo de disputa e o critério de julgamento adotado para o caso, entre outras definições.</w:t>
      </w:r>
      <w:r w:rsidRPr="3E4450F5" w:rsidR="00B54928">
        <w:rPr>
          <w:color w:val="000000" w:themeColor="text1" w:themeTint="FF" w:themeShade="FF"/>
          <w:sz w:val="22"/>
          <w:szCs w:val="22"/>
        </w:rPr>
        <w:t xml:space="preserve"> Além disso, o </w:t>
      </w:r>
      <w:r w:rsidRPr="3E4450F5" w:rsidR="00B54928">
        <w:rPr>
          <w:sz w:val="22"/>
          <w:szCs w:val="22"/>
        </w:rPr>
        <w:t>e</w:t>
      </w:r>
      <w:r w:rsidRPr="3E4450F5" w:rsidR="00B54928">
        <w:rPr>
          <w:color w:val="000000" w:themeColor="text1" w:themeTint="FF" w:themeShade="FF"/>
          <w:sz w:val="22"/>
          <w:szCs w:val="22"/>
        </w:rPr>
        <w:t xml:space="preserve">nte não deve se afastar dos princípios que regem a </w:t>
      </w:r>
      <w:r w:rsidRPr="3E4450F5" w:rsidR="00B54928">
        <w:rPr>
          <w:sz w:val="22"/>
          <w:szCs w:val="22"/>
        </w:rPr>
        <w:t>A</w:t>
      </w:r>
      <w:r w:rsidRPr="3E4450F5" w:rsidR="00B54928">
        <w:rPr>
          <w:color w:val="000000" w:themeColor="text1" w:themeTint="FF" w:themeShade="FF"/>
          <w:sz w:val="22"/>
          <w:szCs w:val="22"/>
        </w:rPr>
        <w:t xml:space="preserve">dministração </w:t>
      </w:r>
      <w:r w:rsidRPr="3E4450F5" w:rsidR="00B54928">
        <w:rPr>
          <w:sz w:val="22"/>
          <w:szCs w:val="22"/>
        </w:rPr>
        <w:t>P</w:t>
      </w:r>
      <w:r w:rsidRPr="3E4450F5" w:rsidR="00B54928">
        <w:rPr>
          <w:color w:val="000000" w:themeColor="text1" w:themeTint="FF" w:themeShade="FF"/>
          <w:sz w:val="22"/>
          <w:szCs w:val="22"/>
        </w:rPr>
        <w:t>ública, como legalidade, impessoalidade, moralidade, publicidade e eficiência.</w:t>
      </w:r>
    </w:p>
    <w:p w:rsidR="006430DA" w:rsidP="01118B6B" w:rsidRDefault="006430DA" w14:paraId="0000000D" w14:textId="79DE81B5">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0" w:right="0"/>
        <w:jc w:val="both"/>
        <w:rPr>
          <w:rFonts w:ascii="Calibri" w:hAnsi="Calibri" w:eastAsia="Calibri" w:cs="Calibri"/>
          <w:noProof w:val="0"/>
          <w:color w:val="FF0000"/>
          <w:sz w:val="22"/>
          <w:szCs w:val="22"/>
          <w:lang w:val="pt-PT"/>
        </w:rPr>
      </w:pPr>
      <w:r w:rsidRPr="01118B6B" w:rsidR="2AD360B7">
        <w:rPr>
          <w:color w:val="000000" w:themeColor="text1" w:themeTint="FF" w:themeShade="FF"/>
          <w:sz w:val="22"/>
          <w:szCs w:val="22"/>
        </w:rPr>
        <w:t xml:space="preserve">8) </w:t>
      </w:r>
      <w:r w:rsidRPr="01118B6B" w:rsidR="0EF41D6F">
        <w:rPr>
          <w:color w:val="000000" w:themeColor="text1" w:themeTint="FF" w:themeShade="FF"/>
          <w:sz w:val="22"/>
          <w:szCs w:val="22"/>
        </w:rPr>
        <w:t xml:space="preserve">Por fim, cabe informar que os </w:t>
      </w:r>
      <w:r w:rsidRPr="01118B6B" w:rsidR="0EF41D6F">
        <w:rPr>
          <w:sz w:val="22"/>
          <w:szCs w:val="22"/>
        </w:rPr>
        <w:t>p</w:t>
      </w:r>
      <w:r w:rsidRPr="01118B6B" w:rsidR="0EF41D6F">
        <w:rPr>
          <w:color w:val="000000" w:themeColor="text1" w:themeTint="FF" w:themeShade="FF"/>
          <w:sz w:val="22"/>
          <w:szCs w:val="22"/>
        </w:rPr>
        <w:t>rojeto</w:t>
      </w:r>
      <w:r w:rsidRPr="01118B6B" w:rsidR="0EF41D6F">
        <w:rPr>
          <w:sz w:val="22"/>
          <w:szCs w:val="22"/>
        </w:rPr>
        <w:t xml:space="preserve">s </w:t>
      </w:r>
      <w:r w:rsidRPr="01118B6B" w:rsidR="0EF41D6F">
        <w:rPr>
          <w:color w:val="000000" w:themeColor="text1" w:themeTint="FF" w:themeShade="FF"/>
          <w:sz w:val="22"/>
          <w:szCs w:val="22"/>
        </w:rPr>
        <w:t>arquitetônico</w:t>
      </w:r>
      <w:r w:rsidRPr="01118B6B" w:rsidR="0EF41D6F">
        <w:rPr>
          <w:color w:val="000000" w:themeColor="text1" w:themeTint="FF" w:themeShade="FF"/>
          <w:sz w:val="22"/>
          <w:szCs w:val="22"/>
        </w:rPr>
        <w:t xml:space="preserve"> e </w:t>
      </w:r>
      <w:r w:rsidRPr="01118B6B" w:rsidR="0EF41D6F">
        <w:rPr>
          <w:sz w:val="22"/>
          <w:szCs w:val="22"/>
        </w:rPr>
        <w:t>c</w:t>
      </w:r>
      <w:r w:rsidRPr="01118B6B" w:rsidR="0EF41D6F">
        <w:rPr>
          <w:color w:val="000000" w:themeColor="text1" w:themeTint="FF" w:themeShade="FF"/>
          <w:sz w:val="22"/>
          <w:szCs w:val="22"/>
        </w:rPr>
        <w:t>omplementar</w:t>
      </w:r>
      <w:r w:rsidRPr="01118B6B" w:rsidR="492CFAA4">
        <w:rPr>
          <w:color w:val="000000" w:themeColor="text1" w:themeTint="FF" w:themeShade="FF"/>
          <w:sz w:val="22"/>
          <w:szCs w:val="22"/>
        </w:rPr>
        <w:t>es</w:t>
      </w:r>
      <w:r w:rsidRPr="01118B6B" w:rsidR="63E5A8FA">
        <w:rPr>
          <w:color w:val="000000" w:themeColor="text1" w:themeTint="FF" w:themeShade="FF"/>
          <w:sz w:val="22"/>
          <w:szCs w:val="22"/>
        </w:rPr>
        <w:t xml:space="preserve"> </w:t>
      </w:r>
      <w:r w:rsidRPr="01118B6B" w:rsidR="30A3FF44">
        <w:rPr>
          <w:color w:val="000000" w:themeColor="text1" w:themeTint="FF" w:themeShade="FF"/>
          <w:sz w:val="22"/>
          <w:szCs w:val="22"/>
        </w:rPr>
        <w:t>utilizam</w:t>
      </w:r>
      <w:r w:rsidRPr="01118B6B" w:rsidR="3AC1A456">
        <w:rPr>
          <w:color w:val="000000" w:themeColor="text1" w:themeTint="FF" w:themeShade="FF"/>
          <w:sz w:val="22"/>
          <w:szCs w:val="22"/>
        </w:rPr>
        <w:t xml:space="preserve"> </w:t>
      </w:r>
      <w:commentRangeStart w:id="1872735722"/>
      <w:r w:rsidRPr="01118B6B" w:rsidR="75B6C8B6">
        <w:rPr>
          <w:rFonts w:ascii="Calibri" w:hAnsi="Calibri" w:eastAsia="Calibri" w:cs="Calibri"/>
          <w:b w:val="0"/>
          <w:bCs w:val="0"/>
          <w:i w:val="0"/>
          <w:iCs w:val="0"/>
          <w:caps w:val="0"/>
          <w:smallCaps w:val="0"/>
          <w:noProof w:val="0"/>
          <w:color w:val="auto"/>
          <w:sz w:val="22"/>
          <w:szCs w:val="22"/>
          <w:lang w:val="pt-BR"/>
        </w:rPr>
        <w:t>a Metodologia CAD (</w:t>
      </w:r>
      <w:r w:rsidRPr="01118B6B" w:rsidR="75B6C8B6">
        <w:rPr>
          <w:rFonts w:ascii="Calibri" w:hAnsi="Calibri" w:eastAsia="Calibri" w:cs="Calibri"/>
          <w:b w:val="1"/>
          <w:bCs w:val="1"/>
          <w:i w:val="0"/>
          <w:iCs w:val="0"/>
          <w:caps w:val="0"/>
          <w:smallCaps w:val="0"/>
          <w:noProof w:val="0"/>
          <w:color w:val="auto"/>
          <w:sz w:val="22"/>
          <w:szCs w:val="22"/>
          <w:lang w:val="pt-BR"/>
        </w:rPr>
        <w:t xml:space="preserve">Computer </w:t>
      </w:r>
      <w:r w:rsidRPr="01118B6B" w:rsidR="75B6C8B6">
        <w:rPr>
          <w:rFonts w:ascii="Calibri" w:hAnsi="Calibri" w:eastAsia="Calibri" w:cs="Calibri"/>
          <w:b w:val="1"/>
          <w:bCs w:val="1"/>
          <w:i w:val="0"/>
          <w:iCs w:val="0"/>
          <w:caps w:val="0"/>
          <w:smallCaps w:val="0"/>
          <w:noProof w:val="0"/>
          <w:color w:val="auto"/>
          <w:sz w:val="22"/>
          <w:szCs w:val="22"/>
          <w:lang w:val="pt-BR"/>
        </w:rPr>
        <w:t>Aided</w:t>
      </w:r>
      <w:r w:rsidRPr="01118B6B" w:rsidR="75B6C8B6">
        <w:rPr>
          <w:rFonts w:ascii="Calibri" w:hAnsi="Calibri" w:eastAsia="Calibri" w:cs="Calibri"/>
          <w:b w:val="1"/>
          <w:bCs w:val="1"/>
          <w:i w:val="0"/>
          <w:iCs w:val="0"/>
          <w:caps w:val="0"/>
          <w:smallCaps w:val="0"/>
          <w:noProof w:val="0"/>
          <w:color w:val="auto"/>
          <w:sz w:val="22"/>
          <w:szCs w:val="22"/>
          <w:lang w:val="pt-BR"/>
        </w:rPr>
        <w:t xml:space="preserve"> Design</w:t>
      </w:r>
      <w:r w:rsidRPr="01118B6B" w:rsidR="75B6C8B6">
        <w:rPr>
          <w:rFonts w:ascii="Calibri" w:hAnsi="Calibri" w:eastAsia="Calibri" w:cs="Calibri"/>
          <w:b w:val="0"/>
          <w:bCs w:val="0"/>
          <w:i w:val="0"/>
          <w:iCs w:val="0"/>
          <w:caps w:val="0"/>
          <w:smallCaps w:val="0"/>
          <w:noProof w:val="0"/>
          <w:color w:val="auto"/>
          <w:sz w:val="22"/>
          <w:szCs w:val="22"/>
          <w:lang w:val="pt-BR"/>
        </w:rPr>
        <w:t>), contido em softwares de criação e edição de desenhos e projetos digitais, em 2D e 3D, em conformidade com a discricionariedade prevista no § único, art. 2°, do Decreto nº 10.306, emitido em 02 de abril de 2020.</w:t>
      </w:r>
      <w:commentRangeEnd w:id="1872735722"/>
      <w:r>
        <w:rPr>
          <w:rStyle w:val="CommentReference"/>
        </w:rPr>
        <w:commentReference w:id="1872735722"/>
      </w:r>
    </w:p>
    <w:p w:rsidR="006430DA" w:rsidRDefault="00B54928" w14:paraId="00000018" w14:textId="77777777">
      <w:pPr>
        <w:jc w:val="center"/>
        <w:rPr>
          <w:b/>
        </w:rPr>
      </w:pPr>
      <w:r>
        <w:rPr>
          <w:b/>
        </w:rPr>
        <w:t>TÓPICOS DO ESTUDO TÉCNICO PRELIMINAR</w:t>
      </w:r>
    </w:p>
    <w:p w:rsidR="006430DA" w:rsidRDefault="006430DA" w14:paraId="00000019" w14:textId="77777777">
      <w:pPr>
        <w:rPr>
          <w:b/>
        </w:rPr>
      </w:pPr>
    </w:p>
    <w:p w:rsidR="006430DA" w:rsidRDefault="00B54928" w14:paraId="0000001A" w14:textId="77777777">
      <w:pPr>
        <w:rPr>
          <w:b/>
        </w:rPr>
      </w:pPr>
      <w:r>
        <w:rPr>
          <w:b/>
        </w:rPr>
        <w:t>2. Descrição da necessidade:</w:t>
      </w:r>
    </w:p>
    <w:p w:rsidR="006430DA" w:rsidP="6CBC204B" w:rsidRDefault="00B54928" w14:paraId="0000001B" w14:textId="29643A36">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6CBC204B" w:rsidR="0EF41D6F">
        <w:rPr>
          <w:b w:val="1"/>
          <w:bCs w:val="1"/>
          <w:color w:val="000000" w:themeColor="text1" w:themeTint="FF" w:themeShade="FF"/>
        </w:rPr>
        <w:t>Descrição da necessidade da contratação</w:t>
      </w:r>
      <w:r w:rsidRPr="6CBC204B" w:rsidR="434684A0">
        <w:rPr>
          <w:b w:val="1"/>
          <w:bCs w:val="1"/>
          <w:color w:val="000000" w:themeColor="text1" w:themeTint="FF" w:themeShade="FF"/>
        </w:rPr>
        <w:t>:</w:t>
      </w:r>
      <w:r w:rsidRPr="6CBC204B" w:rsidR="0EF41D6F">
        <w:rPr>
          <w:color w:val="000000" w:themeColor="text1" w:themeTint="FF" w:themeShade="FF"/>
        </w:rPr>
        <w:t xml:space="preserve"> </w:t>
      </w:r>
      <w:r w:rsidRPr="6CBC204B" w:rsidR="711E0715">
        <w:rPr>
          <w:color w:val="000000" w:themeColor="text1" w:themeTint="FF" w:themeShade="FF"/>
        </w:rPr>
        <w:t>C</w:t>
      </w:r>
      <w:r w:rsidRPr="6CBC204B" w:rsidR="0EF41D6F">
        <w:rPr>
          <w:color w:val="000000" w:themeColor="text1" w:themeTint="FF" w:themeShade="FF"/>
        </w:rPr>
        <w:t xml:space="preserve">onsoante o disposto no inciso I do § 1° do </w:t>
      </w:r>
      <w:r w:rsidRPr="6CBC204B" w:rsidR="0EF41D6F">
        <w:rPr>
          <w:color w:val="000000" w:themeColor="text1" w:themeTint="FF" w:themeShade="FF"/>
        </w:rPr>
        <w:t>art</w:t>
      </w:r>
      <w:r w:rsidRPr="6CBC204B" w:rsidR="0EF41D6F">
        <w:rPr>
          <w:color w:val="000000" w:themeColor="text1" w:themeTint="FF" w:themeShade="FF"/>
        </w:rPr>
        <w:t>. 18 da L</w:t>
      </w:r>
      <w:r w:rsidRPr="6CBC204B" w:rsidR="0EF41D6F">
        <w:rPr>
          <w:color w:val="000000" w:themeColor="text1" w:themeTint="FF" w:themeShade="FF"/>
          <w:sz w:val="22"/>
          <w:szCs w:val="22"/>
        </w:rPr>
        <w:t xml:space="preserve">ei nº 14.133/2021 e </w:t>
      </w:r>
      <w:r w:rsidRPr="6CBC204B" w:rsidR="0EF41D6F">
        <w:rPr>
          <w:color w:val="000000" w:themeColor="text1" w:themeTint="FF" w:themeShade="FF"/>
          <w:sz w:val="22"/>
          <w:szCs w:val="22"/>
        </w:rPr>
        <w:t>art</w:t>
      </w:r>
      <w:r w:rsidRPr="6CBC204B" w:rsidR="0EF41D6F">
        <w:rPr>
          <w:color w:val="000000" w:themeColor="text1" w:themeTint="FF" w:themeShade="FF"/>
          <w:sz w:val="22"/>
          <w:szCs w:val="22"/>
        </w:rPr>
        <w:t>. 7°, inciso I da IN nº 40/2020</w:t>
      </w:r>
      <w:r w:rsidRPr="6CBC204B" w:rsidR="30D6589D">
        <w:rPr>
          <w:color w:val="000000" w:themeColor="text1" w:themeTint="FF" w:themeShade="FF"/>
          <w:sz w:val="22"/>
          <w:szCs w:val="22"/>
        </w:rPr>
        <w:t>, a</w:t>
      </w:r>
      <w:r w:rsidRPr="6CBC204B" w:rsidR="0EF41D6F">
        <w:rPr>
          <w:color w:val="000000" w:themeColor="text1" w:themeTint="FF" w:themeShade="FF"/>
          <w:sz w:val="22"/>
          <w:szCs w:val="22"/>
        </w:rPr>
        <w:t xml:space="preserve"> descrição das necessidades e justificativas para a construção de obra e contratação de serviços de engenharia de um</w:t>
      </w:r>
      <w:r w:rsidRPr="6CBC204B" w:rsidR="1A3BD2C2">
        <w:rPr>
          <w:color w:val="000000" w:themeColor="text1" w:themeTint="FF" w:themeShade="FF"/>
          <w:sz w:val="22"/>
          <w:szCs w:val="22"/>
        </w:rPr>
        <w:t xml:space="preserve"> </w:t>
      </w:r>
      <w:r w:rsidRPr="6CBC204B" w:rsidR="1A3BD2C2">
        <w:rPr>
          <w:rFonts w:ascii="Calibri" w:hAnsi="Calibri" w:eastAsia="Calibri" w:cs="Calibri"/>
          <w:b w:val="0"/>
          <w:bCs w:val="0"/>
          <w:i w:val="0"/>
          <w:iCs w:val="0"/>
          <w:caps w:val="0"/>
          <w:smallCaps w:val="0"/>
          <w:noProof w:val="0"/>
          <w:color w:val="000000" w:themeColor="text1" w:themeTint="FF" w:themeShade="FF"/>
          <w:sz w:val="22"/>
          <w:szCs w:val="22"/>
          <w:lang w:val="pt-BR"/>
        </w:rPr>
        <w:t xml:space="preserve">Centro de Atenção Psicossocial </w:t>
      </w:r>
      <w:r w:rsidRPr="6CBC204B" w:rsidR="1A3BD2C2">
        <w:rPr>
          <w:rFonts w:ascii="Calibri" w:hAnsi="Calibri" w:eastAsia="Calibri" w:cs="Calibri"/>
          <w:b w:val="0"/>
          <w:bCs w:val="0"/>
          <w:i w:val="0"/>
          <w:iCs w:val="0"/>
          <w:caps w:val="0"/>
          <w:smallCaps w:val="0"/>
          <w:noProof w:val="0"/>
          <w:sz w:val="22"/>
          <w:szCs w:val="22"/>
          <w:lang w:val="pt-BR"/>
        </w:rPr>
        <w:t>(CAPS)</w:t>
      </w:r>
      <w:r w:rsidRPr="6CBC204B" w:rsidR="1A3BD2C2">
        <w:rPr>
          <w:rFonts w:ascii="Calibri" w:hAnsi="Calibri" w:eastAsia="Calibri" w:cs="Calibri"/>
          <w:b w:val="0"/>
          <w:bCs w:val="0"/>
          <w:i w:val="0"/>
          <w:iCs w:val="0"/>
          <w:caps w:val="0"/>
          <w:smallCaps w:val="0"/>
          <w:noProof w:val="0"/>
          <w:color w:val="FF0000"/>
          <w:sz w:val="22"/>
          <w:szCs w:val="22"/>
          <w:lang w:val="pt-BR"/>
        </w:rPr>
        <w:t xml:space="preserve"> porte XX</w:t>
      </w:r>
      <w:r w:rsidRPr="6CBC204B" w:rsidR="0EF41D6F">
        <w:rPr>
          <w:color w:val="000000" w:themeColor="text1" w:themeTint="FF" w:themeShade="FF"/>
          <w:sz w:val="22"/>
          <w:szCs w:val="22"/>
        </w:rPr>
        <w:t xml:space="preserve"> foi elaborada com base em diretrizes gerais. É importante ressaltar que cada ente federativo possui características e demandas específicas que podem var</w:t>
      </w:r>
      <w:r w:rsidRPr="6CBC204B" w:rsidR="0EF41D6F">
        <w:rPr>
          <w:color w:val="000000" w:themeColor="text1" w:themeTint="FF" w:themeShade="FF"/>
        </w:rPr>
        <w:t>iar</w:t>
      </w:r>
      <w:r w:rsidR="0EF41D6F">
        <w:rPr/>
        <w:t xml:space="preserve"> </w:t>
      </w:r>
      <w:r w:rsidRPr="6CBC204B" w:rsidR="0EF41D6F">
        <w:rPr>
          <w:color w:val="000000" w:themeColor="text1" w:themeTint="FF" w:themeShade="FF"/>
        </w:rPr>
        <w:t>significativamente. Portanto, sugere-se que este documento seja adaptado e co</w:t>
      </w:r>
      <w:r w:rsidRPr="6CBC204B" w:rsidR="0EF41D6F">
        <w:rPr>
          <w:color w:val="000000" w:themeColor="text1" w:themeTint="FF" w:themeShade="FF"/>
        </w:rPr>
        <w:t xml:space="preserve">mplementado, quando for o caso, conforme a realidade e as necessidades pontuais de cada localidade. É crucial que a descrição não antecipe ou confunda a necessidade com a solução ou com o processo de contratação, que serão abordados no </w:t>
      </w:r>
      <w:r w:rsidR="0EF41D6F">
        <w:rPr/>
        <w:t>decorrer</w:t>
      </w:r>
      <w:r w:rsidRPr="6CBC204B" w:rsidR="0EF41D6F">
        <w:rPr>
          <w:color w:val="000000" w:themeColor="text1" w:themeTint="FF" w:themeShade="FF"/>
        </w:rPr>
        <w:t xml:space="preserve"> da</w:t>
      </w:r>
      <w:r w:rsidR="0EF41D6F">
        <w:rPr/>
        <w:t xml:space="preserve"> elaboração</w:t>
      </w:r>
      <w:r w:rsidRPr="6CBC204B" w:rsidR="0EF41D6F">
        <w:rPr>
          <w:color w:val="000000" w:themeColor="text1" w:themeTint="FF" w:themeShade="FF"/>
        </w:rPr>
        <w:t xml:space="preserve"> do Estudo Técnico Preliminar (ETP).</w:t>
      </w:r>
    </w:p>
    <w:p w:rsidR="006430DA" w:rsidP="6CBC204B" w:rsidRDefault="00B54928" w14:paraId="0000001C" w14:textId="4A492DE2">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6CBC204B" w:rsidR="0EF41D6F">
        <w:rPr>
          <w:b w:val="1"/>
          <w:bCs w:val="1"/>
          <w:color w:val="000000" w:themeColor="text1" w:themeTint="FF" w:themeShade="FF"/>
        </w:rPr>
        <w:t xml:space="preserve">Objetivo da </w:t>
      </w:r>
      <w:r w:rsidRPr="6CBC204B" w:rsidR="0EF41D6F">
        <w:rPr>
          <w:b w:val="1"/>
          <w:bCs w:val="1"/>
        </w:rPr>
        <w:t>d</w:t>
      </w:r>
      <w:r w:rsidRPr="6CBC204B" w:rsidR="0EF41D6F">
        <w:rPr>
          <w:b w:val="1"/>
          <w:bCs w:val="1"/>
          <w:color w:val="000000" w:themeColor="text1" w:themeTint="FF" w:themeShade="FF"/>
        </w:rPr>
        <w:t xml:space="preserve">escrição da </w:t>
      </w:r>
      <w:r w:rsidRPr="6CBC204B" w:rsidR="0EF41D6F">
        <w:rPr>
          <w:b w:val="1"/>
          <w:bCs w:val="1"/>
        </w:rPr>
        <w:t>n</w:t>
      </w:r>
      <w:r w:rsidRPr="6CBC204B" w:rsidR="0EF41D6F">
        <w:rPr>
          <w:b w:val="1"/>
          <w:bCs w:val="1"/>
          <w:color w:val="000000" w:themeColor="text1" w:themeTint="FF" w:themeShade="FF"/>
        </w:rPr>
        <w:t>ecessidade</w:t>
      </w:r>
      <w:r w:rsidRPr="6CBC204B" w:rsidR="0EF41D6F">
        <w:rPr>
          <w:color w:val="000000" w:themeColor="text1" w:themeTint="FF" w:themeShade="FF"/>
        </w:rPr>
        <w:t xml:space="preserve">: </w:t>
      </w:r>
      <w:r w:rsidR="3043E8C2">
        <w:rPr/>
        <w:t>A</w:t>
      </w:r>
      <w:r w:rsidRPr="6CBC204B" w:rsidR="0EF41D6F">
        <w:rPr>
          <w:color w:val="000000" w:themeColor="text1" w:themeTint="FF" w:themeShade="FF"/>
        </w:rPr>
        <w:t xml:space="preserve"> descrição da necessidade tem como objetivo apresentar, de forma clara e objetiva, o problema ou a necessidade assistencial que justifica a intervenção planejada.</w:t>
      </w:r>
      <w:r w:rsidRPr="6CBC204B" w:rsidR="0EF41D6F">
        <w:rPr>
          <w:b w:val="1"/>
          <w:bCs w:val="1"/>
          <w:color w:val="000000" w:themeColor="text1" w:themeTint="FF" w:themeShade="FF"/>
        </w:rPr>
        <w:t xml:space="preserve"> O ente deverá analisar fatores locais como condições geográficas, demanda populacional, fatores epidemiológicos, desafios socioeconômicos e climáticos, sociais e econômic</w:t>
      </w:r>
      <w:r w:rsidRPr="6CBC204B" w:rsidR="0EF41D6F">
        <w:rPr>
          <w:b w:val="1"/>
          <w:bCs w:val="1"/>
        </w:rPr>
        <w:t>o</w:t>
      </w:r>
      <w:r w:rsidRPr="6CBC204B" w:rsidR="0EF41D6F">
        <w:rPr>
          <w:b w:val="1"/>
          <w:bCs w:val="1"/>
          <w:color w:val="000000" w:themeColor="text1" w:themeTint="FF" w:themeShade="FF"/>
        </w:rPr>
        <w:t xml:space="preserve">s, bem como as diretrizes de saúde pública vigentes, para garantir que sejam explicitadas </w:t>
      </w:r>
      <w:r w:rsidRPr="6CBC204B" w:rsidR="0EF41D6F">
        <w:rPr>
          <w:b w:val="1"/>
          <w:bCs w:val="1"/>
        </w:rPr>
        <w:t>a</w:t>
      </w:r>
      <w:r w:rsidRPr="6CBC204B" w:rsidR="0EF41D6F">
        <w:rPr>
          <w:b w:val="1"/>
          <w:bCs w:val="1"/>
          <w:color w:val="000000" w:themeColor="text1" w:themeTint="FF" w:themeShade="FF"/>
        </w:rPr>
        <w:t>s necessidades da comunidade que será atendida pel</w:t>
      </w:r>
      <w:r w:rsidRPr="6CBC204B" w:rsidR="790C58EC">
        <w:rPr>
          <w:b w:val="1"/>
          <w:bCs w:val="1"/>
          <w:color w:val="000000" w:themeColor="text1" w:themeTint="FF" w:themeShade="FF"/>
        </w:rPr>
        <w:t>o CAPS</w:t>
      </w:r>
      <w:r w:rsidRPr="6CBC204B" w:rsidR="0EF41D6F">
        <w:rPr>
          <w:b w:val="1"/>
          <w:bCs w:val="1"/>
          <w:color w:val="000000" w:themeColor="text1" w:themeTint="FF" w:themeShade="FF"/>
        </w:rPr>
        <w:t>.</w:t>
      </w:r>
      <w:r w:rsidRPr="6CBC204B" w:rsidR="0EF41D6F">
        <w:rPr>
          <w:color w:val="000000" w:themeColor="text1" w:themeTint="FF" w:themeShade="FF"/>
        </w:rPr>
        <w:t xml:space="preserve"> </w:t>
      </w:r>
    </w:p>
    <w:p w:rsidR="006430DA" w:rsidP="01118B6B" w:rsidRDefault="00B54928" w14:paraId="0000001D" w14:textId="0B23A945">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01118B6B" w:rsidR="0EF41D6F">
        <w:rPr>
          <w:b w:val="1"/>
          <w:bCs w:val="1"/>
          <w:color w:val="000000" w:themeColor="text1" w:themeTint="FF" w:themeShade="FF"/>
        </w:rPr>
        <w:t>Justificativa para contratação:</w:t>
      </w:r>
      <w:r w:rsidRPr="01118B6B" w:rsidR="0EF41D6F">
        <w:rPr>
          <w:b w:val="1"/>
          <w:bCs w:val="1"/>
          <w:color w:val="000000" w:themeColor="text1" w:themeTint="FF" w:themeShade="FF"/>
        </w:rPr>
        <w:t xml:space="preserve"> </w:t>
      </w:r>
      <w:r w:rsidR="63DE99BC">
        <w:rPr/>
        <w:t>A</w:t>
      </w:r>
      <w:r w:rsidRPr="01118B6B" w:rsidR="0EF41D6F">
        <w:rPr>
          <w:color w:val="000000" w:themeColor="text1" w:themeTint="FF" w:themeShade="FF"/>
        </w:rPr>
        <w:t xml:space="preserve"> </w:t>
      </w:r>
      <w:r w:rsidR="0EF41D6F">
        <w:rPr/>
        <w:t>j</w:t>
      </w:r>
      <w:r w:rsidRPr="01118B6B" w:rsidR="0EF41D6F">
        <w:rPr>
          <w:color w:val="000000" w:themeColor="text1" w:themeTint="FF" w:themeShade="FF"/>
        </w:rPr>
        <w:t xml:space="preserve">ustificativa da </w:t>
      </w:r>
      <w:r w:rsidR="0EF41D6F">
        <w:rPr/>
        <w:t>n</w:t>
      </w:r>
      <w:r w:rsidRPr="01118B6B" w:rsidR="0EF41D6F">
        <w:rPr>
          <w:color w:val="000000" w:themeColor="text1" w:themeTint="FF" w:themeShade="FF"/>
        </w:rPr>
        <w:t>ecessidade para a construção de um</w:t>
      </w:r>
      <w:r w:rsidRPr="01118B6B" w:rsidR="2506219F">
        <w:rPr>
          <w:color w:val="000000" w:themeColor="text1" w:themeTint="FF" w:themeShade="FF"/>
        </w:rPr>
        <w:t xml:space="preserve"> CAPS</w:t>
      </w:r>
      <w:r w:rsidRPr="01118B6B" w:rsidR="0EF41D6F">
        <w:rPr>
          <w:color w:val="000000" w:themeColor="text1" w:themeTint="FF" w:themeShade="FF"/>
        </w:rPr>
        <w:t xml:space="preserve"> deve ser fundamentada em uma análise detalhada e objetiva das necessidades da população que será atendida. Este tipo de justificativa deve ir além de simplesmente mencionar as fontes de recursos, focando nos problemas específicos que a construção d</w:t>
      </w:r>
      <w:r w:rsidRPr="01118B6B" w:rsidR="089383B9">
        <w:rPr>
          <w:color w:val="000000" w:themeColor="text1" w:themeTint="FF" w:themeShade="FF"/>
        </w:rPr>
        <w:t xml:space="preserve">o CAPS </w:t>
      </w:r>
      <w:r w:rsidRPr="01118B6B" w:rsidR="0EF41D6F">
        <w:rPr>
          <w:color w:val="000000" w:themeColor="text1" w:themeTint="FF" w:themeShade="FF"/>
        </w:rPr>
        <w:t>visa resolver, demonstrando claramente os impactos positivos que essa solução trará para a comunidade, assim como os impactos negativos que podem surgir caso a necessidade não seja atendida. De</w:t>
      </w:r>
      <w:r w:rsidRPr="01118B6B" w:rsidR="0EF41D6F">
        <w:rPr>
          <w:color w:val="000000" w:themeColor="text1" w:themeTint="FF" w:themeShade="FF"/>
        </w:rPr>
        <w:t xml:space="preserve"> forma não exaustiva, exemplificamos </w:t>
      </w:r>
      <w:r w:rsidR="0EF41D6F">
        <w:rPr/>
        <w:t>as</w:t>
      </w:r>
      <w:r w:rsidRPr="01118B6B" w:rsidR="0EF41D6F">
        <w:rPr>
          <w:color w:val="000000" w:themeColor="text1" w:themeTint="FF" w:themeShade="FF"/>
        </w:rPr>
        <w:t xml:space="preserve"> informações a serem observadas:</w:t>
      </w:r>
      <w:r w:rsidRPr="01118B6B" w:rsidR="0EF41D6F">
        <w:rPr>
          <w:color w:val="000000" w:themeColor="text1" w:themeTint="FF" w:themeShade="FF"/>
        </w:rPr>
        <w:t xml:space="preserve"> </w:t>
      </w:r>
    </w:p>
    <w:p w:rsidR="0EF41D6F" w:rsidP="01118B6B" w:rsidRDefault="0EF41D6F" w14:paraId="5315E55C" w14:textId="72E6C98E">
      <w:pPr>
        <w:numPr>
          <w:ilvl w:val="0"/>
          <w:numId w:val="20"/>
        </w:numPr>
        <w:spacing w:line="240" w:lineRule="auto"/>
        <w:jc w:val="both"/>
        <w:rPr>
          <w:rFonts w:ascii="Calibri" w:hAnsi="Calibri" w:eastAsia="Calibri" w:cs="Calibri"/>
          <w:noProof w:val="0"/>
          <w:color w:val="000000" w:themeColor="text1" w:themeTint="FF" w:themeShade="FF"/>
          <w:sz w:val="22"/>
          <w:szCs w:val="22"/>
          <w:lang w:val="pt"/>
        </w:rPr>
      </w:pPr>
      <w:r w:rsidRPr="01118B6B" w:rsidR="0EF41D6F">
        <w:rPr>
          <w:b w:val="1"/>
          <w:bCs w:val="1"/>
          <w:color w:val="000000" w:themeColor="text1" w:themeTint="FF" w:themeShade="FF"/>
        </w:rPr>
        <w:t xml:space="preserve">Tamanho da </w:t>
      </w:r>
      <w:r w:rsidRPr="01118B6B" w:rsidR="0EF41D6F">
        <w:rPr>
          <w:b w:val="1"/>
          <w:bCs w:val="1"/>
        </w:rPr>
        <w:t>p</w:t>
      </w:r>
      <w:r w:rsidRPr="01118B6B" w:rsidR="0EF41D6F">
        <w:rPr>
          <w:b w:val="1"/>
          <w:bCs w:val="1"/>
          <w:color w:val="000000" w:themeColor="text1" w:themeTint="FF" w:themeShade="FF"/>
        </w:rPr>
        <w:t>opulação:</w:t>
      </w:r>
      <w:r w:rsidRPr="01118B6B" w:rsidR="0EF41D6F">
        <w:rPr>
          <w:b w:val="1"/>
          <w:bCs w:val="1"/>
          <w:color w:val="000000" w:themeColor="text1" w:themeTint="FF" w:themeShade="FF"/>
        </w:rPr>
        <w:t xml:space="preserve"> </w:t>
      </w:r>
      <w:r w:rsidRPr="01118B6B" w:rsidR="6EAAB30C">
        <w:rPr>
          <w:b w:val="0"/>
          <w:bCs w:val="0"/>
          <w:color w:val="000000" w:themeColor="text1" w:themeTint="FF" w:themeShade="FF"/>
        </w:rPr>
        <w:t>O</w:t>
      </w:r>
      <w:r w:rsidR="0EF41D6F">
        <w:rPr>
          <w:b w:val="0"/>
          <w:bCs w:val="0"/>
        </w:rPr>
        <w:t xml:space="preserve"> </w:t>
      </w:r>
      <w:r w:rsidR="0EF41D6F">
        <w:rPr>
          <w:b w:val="0"/>
          <w:bCs w:val="0"/>
        </w:rPr>
        <w:t>crescimento populacional em determinada região impõe uma demanda</w:t>
      </w:r>
      <w:r w:rsidRPr="01118B6B" w:rsidR="0EF41D6F">
        <w:rPr>
          <w:b w:val="0"/>
          <w:bCs w:val="0"/>
          <w:color w:val="000000" w:themeColor="text1" w:themeTint="FF" w:themeShade="FF"/>
        </w:rPr>
        <w:t xml:space="preserve"> crescente p</w:t>
      </w:r>
      <w:r w:rsidRPr="01118B6B" w:rsidR="0EF41D6F">
        <w:rPr>
          <w:color w:val="000000" w:themeColor="text1" w:themeTint="FF" w:themeShade="FF"/>
        </w:rPr>
        <w:t>or serviços de saúde.</w:t>
      </w:r>
      <w:r w:rsidRPr="01118B6B" w:rsidR="0EF41D6F">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1118B6B" w:rsidR="0EF41D6F">
        <w:rPr>
          <w:rFonts w:ascii="Calibri" w:hAnsi="Calibri" w:eastAsia="Calibri" w:cs="Calibri" w:asciiTheme="minorAscii" w:hAnsiTheme="minorAscii" w:eastAsiaTheme="minorAscii" w:cstheme="minorAscii"/>
          <w:color w:val="000000" w:themeColor="text1" w:themeTint="FF" w:themeShade="FF"/>
          <w:sz w:val="22"/>
          <w:szCs w:val="22"/>
        </w:rPr>
        <w:t>Um</w:t>
      </w:r>
      <w:r w:rsidRPr="01118B6B" w:rsidR="7EA968B3">
        <w:rPr>
          <w:rFonts w:ascii="Calibri" w:hAnsi="Calibri" w:eastAsia="Calibri" w:cs="Calibri" w:asciiTheme="minorAscii" w:hAnsiTheme="minorAscii" w:eastAsiaTheme="minorAscii" w:cstheme="minorAscii"/>
          <w:color w:val="000000" w:themeColor="text1" w:themeTint="FF" w:themeShade="FF"/>
          <w:sz w:val="22"/>
          <w:szCs w:val="22"/>
        </w:rPr>
        <w:t xml:space="preserve"> CAPS</w:t>
      </w:r>
      <w:r w:rsidRPr="01118B6B" w:rsidR="0EF41D6F">
        <w:rPr>
          <w:rFonts w:ascii="Calibri" w:hAnsi="Calibri" w:eastAsia="Calibri" w:cs="Calibri" w:asciiTheme="minorAscii" w:hAnsiTheme="minorAscii" w:eastAsiaTheme="minorAscii" w:cstheme="minorAscii"/>
          <w:color w:val="000000" w:themeColor="text1" w:themeTint="FF" w:themeShade="FF"/>
          <w:sz w:val="22"/>
          <w:szCs w:val="22"/>
        </w:rPr>
        <w:t xml:space="preserve"> é </w:t>
      </w:r>
      <w:r w:rsidRPr="01118B6B" w:rsidR="0EF41D6F">
        <w:rPr>
          <w:rFonts w:ascii="Calibri" w:hAnsi="Calibri" w:eastAsia="Calibri" w:cs="Calibri" w:asciiTheme="minorAscii" w:hAnsiTheme="minorAscii" w:eastAsiaTheme="minorAscii" w:cstheme="minorAscii"/>
          <w:color w:val="000000" w:themeColor="text1" w:themeTint="FF" w:themeShade="FF"/>
          <w:sz w:val="22"/>
          <w:szCs w:val="22"/>
        </w:rPr>
        <w:t>projetad</w:t>
      </w:r>
      <w:r w:rsidRPr="01118B6B" w:rsidR="31334B89">
        <w:rPr>
          <w:rFonts w:ascii="Calibri" w:hAnsi="Calibri" w:eastAsia="Calibri" w:cs="Calibri" w:asciiTheme="minorAscii" w:hAnsiTheme="minorAscii" w:eastAsiaTheme="minorAscii" w:cstheme="minorAscii"/>
          <w:color w:val="000000" w:themeColor="text1" w:themeTint="FF" w:themeShade="FF"/>
          <w:sz w:val="22"/>
          <w:szCs w:val="22"/>
        </w:rPr>
        <w:t>o</w:t>
      </w:r>
      <w:r w:rsidRPr="01118B6B" w:rsidR="0EF41D6F">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01118B6B" w:rsidR="10B0C762">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pt-BR"/>
        </w:rPr>
        <w:t xml:space="preserve">para atender </w:t>
      </w:r>
      <w:r w:rsidRPr="01118B6B" w:rsidR="6D5675B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pt-BR"/>
        </w:rPr>
        <w:t>pessoas que apresentam sofrimento mental grave e persistente, incluindo aqueles relacionados ao uso de álcool e outras drogas.</w:t>
      </w:r>
      <w:r w:rsidRPr="01118B6B" w:rsidR="1BED1C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pt-BR"/>
        </w:rPr>
        <w:t xml:space="preserve"> </w:t>
      </w:r>
      <w:r w:rsidRPr="01118B6B" w:rsidR="3955EE8F">
        <w:rPr>
          <w:rFonts w:ascii="Calibri" w:hAnsi="Calibri" w:eastAsia="Calibri" w:cs="Calibri"/>
          <w:noProof w:val="0"/>
          <w:color w:val="000000" w:themeColor="text1" w:themeTint="FF" w:themeShade="FF"/>
          <w:sz w:val="22"/>
          <w:szCs w:val="22"/>
          <w:lang w:val="pt"/>
        </w:rPr>
        <w:t>Em áreas onde a população aumentou significativamente, a infraestrutura existente pode se tornar insuficiente, resultando em sobrecarga das unidades já existentes e queda na qualidade do atendimento.</w:t>
      </w:r>
    </w:p>
    <w:p w:rsidR="0EF41D6F" w:rsidP="01118B6B" w:rsidRDefault="0EF41D6F" w14:paraId="2C0C8892" w14:textId="73158C78">
      <w:pPr>
        <w:numPr>
          <w:ilvl w:val="0"/>
          <w:numId w:val="10"/>
        </w:numPr>
        <w:spacing w:line="240" w:lineRule="auto"/>
        <w:jc w:val="both"/>
        <w:rPr>
          <w:rFonts w:ascii="Calibri" w:hAnsi="Calibri" w:eastAsia="Calibri" w:cs="Calibri"/>
          <w:noProof w:val="0"/>
          <w:sz w:val="22"/>
          <w:szCs w:val="22"/>
          <w:lang w:val="pt"/>
        </w:rPr>
      </w:pPr>
      <w:r w:rsidRPr="01118B6B" w:rsidR="0EF41D6F">
        <w:rPr>
          <w:b w:val="1"/>
          <w:bCs w:val="1"/>
          <w:color w:val="000000" w:themeColor="text1" w:themeTint="FF" w:themeShade="FF"/>
        </w:rPr>
        <w:t xml:space="preserve">Impacto </w:t>
      </w:r>
      <w:r w:rsidRPr="01118B6B" w:rsidR="0EF41D6F">
        <w:rPr>
          <w:b w:val="1"/>
          <w:bCs w:val="1"/>
        </w:rPr>
        <w:t>P</w:t>
      </w:r>
      <w:r w:rsidRPr="01118B6B" w:rsidR="0EF41D6F">
        <w:rPr>
          <w:b w:val="1"/>
          <w:bCs w:val="1"/>
          <w:color w:val="000000" w:themeColor="text1" w:themeTint="FF" w:themeShade="FF"/>
        </w:rPr>
        <w:t>ositivo</w:t>
      </w:r>
      <w:r w:rsidRPr="01118B6B" w:rsidR="0EF41D6F">
        <w:rPr>
          <w:color w:val="000000" w:themeColor="text1" w:themeTint="FF" w:themeShade="FF"/>
        </w:rPr>
        <w:t xml:space="preserve">: </w:t>
      </w:r>
      <w:r w:rsidRPr="01118B6B" w:rsidR="374B3654">
        <w:rPr>
          <w:color w:val="000000" w:themeColor="text1" w:themeTint="FF" w:themeShade="FF"/>
        </w:rPr>
        <w:t xml:space="preserve">A </w:t>
      </w:r>
      <w:r w:rsidRPr="01118B6B" w:rsidR="0EF41D6F">
        <w:rPr>
          <w:color w:val="000000" w:themeColor="text1" w:themeTint="FF" w:themeShade="FF"/>
          <w:sz w:val="22"/>
          <w:szCs w:val="22"/>
        </w:rPr>
        <w:t>construção de um</w:t>
      </w:r>
      <w:r w:rsidRPr="01118B6B" w:rsidR="1176ED89">
        <w:rPr>
          <w:color w:val="000000" w:themeColor="text1" w:themeTint="FF" w:themeShade="FF"/>
          <w:sz w:val="22"/>
          <w:szCs w:val="22"/>
        </w:rPr>
        <w:t xml:space="preserve"> </w:t>
      </w:r>
      <w:r w:rsidRPr="01118B6B" w:rsidR="0EF41D6F">
        <w:rPr>
          <w:color w:val="000000" w:themeColor="text1" w:themeTint="FF" w:themeShade="FF"/>
          <w:sz w:val="22"/>
          <w:szCs w:val="22"/>
        </w:rPr>
        <w:t>nov</w:t>
      </w:r>
      <w:r w:rsidRPr="01118B6B" w:rsidR="02FE3DC5">
        <w:rPr>
          <w:color w:val="000000" w:themeColor="text1" w:themeTint="FF" w:themeShade="FF"/>
          <w:sz w:val="22"/>
          <w:szCs w:val="22"/>
        </w:rPr>
        <w:t>o CAPS</w:t>
      </w:r>
      <w:r w:rsidRPr="01118B6B" w:rsidR="0EF41D6F">
        <w:rPr>
          <w:color w:val="000000" w:themeColor="text1" w:themeTint="FF" w:themeShade="FF"/>
          <w:sz w:val="22"/>
          <w:szCs w:val="22"/>
        </w:rPr>
        <w:t xml:space="preserve"> </w:t>
      </w:r>
      <w:r w:rsidRPr="01118B6B" w:rsidR="468C944B">
        <w:rPr>
          <w:color w:val="000000" w:themeColor="text1" w:themeTint="FF" w:themeShade="FF"/>
          <w:sz w:val="22"/>
          <w:szCs w:val="22"/>
        </w:rPr>
        <w:t>trará um impacto positivo substancial e promoverá</w:t>
      </w:r>
      <w:r w:rsidRPr="01118B6B" w:rsidR="468C944B">
        <w:rPr>
          <w:color w:val="000000" w:themeColor="text1" w:themeTint="FF" w:themeShade="FF"/>
          <w:sz w:val="22"/>
          <w:szCs w:val="22"/>
        </w:rPr>
        <w:t xml:space="preserve"> </w:t>
      </w:r>
      <w:r w:rsidRPr="01118B6B" w:rsidR="41D6749A">
        <w:rPr>
          <w:color w:val="000000" w:themeColor="text1" w:themeTint="FF" w:themeShade="FF"/>
          <w:sz w:val="22"/>
          <w:szCs w:val="22"/>
        </w:rPr>
        <w:t xml:space="preserve">um melhor dimensionamento dos serviços de </w:t>
      </w:r>
      <w:r w:rsidRPr="01118B6B" w:rsidR="11F7565E">
        <w:rPr>
          <w:color w:val="000000" w:themeColor="text1" w:themeTint="FF" w:themeShade="FF"/>
          <w:sz w:val="22"/>
          <w:szCs w:val="22"/>
        </w:rPr>
        <w:t>saúde</w:t>
      </w:r>
      <w:r w:rsidRPr="01118B6B" w:rsidR="41D6749A">
        <w:rPr>
          <w:color w:val="000000" w:themeColor="text1" w:themeTint="FF" w:themeShade="FF"/>
          <w:sz w:val="22"/>
          <w:szCs w:val="22"/>
        </w:rPr>
        <w:t xml:space="preserve"> mental</w:t>
      </w:r>
      <w:r w:rsidRPr="01118B6B" w:rsidR="468C944B">
        <w:rPr>
          <w:rFonts w:ascii="Calibri" w:hAnsi="Calibri" w:eastAsia="Calibri" w:cs="Calibri"/>
          <w:b w:val="0"/>
          <w:bCs w:val="0"/>
          <w:i w:val="0"/>
          <w:iCs w:val="0"/>
          <w:caps w:val="0"/>
          <w:smallCaps w:val="0"/>
          <w:noProof w:val="0"/>
          <w:color w:val="000000" w:themeColor="text1" w:themeTint="FF" w:themeShade="FF"/>
          <w:sz w:val="22"/>
          <w:szCs w:val="22"/>
          <w:lang w:val="pt-PT"/>
        </w:rPr>
        <w:t>, especialmente em regiões vulneráveis e de difícil acesso.</w:t>
      </w:r>
      <w:r w:rsidRPr="01118B6B" w:rsidR="20EF54D5">
        <w:rPr>
          <w:rFonts w:ascii="Calibri" w:hAnsi="Calibri" w:eastAsia="Calibri" w:cs="Calibri"/>
          <w:b w:val="0"/>
          <w:bCs w:val="0"/>
          <w:i w:val="0"/>
          <w:iCs w:val="0"/>
          <w:caps w:val="0"/>
          <w:smallCaps w:val="0"/>
          <w:noProof w:val="0"/>
          <w:color w:val="000000" w:themeColor="text1" w:themeTint="FF" w:themeShade="FF"/>
          <w:sz w:val="22"/>
          <w:szCs w:val="22"/>
          <w:lang w:val="pt-PT"/>
        </w:rPr>
        <w:t xml:space="preserve"> </w:t>
      </w:r>
      <w:r w:rsidRPr="01118B6B" w:rsidR="187ABE23">
        <w:rPr>
          <w:rFonts w:ascii="Calibri" w:hAnsi="Calibri" w:eastAsia="Calibri" w:cs="Calibri"/>
          <w:b w:val="0"/>
          <w:bCs w:val="0"/>
          <w:i w:val="0"/>
          <w:iCs w:val="0"/>
          <w:caps w:val="0"/>
          <w:smallCaps w:val="0"/>
          <w:noProof w:val="0"/>
          <w:color w:val="000000" w:themeColor="text1" w:themeTint="FF" w:themeShade="FF"/>
          <w:sz w:val="22"/>
          <w:szCs w:val="22"/>
          <w:lang w:val="pt-PT"/>
        </w:rPr>
        <w:t>A</w:t>
      </w:r>
      <w:r w:rsidRPr="01118B6B" w:rsidR="20EF54D5">
        <w:rPr>
          <w:rFonts w:ascii="Calibri" w:hAnsi="Calibri" w:eastAsia="Calibri" w:cs="Calibri"/>
          <w:noProof w:val="0"/>
          <w:color w:val="000000" w:themeColor="text1" w:themeTint="FF" w:themeShade="FF"/>
          <w:sz w:val="22"/>
          <w:szCs w:val="22"/>
          <w:lang w:val="pt"/>
        </w:rPr>
        <w:t xml:space="preserve"> estrutura adequada suportará o crescimento populacional, </w:t>
      </w:r>
      <w:r w:rsidRPr="01118B6B" w:rsidR="20EF54D5">
        <w:rPr>
          <w:rFonts w:ascii="Calibri" w:hAnsi="Calibri" w:eastAsia="Calibri" w:cs="Calibri"/>
          <w:b w:val="0"/>
          <w:bCs w:val="0"/>
          <w:i w:val="0"/>
          <w:iCs w:val="0"/>
          <w:caps w:val="0"/>
          <w:smallCaps w:val="0"/>
          <w:noProof w:val="0"/>
          <w:color w:val="000000" w:themeColor="text1" w:themeTint="FF" w:themeShade="FF"/>
          <w:sz w:val="22"/>
          <w:szCs w:val="22"/>
          <w:lang w:val="pt-BR"/>
        </w:rPr>
        <w:t>assegurando o direito à saúde mental como um pilar essencial da dignidade humana.</w:t>
      </w:r>
    </w:p>
    <w:p w:rsidR="0EF41D6F" w:rsidP="01118B6B" w:rsidRDefault="0EF41D6F" w14:paraId="536CBD21" w14:textId="3046A554">
      <w:pPr>
        <w:numPr>
          <w:ilvl w:val="0"/>
          <w:numId w:val="10"/>
        </w:numPr>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pt-BR"/>
        </w:rPr>
      </w:pPr>
      <w:r w:rsidRPr="01118B6B" w:rsidR="0EF41D6F">
        <w:rPr>
          <w:b w:val="1"/>
          <w:bCs w:val="1"/>
          <w:color w:val="000000" w:themeColor="text1" w:themeTint="FF" w:themeShade="FF"/>
        </w:rPr>
        <w:t xml:space="preserve">Impacto </w:t>
      </w:r>
      <w:r w:rsidRPr="01118B6B" w:rsidR="0EF41D6F">
        <w:rPr>
          <w:b w:val="1"/>
          <w:bCs w:val="1"/>
        </w:rPr>
        <w:t>n</w:t>
      </w:r>
      <w:r w:rsidRPr="01118B6B" w:rsidR="0EF41D6F">
        <w:rPr>
          <w:b w:val="1"/>
          <w:bCs w:val="1"/>
          <w:color w:val="000000" w:themeColor="text1" w:themeTint="FF" w:themeShade="FF"/>
        </w:rPr>
        <w:t xml:space="preserve">egativo do </w:t>
      </w:r>
      <w:r w:rsidRPr="01118B6B" w:rsidR="0EF41D6F">
        <w:rPr>
          <w:b w:val="1"/>
          <w:bCs w:val="1"/>
        </w:rPr>
        <w:t>n</w:t>
      </w:r>
      <w:r w:rsidRPr="01118B6B" w:rsidR="0EF41D6F">
        <w:rPr>
          <w:b w:val="1"/>
          <w:bCs w:val="1"/>
          <w:color w:val="000000" w:themeColor="text1" w:themeTint="FF" w:themeShade="FF"/>
        </w:rPr>
        <w:t xml:space="preserve">ão </w:t>
      </w:r>
      <w:r w:rsidRPr="01118B6B" w:rsidR="0EF41D6F">
        <w:rPr>
          <w:b w:val="1"/>
          <w:bCs w:val="1"/>
        </w:rPr>
        <w:t>a</w:t>
      </w:r>
      <w:r w:rsidRPr="01118B6B" w:rsidR="0EF41D6F">
        <w:rPr>
          <w:b w:val="1"/>
          <w:bCs w:val="1"/>
          <w:color w:val="000000" w:themeColor="text1" w:themeTint="FF" w:themeShade="FF"/>
        </w:rPr>
        <w:t>tendimento</w:t>
      </w:r>
      <w:r w:rsidRPr="01118B6B" w:rsidR="0EF41D6F">
        <w:rPr>
          <w:color w:val="000000" w:themeColor="text1" w:themeTint="FF" w:themeShade="FF"/>
        </w:rPr>
        <w:t xml:space="preserve">: </w:t>
      </w:r>
      <w:r w:rsidRPr="01118B6B" w:rsidR="28846317">
        <w:rPr>
          <w:color w:val="000000" w:themeColor="text1" w:themeTint="FF" w:themeShade="FF"/>
        </w:rPr>
        <w:t xml:space="preserve">A </w:t>
      </w:r>
      <w:r w:rsidRPr="01118B6B" w:rsidR="28846317">
        <w:rPr>
          <w:rFonts w:ascii="Calibri" w:hAnsi="Calibri" w:eastAsia="Calibri" w:cs="Calibri"/>
          <w:noProof w:val="0"/>
          <w:color w:val="000000" w:themeColor="text1" w:themeTint="FF" w:themeShade="FF"/>
          <w:sz w:val="22"/>
          <w:szCs w:val="22"/>
          <w:lang w:val="pt"/>
        </w:rPr>
        <w:t xml:space="preserve">ausência de novas unidades levará à superlotação das unidades atuais, ampliando a ineficiência do atendimento e, potencialmente, piorando os indicadores de saúde da população, </w:t>
      </w:r>
      <w:r w:rsidRPr="01118B6B" w:rsidR="788AEB61">
        <w:rPr>
          <w:rFonts w:ascii="Calibri" w:hAnsi="Calibri" w:eastAsia="Calibri" w:cs="Calibri"/>
          <w:b w:val="0"/>
          <w:bCs w:val="0"/>
          <w:i w:val="0"/>
          <w:iCs w:val="0"/>
          <w:caps w:val="0"/>
          <w:smallCaps w:val="0"/>
          <w:noProof w:val="0"/>
          <w:color w:val="000000" w:themeColor="text1" w:themeTint="FF" w:themeShade="FF"/>
          <w:sz w:val="22"/>
          <w:szCs w:val="22"/>
          <w:lang w:val="pt-BR"/>
        </w:rPr>
        <w:t>resulta</w:t>
      </w:r>
      <w:r w:rsidRPr="01118B6B" w:rsidR="13BBA87F">
        <w:rPr>
          <w:rFonts w:ascii="Calibri" w:hAnsi="Calibri" w:eastAsia="Calibri" w:cs="Calibri"/>
          <w:b w:val="0"/>
          <w:bCs w:val="0"/>
          <w:i w:val="0"/>
          <w:iCs w:val="0"/>
          <w:caps w:val="0"/>
          <w:smallCaps w:val="0"/>
          <w:noProof w:val="0"/>
          <w:color w:val="000000" w:themeColor="text1" w:themeTint="FF" w:themeShade="FF"/>
          <w:sz w:val="22"/>
          <w:szCs w:val="22"/>
          <w:lang w:val="pt-BR"/>
        </w:rPr>
        <w:t>ndo</w:t>
      </w:r>
      <w:r w:rsidRPr="01118B6B" w:rsidR="788AEB61">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na superlotação de outros níveis de atenção, como emergências hospitalares, ou </w:t>
      </w:r>
      <w:r w:rsidRPr="01118B6B" w:rsidR="58D13561">
        <w:rPr>
          <w:rFonts w:ascii="Calibri" w:hAnsi="Calibri" w:eastAsia="Calibri" w:cs="Calibri"/>
          <w:b w:val="0"/>
          <w:bCs w:val="0"/>
          <w:i w:val="0"/>
          <w:iCs w:val="0"/>
          <w:caps w:val="0"/>
          <w:smallCaps w:val="0"/>
          <w:noProof w:val="0"/>
          <w:color w:val="000000" w:themeColor="text1" w:themeTint="FF" w:themeShade="FF"/>
          <w:sz w:val="22"/>
          <w:szCs w:val="22"/>
          <w:lang w:val="pt-BR"/>
        </w:rPr>
        <w:t>gerando</w:t>
      </w:r>
      <w:r w:rsidRPr="01118B6B" w:rsidR="788AEB61">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ausência de assistência adequada.</w:t>
      </w:r>
      <w:r w:rsidRPr="01118B6B" w:rsidR="788AEB61">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w:t>
      </w:r>
    </w:p>
    <w:p w:rsidR="0EF41D6F" w:rsidP="6CBC204B" w:rsidRDefault="0EF41D6F" w14:paraId="3F275BF5" w14:textId="2C32097A">
      <w:pPr>
        <w:pStyle w:val="PargrafodaLista"/>
        <w:numPr>
          <w:ilvl w:val="0"/>
          <w:numId w:val="20"/>
        </w:numPr>
        <w:spacing w:line="240" w:lineRule="auto"/>
        <w:jc w:val="both"/>
        <w:rPr>
          <w:noProof w:val="0"/>
          <w:lang w:val="pt"/>
        </w:rPr>
      </w:pPr>
      <w:r w:rsidRPr="01118B6B" w:rsidR="0EF41D6F">
        <w:rPr>
          <w:b w:val="1"/>
          <w:bCs w:val="1"/>
          <w:color w:val="000000" w:themeColor="text1" w:themeTint="FF" w:themeShade="FF"/>
          <w:sz w:val="22"/>
          <w:szCs w:val="22"/>
          <w:lang w:val="es-ES"/>
        </w:rPr>
        <w:t xml:space="preserve">Perfil </w:t>
      </w:r>
      <w:r w:rsidRPr="01118B6B" w:rsidR="0EF41D6F">
        <w:rPr>
          <w:b w:val="1"/>
          <w:bCs w:val="1"/>
          <w:sz w:val="22"/>
          <w:szCs w:val="22"/>
          <w:lang w:val="es-ES"/>
        </w:rPr>
        <w:t>e</w:t>
      </w:r>
      <w:r w:rsidRPr="01118B6B" w:rsidR="0EF41D6F">
        <w:rPr>
          <w:b w:val="1"/>
          <w:bCs w:val="1"/>
          <w:color w:val="000000" w:themeColor="text1" w:themeTint="FF" w:themeShade="FF"/>
          <w:sz w:val="22"/>
          <w:szCs w:val="22"/>
          <w:lang w:val="es-ES"/>
        </w:rPr>
        <w:t>pidemiológico</w:t>
      </w:r>
      <w:r w:rsidRPr="01118B6B" w:rsidR="0EF41D6F">
        <w:rPr>
          <w:color w:val="000000" w:themeColor="text1" w:themeTint="FF" w:themeShade="FF"/>
          <w:sz w:val="22"/>
          <w:szCs w:val="22"/>
          <w:lang w:val="es-ES"/>
        </w:rPr>
        <w:t xml:space="preserve">: </w:t>
      </w:r>
      <w:r w:rsidRPr="01118B6B" w:rsidR="547922FE">
        <w:rPr>
          <w:color w:val="000000" w:themeColor="text1" w:themeTint="FF" w:themeShade="FF"/>
          <w:sz w:val="22"/>
          <w:szCs w:val="22"/>
          <w:lang w:val="es-ES"/>
        </w:rPr>
        <w:t>O</w:t>
      </w:r>
      <w:r w:rsidRPr="01118B6B" w:rsidR="1749CFDE">
        <w:rPr>
          <w:rFonts w:ascii="Calibri" w:hAnsi="Calibri" w:eastAsia="Calibri" w:cs="Calibri"/>
          <w:noProof w:val="0"/>
          <w:sz w:val="22"/>
          <w:szCs w:val="22"/>
          <w:lang w:val="pt"/>
        </w:rPr>
        <w:t xml:space="preserve"> </w:t>
      </w:r>
      <w:r w:rsidRPr="01118B6B" w:rsidR="1749CFDE">
        <w:rPr>
          <w:rFonts w:ascii="Calibri" w:hAnsi="Calibri" w:eastAsia="Calibri" w:cs="Calibri"/>
          <w:noProof w:val="0"/>
          <w:color w:val="000000" w:themeColor="text1" w:themeTint="FF" w:themeShade="FF"/>
          <w:sz w:val="22"/>
          <w:szCs w:val="22"/>
          <w:lang w:val="pt"/>
        </w:rPr>
        <w:t xml:space="preserve">perfil epidemiológico da região é um fator determinante na justificativa para a construção de um CAPS. </w:t>
      </w:r>
      <w:r w:rsidRPr="01118B6B" w:rsidR="26DF2704">
        <w:rPr>
          <w:rFonts w:ascii="Calibri" w:hAnsi="Calibri" w:eastAsia="Calibri" w:cs="Calibri"/>
          <w:noProof w:val="0"/>
          <w:color w:val="000000" w:themeColor="text1" w:themeTint="FF" w:themeShade="FF"/>
          <w:sz w:val="22"/>
          <w:szCs w:val="22"/>
          <w:lang w:val="pt"/>
        </w:rPr>
        <w:t>Regiões com</w:t>
      </w:r>
      <w:r w:rsidRPr="01118B6B" w:rsidR="72526DAB">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carência de infraestrutura especializada para atender às necessidades crescentes de saúde mental</w:t>
      </w:r>
      <w:r w:rsidRPr="01118B6B" w:rsidR="670FAE14">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w:t>
      </w:r>
      <w:r w:rsidRPr="01118B6B" w:rsidR="670FAE14">
        <w:rPr>
          <w:rFonts w:ascii="Calibri" w:hAnsi="Calibri" w:eastAsia="Calibri" w:cs="Calibri"/>
          <w:noProof w:val="0"/>
          <w:color w:val="000000" w:themeColor="text1" w:themeTint="FF" w:themeShade="FF"/>
          <w:sz w:val="22"/>
          <w:szCs w:val="22"/>
          <w:lang w:val="pt"/>
        </w:rPr>
        <w:t xml:space="preserve">exigem </w:t>
      </w:r>
      <w:r w:rsidRPr="01118B6B" w:rsidR="670FAE14">
        <w:rPr>
          <w:rFonts w:ascii="Calibri" w:hAnsi="Calibri" w:eastAsia="Calibri" w:cs="Calibri"/>
          <w:b w:val="0"/>
          <w:bCs w:val="0"/>
          <w:i w:val="0"/>
          <w:iCs w:val="0"/>
          <w:caps w:val="0"/>
          <w:smallCaps w:val="0"/>
          <w:noProof w:val="0"/>
          <w:color w:val="000000" w:themeColor="text1" w:themeTint="FF" w:themeShade="FF"/>
          <w:sz w:val="22"/>
          <w:szCs w:val="22"/>
          <w:lang w:val="pt-BR"/>
        </w:rPr>
        <w:t>a ampliação de estruturas que promovam a desinstitucionalização, priorizando o cuidado territorial e comunitário com respeito aos direitos humanos.</w:t>
      </w:r>
    </w:p>
    <w:p w:rsidR="6CBC204B" w:rsidP="01118B6B" w:rsidRDefault="6CBC204B" w14:paraId="62048B71" w14:textId="0576D35C">
      <w:pPr>
        <w:pStyle w:val="PargrafodaLista"/>
        <w:spacing w:line="240" w:lineRule="auto"/>
        <w:ind w:left="720"/>
        <w:jc w:val="both"/>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pPr>
    </w:p>
    <w:p w:rsidR="0EF41D6F" w:rsidP="6CBC204B" w:rsidRDefault="0EF41D6F" w14:paraId="2B2B59CD" w14:textId="0649A7B5">
      <w:pPr>
        <w:pStyle w:val="PargrafodaLista"/>
        <w:numPr>
          <w:ilvl w:val="0"/>
          <w:numId w:val="32"/>
        </w:numPr>
        <w:spacing w:line="240" w:lineRule="auto"/>
        <w:jc w:val="both"/>
        <w:rPr>
          <w:rFonts w:ascii="Calibri" w:hAnsi="Calibri" w:eastAsia="Calibri" w:cs="Calibri"/>
          <w:noProof w:val="0"/>
          <w:color w:val="000000" w:themeColor="text1" w:themeTint="FF" w:themeShade="FF"/>
          <w:sz w:val="22"/>
          <w:szCs w:val="22"/>
          <w:lang w:val="pt"/>
        </w:rPr>
      </w:pPr>
      <w:r w:rsidRPr="01118B6B" w:rsidR="0EF41D6F">
        <w:rPr>
          <w:b w:val="1"/>
          <w:bCs w:val="1"/>
          <w:color w:val="000000" w:themeColor="text1" w:themeTint="FF" w:themeShade="FF"/>
        </w:rPr>
        <w:t xml:space="preserve">Impacto </w:t>
      </w:r>
      <w:r w:rsidRPr="01118B6B" w:rsidR="0EF41D6F">
        <w:rPr>
          <w:b w:val="1"/>
          <w:bCs w:val="1"/>
        </w:rPr>
        <w:t>p</w:t>
      </w:r>
      <w:r w:rsidRPr="01118B6B" w:rsidR="0EF41D6F">
        <w:rPr>
          <w:b w:val="1"/>
          <w:bCs w:val="1"/>
          <w:color w:val="000000" w:themeColor="text1" w:themeTint="FF" w:themeShade="FF"/>
        </w:rPr>
        <w:t>ositivo</w:t>
      </w:r>
      <w:r w:rsidRPr="01118B6B" w:rsidR="0EF41D6F">
        <w:rPr>
          <w:color w:val="000000" w:themeColor="text1" w:themeTint="FF" w:themeShade="FF"/>
        </w:rPr>
        <w:t xml:space="preserve">: </w:t>
      </w:r>
      <w:r w:rsidRPr="01118B6B" w:rsidR="42C2B655">
        <w:rPr>
          <w:color w:val="000000" w:themeColor="text1" w:themeTint="FF" w:themeShade="FF"/>
        </w:rPr>
        <w:t>A</w:t>
      </w:r>
      <w:r w:rsidRPr="01118B6B" w:rsidR="7B9559DD">
        <w:rPr>
          <w:color w:val="000000" w:themeColor="text1" w:themeTint="FF" w:themeShade="FF"/>
          <w:sz w:val="22"/>
          <w:szCs w:val="22"/>
        </w:rPr>
        <w:t xml:space="preserve"> construção de um CAPS baseado no </w:t>
      </w:r>
      <w:r w:rsidRPr="01118B6B" w:rsidR="086F3F3D">
        <w:rPr>
          <w:color w:val="000000" w:themeColor="text1" w:themeTint="FF" w:themeShade="FF"/>
          <w:sz w:val="22"/>
          <w:szCs w:val="22"/>
        </w:rPr>
        <w:t xml:space="preserve">perfil epidemiológico local é </w:t>
      </w:r>
      <w:r w:rsidRPr="01118B6B" w:rsidR="43DC9DEA">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fundamentada pela urgência em ampliar e qualificar a oferta de cuidados especializados em saúde mental, garantindo a universalidade, equidade e integralidade preconizadas pelo Sistema Único de Saúde. A implantação dessa unidade n</w:t>
      </w:r>
      <w:r w:rsidRPr="01118B6B" w:rsidR="43DC9DEA">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ão apenas atenderá às demandas imediatas da população, mas também permitirá a construção de redes de apoio comunitário mais sólidas e a superação de estigmas relacionados à saúde mental</w:t>
      </w:r>
      <w:r w:rsidRPr="01118B6B" w:rsidR="2325472C">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 podendo</w:t>
      </w:r>
      <w:r w:rsidRPr="01118B6B" w:rsidR="2325472C">
        <w:rPr>
          <w:rFonts w:ascii="Calibri" w:hAnsi="Calibri" w:eastAsia="Calibri" w:cs="Calibri"/>
          <w:noProof w:val="0"/>
          <w:color w:val="000000" w:themeColor="text1" w:themeTint="FF" w:themeShade="FF"/>
          <w:sz w:val="22"/>
          <w:szCs w:val="22"/>
          <w:lang w:val="pt"/>
        </w:rPr>
        <w:t xml:space="preserve"> reduzir significativamente a carga de doenças na população.</w:t>
      </w:r>
    </w:p>
    <w:p w:rsidR="006430DA" w:rsidP="01118B6B" w:rsidRDefault="00B54928" w14:paraId="04CC0BD4" w14:textId="4250CCF0">
      <w:pPr>
        <w:numPr>
          <w:ilvl w:val="0"/>
          <w:numId w:val="10"/>
        </w:numPr>
        <w:spacing w:line="240" w:lineRule="auto"/>
        <w:ind/>
        <w:jc w:val="both"/>
        <w:rPr>
          <w:rFonts w:ascii="Calibri" w:hAnsi="Calibri" w:eastAsia="Calibri" w:cs="Calibri"/>
          <w:b w:val="0"/>
          <w:bCs w:val="0"/>
          <w:i w:val="0"/>
          <w:iCs w:val="0"/>
          <w:caps w:val="0"/>
          <w:smallCaps w:val="0"/>
          <w:noProof w:val="0"/>
          <w:color w:val="000000" w:themeColor="text1" w:themeTint="FF" w:themeShade="FF"/>
          <w:sz w:val="22"/>
          <w:szCs w:val="22"/>
          <w:lang w:val="pt-BR"/>
        </w:rPr>
      </w:pPr>
      <w:r w:rsidRPr="01118B6B" w:rsidR="0EF41D6F">
        <w:rPr>
          <w:b w:val="1"/>
          <w:bCs w:val="1"/>
          <w:color w:val="000000" w:themeColor="text1" w:themeTint="FF" w:themeShade="FF"/>
        </w:rPr>
        <w:t xml:space="preserve">Impacto </w:t>
      </w:r>
      <w:r w:rsidRPr="01118B6B" w:rsidR="0EF41D6F">
        <w:rPr>
          <w:b w:val="1"/>
          <w:bCs w:val="1"/>
        </w:rPr>
        <w:t>n</w:t>
      </w:r>
      <w:r w:rsidRPr="01118B6B" w:rsidR="0EF41D6F">
        <w:rPr>
          <w:b w:val="1"/>
          <w:bCs w:val="1"/>
          <w:color w:val="000000" w:themeColor="text1" w:themeTint="FF" w:themeShade="FF"/>
        </w:rPr>
        <w:t xml:space="preserve">egativo do </w:t>
      </w:r>
      <w:r w:rsidRPr="01118B6B" w:rsidR="0EF41D6F">
        <w:rPr>
          <w:b w:val="1"/>
          <w:bCs w:val="1"/>
        </w:rPr>
        <w:t>n</w:t>
      </w:r>
      <w:r w:rsidRPr="01118B6B" w:rsidR="0EF41D6F">
        <w:rPr>
          <w:b w:val="1"/>
          <w:bCs w:val="1"/>
          <w:color w:val="000000" w:themeColor="text1" w:themeTint="FF" w:themeShade="FF"/>
        </w:rPr>
        <w:t xml:space="preserve">ão </w:t>
      </w:r>
      <w:r w:rsidRPr="01118B6B" w:rsidR="0EF41D6F">
        <w:rPr>
          <w:b w:val="1"/>
          <w:bCs w:val="1"/>
        </w:rPr>
        <w:t>a</w:t>
      </w:r>
      <w:r w:rsidRPr="01118B6B" w:rsidR="0EF41D6F">
        <w:rPr>
          <w:b w:val="1"/>
          <w:bCs w:val="1"/>
          <w:color w:val="000000" w:themeColor="text1" w:themeTint="FF" w:themeShade="FF"/>
        </w:rPr>
        <w:t>tendimento</w:t>
      </w:r>
      <w:r w:rsidRPr="01118B6B" w:rsidR="0EF41D6F">
        <w:rPr>
          <w:color w:val="000000" w:themeColor="text1" w:themeTint="FF" w:themeShade="FF"/>
        </w:rPr>
        <w:t xml:space="preserve">: </w:t>
      </w:r>
      <w:r w:rsidRPr="01118B6B" w:rsidR="215F0383">
        <w:rPr>
          <w:color w:val="000000" w:themeColor="text1" w:themeTint="FF" w:themeShade="FF"/>
        </w:rPr>
        <w:t>Ig</w:t>
      </w:r>
      <w:r w:rsidRPr="01118B6B" w:rsidR="13777309">
        <w:rPr>
          <w:rFonts w:ascii="Calibri" w:hAnsi="Calibri" w:eastAsia="Calibri" w:cs="Calibri"/>
          <w:noProof w:val="0"/>
          <w:color w:val="000000" w:themeColor="text1" w:themeTint="FF" w:themeShade="FF"/>
          <w:sz w:val="22"/>
          <w:szCs w:val="22"/>
          <w:lang w:val="pt"/>
        </w:rPr>
        <w:t>norar</w:t>
      </w:r>
      <w:r w:rsidRPr="01118B6B" w:rsidR="13777309">
        <w:rPr>
          <w:rFonts w:ascii="Calibri" w:hAnsi="Calibri" w:eastAsia="Calibri" w:cs="Calibri"/>
          <w:noProof w:val="0"/>
          <w:color w:val="000000" w:themeColor="text1" w:themeTint="FF" w:themeShade="FF"/>
          <w:sz w:val="22"/>
          <w:szCs w:val="22"/>
          <w:lang w:val="pt"/>
        </w:rPr>
        <w:t xml:space="preserve"> a necessidade de um nov</w:t>
      </w:r>
      <w:r w:rsidRPr="01118B6B" w:rsidR="142B7931">
        <w:rPr>
          <w:rFonts w:ascii="Calibri" w:hAnsi="Calibri" w:eastAsia="Calibri" w:cs="Calibri"/>
          <w:noProof w:val="0"/>
          <w:color w:val="000000" w:themeColor="text1" w:themeTint="FF" w:themeShade="FF"/>
          <w:sz w:val="22"/>
          <w:szCs w:val="22"/>
          <w:lang w:val="pt"/>
        </w:rPr>
        <w:t>o CAPS</w:t>
      </w:r>
      <w:r w:rsidRPr="01118B6B" w:rsidR="13777309">
        <w:rPr>
          <w:rFonts w:ascii="Calibri" w:hAnsi="Calibri" w:eastAsia="Calibri" w:cs="Calibri"/>
          <w:noProof w:val="0"/>
          <w:color w:val="000000" w:themeColor="text1" w:themeTint="FF" w:themeShade="FF"/>
          <w:sz w:val="22"/>
          <w:szCs w:val="22"/>
          <w:lang w:val="pt"/>
        </w:rPr>
        <w:t xml:space="preserve"> em áreas com perfis epidemiológicos</w:t>
      </w:r>
      <w:r w:rsidRPr="01118B6B" w:rsidR="640B312F">
        <w:rPr>
          <w:rFonts w:ascii="Calibri" w:hAnsi="Calibri" w:eastAsia="Calibri" w:cs="Calibri"/>
          <w:noProof w:val="0"/>
          <w:color w:val="000000" w:themeColor="text1" w:themeTint="FF" w:themeShade="FF"/>
          <w:sz w:val="22"/>
          <w:szCs w:val="22"/>
          <w:lang w:val="pt"/>
        </w:rPr>
        <w:t xml:space="preserve"> de saúde mental</w:t>
      </w:r>
      <w:r w:rsidRPr="01118B6B" w:rsidR="13777309">
        <w:rPr>
          <w:rFonts w:ascii="Calibri" w:hAnsi="Calibri" w:eastAsia="Calibri" w:cs="Calibri"/>
          <w:noProof w:val="0"/>
          <w:color w:val="000000" w:themeColor="text1" w:themeTint="FF" w:themeShade="FF"/>
          <w:sz w:val="22"/>
          <w:szCs w:val="22"/>
          <w:lang w:val="pt"/>
        </w:rPr>
        <w:t xml:space="preserve"> </w:t>
      </w:r>
      <w:r w:rsidRPr="01118B6B" w:rsidR="13777309">
        <w:rPr>
          <w:rFonts w:ascii="Calibri" w:hAnsi="Calibri" w:eastAsia="Calibri" w:cs="Calibri"/>
          <w:noProof w:val="0"/>
          <w:color w:val="000000" w:themeColor="text1" w:themeTint="FF" w:themeShade="FF"/>
          <w:sz w:val="22"/>
          <w:szCs w:val="22"/>
          <w:lang w:val="pt"/>
        </w:rPr>
        <w:t xml:space="preserve">preocupantes pode </w:t>
      </w:r>
      <w:r w:rsidRPr="01118B6B" w:rsidR="268AE1EB">
        <w:rPr>
          <w:rFonts w:ascii="Calibri" w:hAnsi="Calibri" w:eastAsia="Calibri" w:cs="Calibri"/>
          <w:b w:val="0"/>
          <w:bCs w:val="0"/>
          <w:i w:val="0"/>
          <w:iCs w:val="0"/>
          <w:caps w:val="0"/>
          <w:smallCaps w:val="0"/>
          <w:noProof w:val="0"/>
          <w:color w:val="000000" w:themeColor="text1" w:themeTint="FF" w:themeShade="FF"/>
          <w:sz w:val="22"/>
          <w:szCs w:val="22"/>
          <w:lang w:val="pt-BR"/>
        </w:rPr>
        <w:t>contribui</w:t>
      </w:r>
      <w:r w:rsidRPr="01118B6B" w:rsidR="6175DCF5">
        <w:rPr>
          <w:rFonts w:ascii="Calibri" w:hAnsi="Calibri" w:eastAsia="Calibri" w:cs="Calibri"/>
          <w:b w:val="0"/>
          <w:bCs w:val="0"/>
          <w:i w:val="0"/>
          <w:iCs w:val="0"/>
          <w:caps w:val="0"/>
          <w:smallCaps w:val="0"/>
          <w:noProof w:val="0"/>
          <w:color w:val="000000" w:themeColor="text1" w:themeTint="FF" w:themeShade="FF"/>
          <w:sz w:val="22"/>
          <w:szCs w:val="22"/>
          <w:lang w:val="pt-BR"/>
        </w:rPr>
        <w:t>r</w:t>
      </w:r>
      <w:r w:rsidRPr="01118B6B" w:rsidR="268AE1EB">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para um acesso fragmentado, </w:t>
      </w:r>
      <w:r w:rsidRPr="01118B6B" w:rsidR="608FB86C">
        <w:rPr>
          <w:rFonts w:ascii="Calibri" w:hAnsi="Calibri" w:eastAsia="Calibri" w:cs="Calibri"/>
          <w:b w:val="0"/>
          <w:bCs w:val="0"/>
          <w:i w:val="0"/>
          <w:iCs w:val="0"/>
          <w:caps w:val="0"/>
          <w:smallCaps w:val="0"/>
          <w:noProof w:val="0"/>
          <w:color w:val="000000" w:themeColor="text1" w:themeTint="FF" w:themeShade="FF"/>
          <w:sz w:val="22"/>
          <w:szCs w:val="22"/>
          <w:lang w:val="pt-BR"/>
        </w:rPr>
        <w:t xml:space="preserve">que frequentemente </w:t>
      </w:r>
      <w:r w:rsidRPr="01118B6B" w:rsidR="608FB86C">
        <w:rPr>
          <w:rFonts w:ascii="Calibri" w:hAnsi="Calibri" w:eastAsia="Calibri" w:cs="Calibri"/>
          <w:noProof w:val="0"/>
          <w:color w:val="000000" w:themeColor="text1" w:themeTint="FF" w:themeShade="FF"/>
          <w:sz w:val="22"/>
          <w:szCs w:val="22"/>
          <w:lang w:val="pt"/>
        </w:rPr>
        <w:t>resulta em uma piora dos indicadores de saúde pública e na</w:t>
      </w:r>
      <w:r w:rsidRPr="01118B6B" w:rsidR="268AE1EB">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superlotação de outros níveis de atenção, como emergências hospitalares, ou na ausência de assistência adequada.</w:t>
      </w:r>
      <w:r w:rsidRPr="01118B6B" w:rsidR="545DAF41">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w:t>
      </w:r>
    </w:p>
    <w:p w:rsidR="006430DA" w:rsidP="6CBC204B" w:rsidRDefault="00B54928" w14:paraId="00000024" w14:textId="57D5D025">
      <w:pPr>
        <w:pStyle w:val="PargrafodaLista"/>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ind/>
        <w:jc w:val="both"/>
        <w:rPr>
          <w:color w:val="000000"/>
        </w:rPr>
      </w:pPr>
      <w:r w:rsidRPr="6CBC204B" w:rsidR="0EF41D6F">
        <w:rPr>
          <w:b w:val="1"/>
          <w:bCs w:val="1"/>
          <w:color w:val="000000" w:themeColor="text1" w:themeTint="FF" w:themeShade="FF"/>
        </w:rPr>
        <w:t xml:space="preserve">Condições </w:t>
      </w:r>
      <w:r w:rsidRPr="6CBC204B" w:rsidR="0EF41D6F">
        <w:rPr>
          <w:b w:val="1"/>
          <w:bCs w:val="1"/>
        </w:rPr>
        <w:t>s</w:t>
      </w:r>
      <w:r w:rsidRPr="6CBC204B" w:rsidR="0EF41D6F">
        <w:rPr>
          <w:b w:val="1"/>
          <w:bCs w:val="1"/>
          <w:color w:val="000000" w:themeColor="text1" w:themeTint="FF" w:themeShade="FF"/>
        </w:rPr>
        <w:t>ocioeconômicas</w:t>
      </w:r>
    </w:p>
    <w:p w:rsidR="006430DA" w:rsidP="57A4165E" w:rsidRDefault="00B54928" w14:paraId="00000025" w14:textId="47947EA1">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57A4165E" w:rsidR="00B54928">
        <w:rPr>
          <w:color w:val="000000" w:themeColor="text1" w:themeTint="FF" w:themeShade="FF"/>
        </w:rPr>
        <w:t xml:space="preserve">A situação socioeconômica da população </w:t>
      </w:r>
      <w:r w:rsidR="2A951E0C">
        <w:rPr/>
        <w:t>está diretamente</w:t>
      </w:r>
      <w:r w:rsidRPr="57A4165E" w:rsidR="00B54928">
        <w:rPr>
          <w:color w:val="000000" w:themeColor="text1" w:themeTint="FF" w:themeShade="FF"/>
        </w:rPr>
        <w:t xml:space="preserve"> ligada à demanda </w:t>
      </w:r>
      <w:r w:rsidRPr="57A4165E" w:rsidR="450E1CD1">
        <w:rPr>
          <w:color w:val="000000" w:themeColor="text1" w:themeTint="FF" w:themeShade="FF"/>
        </w:rPr>
        <w:t>por serviços</w:t>
      </w:r>
      <w:r w:rsidRPr="57A4165E" w:rsidR="00B54928">
        <w:rPr>
          <w:color w:val="000000" w:themeColor="text1" w:themeTint="FF" w:themeShade="FF"/>
        </w:rPr>
        <w:t xml:space="preserve"> de saúde. Comunidades com baixos índices de desenvolvimento humano (IDH), alta taxa de pobreza e desemprego geralmente apresentam maior vulnerabilidade aos problemas de saúde. Essas populações tendem a </w:t>
      </w:r>
      <w:r w:rsidR="00B54928">
        <w:rPr/>
        <w:t xml:space="preserve">depender, em </w:t>
      </w:r>
      <w:r w:rsidR="00B54928">
        <w:rPr/>
        <w:t xml:space="preserve">maior </w:t>
      </w:r>
      <w:r w:rsidR="00B54928">
        <w:rPr/>
        <w:t>intensidade</w:t>
      </w:r>
      <w:r w:rsidR="00B54928">
        <w:rPr/>
        <w:t xml:space="preserve">, </w:t>
      </w:r>
      <w:r w:rsidRPr="57A4165E" w:rsidR="00B54928">
        <w:rPr>
          <w:color w:val="000000" w:themeColor="text1" w:themeTint="FF" w:themeShade="FF"/>
        </w:rPr>
        <w:t>dos serviços públicos de saúde, dado o acesso limitado a cuidados de saúde privados.</w:t>
      </w:r>
    </w:p>
    <w:p w:rsidR="0EF41D6F" w:rsidP="6CBC204B" w:rsidRDefault="0EF41D6F" w14:paraId="7B5D3CE3" w14:textId="33F6D4FA">
      <w:pPr>
        <w:numPr>
          <w:ilvl w:val="0"/>
          <w:numId w:val="10"/>
        </w:numPr>
        <w:spacing w:line="240" w:lineRule="auto"/>
        <w:jc w:val="both"/>
        <w:rPr>
          <w:rFonts w:ascii="Calibri" w:hAnsi="Calibri" w:eastAsia="Calibri" w:cs="Calibri"/>
          <w:noProof w:val="0"/>
          <w:sz w:val="22"/>
          <w:szCs w:val="22"/>
          <w:lang w:val="pt-PT"/>
        </w:rPr>
      </w:pPr>
      <w:r w:rsidRPr="01118B6B" w:rsidR="0EF41D6F">
        <w:rPr>
          <w:b w:val="1"/>
          <w:bCs w:val="1"/>
          <w:color w:val="000000" w:themeColor="text1" w:themeTint="FF" w:themeShade="FF"/>
        </w:rPr>
        <w:t xml:space="preserve">Impacto </w:t>
      </w:r>
      <w:r w:rsidRPr="01118B6B" w:rsidR="0EF41D6F">
        <w:rPr>
          <w:b w:val="1"/>
          <w:bCs w:val="1"/>
        </w:rPr>
        <w:t>p</w:t>
      </w:r>
      <w:r w:rsidRPr="01118B6B" w:rsidR="0EF41D6F">
        <w:rPr>
          <w:b w:val="1"/>
          <w:bCs w:val="1"/>
          <w:color w:val="000000" w:themeColor="text1" w:themeTint="FF" w:themeShade="FF"/>
        </w:rPr>
        <w:t>ositivo</w:t>
      </w:r>
      <w:r w:rsidRPr="01118B6B" w:rsidR="0EF41D6F">
        <w:rPr>
          <w:color w:val="000000" w:themeColor="text1" w:themeTint="FF" w:themeShade="FF"/>
        </w:rPr>
        <w:t>:</w:t>
      </w:r>
      <w:r w:rsidRPr="01118B6B" w:rsidR="0EF41D6F">
        <w:rPr>
          <w:color w:val="000000" w:themeColor="text1" w:themeTint="FF" w:themeShade="FF"/>
        </w:rPr>
        <w:t xml:space="preserve"> </w:t>
      </w:r>
      <w:r w:rsidRPr="01118B6B" w:rsidR="03B7D6B5">
        <w:rPr>
          <w:color w:val="000000" w:themeColor="text1" w:themeTint="FF" w:themeShade="FF"/>
        </w:rPr>
        <w:t xml:space="preserve">O CAPS atua </w:t>
      </w:r>
      <w:r w:rsidRPr="01118B6B" w:rsidR="03B7D6B5">
        <w:rPr>
          <w:rFonts w:ascii="Calibri" w:hAnsi="Calibri" w:eastAsia="Calibri" w:cs="Calibri"/>
          <w:b w:val="0"/>
          <w:bCs w:val="0"/>
          <w:i w:val="0"/>
          <w:iCs w:val="0"/>
          <w:caps w:val="0"/>
          <w:smallCaps w:val="0"/>
          <w:noProof w:val="0"/>
          <w:color w:val="000000" w:themeColor="text1" w:themeTint="FF" w:themeShade="FF"/>
          <w:sz w:val="22"/>
          <w:szCs w:val="22"/>
          <w:lang w:val="pt-BR"/>
        </w:rPr>
        <w:t>com o objetivo de fomentar a estruturação das Redes de Atenção Psicossocial (RAPS) e assegurar o acesso universal, equitativo e integral aos serviços de saúde mental, promovendo a prevenção, o cuidado e a integração social, em conformidade com os princípios do Sistema Único de Saúde (SUS).</w:t>
      </w:r>
    </w:p>
    <w:p w:rsidR="006430DA" w:rsidP="01118B6B" w:rsidRDefault="00B54928" w14:paraId="00000027" w14:textId="6328A2FB">
      <w:pPr>
        <w:pStyle w:val="Normal"/>
        <w:numPr>
          <w:ilvl w:val="0"/>
          <w:numId w:val="10"/>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720" w:right="0" w:hanging="360"/>
        <w:jc w:val="both"/>
        <w:rPr>
          <w:color w:val="000000" w:themeColor="text1" w:themeTint="FF" w:themeShade="FF"/>
        </w:rPr>
      </w:pPr>
      <w:r w:rsidRPr="01118B6B" w:rsidR="0EF41D6F">
        <w:rPr>
          <w:b w:val="1"/>
          <w:bCs w:val="1"/>
          <w:color w:val="000000" w:themeColor="text1" w:themeTint="FF" w:themeShade="FF"/>
        </w:rPr>
        <w:t xml:space="preserve">Impacto </w:t>
      </w:r>
      <w:r w:rsidRPr="01118B6B" w:rsidR="0EF41D6F">
        <w:rPr>
          <w:b w:val="1"/>
          <w:bCs w:val="1"/>
        </w:rPr>
        <w:t>n</w:t>
      </w:r>
      <w:r w:rsidRPr="01118B6B" w:rsidR="0EF41D6F">
        <w:rPr>
          <w:b w:val="1"/>
          <w:bCs w:val="1"/>
          <w:color w:val="000000" w:themeColor="text1" w:themeTint="FF" w:themeShade="FF"/>
        </w:rPr>
        <w:t xml:space="preserve">egativo do </w:t>
      </w:r>
      <w:r w:rsidRPr="01118B6B" w:rsidR="0EF41D6F">
        <w:rPr>
          <w:b w:val="1"/>
          <w:bCs w:val="1"/>
        </w:rPr>
        <w:t>n</w:t>
      </w:r>
      <w:r w:rsidRPr="01118B6B" w:rsidR="0EF41D6F">
        <w:rPr>
          <w:b w:val="1"/>
          <w:bCs w:val="1"/>
          <w:color w:val="000000" w:themeColor="text1" w:themeTint="FF" w:themeShade="FF"/>
        </w:rPr>
        <w:t xml:space="preserve">ão </w:t>
      </w:r>
      <w:r w:rsidRPr="01118B6B" w:rsidR="0EF41D6F">
        <w:rPr>
          <w:b w:val="1"/>
          <w:bCs w:val="1"/>
        </w:rPr>
        <w:t>a</w:t>
      </w:r>
      <w:r w:rsidRPr="01118B6B" w:rsidR="0EF41D6F">
        <w:rPr>
          <w:b w:val="1"/>
          <w:bCs w:val="1"/>
          <w:color w:val="000000" w:themeColor="text1" w:themeTint="FF" w:themeShade="FF"/>
        </w:rPr>
        <w:t>tendimento</w:t>
      </w:r>
      <w:r w:rsidRPr="01118B6B" w:rsidR="0EF41D6F">
        <w:rPr>
          <w:color w:val="000000" w:themeColor="text1" w:themeTint="FF" w:themeShade="FF"/>
        </w:rPr>
        <w:t xml:space="preserve">: </w:t>
      </w:r>
      <w:r w:rsidR="0EF41D6F">
        <w:rPr/>
        <w:t>a</w:t>
      </w:r>
      <w:r w:rsidRPr="01118B6B" w:rsidR="0EF41D6F">
        <w:rPr>
          <w:color w:val="000000" w:themeColor="text1" w:themeTint="FF" w:themeShade="FF"/>
        </w:rPr>
        <w:t xml:space="preserve"> falta de infraestrutura adequada de saúde em áreas economicamente desfavorecidas pode agravar as desigualdades sociais, aumentando </w:t>
      </w:r>
      <w:r w:rsidRPr="01118B6B" w:rsidR="7DDB2E05">
        <w:rPr>
          <w:color w:val="000000" w:themeColor="text1" w:themeTint="FF" w:themeShade="FF"/>
        </w:rPr>
        <w:t>a institucionalização e</w:t>
      </w:r>
      <w:r w:rsidRPr="01118B6B" w:rsidR="0EF41D6F">
        <w:rPr>
          <w:color w:val="000000" w:themeColor="text1" w:themeTint="FF" w:themeShade="FF"/>
        </w:rPr>
        <w:t xml:space="preserve"> pode resultar em um</w:t>
      </w:r>
      <w:r w:rsidRPr="01118B6B" w:rsidR="00C76668">
        <w:rPr>
          <w:color w:val="000000" w:themeColor="text1" w:themeTint="FF" w:themeShade="FF"/>
        </w:rPr>
        <w:t xml:space="preserve"> </w:t>
      </w:r>
      <w:r w:rsidRPr="01118B6B" w:rsidR="0EF41D6F">
        <w:rPr>
          <w:color w:val="000000" w:themeColor="text1" w:themeTint="FF" w:themeShade="FF"/>
        </w:rPr>
        <w:t>ciclo</w:t>
      </w:r>
      <w:r w:rsidRPr="01118B6B" w:rsidR="0EF41D6F">
        <w:rPr>
          <w:color w:val="000000" w:themeColor="text1" w:themeTint="FF" w:themeShade="FF"/>
        </w:rPr>
        <w:t xml:space="preserve"> vicioso de pobreza e doença, onde a incapacidade de acesso a cuidados de saúde eficazes impede o desenvolvimento socioeconômic</w:t>
      </w:r>
      <w:r w:rsidRPr="01118B6B" w:rsidR="0EF41D6F">
        <w:rPr>
          <w:color w:val="000000" w:themeColor="text1" w:themeTint="FF" w:themeShade="FF"/>
        </w:rPr>
        <w:t>o.</w:t>
      </w:r>
    </w:p>
    <w:p w:rsidR="0EF41D6F" w:rsidP="01118B6B" w:rsidRDefault="0EF41D6F" w14:paraId="0876C9C1" w14:textId="58726CFB">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20"/>
        <w:jc w:val="both"/>
        <w:rPr>
          <w:rFonts w:ascii="Calibri" w:hAnsi="Calibri" w:eastAsia="Calibri" w:cs="Calibri"/>
          <w:noProof w:val="0"/>
          <w:sz w:val="24"/>
          <w:szCs w:val="24"/>
          <w:lang w:val="pt-BR"/>
        </w:rPr>
      </w:pPr>
      <w:r w:rsidRPr="01118B6B" w:rsidR="0EF41D6F">
        <w:rPr>
          <w:b w:val="1"/>
          <w:bCs w:val="1"/>
          <w:color w:val="000000" w:themeColor="text1" w:themeTint="FF" w:themeShade="FF"/>
        </w:rPr>
        <w:t xml:space="preserve">4. Impactos na </w:t>
      </w:r>
      <w:r w:rsidRPr="01118B6B" w:rsidR="0EF41D6F">
        <w:rPr>
          <w:b w:val="1"/>
          <w:bCs w:val="1"/>
        </w:rPr>
        <w:t>s</w:t>
      </w:r>
      <w:r w:rsidRPr="01118B6B" w:rsidR="0EF41D6F">
        <w:rPr>
          <w:b w:val="1"/>
          <w:bCs w:val="1"/>
          <w:color w:val="000000" w:themeColor="text1" w:themeTint="FF" w:themeShade="FF"/>
        </w:rPr>
        <w:t xml:space="preserve">aúde </w:t>
      </w:r>
      <w:r w:rsidRPr="01118B6B" w:rsidR="0EF41D6F">
        <w:rPr>
          <w:b w:val="1"/>
          <w:bCs w:val="1"/>
        </w:rPr>
        <w:t>p</w:t>
      </w:r>
      <w:r w:rsidRPr="01118B6B" w:rsidR="0EF41D6F">
        <w:rPr>
          <w:b w:val="1"/>
          <w:bCs w:val="1"/>
          <w:color w:val="000000" w:themeColor="text1" w:themeTint="FF" w:themeShade="FF"/>
        </w:rPr>
        <w:t>ública</w:t>
      </w:r>
      <w:r w:rsidRPr="01118B6B" w:rsidR="0EF41D6F">
        <w:rPr>
          <w:color w:val="000000" w:themeColor="text1" w:themeTint="FF" w:themeShade="FF"/>
        </w:rPr>
        <w:t xml:space="preserve">: </w:t>
      </w:r>
      <w:r w:rsidRPr="01118B6B" w:rsidR="0EF41D6F">
        <w:rPr>
          <w:sz w:val="22"/>
          <w:szCs w:val="22"/>
        </w:rPr>
        <w:t>a</w:t>
      </w:r>
      <w:r w:rsidRPr="01118B6B" w:rsidR="0EF41D6F">
        <w:rPr>
          <w:color w:val="000000" w:themeColor="text1" w:themeTint="FF" w:themeShade="FF"/>
          <w:sz w:val="22"/>
          <w:szCs w:val="22"/>
        </w:rPr>
        <w:t xml:space="preserve"> principal motivação para a construção de um</w:t>
      </w:r>
      <w:r w:rsidRPr="01118B6B" w:rsidR="6A5C2C51">
        <w:rPr>
          <w:color w:val="000000" w:themeColor="text1" w:themeTint="FF" w:themeShade="FF"/>
          <w:sz w:val="22"/>
          <w:szCs w:val="22"/>
        </w:rPr>
        <w:t xml:space="preserve"> CAPS</w:t>
      </w:r>
      <w:r w:rsidRPr="01118B6B" w:rsidR="0EF41D6F">
        <w:rPr>
          <w:color w:val="000000" w:themeColor="text1" w:themeTint="FF" w:themeShade="FF"/>
          <w:sz w:val="22"/>
          <w:szCs w:val="22"/>
        </w:rPr>
        <w:t xml:space="preserve"> é melhorar </w:t>
      </w:r>
      <w:r w:rsidRPr="01118B6B" w:rsidR="263888BB">
        <w:rPr>
          <w:color w:val="000000" w:themeColor="text1" w:themeTint="FF" w:themeShade="FF"/>
          <w:sz w:val="22"/>
          <w:szCs w:val="22"/>
        </w:rPr>
        <w:t>o</w:t>
      </w:r>
      <w:r w:rsidRPr="01118B6B" w:rsidR="263888B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 xml:space="preserve"> acesso aos cuidados de saúde mental</w:t>
      </w:r>
      <w:r w:rsidRPr="01118B6B" w:rsidR="0EF41D6F">
        <w:rPr>
          <w:color w:val="000000" w:themeColor="text1" w:themeTint="FF" w:themeShade="FF"/>
          <w:sz w:val="22"/>
          <w:szCs w:val="22"/>
        </w:rPr>
        <w:t xml:space="preserve">, atendendo de forma eficiente e eficaz </w:t>
      </w:r>
      <w:r w:rsidRPr="01118B6B" w:rsidR="6D8B3D35">
        <w:rPr>
          <w:color w:val="000000" w:themeColor="text1" w:themeTint="FF" w:themeShade="FF"/>
          <w:sz w:val="22"/>
          <w:szCs w:val="22"/>
        </w:rPr>
        <w:t>a</w:t>
      </w:r>
      <w:r w:rsidRPr="01118B6B" w:rsidR="0EF41D6F">
        <w:rPr>
          <w:sz w:val="22"/>
          <w:szCs w:val="22"/>
        </w:rPr>
        <w:t>s demandas</w:t>
      </w:r>
      <w:r w:rsidRPr="01118B6B" w:rsidR="0EF41D6F">
        <w:rPr>
          <w:color w:val="000000" w:themeColor="text1" w:themeTint="FF" w:themeShade="FF"/>
          <w:sz w:val="22"/>
          <w:szCs w:val="22"/>
        </w:rPr>
        <w:t xml:space="preserve"> da populaç</w:t>
      </w:r>
      <w:r w:rsidRPr="01118B6B" w:rsidR="0EF41D6F">
        <w:rPr>
          <w:color w:val="000000" w:themeColor="text1" w:themeTint="FF" w:themeShade="FF"/>
          <w:sz w:val="22"/>
          <w:szCs w:val="22"/>
        </w:rPr>
        <w:t xml:space="preserve">ão. Além de </w:t>
      </w:r>
      <w:r w:rsidRPr="01118B6B" w:rsidR="39A82DA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 xml:space="preserve">ampliar e qualificar a oferta de cuidados especializados em saúde mental, </w:t>
      </w:r>
      <w:r w:rsidRPr="01118B6B" w:rsidR="5BC4428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a</w:t>
      </w:r>
      <w:r w:rsidRPr="01118B6B" w:rsidR="39A82DA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 xml:space="preserve"> implantação dessa unidade</w:t>
      </w:r>
      <w:r w:rsidRPr="01118B6B" w:rsidR="6062D13F">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 xml:space="preserve"> também permitirá a construção de redes de apoio comunitário mais sólidas e a superação de estigmas relacionados à saúde mental.</w:t>
      </w:r>
    </w:p>
    <w:p w:rsidR="0EF41D6F" w:rsidP="01118B6B" w:rsidRDefault="0EF41D6F" w14:paraId="3CE9F8E9" w14:textId="4AC34B5A">
      <w:pPr>
        <w:pStyle w:val="Normal"/>
        <w:numPr>
          <w:ilvl w:val="0"/>
          <w:numId w:val="10"/>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720" w:right="0" w:hanging="360"/>
        <w:jc w:val="both"/>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pPr>
      <w:r w:rsidRPr="01118B6B" w:rsidR="0EF41D6F">
        <w:rPr>
          <w:b w:val="1"/>
          <w:bCs w:val="1"/>
          <w:color w:val="000000" w:themeColor="text1" w:themeTint="FF" w:themeShade="FF"/>
        </w:rPr>
        <w:t xml:space="preserve">Impacto </w:t>
      </w:r>
      <w:r w:rsidRPr="01118B6B" w:rsidR="0EF41D6F">
        <w:rPr>
          <w:b w:val="1"/>
          <w:bCs w:val="1"/>
        </w:rPr>
        <w:t>p</w:t>
      </w:r>
      <w:r w:rsidRPr="01118B6B" w:rsidR="0EF41D6F">
        <w:rPr>
          <w:b w:val="1"/>
          <w:bCs w:val="1"/>
          <w:color w:val="000000" w:themeColor="text1" w:themeTint="FF" w:themeShade="FF"/>
        </w:rPr>
        <w:t>ositivo</w:t>
      </w:r>
      <w:r w:rsidRPr="01118B6B" w:rsidR="0EF41D6F">
        <w:rPr>
          <w:color w:val="000000" w:themeColor="text1" w:themeTint="FF" w:themeShade="FF"/>
        </w:rPr>
        <w:t xml:space="preserve">: </w:t>
      </w:r>
      <w:r w:rsidRPr="01118B6B" w:rsidR="0EF41D6F">
        <w:rPr>
          <w:sz w:val="22"/>
          <w:szCs w:val="22"/>
        </w:rPr>
        <w:t>c</w:t>
      </w:r>
      <w:r w:rsidRPr="01118B6B" w:rsidR="0EF41D6F">
        <w:rPr>
          <w:color w:val="000000" w:themeColor="text1" w:themeTint="FF" w:themeShade="FF"/>
          <w:sz w:val="22"/>
          <w:szCs w:val="22"/>
        </w:rPr>
        <w:t>om um nov</w:t>
      </w:r>
      <w:r w:rsidRPr="01118B6B" w:rsidR="728CB5CD">
        <w:rPr>
          <w:color w:val="000000" w:themeColor="text1" w:themeTint="FF" w:themeShade="FF"/>
          <w:sz w:val="22"/>
          <w:szCs w:val="22"/>
        </w:rPr>
        <w:t>o CAPS</w:t>
      </w:r>
      <w:r w:rsidRPr="01118B6B" w:rsidR="0EF41D6F">
        <w:rPr>
          <w:color w:val="000000" w:themeColor="text1" w:themeTint="FF" w:themeShade="FF"/>
          <w:sz w:val="22"/>
          <w:szCs w:val="22"/>
        </w:rPr>
        <w:t>, espera-se uma melhoria nos indicadores de saúde, como a</w:t>
      </w:r>
      <w:r w:rsidRPr="01118B6B" w:rsidR="495B64C7">
        <w:rPr>
          <w:color w:val="000000" w:themeColor="text1" w:themeTint="FF" w:themeShade="FF"/>
          <w:sz w:val="22"/>
          <w:szCs w:val="22"/>
        </w:rPr>
        <w:t xml:space="preserve"> </w:t>
      </w:r>
      <w:r w:rsidRPr="01118B6B" w:rsidR="495B64C7">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melhoria do acesso aos cuidados de saúde mental, especialmente em regiões vulneráveis e de difícil acesso. O CAPS será um espaço privilegiado para o cuidado, com a oferta de acompanhamento multiprofissional, oficinas terapêuticas e ações intersetoriais voltadas à reinserção social.</w:t>
      </w:r>
    </w:p>
    <w:p w:rsidR="0EF41D6F" w:rsidP="01118B6B" w:rsidRDefault="0EF41D6F" w14:paraId="55ACAFC3" w14:textId="1A984565">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pPr>
      <w:r w:rsidRPr="01118B6B" w:rsidR="0EF41D6F">
        <w:rPr>
          <w:b w:val="1"/>
          <w:bCs w:val="1"/>
          <w:color w:val="000000" w:themeColor="text1" w:themeTint="FF" w:themeShade="FF"/>
        </w:rPr>
        <w:t xml:space="preserve">Impacto </w:t>
      </w:r>
      <w:r w:rsidRPr="01118B6B" w:rsidR="0EF41D6F">
        <w:rPr>
          <w:b w:val="1"/>
          <w:bCs w:val="1"/>
        </w:rPr>
        <w:t>n</w:t>
      </w:r>
      <w:r w:rsidRPr="01118B6B" w:rsidR="0EF41D6F">
        <w:rPr>
          <w:b w:val="1"/>
          <w:bCs w:val="1"/>
          <w:color w:val="000000" w:themeColor="text1" w:themeTint="FF" w:themeShade="FF"/>
        </w:rPr>
        <w:t xml:space="preserve">egativo do </w:t>
      </w:r>
      <w:r w:rsidRPr="01118B6B" w:rsidR="0EF41D6F">
        <w:rPr>
          <w:b w:val="1"/>
          <w:bCs w:val="1"/>
        </w:rPr>
        <w:t>n</w:t>
      </w:r>
      <w:r w:rsidRPr="01118B6B" w:rsidR="0EF41D6F">
        <w:rPr>
          <w:b w:val="1"/>
          <w:bCs w:val="1"/>
          <w:color w:val="000000" w:themeColor="text1" w:themeTint="FF" w:themeShade="FF"/>
        </w:rPr>
        <w:t xml:space="preserve">ão </w:t>
      </w:r>
      <w:r w:rsidRPr="01118B6B" w:rsidR="0EF41D6F">
        <w:rPr>
          <w:b w:val="1"/>
          <w:bCs w:val="1"/>
        </w:rPr>
        <w:t>a</w:t>
      </w:r>
      <w:r w:rsidRPr="01118B6B" w:rsidR="0EF41D6F">
        <w:rPr>
          <w:b w:val="1"/>
          <w:bCs w:val="1"/>
          <w:color w:val="000000" w:themeColor="text1" w:themeTint="FF" w:themeShade="FF"/>
        </w:rPr>
        <w:t>tendimento</w:t>
      </w:r>
      <w:r w:rsidRPr="01118B6B" w:rsidR="0EF41D6F">
        <w:rPr>
          <w:color w:val="000000" w:themeColor="text1" w:themeTint="FF" w:themeShade="FF"/>
        </w:rPr>
        <w:t xml:space="preserve">: </w:t>
      </w:r>
      <w:r w:rsidRPr="01118B6B" w:rsidR="0EF41D6F">
        <w:rPr>
          <w:sz w:val="22"/>
          <w:szCs w:val="22"/>
        </w:rPr>
        <w:t>a</w:t>
      </w:r>
      <w:r w:rsidRPr="01118B6B" w:rsidR="0EF41D6F">
        <w:rPr>
          <w:color w:val="000000" w:themeColor="text1" w:themeTint="FF" w:themeShade="FF"/>
          <w:sz w:val="22"/>
          <w:szCs w:val="22"/>
        </w:rPr>
        <w:t xml:space="preserve"> não construção d</w:t>
      </w:r>
      <w:r w:rsidRPr="01118B6B" w:rsidR="6BD572C0">
        <w:rPr>
          <w:color w:val="000000" w:themeColor="text1" w:themeTint="FF" w:themeShade="FF"/>
          <w:sz w:val="22"/>
          <w:szCs w:val="22"/>
        </w:rPr>
        <w:t xml:space="preserve">o CAPS </w:t>
      </w:r>
      <w:r w:rsidRPr="01118B6B" w:rsidR="0EF41D6F">
        <w:rPr>
          <w:color w:val="000000" w:themeColor="text1" w:themeTint="FF" w:themeShade="FF"/>
          <w:sz w:val="22"/>
          <w:szCs w:val="22"/>
        </w:rPr>
        <w:t xml:space="preserve">pode </w:t>
      </w:r>
      <w:r w:rsidRPr="01118B6B" w:rsidR="736571C5">
        <w:rPr>
          <w:color w:val="000000" w:themeColor="text1" w:themeTint="FF" w:themeShade="FF"/>
          <w:sz w:val="22"/>
          <w:szCs w:val="22"/>
        </w:rPr>
        <w:t>acarret</w:t>
      </w:r>
      <w:r w:rsidRPr="01118B6B" w:rsidR="0EF41D6F">
        <w:rPr>
          <w:color w:val="000000" w:themeColor="text1" w:themeTint="FF" w:themeShade="FF"/>
          <w:sz w:val="22"/>
          <w:szCs w:val="22"/>
        </w:rPr>
        <w:t>ar em</w:t>
      </w:r>
      <w:r w:rsidRPr="01118B6B" w:rsidR="762F19EB">
        <w:rPr>
          <w:color w:val="000000" w:themeColor="text1" w:themeTint="FF" w:themeShade="FF"/>
          <w:sz w:val="22"/>
          <w:szCs w:val="22"/>
        </w:rPr>
        <w:t xml:space="preserve"> </w:t>
      </w:r>
      <w:r w:rsidRPr="01118B6B" w:rsidR="762F19EB">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pt-BR"/>
        </w:rPr>
        <w:t>um acesso fragmentado, que frequentemente resulta na superlotação de outros níveis de atenção, como emergências hospitalares, ou na ausência de assistência adequada.</w:t>
      </w:r>
    </w:p>
    <w:p w:rsidR="006430DA" w:rsidP="01118B6B" w:rsidRDefault="00B54928" w14:paraId="0000002B" w14:textId="7105E10D">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01118B6B" w:rsidR="0EF41D6F">
        <w:rPr>
          <w:b w:val="1"/>
          <w:bCs w:val="1"/>
          <w:color w:val="000000" w:themeColor="text1" w:themeTint="FF" w:themeShade="FF"/>
        </w:rPr>
        <w:t>Conclusão</w:t>
      </w:r>
      <w:r w:rsidRPr="01118B6B" w:rsidR="0EF41D6F">
        <w:rPr>
          <w:color w:val="000000" w:themeColor="text1" w:themeTint="FF" w:themeShade="FF"/>
        </w:rPr>
        <w:t xml:space="preserve">: </w:t>
      </w:r>
      <w:r w:rsidR="0EF41D6F">
        <w:rPr/>
        <w:t>a</w:t>
      </w:r>
      <w:r w:rsidRPr="01118B6B" w:rsidR="0EF41D6F">
        <w:rPr>
          <w:color w:val="000000" w:themeColor="text1" w:themeTint="FF" w:themeShade="FF"/>
        </w:rPr>
        <w:t xml:space="preserve"> justificativa para a construção de um </w:t>
      </w:r>
      <w:r w:rsidRPr="01118B6B" w:rsidR="580A63C8">
        <w:rPr>
          <w:color w:val="000000" w:themeColor="text1" w:themeTint="FF" w:themeShade="FF"/>
        </w:rPr>
        <w:t>CAPS</w:t>
      </w:r>
      <w:r w:rsidRPr="01118B6B" w:rsidR="0EF41D6F">
        <w:rPr>
          <w:color w:val="000000" w:themeColor="text1" w:themeTint="FF" w:themeShade="FF"/>
        </w:rPr>
        <w:t xml:space="preserve"> deve ser centrada nas necessidades de saúde da população local, baseando-se em dados epidemiológicos, demográficos e socioeconômicos. Ao demonstrar os impactos positivos da construção, como a melhoria no acesso e qualidade dos serviços de saúde e os impactos negativos da sua não realização</w:t>
      </w:r>
      <w:r w:rsidRPr="01118B6B" w:rsidR="0EF41D6F">
        <w:rPr>
          <w:color w:val="000000" w:themeColor="text1" w:themeTint="FF" w:themeShade="FF"/>
        </w:rPr>
        <w:t>, o ETP se alinha com o objetivo maior de atender ao interesse público e promover a saúde e o bem-estar da comunidade.</w:t>
      </w:r>
    </w:p>
    <w:p w:rsidR="006430DA" w:rsidRDefault="00B54928" w14:paraId="0000002C" w14:textId="77777777">
      <w:pPr>
        <w:jc w:val="both"/>
      </w:pPr>
      <w:r>
        <w:rPr>
          <w:b/>
        </w:rPr>
        <w:t xml:space="preserve">Tópico 4. Descrição dos requisitos da contratação: </w:t>
      </w:r>
      <w:r>
        <w:t xml:space="preserve">inciso III do § 1º do art. 18 da Lei nº 14.133/2021 e Art. 7°, inciso II da IN nº 40/2020. </w:t>
      </w:r>
    </w:p>
    <w:p w:rsidR="006430DA" w:rsidRDefault="00B54928" w14:paraId="0000002D" w14:textId="1F0B49D5">
      <w:pPr>
        <w:jc w:val="both"/>
      </w:pPr>
      <w:r w:rsidRPr="57A4165E" w:rsidR="00B54928">
        <w:rPr>
          <w:b w:val="1"/>
          <w:bCs w:val="1"/>
        </w:rPr>
        <w:t xml:space="preserve">Tópico 4.1. Sustentabilidade em </w:t>
      </w:r>
      <w:r w:rsidRPr="57A4165E" w:rsidR="00B54928">
        <w:rPr>
          <w:b w:val="1"/>
          <w:bCs w:val="1"/>
        </w:rPr>
        <w:t>o</w:t>
      </w:r>
      <w:r w:rsidRPr="57A4165E" w:rsidR="00B54928">
        <w:rPr>
          <w:b w:val="1"/>
          <w:bCs w:val="1"/>
        </w:rPr>
        <w:t xml:space="preserve">bras de </w:t>
      </w:r>
      <w:r w:rsidRPr="57A4165E" w:rsidR="00B54928">
        <w:rPr>
          <w:b w:val="1"/>
          <w:bCs w:val="1"/>
        </w:rPr>
        <w:t>e</w:t>
      </w:r>
      <w:r w:rsidRPr="57A4165E" w:rsidR="00B54928">
        <w:rPr>
          <w:b w:val="1"/>
          <w:bCs w:val="1"/>
        </w:rPr>
        <w:t xml:space="preserve">ngenharia: </w:t>
      </w:r>
      <w:r w:rsidR="00B54928">
        <w:rPr/>
        <w:t>t</w:t>
      </w:r>
      <w:r w:rsidR="00B54928">
        <w:rPr/>
        <w:t>anto ETP quanto o termo de referência (explicar a si</w:t>
      </w:r>
      <w:r w:rsidR="00B54928">
        <w:rPr/>
        <w:t>gla</w:t>
      </w:r>
      <w:r w:rsidR="00B54928">
        <w:rPr/>
        <w:t xml:space="preserve">) devem ser elaborados em conformidade com o </w:t>
      </w:r>
      <w:r w:rsidR="00B54928">
        <w:rPr/>
        <w:t>p</w:t>
      </w:r>
      <w:r w:rsidR="00B54928">
        <w:rPr/>
        <w:t xml:space="preserve">lano de </w:t>
      </w:r>
      <w:r w:rsidR="00B54928">
        <w:rPr/>
        <w:t>c</w:t>
      </w:r>
      <w:r w:rsidR="00B54928">
        <w:rPr/>
        <w:t xml:space="preserve">ontratações </w:t>
      </w:r>
      <w:r w:rsidR="00B54928">
        <w:rPr/>
        <w:t>a</w:t>
      </w:r>
      <w:r w:rsidR="00B54928">
        <w:rPr/>
        <w:t xml:space="preserve">nual e o </w:t>
      </w:r>
      <w:r w:rsidR="00B54928">
        <w:rPr/>
        <w:t>p</w:t>
      </w:r>
      <w:r w:rsidR="00B54928">
        <w:rPr/>
        <w:t xml:space="preserve">lano </w:t>
      </w:r>
      <w:r w:rsidR="00B54928">
        <w:rPr/>
        <w:t>d</w:t>
      </w:r>
      <w:r w:rsidR="00B54928">
        <w:rPr/>
        <w:t xml:space="preserve">iretor de </w:t>
      </w:r>
      <w:r w:rsidR="00B54928">
        <w:rPr/>
        <w:t>l</w:t>
      </w:r>
      <w:r w:rsidR="00B54928">
        <w:rPr/>
        <w:t xml:space="preserve">ogística </w:t>
      </w:r>
      <w:r w:rsidR="00B54928">
        <w:rPr/>
        <w:t>s</w:t>
      </w:r>
      <w:r w:rsidR="00B54928">
        <w:rPr/>
        <w:t xml:space="preserve">ustentável, quando existente. Em caso de dúvida, as </w:t>
      </w:r>
      <w:r w:rsidR="00B54928">
        <w:rPr/>
        <w:t>I</w:t>
      </w:r>
      <w:r w:rsidR="00B54928">
        <w:rPr/>
        <w:t xml:space="preserve">nstruções </w:t>
      </w:r>
      <w:r w:rsidR="00B54928">
        <w:rPr/>
        <w:t>N</w:t>
      </w:r>
      <w:r w:rsidR="00B54928">
        <w:rPr/>
        <w:t xml:space="preserve">ormativas </w:t>
      </w:r>
      <w:r w:rsidR="00B54928">
        <w:rPr/>
        <w:t>Seges/ME nº 81 e nº 58/2022</w:t>
      </w:r>
      <w:r w:rsidR="00B54928">
        <w:rPr/>
        <w:t>,</w:t>
      </w:r>
      <w:r w:rsidR="00B54928">
        <w:rPr/>
        <w:t xml:space="preserve"> aplicáveis à Administração Pública,</w:t>
      </w:r>
      <w:r w:rsidR="00B54928">
        <w:rPr/>
        <w:t xml:space="preserve"> podem ser consultadas, </w:t>
      </w:r>
      <w:r w:rsidR="00B54928">
        <w:rPr/>
        <w:t xml:space="preserve">e </w:t>
      </w:r>
      <w:r w:rsidR="00B54928">
        <w:rPr/>
        <w:t>servir</w:t>
      </w:r>
      <w:r w:rsidR="00B54928">
        <w:rPr/>
        <w:t xml:space="preserve"> como referência, caso sejam consideradas adequadas às necessidades do município. Os critérios de sustentabilidade devem incorporar uma abordagem integral de </w:t>
      </w:r>
      <w:r w:rsidR="00B54928">
        <w:rPr/>
        <w:t xml:space="preserve">sustentabilidade que considere as dimensões econômica, social, ambiental e cultural. Essencialmente, cada fase da contratação deve ser avaliada quanto aos potenciais impactos ambientais, com medidas mitigatórias planejadas e documentadas. A documentação e justificação de todas as práticas de sustentabilidade devem ser </w:t>
      </w:r>
      <w:r w:rsidR="00B54928">
        <w:rPr/>
        <w:t>registradas</w:t>
      </w:r>
      <w:r w:rsidR="00B54928">
        <w:rPr/>
        <w:t xml:space="preserve"> no ETP, garantindo transparência e alinhamento com políticas de sustentabilidade e com a Política Nacional de Resíduos Sólidos. A não adoção de critérios sustentáveis deve ser just</w:t>
      </w:r>
      <w:r w:rsidR="00B54928">
        <w:rPr/>
        <w:t>ificada detalhadamente, alinhada às exigências legais e regulatórias pertinentes.</w:t>
      </w:r>
    </w:p>
    <w:p w:rsidR="006430DA" w:rsidRDefault="00B54928" w14:paraId="0000002E" w14:textId="77777777">
      <w:pPr>
        <w:jc w:val="both"/>
      </w:pPr>
      <w:r>
        <w:rPr>
          <w:b/>
        </w:rPr>
        <w:t xml:space="preserve">Tópico 4.1.1.1.  Adesão ao Guia Nacional de Contratações </w:t>
      </w:r>
      <w:r>
        <w:rPr>
          <w:b/>
        </w:rPr>
        <w:t>S</w:t>
      </w:r>
      <w:r>
        <w:rPr>
          <w:b/>
        </w:rPr>
        <w:t xml:space="preserve">ustentáveis:  </w:t>
      </w:r>
      <w:r>
        <w:rPr>
          <w:b/>
        </w:rPr>
        <w:t>i</w:t>
      </w:r>
      <w:r>
        <w:rPr>
          <w:b/>
        </w:rPr>
        <w:t>te</w:t>
      </w:r>
      <w:r>
        <w:rPr>
          <w:b/>
        </w:rPr>
        <w:t xml:space="preserve">m número 8 do guia da Advocacia-Geral da União (AGU) </w:t>
      </w:r>
      <w:r>
        <w:t>(</w:t>
      </w:r>
      <w:hyperlink r:id="rId6">
        <w:r>
          <w:t>https://www.gov.br/agu/pt-br/composicao/cgu/cgu/guias/guia-de-contratacoes-sustentaveis-set-2023.pdf</w:t>
        </w:r>
      </w:hyperlink>
      <w:r>
        <w:t>),</w:t>
      </w:r>
    </w:p>
    <w:p w:rsidR="006430DA" w:rsidRDefault="00B54928" w14:paraId="0000002F" w14:textId="77777777">
      <w:pPr>
        <w:pBdr>
          <w:top w:val="nil"/>
          <w:left w:val="nil"/>
          <w:bottom w:val="nil"/>
          <w:right w:val="nil"/>
          <w:between w:val="nil"/>
        </w:pBdr>
        <w:spacing w:line="240" w:lineRule="auto"/>
        <w:jc w:val="both"/>
        <w:rPr>
          <w:color w:val="000000"/>
        </w:rPr>
      </w:pPr>
      <w:r>
        <w:rPr>
          <w:b/>
          <w:color w:val="000000"/>
        </w:rPr>
        <w:t>Tópico 4.2. Indicação de marcas ou modelos</w:t>
      </w:r>
      <w:r>
        <w:rPr>
          <w:color w:val="000000"/>
        </w:rPr>
        <w:t xml:space="preserve"> (Inciso I do art. 41 da </w:t>
      </w:r>
      <w:r>
        <w:t>L</w:t>
      </w:r>
      <w:r>
        <w:rPr>
          <w:color w:val="000000"/>
        </w:rPr>
        <w:t>ei nº 14.133, de 2021).</w:t>
      </w:r>
    </w:p>
    <w:p w:rsidR="006430DA" w:rsidP="57A4165E" w:rsidRDefault="00B54928" w14:paraId="00000030" w14:textId="076DBC19">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57A4165E" w:rsidR="00B54928">
        <w:rPr>
          <w:color w:val="000000" w:themeColor="text1" w:themeTint="FF" w:themeShade="FF"/>
        </w:rPr>
        <w:t xml:space="preserve">Na contratação de </w:t>
      </w:r>
      <w:r w:rsidR="00B54928">
        <w:rPr/>
        <w:t>obras</w:t>
      </w:r>
      <w:r w:rsidRPr="57A4165E" w:rsidR="00B54928">
        <w:rPr>
          <w:color w:val="000000" w:themeColor="text1" w:themeTint="FF" w:themeShade="FF"/>
        </w:rPr>
        <w:t xml:space="preserve"> e serviços de engenharia com fornecimento de materiais, a Administração Pública pode especificar marcas ou modelos necessários para a execução do objeto contratado. Esta especificação deve estar justificada tecnicamente e alinhada com o </w:t>
      </w:r>
      <w:r w:rsidR="00B54928">
        <w:rPr/>
        <w:t>a</w:t>
      </w:r>
      <w:r w:rsidRPr="57A4165E" w:rsidR="00B54928">
        <w:rPr>
          <w:color w:val="000000" w:themeColor="text1" w:themeTint="FF" w:themeShade="FF"/>
        </w:rPr>
        <w:t>rt</w:t>
      </w:r>
      <w:r w:rsidRPr="57A4165E" w:rsidR="00B54928">
        <w:rPr>
          <w:color w:val="000000" w:themeColor="text1" w:themeTint="FF" w:themeShade="FF"/>
        </w:rPr>
        <w:t xml:space="preserve">. 41, </w:t>
      </w:r>
      <w:r w:rsidR="00B54928">
        <w:rPr/>
        <w:t>I</w:t>
      </w:r>
      <w:r w:rsidRPr="57A4165E" w:rsidR="00B54928">
        <w:rPr>
          <w:color w:val="000000" w:themeColor="text1" w:themeTint="FF" w:themeShade="FF"/>
        </w:rPr>
        <w:t xml:space="preserve">nciso I da Lei nº 14.133, de 2021, que permite, </w:t>
      </w:r>
      <w:r w:rsidRPr="57A4165E" w:rsidR="00B54928">
        <w:rPr>
          <w:color w:val="000000" w:themeColor="text1" w:themeTint="FF" w:themeShade="FF"/>
        </w:rPr>
        <w:t>excepcionalmente</w:t>
      </w:r>
      <w:r w:rsidRPr="57A4165E" w:rsidR="00B54928">
        <w:rPr>
          <w:color w:val="000000" w:themeColor="text1" w:themeTint="FF" w:themeShade="FF"/>
        </w:rPr>
        <w:t xml:space="preserve">, tal indicação nas hipóteses previstas nas alíneas a, b, c, e d. Quando a indicação de marca como referência de qualidade </w:t>
      </w:r>
      <w:r w:rsidR="00B54928">
        <w:rPr/>
        <w:t xml:space="preserve">for </w:t>
      </w:r>
      <w:r w:rsidRPr="57A4165E" w:rsidR="00B54928">
        <w:rPr>
          <w:color w:val="000000" w:themeColor="text1" w:themeTint="FF" w:themeShade="FF"/>
        </w:rPr>
        <w:t>necessária</w:t>
      </w:r>
      <w:r w:rsidRPr="57A4165E" w:rsidR="00B54928">
        <w:rPr>
          <w:color w:val="000000" w:themeColor="text1" w:themeTint="FF" w:themeShade="FF"/>
        </w:rPr>
        <w:t>,</w:t>
      </w:r>
      <w:r w:rsidRPr="57A4165E" w:rsidR="00B54928">
        <w:rPr>
          <w:color w:val="000000" w:themeColor="text1" w:themeTint="FF" w:themeShade="FF"/>
          <w:highlight w:val="white"/>
        </w:rPr>
        <w:t xml:space="preserve"> </w:t>
      </w:r>
      <w:r w:rsidRPr="57A4165E" w:rsidR="00B54928">
        <w:rPr>
          <w:color w:val="000000" w:themeColor="text1" w:themeTint="FF" w:themeShade="FF"/>
          <w:highlight w:val="white"/>
          <w:u w:val="single"/>
        </w:rPr>
        <w:t>deve-se</w:t>
      </w:r>
      <w:r w:rsidRPr="57A4165E" w:rsidR="00B54928">
        <w:rPr>
          <w:color w:val="000000" w:themeColor="text1" w:themeTint="FF" w:themeShade="FF"/>
          <w:highlight w:val="white"/>
        </w:rPr>
        <w:t xml:space="preserve"> acr</w:t>
      </w:r>
      <w:r w:rsidRPr="57A4165E" w:rsidR="00B54928">
        <w:rPr>
          <w:color w:val="000000" w:themeColor="text1" w:themeTint="FF" w:themeShade="FF"/>
        </w:rPr>
        <w:t>escentar termos como "ou equivalente", "ou s</w:t>
      </w:r>
      <w:r w:rsidRPr="57A4165E" w:rsidR="00B54928">
        <w:rPr>
          <w:color w:val="000000" w:themeColor="text1" w:themeTint="FF" w:themeShade="FF"/>
        </w:rPr>
        <w:t xml:space="preserve">imilar", ou "de melhor qualidade" para garantir a abertura à competição e a adequação às necessidades da Administração, conforme </w:t>
      </w:r>
      <w:r w:rsidR="00B54928">
        <w:rPr/>
        <w:t>a</w:t>
      </w:r>
      <w:r w:rsidRPr="57A4165E" w:rsidR="00B54928">
        <w:rPr>
          <w:color w:val="000000" w:themeColor="text1" w:themeTint="FF" w:themeShade="FF"/>
        </w:rPr>
        <w:t>rt</w:t>
      </w:r>
      <w:r w:rsidRPr="57A4165E" w:rsidR="00B54928">
        <w:rPr>
          <w:color w:val="000000" w:themeColor="text1" w:themeTint="FF" w:themeShade="FF"/>
        </w:rPr>
        <w:t xml:space="preserve">. 42 da mesma </w:t>
      </w:r>
      <w:r w:rsidR="00B54928">
        <w:rPr/>
        <w:t>l</w:t>
      </w:r>
      <w:r w:rsidRPr="57A4165E" w:rsidR="00B54928">
        <w:rPr>
          <w:color w:val="000000" w:themeColor="text1" w:themeTint="FF" w:themeShade="FF"/>
        </w:rPr>
        <w:t xml:space="preserve">ei. Além disso, é essencial observar o princípio da padronização e a compatibilidade de especificações técnicas ou de desempenho, e considerar as eventuais diretrizes que </w:t>
      </w:r>
      <w:r w:rsidR="00B54928">
        <w:rPr/>
        <w:t>disciplinam</w:t>
      </w:r>
      <w:r w:rsidRPr="57A4165E" w:rsidR="00B54928">
        <w:rPr>
          <w:color w:val="000000" w:themeColor="text1" w:themeTint="FF" w:themeShade="FF"/>
        </w:rPr>
        <w:t xml:space="preserve"> o tema em âmbito local. </w:t>
      </w:r>
    </w:p>
    <w:p w:rsidR="006430DA" w:rsidRDefault="00B54928" w14:paraId="00000031" w14:textId="77777777">
      <w:pPr>
        <w:pBdr>
          <w:top w:val="nil"/>
          <w:left w:val="nil"/>
          <w:bottom w:val="nil"/>
          <w:right w:val="nil"/>
          <w:between w:val="nil"/>
        </w:pBdr>
        <w:spacing w:after="60" w:line="240" w:lineRule="auto"/>
        <w:jc w:val="both"/>
        <w:rPr>
          <w:b/>
          <w:color w:val="000000"/>
        </w:rPr>
      </w:pPr>
      <w:r>
        <w:rPr>
          <w:b/>
          <w:color w:val="000000"/>
        </w:rPr>
        <w:t>Tópico 4.3.</w:t>
      </w:r>
      <w:r>
        <w:rPr>
          <w:color w:val="000000"/>
        </w:rPr>
        <w:t xml:space="preserve"> </w:t>
      </w:r>
      <w:r>
        <w:rPr>
          <w:b/>
          <w:color w:val="000000"/>
        </w:rPr>
        <w:t xml:space="preserve">Da vedação de utilização de marca/produto na execução do serviço (Inciso III do </w:t>
      </w:r>
      <w:r>
        <w:rPr>
          <w:b/>
        </w:rPr>
        <w:t>a</w:t>
      </w:r>
      <w:r>
        <w:rPr>
          <w:b/>
          <w:color w:val="000000"/>
        </w:rPr>
        <w:t>rt. 41 da Lei nº 14.133, de 2021).</w:t>
      </w:r>
    </w:p>
    <w:p w:rsidR="006430DA" w:rsidRDefault="00B54928" w14:paraId="00000032" w14:textId="77777777">
      <w:pPr>
        <w:pBdr>
          <w:top w:val="nil"/>
          <w:left w:val="nil"/>
          <w:bottom w:val="nil"/>
          <w:right w:val="nil"/>
          <w:between w:val="nil"/>
        </w:pBdr>
        <w:spacing w:after="60" w:line="240" w:lineRule="auto"/>
        <w:jc w:val="both"/>
        <w:rPr>
          <w:color w:val="000000"/>
        </w:rPr>
      </w:pPr>
      <w:r>
        <w:rPr>
          <w:color w:val="000000"/>
        </w:rPr>
        <w:t xml:space="preserve">Na contratação de </w:t>
      </w:r>
      <w:r>
        <w:t>obras</w:t>
      </w:r>
      <w:r>
        <w:rPr>
          <w:color w:val="000000"/>
        </w:rPr>
        <w:t xml:space="preserve"> e serviços de engenharia, conforme o art. 41, III, da Lei nº 14.133, é vedado o uso de certas marcas ou produtos. Essa vedação deve ser fundamentada em experiências documentadas, demonstrando que os produtos em questão falharam em atender aos requisitos essenciais para a satisfação do contrato. A legislação exige que tal medida seja excepcional e baseada em justificativas sólidas, como qualidade, durabilidade e suporte técnico insuficientes, garantindo que a exclusão não seja arbitrária. Todas as razõ</w:t>
      </w:r>
      <w:r>
        <w:rPr>
          <w:color w:val="000000"/>
        </w:rPr>
        <w:t>es para a vedação devem estar claramente documentadas no ETP.</w:t>
      </w:r>
    </w:p>
    <w:p w:rsidR="006430DA" w:rsidP="6CBC204B" w:rsidRDefault="00B54928" w14:paraId="00000033" w14:textId="77777777">
      <w:pPr>
        <w:pBdr>
          <w:top w:val="nil" w:color="000000" w:sz="0" w:space="0"/>
          <w:left w:val="nil" w:color="000000" w:sz="0" w:space="0"/>
          <w:bottom w:val="nil" w:color="000000" w:sz="0" w:space="0"/>
          <w:right w:val="nil" w:color="000000" w:sz="0" w:space="0"/>
          <w:between w:val="nil" w:color="000000" w:sz="0" w:space="0"/>
        </w:pBdr>
        <w:spacing w:before="240" w:beforeAutospacing="off" w:line="240" w:lineRule="auto"/>
        <w:jc w:val="both"/>
        <w:rPr>
          <w:color w:val="000000"/>
        </w:rPr>
      </w:pPr>
      <w:r w:rsidRPr="6CBC204B" w:rsidR="0EF41D6F">
        <w:rPr>
          <w:b w:val="1"/>
          <w:bCs w:val="1"/>
          <w:color w:val="000000" w:themeColor="text1" w:themeTint="FF" w:themeShade="FF"/>
        </w:rPr>
        <w:t xml:space="preserve">Tópico 4.4 Carta de </w:t>
      </w:r>
      <w:r w:rsidRPr="6CBC204B" w:rsidR="0EF41D6F">
        <w:rPr>
          <w:b w:val="1"/>
          <w:bCs w:val="1"/>
        </w:rPr>
        <w:t>s</w:t>
      </w:r>
      <w:r w:rsidRPr="6CBC204B" w:rsidR="0EF41D6F">
        <w:rPr>
          <w:b w:val="1"/>
          <w:bCs w:val="1"/>
          <w:color w:val="000000" w:themeColor="text1" w:themeTint="FF" w:themeShade="FF"/>
        </w:rPr>
        <w:t>olidariedade</w:t>
      </w:r>
    </w:p>
    <w:p w:rsidR="006430DA" w:rsidRDefault="00B54928" w14:paraId="00000034" w14:textId="77777777">
      <w:pPr>
        <w:pBdr>
          <w:top w:val="nil"/>
          <w:left w:val="nil"/>
          <w:bottom w:val="nil"/>
          <w:right w:val="nil"/>
          <w:between w:val="nil"/>
        </w:pBdr>
        <w:spacing w:line="240" w:lineRule="auto"/>
        <w:jc w:val="both"/>
        <w:rPr>
          <w:color w:val="000000"/>
        </w:rPr>
      </w:pPr>
      <w:r>
        <w:rPr>
          <w:color w:val="000000"/>
        </w:rPr>
        <w:t xml:space="preserve">A exigência de uma carta de solidariedade em contratações públicas pode limitar a competitividade. Por isso, tal requisito deve ser imposto apenas em circunstâncias excepcionais e quando há justificativas robustas que </w:t>
      </w:r>
      <w:r>
        <w:t>fundamentam</w:t>
      </w:r>
      <w:r>
        <w:rPr>
          <w:color w:val="000000"/>
        </w:rPr>
        <w:t xml:space="preserve"> sua necessidade. Esta medida deve ser claramente motivada para garantir transparência e manter a integridade do processo de licitação, assegurando que a competição entre os fornecedores não seja indevidamente restringida.</w:t>
      </w:r>
    </w:p>
    <w:p w:rsidR="006430DA" w:rsidP="6CBC204B" w:rsidRDefault="00B54928" w14:paraId="00000035" w14:textId="77777777">
      <w:pPr>
        <w:pBdr>
          <w:top w:val="nil" w:color="000000" w:sz="0" w:space="0"/>
          <w:left w:val="nil" w:color="000000" w:sz="0" w:space="0"/>
          <w:bottom w:val="nil" w:color="000000" w:sz="0" w:space="0"/>
          <w:right w:val="nil" w:color="000000" w:sz="0" w:space="0"/>
          <w:between w:val="nil" w:color="000000" w:sz="0" w:space="0"/>
        </w:pBdr>
        <w:spacing w:before="240" w:beforeAutospacing="off" w:line="240" w:lineRule="auto"/>
        <w:jc w:val="both"/>
        <w:rPr>
          <w:b w:val="1"/>
          <w:bCs w:val="1"/>
          <w:color w:val="000000"/>
        </w:rPr>
      </w:pPr>
      <w:r w:rsidRPr="6CBC204B" w:rsidR="0EF41D6F">
        <w:rPr>
          <w:b w:val="1"/>
          <w:bCs w:val="1"/>
          <w:color w:val="000000" w:themeColor="text1" w:themeTint="FF" w:themeShade="FF"/>
        </w:rPr>
        <w:t xml:space="preserve">Tópico 4.5. </w:t>
      </w:r>
      <w:r w:rsidRPr="6CBC204B" w:rsidR="0EF41D6F">
        <w:rPr>
          <w:b w:val="1"/>
          <w:bCs w:val="1"/>
        </w:rPr>
        <w:t>S</w:t>
      </w:r>
      <w:r w:rsidRPr="6CBC204B" w:rsidR="0EF41D6F">
        <w:rPr>
          <w:b w:val="1"/>
          <w:bCs w:val="1"/>
          <w:color w:val="000000" w:themeColor="text1" w:themeTint="FF" w:themeShade="FF"/>
        </w:rPr>
        <w:t xml:space="preserve">ubcontratação </w:t>
      </w:r>
    </w:p>
    <w:p w:rsidR="006430DA" w:rsidRDefault="00B54928" w14:paraId="00000036" w14:textId="77777777">
      <w:pPr>
        <w:numPr>
          <w:ilvl w:val="0"/>
          <w:numId w:val="22"/>
        </w:numPr>
        <w:pBdr>
          <w:top w:val="nil"/>
          <w:left w:val="nil"/>
          <w:bottom w:val="nil"/>
          <w:right w:val="nil"/>
          <w:between w:val="nil"/>
        </w:pBdr>
        <w:spacing w:line="240" w:lineRule="auto"/>
        <w:jc w:val="both"/>
        <w:rPr>
          <w:color w:val="000000"/>
        </w:rPr>
      </w:pPr>
      <w:r>
        <w:rPr>
          <w:b/>
          <w:color w:val="000000"/>
        </w:rPr>
        <w:t xml:space="preserve">Delimitação do percentual permitido para </w:t>
      </w:r>
      <w:r>
        <w:rPr>
          <w:b/>
        </w:rPr>
        <w:t>subcontratação</w:t>
      </w:r>
      <w:r>
        <w:rPr>
          <w:b/>
          <w:color w:val="000000"/>
        </w:rPr>
        <w:t xml:space="preserve"> </w:t>
      </w:r>
      <w:r>
        <w:rPr>
          <w:b/>
        </w:rPr>
        <w:t>p</w:t>
      </w:r>
      <w:r>
        <w:rPr>
          <w:b/>
          <w:color w:val="000000"/>
        </w:rPr>
        <w:t>arcial.</w:t>
      </w:r>
      <w:r>
        <w:rPr>
          <w:color w:val="000000"/>
        </w:rPr>
        <w:t xml:space="preserve">  O percentual a ser definido deverá ser estabelecido e </w:t>
      </w:r>
      <w:r>
        <w:t>avaliado</w:t>
      </w:r>
      <w:r>
        <w:rPr>
          <w:color w:val="000000"/>
        </w:rPr>
        <w:t xml:space="preserve"> à luz do artigo 122 da Lei nº 14.133, de 2021.</w:t>
      </w:r>
    </w:p>
    <w:p w:rsidR="006430DA" w:rsidRDefault="00B54928" w14:paraId="00000037" w14:textId="77777777">
      <w:pPr>
        <w:numPr>
          <w:ilvl w:val="0"/>
          <w:numId w:val="22"/>
        </w:numPr>
        <w:pBdr>
          <w:top w:val="nil"/>
          <w:left w:val="nil"/>
          <w:bottom w:val="nil"/>
          <w:right w:val="nil"/>
          <w:between w:val="nil"/>
        </w:pBdr>
        <w:spacing w:line="240" w:lineRule="auto"/>
        <w:jc w:val="both"/>
        <w:rPr>
          <w:color w:val="000000"/>
        </w:rPr>
      </w:pPr>
      <w:r>
        <w:rPr>
          <w:b/>
          <w:color w:val="000000"/>
        </w:rPr>
        <w:t xml:space="preserve">Vedação da subcontratação completa ou da parcela principal do objeto da contratação. </w:t>
      </w:r>
      <w:r>
        <w:rPr>
          <w:color w:val="000000"/>
        </w:rPr>
        <w:t xml:space="preserve">A exigência de atestados será restrita às parcelas de maior relevância ou valor significativo do objeto da licitação, assim consideradas as que tenham valor individual igual ou superior a 4% do valor total estimado da contratação, </w:t>
      </w:r>
      <w:r>
        <w:t>conforme</w:t>
      </w:r>
      <w:r>
        <w:rPr>
          <w:color w:val="000000"/>
        </w:rPr>
        <w:t xml:space="preserve"> estabelece o </w:t>
      </w:r>
      <w:r>
        <w:t>a</w:t>
      </w:r>
      <w:r>
        <w:rPr>
          <w:color w:val="000000"/>
        </w:rPr>
        <w:t>rt. 67, § 1º, da Lei nº 14.133/2021.</w:t>
      </w:r>
    </w:p>
    <w:p w:rsidR="006430DA" w:rsidRDefault="00B54928" w14:paraId="00000038" w14:textId="77777777">
      <w:pPr>
        <w:numPr>
          <w:ilvl w:val="0"/>
          <w:numId w:val="11"/>
        </w:numPr>
        <w:pBdr>
          <w:top w:val="nil"/>
          <w:left w:val="nil"/>
          <w:bottom w:val="nil"/>
          <w:right w:val="nil"/>
          <w:between w:val="nil"/>
        </w:pBdr>
        <w:spacing w:line="240" w:lineRule="auto"/>
        <w:jc w:val="both"/>
        <w:rPr>
          <w:color w:val="000000"/>
        </w:rPr>
      </w:pPr>
      <w:r>
        <w:rPr>
          <w:b/>
          <w:color w:val="000000"/>
        </w:rPr>
        <w:t xml:space="preserve">Importante observar que o período do texto em vermelho no tópico </w:t>
      </w:r>
      <w:r>
        <w:rPr>
          <w:b/>
        </w:rPr>
        <w:t>subcontratação</w:t>
      </w:r>
      <w:r>
        <w:rPr>
          <w:color w:val="000000"/>
        </w:rPr>
        <w:t xml:space="preserve">, correspondente a </w:t>
      </w:r>
      <w:r>
        <w:t>f</w:t>
      </w:r>
      <w:r>
        <w:rPr>
          <w:color w:val="000000"/>
        </w:rPr>
        <w:t xml:space="preserve">undações e </w:t>
      </w:r>
      <w:r>
        <w:t>e</w:t>
      </w:r>
      <w:r>
        <w:rPr>
          <w:color w:val="000000"/>
        </w:rPr>
        <w:t xml:space="preserve">struturas, </w:t>
      </w:r>
      <w:r>
        <w:t>a</w:t>
      </w:r>
      <w:r>
        <w:rPr>
          <w:color w:val="000000"/>
        </w:rPr>
        <w:t xml:space="preserve">lvenaria, </w:t>
      </w:r>
      <w:r>
        <w:t>i</w:t>
      </w:r>
      <w:r>
        <w:rPr>
          <w:color w:val="000000"/>
        </w:rPr>
        <w:t xml:space="preserve">nstalações </w:t>
      </w:r>
      <w:r>
        <w:t>e</w:t>
      </w:r>
      <w:r>
        <w:rPr>
          <w:color w:val="000000"/>
        </w:rPr>
        <w:t xml:space="preserve">létricas e </w:t>
      </w:r>
      <w:r>
        <w:t>c</w:t>
      </w:r>
      <w:r>
        <w:rPr>
          <w:color w:val="000000"/>
        </w:rPr>
        <w:t xml:space="preserve">limatização, que podem representar as parcelas principais, são apresentados de forma </w:t>
      </w:r>
      <w:r>
        <w:rPr>
          <w:b/>
          <w:color w:val="000000"/>
        </w:rPr>
        <w:t>meramente ilustrativa</w:t>
      </w:r>
      <w:r>
        <w:rPr>
          <w:color w:val="000000"/>
        </w:rPr>
        <w:t xml:space="preserve">, com o objetivo de orientar o ente. </w:t>
      </w:r>
      <w:r>
        <w:rPr>
          <w:color w:val="000000"/>
          <w:u w:val="single"/>
        </w:rPr>
        <w:t>A definição desses percentuais deverá ser realizada pela área técnica do ente, em conjunto com um profissional habilitado, com base nos projetos e nas planilhas orçamentárias utilizadas para definição dos serviços de obras que serão executados</w:t>
      </w:r>
      <w:r>
        <w:rPr>
          <w:color w:val="000000"/>
        </w:rPr>
        <w:t xml:space="preserve">. Após a elaboração dos projetos complementares e/ou executivos, caso necessário, o ente poderá considerar eventuais variações nesses percentuais, que deverão ser ajustados após a análise do órgão responsável, conforme cada caso. Esses ajustes devem levar em conta a relevância das parcelas que representam maior </w:t>
      </w:r>
      <w:r>
        <w:t xml:space="preserve">importância </w:t>
      </w:r>
      <w:r>
        <w:rPr>
          <w:color w:val="000000"/>
        </w:rPr>
        <w:t>para o contexto local, bem como as especificidades do projeto e a necessidade de adequação às características da obra na região em que será realizada, sempre garantindo a execução eficien</w:t>
      </w:r>
      <w:r>
        <w:rPr>
          <w:color w:val="000000"/>
        </w:rPr>
        <w:t>te e técnica da obra.</w:t>
      </w:r>
    </w:p>
    <w:p w:rsidR="006430DA" w:rsidRDefault="00B54928" w14:paraId="00000039" w14:textId="77777777">
      <w:pPr>
        <w:pBdr>
          <w:top w:val="nil"/>
          <w:left w:val="nil"/>
          <w:bottom w:val="nil"/>
          <w:right w:val="nil"/>
          <w:between w:val="nil"/>
        </w:pBdr>
        <w:spacing w:after="60" w:line="240" w:lineRule="auto"/>
        <w:jc w:val="both"/>
        <w:rPr>
          <w:b/>
          <w:color w:val="000000"/>
        </w:rPr>
      </w:pPr>
      <w:r>
        <w:rPr>
          <w:b/>
          <w:color w:val="000000"/>
        </w:rPr>
        <w:t>Tópico 4.6. Garantia da contratação</w:t>
      </w:r>
    </w:p>
    <w:p w:rsidR="006430DA" w:rsidRDefault="00B54928" w14:paraId="0000003A" w14:textId="77777777">
      <w:pPr>
        <w:pBdr>
          <w:top w:val="nil"/>
          <w:left w:val="nil"/>
          <w:bottom w:val="nil"/>
          <w:right w:val="nil"/>
          <w:between w:val="nil"/>
        </w:pBdr>
        <w:spacing w:after="60" w:line="240" w:lineRule="auto"/>
        <w:jc w:val="both"/>
        <w:rPr>
          <w:color w:val="000000"/>
        </w:rPr>
      </w:pPr>
      <w:r>
        <w:rPr>
          <w:color w:val="000000"/>
        </w:rPr>
        <w:t xml:space="preserve">Conforme o </w:t>
      </w:r>
      <w:r>
        <w:t>a</w:t>
      </w:r>
      <w:r>
        <w:rPr>
          <w:color w:val="000000"/>
        </w:rPr>
        <w:t>rt. 98 da Lei nº 14.133, de 2021, a gara</w:t>
      </w:r>
      <w:r>
        <w:t>ntia da contratação</w:t>
      </w:r>
      <w:r>
        <w:rPr>
          <w:color w:val="000000"/>
        </w:rPr>
        <w:t xml:space="preserve"> deve ser claramente justificada no ter</w:t>
      </w:r>
      <w:r>
        <w:t xml:space="preserve">mo de referência </w:t>
      </w:r>
      <w:r>
        <w:rPr>
          <w:color w:val="000000"/>
        </w:rPr>
        <w:t xml:space="preserve">e integrada ao contrato. A garantia pode variar conforme disposto na </w:t>
      </w:r>
      <w:r>
        <w:t>l</w:t>
      </w:r>
      <w:r>
        <w:rPr>
          <w:color w:val="000000"/>
        </w:rPr>
        <w:t>ei:</w:t>
      </w:r>
    </w:p>
    <w:p w:rsidR="006430DA" w:rsidRDefault="00B54928" w14:paraId="0000003B" w14:textId="77777777">
      <w:pPr>
        <w:numPr>
          <w:ilvl w:val="0"/>
          <w:numId w:val="12"/>
        </w:numPr>
        <w:pBdr>
          <w:top w:val="nil"/>
          <w:left w:val="nil"/>
          <w:bottom w:val="nil"/>
          <w:right w:val="nil"/>
          <w:between w:val="nil"/>
        </w:pBdr>
        <w:spacing w:line="240" w:lineRule="auto"/>
        <w:jc w:val="both"/>
        <w:rPr>
          <w:color w:val="000000"/>
        </w:rPr>
      </w:pPr>
      <w:r>
        <w:rPr>
          <w:color w:val="000000"/>
        </w:rPr>
        <w:t>Geralmente, até 5% do valor inicial do contrato para contratações padrão.</w:t>
      </w:r>
    </w:p>
    <w:p w:rsidR="006430DA" w:rsidRDefault="00B54928" w14:paraId="0000003C" w14:textId="77777777">
      <w:pPr>
        <w:numPr>
          <w:ilvl w:val="0"/>
          <w:numId w:val="12"/>
        </w:numPr>
        <w:pBdr>
          <w:top w:val="nil"/>
          <w:left w:val="nil"/>
          <w:bottom w:val="nil"/>
          <w:right w:val="nil"/>
          <w:between w:val="nil"/>
        </w:pBdr>
        <w:spacing w:line="240" w:lineRule="auto"/>
        <w:jc w:val="both"/>
        <w:rPr>
          <w:color w:val="000000"/>
        </w:rPr>
      </w:pPr>
      <w:r>
        <w:rPr>
          <w:color w:val="000000"/>
        </w:rPr>
        <w:t>Até 10% para contratos de alta complexidade técnica ou com riscos significativos, conforme exigido.</w:t>
      </w:r>
    </w:p>
    <w:p w:rsidR="006430DA" w:rsidRDefault="00B54928" w14:paraId="0000003D" w14:textId="77777777">
      <w:pPr>
        <w:numPr>
          <w:ilvl w:val="0"/>
          <w:numId w:val="12"/>
        </w:numPr>
        <w:pBdr>
          <w:top w:val="nil"/>
          <w:left w:val="nil"/>
          <w:bottom w:val="nil"/>
          <w:right w:val="nil"/>
          <w:between w:val="nil"/>
        </w:pBdr>
        <w:spacing w:line="240" w:lineRule="auto"/>
        <w:jc w:val="both"/>
        <w:rPr>
          <w:color w:val="000000"/>
        </w:rPr>
      </w:pPr>
      <w:r>
        <w:rPr>
          <w:color w:val="000000"/>
        </w:rPr>
        <w:t xml:space="preserve">Para grandes obras de engenharia, a garantia pode ser de até 30% se for utilizada a modalidade de seguro-garantia com cláusula de retomada, segundo o </w:t>
      </w:r>
      <w:r>
        <w:t>A</w:t>
      </w:r>
      <w:r>
        <w:rPr>
          <w:color w:val="000000"/>
        </w:rPr>
        <w:t>rt. 102.</w:t>
      </w:r>
    </w:p>
    <w:p w:rsidR="006430DA" w:rsidRDefault="00B54928" w14:paraId="0000003E" w14:textId="77777777">
      <w:pPr>
        <w:pBdr>
          <w:top w:val="nil"/>
          <w:left w:val="nil"/>
          <w:bottom w:val="nil"/>
          <w:right w:val="nil"/>
          <w:between w:val="nil"/>
        </w:pBdr>
        <w:spacing w:after="60" w:line="240" w:lineRule="auto"/>
        <w:jc w:val="both"/>
        <w:rPr>
          <w:color w:val="000000"/>
        </w:rPr>
      </w:pPr>
      <w:r>
        <w:rPr>
          <w:color w:val="000000"/>
        </w:rPr>
        <w:t xml:space="preserve">Adicionalmente, o valor da garantia pode incluir um acréscimo no caso de antecipação de pagamentos ou quando o contrato envolve a entrega de bens que permanecem sob a custódia do contratado, detalhado no </w:t>
      </w:r>
      <w:r>
        <w:t>a</w:t>
      </w:r>
      <w:r>
        <w:rPr>
          <w:color w:val="000000"/>
        </w:rPr>
        <w:t xml:space="preserve">rt. 145, § 2º e </w:t>
      </w:r>
      <w:r>
        <w:t>a</w:t>
      </w:r>
      <w:r>
        <w:rPr>
          <w:color w:val="000000"/>
        </w:rPr>
        <w:t>rt. 59, § 5º da mesma lei.</w:t>
      </w:r>
    </w:p>
    <w:p w:rsidR="006430DA" w:rsidRDefault="00B54928" w14:paraId="0000003F" w14:textId="77777777">
      <w:pPr>
        <w:pBdr>
          <w:top w:val="nil"/>
          <w:left w:val="nil"/>
          <w:bottom w:val="nil"/>
          <w:right w:val="nil"/>
          <w:between w:val="nil"/>
        </w:pBdr>
        <w:spacing w:after="60" w:line="240" w:lineRule="auto"/>
        <w:jc w:val="both"/>
        <w:rPr>
          <w:color w:val="000000"/>
        </w:rPr>
      </w:pPr>
      <w:r>
        <w:rPr>
          <w:color w:val="000000"/>
        </w:rPr>
        <w:t>É mandatório que todas as decisões relacionadas às garantias sejam documentadas no ETP, mostrando a aderência aos princípios de economicidade e eficiência, e que qualquer excepcionalidade na escolha da garantia seja fundamentada com clareza para evitar inconformidades.</w:t>
      </w:r>
    </w:p>
    <w:p w:rsidR="006430DA" w:rsidP="6CBC204B" w:rsidRDefault="00B54928" w14:paraId="00000040" w14:textId="77777777">
      <w:pPr>
        <w:pBdr>
          <w:top w:val="nil" w:color="000000" w:sz="0" w:space="0"/>
          <w:left w:val="nil" w:color="000000" w:sz="0" w:space="0"/>
          <w:bottom w:val="nil" w:color="000000" w:sz="0" w:space="0"/>
          <w:right w:val="nil" w:color="000000" w:sz="0" w:space="0"/>
          <w:between w:val="nil" w:color="000000" w:sz="0" w:space="0"/>
        </w:pBdr>
        <w:spacing w:before="240" w:beforeAutospacing="off" w:after="60" w:line="240" w:lineRule="auto"/>
        <w:jc w:val="both"/>
        <w:rPr>
          <w:b w:val="1"/>
          <w:bCs w:val="1"/>
          <w:color w:val="000000"/>
        </w:rPr>
      </w:pPr>
      <w:r w:rsidRPr="6CBC204B" w:rsidR="0EF41D6F">
        <w:rPr>
          <w:b w:val="1"/>
          <w:bCs w:val="1"/>
          <w:color w:val="000000" w:themeColor="text1" w:themeTint="FF" w:themeShade="FF"/>
        </w:rPr>
        <w:t>Tópico 4.6.1. Não haverá exigência da garantia da contratação</w:t>
      </w:r>
    </w:p>
    <w:p w:rsidR="006430DA" w:rsidRDefault="00B54928" w14:paraId="00000041" w14:textId="77777777">
      <w:pPr>
        <w:pBdr>
          <w:top w:val="nil"/>
          <w:left w:val="nil"/>
          <w:bottom w:val="nil"/>
          <w:right w:val="nil"/>
          <w:between w:val="nil"/>
        </w:pBdr>
        <w:spacing w:after="60" w:line="240" w:lineRule="auto"/>
        <w:jc w:val="both"/>
        <w:rPr>
          <w:color w:val="000000"/>
        </w:rPr>
      </w:pPr>
      <w:r>
        <w:rPr>
          <w:color w:val="000000"/>
        </w:rPr>
        <w:t xml:space="preserve">A exclusão da exigência de garantia contratual, conforme a Lei nº 14.133/2021, poderá ocorrer em situações onde o risco da contratação seja baixo, a natureza do serviço seja simples ou de menor valor, ou quando o custo da garantia se mostrar desproporcional aos benefícios esperados. Além disso, pode-se dispensar essa exigência para facilitar a participação de micro e pequenas empresas, quando for o caso, ou quando a </w:t>
      </w:r>
      <w:r>
        <w:t>A</w:t>
      </w:r>
      <w:r>
        <w:rPr>
          <w:color w:val="000000"/>
        </w:rPr>
        <w:t>dministração avaliar que há mecanismos de controle suficientes para garantir a execução contratual, sempre considerando os princípios da razoabilidade e proporcionalidade.</w:t>
      </w:r>
    </w:p>
    <w:p w:rsidR="006430DA" w:rsidRDefault="006430DA" w14:paraId="00000042" w14:textId="77777777">
      <w:pPr>
        <w:pBdr>
          <w:top w:val="nil"/>
          <w:left w:val="nil"/>
          <w:bottom w:val="nil"/>
          <w:right w:val="nil"/>
          <w:between w:val="nil"/>
        </w:pBdr>
        <w:spacing w:after="60" w:line="240" w:lineRule="auto"/>
        <w:jc w:val="both"/>
        <w:rPr>
          <w:color w:val="000000"/>
        </w:rPr>
      </w:pPr>
    </w:p>
    <w:p w:rsidR="006430DA" w:rsidRDefault="00B54928" w14:paraId="00000043" w14:textId="77777777">
      <w:pPr>
        <w:pBdr>
          <w:top w:val="nil"/>
          <w:left w:val="nil"/>
          <w:bottom w:val="nil"/>
          <w:right w:val="nil"/>
          <w:between w:val="nil"/>
        </w:pBdr>
        <w:spacing w:after="60" w:line="240" w:lineRule="auto"/>
        <w:jc w:val="both"/>
        <w:rPr>
          <w:color w:val="000000"/>
        </w:rPr>
      </w:pPr>
      <w:r>
        <w:rPr>
          <w:b/>
          <w:color w:val="000000"/>
        </w:rPr>
        <w:t xml:space="preserve">Tópico 4.7. Realização de </w:t>
      </w:r>
      <w:r>
        <w:rPr>
          <w:b/>
        </w:rPr>
        <w:t>v</w:t>
      </w:r>
      <w:r>
        <w:rPr>
          <w:b/>
          <w:color w:val="000000"/>
        </w:rPr>
        <w:t>istoria:</w:t>
      </w:r>
      <w:r>
        <w:rPr>
          <w:color w:val="000000"/>
        </w:rPr>
        <w:t xml:space="preserve"> </w:t>
      </w:r>
      <w:r>
        <w:t>a</w:t>
      </w:r>
      <w:r>
        <w:rPr>
          <w:color w:val="000000"/>
        </w:rPr>
        <w:t xml:space="preserve"> Lei nº 14.133/2021, em seu </w:t>
      </w:r>
      <w:r>
        <w:t>a</w:t>
      </w:r>
      <w:r>
        <w:rPr>
          <w:color w:val="000000"/>
        </w:rPr>
        <w:t>rt. 63, §§ 2º e 3º, garante aos licitantes o direito de realizar uma vistoria prévia do local de execução do serviço quando o órgão ou entidade contratante julgar essa avaliação essencial para o entendimento completo das condições e peculiaridades do objeto contratado. O licitante pode optar por não realizar a vistoria, mas deve, nesse caso, fornecer uma declaração formal de seu responsável técnico, atestando o conhecimento completo dessas condições. Esta flexibilidad</w:t>
      </w:r>
      <w:r>
        <w:rPr>
          <w:color w:val="000000"/>
        </w:rPr>
        <w:t xml:space="preserve">e visa facilitar a adequação dos licitantes ao processo licitatório, permitindo que eles escolham entre realizar a vistoria, atestar conhecimento baseado em experiências anteriores ou declarar formalmente a compreensão das exigências do contrato por meio de seu responsável técnico. A decisão de realizar a vistoria deve estar documentada também no </w:t>
      </w:r>
      <w:r>
        <w:t>t</w:t>
      </w:r>
      <w:r>
        <w:rPr>
          <w:color w:val="000000"/>
        </w:rPr>
        <w:t xml:space="preserve">ermo de </w:t>
      </w:r>
      <w:r>
        <w:t>r</w:t>
      </w:r>
      <w:r>
        <w:rPr>
          <w:color w:val="000000"/>
        </w:rPr>
        <w:t>eferência, proporcionando clareza e conformidade com as disposições legais.</w:t>
      </w:r>
    </w:p>
    <w:p w:rsidR="006430DA" w:rsidP="6CBC204B" w:rsidRDefault="00B54928" w14:paraId="00000044" w14:textId="77777777">
      <w:pPr>
        <w:pBdr>
          <w:top w:val="nil" w:color="000000" w:sz="0" w:space="0"/>
          <w:left w:val="nil" w:color="000000" w:sz="0" w:space="0"/>
          <w:bottom w:val="nil" w:color="000000" w:sz="0" w:space="0"/>
          <w:right w:val="nil" w:color="000000" w:sz="0" w:space="0"/>
          <w:between w:val="nil" w:color="000000" w:sz="0" w:space="0"/>
        </w:pBdr>
        <w:spacing w:before="240" w:beforeAutospacing="off" w:line="240" w:lineRule="auto"/>
        <w:jc w:val="both"/>
        <w:rPr>
          <w:color w:val="000000"/>
          <w:sz w:val="22"/>
          <w:szCs w:val="22"/>
        </w:rPr>
      </w:pPr>
      <w:r w:rsidRPr="6CBC204B" w:rsidR="0EF41D6F">
        <w:rPr>
          <w:b w:val="1"/>
          <w:bCs w:val="1"/>
          <w:color w:val="000000" w:themeColor="text1" w:themeTint="FF" w:themeShade="FF"/>
          <w:sz w:val="22"/>
          <w:szCs w:val="22"/>
        </w:rPr>
        <w:t xml:space="preserve">Tópico 4.8 Padrões </w:t>
      </w:r>
      <w:r w:rsidRPr="6CBC204B" w:rsidR="0EF41D6F">
        <w:rPr>
          <w:b w:val="1"/>
          <w:bCs w:val="1"/>
          <w:sz w:val="22"/>
          <w:szCs w:val="22"/>
        </w:rPr>
        <w:t>m</w:t>
      </w:r>
      <w:r w:rsidRPr="6CBC204B" w:rsidR="0EF41D6F">
        <w:rPr>
          <w:b w:val="1"/>
          <w:bCs w:val="1"/>
          <w:color w:val="000000" w:themeColor="text1" w:themeTint="FF" w:themeShade="FF"/>
          <w:sz w:val="22"/>
          <w:szCs w:val="22"/>
        </w:rPr>
        <w:t xml:space="preserve">ínimos de </w:t>
      </w:r>
      <w:r w:rsidRPr="6CBC204B" w:rsidR="0EF41D6F">
        <w:rPr>
          <w:b w:val="1"/>
          <w:bCs w:val="1"/>
          <w:sz w:val="22"/>
          <w:szCs w:val="22"/>
        </w:rPr>
        <w:t>q</w:t>
      </w:r>
      <w:r w:rsidRPr="6CBC204B" w:rsidR="0EF41D6F">
        <w:rPr>
          <w:b w:val="1"/>
          <w:bCs w:val="1"/>
          <w:color w:val="000000" w:themeColor="text1" w:themeTint="FF" w:themeShade="FF"/>
          <w:sz w:val="22"/>
          <w:szCs w:val="22"/>
        </w:rPr>
        <w:t xml:space="preserve">ualidade: </w:t>
      </w:r>
      <w:r w:rsidRPr="6CBC204B" w:rsidR="0EF41D6F">
        <w:rPr>
          <w:sz w:val="22"/>
          <w:szCs w:val="22"/>
        </w:rPr>
        <w:t>a</w:t>
      </w:r>
      <w:r w:rsidRPr="6CBC204B" w:rsidR="0EF41D6F">
        <w:rPr>
          <w:color w:val="000000" w:themeColor="text1" w:themeTint="FF" w:themeShade="FF"/>
          <w:sz w:val="22"/>
          <w:szCs w:val="22"/>
        </w:rPr>
        <w:t xml:space="preserve">o redigir requisitos de padrões mínimos de qualidade para documentos de contratação pública, como </w:t>
      </w:r>
      <w:r w:rsidRPr="6CBC204B" w:rsidR="0EF41D6F">
        <w:rPr>
          <w:sz w:val="22"/>
          <w:szCs w:val="22"/>
        </w:rPr>
        <w:t>t</w:t>
      </w:r>
      <w:r w:rsidRPr="6CBC204B" w:rsidR="0EF41D6F">
        <w:rPr>
          <w:color w:val="000000" w:themeColor="text1" w:themeTint="FF" w:themeShade="FF"/>
          <w:sz w:val="22"/>
          <w:szCs w:val="22"/>
        </w:rPr>
        <w:t xml:space="preserve">ermos de </w:t>
      </w:r>
      <w:r w:rsidRPr="6CBC204B" w:rsidR="0EF41D6F">
        <w:rPr>
          <w:sz w:val="22"/>
          <w:szCs w:val="22"/>
        </w:rPr>
        <w:t>r</w:t>
      </w:r>
      <w:r w:rsidRPr="6CBC204B" w:rsidR="0EF41D6F">
        <w:rPr>
          <w:color w:val="000000" w:themeColor="text1" w:themeTint="FF" w:themeShade="FF"/>
          <w:sz w:val="22"/>
          <w:szCs w:val="22"/>
        </w:rPr>
        <w:t xml:space="preserve">eferência ou </w:t>
      </w:r>
      <w:r w:rsidRPr="6CBC204B" w:rsidR="0EF41D6F">
        <w:rPr>
          <w:sz w:val="22"/>
          <w:szCs w:val="22"/>
        </w:rPr>
        <w:t>e</w:t>
      </w:r>
      <w:r w:rsidRPr="6CBC204B" w:rsidR="0EF41D6F">
        <w:rPr>
          <w:color w:val="000000" w:themeColor="text1" w:themeTint="FF" w:themeShade="FF"/>
          <w:sz w:val="22"/>
          <w:szCs w:val="22"/>
        </w:rPr>
        <w:t>ditais, é essencial observar as diretrizes estabelecidas pela Lei nº 14.133/2021 e pela Instrução Normativa nº 58/2021, entre outras normativas aplicáveis. A seguir, são fornecidas orientações detalhadas para a correta inclusão desses requisitos:</w:t>
      </w:r>
    </w:p>
    <w:p w:rsidR="006430DA" w:rsidRDefault="00B54928" w14:paraId="00000045" w14:textId="77777777">
      <w:pPr>
        <w:pBdr>
          <w:top w:val="nil"/>
          <w:left w:val="nil"/>
          <w:bottom w:val="nil"/>
          <w:right w:val="nil"/>
          <w:between w:val="nil"/>
        </w:pBdr>
        <w:spacing w:line="240" w:lineRule="auto"/>
        <w:jc w:val="both"/>
        <w:rPr>
          <w:color w:val="000000"/>
        </w:rPr>
      </w:pPr>
      <w:r>
        <w:rPr>
          <w:b/>
          <w:color w:val="000000"/>
        </w:rPr>
        <w:t xml:space="preserve">Especificação </w:t>
      </w:r>
      <w:r>
        <w:rPr>
          <w:b/>
        </w:rPr>
        <w:t>t</w:t>
      </w:r>
      <w:r>
        <w:rPr>
          <w:b/>
          <w:color w:val="000000"/>
        </w:rPr>
        <w:t xml:space="preserve">écnica e </w:t>
      </w:r>
      <w:r>
        <w:rPr>
          <w:b/>
        </w:rPr>
        <w:t>n</w:t>
      </w:r>
      <w:r>
        <w:rPr>
          <w:b/>
          <w:color w:val="000000"/>
        </w:rPr>
        <w:t xml:space="preserve">ormas de </w:t>
      </w:r>
      <w:r>
        <w:rPr>
          <w:b/>
        </w:rPr>
        <w:t>q</w:t>
      </w:r>
      <w:r>
        <w:rPr>
          <w:b/>
          <w:color w:val="000000"/>
        </w:rPr>
        <w:t>ualidade</w:t>
      </w:r>
      <w:r>
        <w:rPr>
          <w:color w:val="000000"/>
        </w:rPr>
        <w:t>:</w:t>
      </w:r>
    </w:p>
    <w:p w:rsidR="006430DA" w:rsidRDefault="00B54928" w14:paraId="00000046" w14:textId="77777777">
      <w:pPr>
        <w:numPr>
          <w:ilvl w:val="1"/>
          <w:numId w:val="1"/>
        </w:numPr>
        <w:pBdr>
          <w:top w:val="nil"/>
          <w:left w:val="nil"/>
          <w:bottom w:val="nil"/>
          <w:right w:val="nil"/>
          <w:between w:val="nil"/>
        </w:pBdr>
        <w:spacing w:line="240" w:lineRule="auto"/>
        <w:ind w:left="709" w:hanging="283"/>
        <w:jc w:val="both"/>
        <w:rPr>
          <w:color w:val="000000"/>
        </w:rPr>
      </w:pPr>
      <w:r>
        <w:rPr>
          <w:b/>
          <w:color w:val="000000"/>
        </w:rPr>
        <w:t>Descreva com precisão o produto ou serviço</w:t>
      </w:r>
      <w:r>
        <w:rPr>
          <w:color w:val="000000"/>
        </w:rPr>
        <w:t xml:space="preserve">: </w:t>
      </w:r>
      <w:r>
        <w:t>c</w:t>
      </w:r>
      <w:r>
        <w:rPr>
          <w:color w:val="000000"/>
        </w:rPr>
        <w:t xml:space="preserve">onsiderando que o </w:t>
      </w:r>
      <w:r>
        <w:t>e</w:t>
      </w:r>
      <w:r>
        <w:rPr>
          <w:color w:val="000000"/>
        </w:rPr>
        <w:t xml:space="preserve">studo </w:t>
      </w:r>
      <w:r>
        <w:t>t</w:t>
      </w:r>
      <w:r>
        <w:rPr>
          <w:color w:val="000000"/>
        </w:rPr>
        <w:t xml:space="preserve">écnico </w:t>
      </w:r>
      <w:r>
        <w:t>p</w:t>
      </w:r>
      <w:r>
        <w:rPr>
          <w:color w:val="000000"/>
        </w:rPr>
        <w:t xml:space="preserve">reliminar é o documento que antecede o </w:t>
      </w:r>
      <w:r>
        <w:t>t</w:t>
      </w:r>
      <w:r>
        <w:rPr>
          <w:color w:val="000000"/>
        </w:rPr>
        <w:t xml:space="preserve">ermo </w:t>
      </w:r>
      <w:r>
        <w:t>r</w:t>
      </w:r>
      <w:r>
        <w:rPr>
          <w:color w:val="000000"/>
        </w:rPr>
        <w:t>eferência, cumpre informar que o termo de referência deve conter uma especificação detalhada, incluindo todos os requisitos de qualidade, durabilidade, segurança e desempenho esperados. Esta descrição deve, preferencialmente, seguir padrões normativos reconhecidos, como os estabelecidos pela Associação Brasileira de Normas Técnicas (ABNT) ou por órgãos equivalentes.</w:t>
      </w:r>
    </w:p>
    <w:p w:rsidR="006430DA" w:rsidRDefault="00B54928" w14:paraId="00000047" w14:textId="77777777">
      <w:pPr>
        <w:numPr>
          <w:ilvl w:val="1"/>
          <w:numId w:val="1"/>
        </w:numPr>
        <w:pBdr>
          <w:top w:val="nil"/>
          <w:left w:val="nil"/>
          <w:bottom w:val="nil"/>
          <w:right w:val="nil"/>
          <w:between w:val="nil"/>
        </w:pBdr>
        <w:spacing w:line="240" w:lineRule="auto"/>
        <w:ind w:left="709" w:hanging="283"/>
        <w:jc w:val="both"/>
        <w:rPr>
          <w:color w:val="000000"/>
        </w:rPr>
      </w:pPr>
      <w:r>
        <w:rPr>
          <w:b/>
          <w:color w:val="000000"/>
        </w:rPr>
        <w:t>Exija conformidade com normas técnicas</w:t>
      </w:r>
      <w:r>
        <w:rPr>
          <w:color w:val="000000"/>
        </w:rPr>
        <w:t xml:space="preserve">: </w:t>
      </w:r>
      <w:r>
        <w:t>o</w:t>
      </w:r>
      <w:r>
        <w:rPr>
          <w:color w:val="000000"/>
        </w:rPr>
        <w:t xml:space="preserve"> produto ou serviço deve estar em conformidade com normas técnicas estabelecidas por órgãos oficiais competentes ou entidades credenciadas pelo Inst</w:t>
      </w:r>
      <w:r>
        <w:t>ituto Nacional de Metrologia, Normalização e Qualidade Industrial (Inmetro)</w:t>
      </w:r>
      <w:r>
        <w:rPr>
          <w:color w:val="000000"/>
        </w:rPr>
        <w:t xml:space="preserve">, como estipulado no </w:t>
      </w:r>
      <w:r>
        <w:t>a</w:t>
      </w:r>
      <w:r>
        <w:rPr>
          <w:color w:val="000000"/>
        </w:rPr>
        <w:t xml:space="preserve">rt. 42, da Lei nº 14.133/2021​. A exigência de certificação por instituições credenciadas pelo Conselho Nacional de </w:t>
      </w:r>
      <w:r>
        <w:t>Metrologia, Normalização e Qualidade Industrial (</w:t>
      </w:r>
      <w:r>
        <w:rPr>
          <w:color w:val="000000"/>
        </w:rPr>
        <w:t>Conmetro) é permitida como condição de aceitabilidade da proposta​.</w:t>
      </w:r>
    </w:p>
    <w:p w:rsidR="006430DA" w:rsidRDefault="00B54928" w14:paraId="00000048" w14:textId="77777777">
      <w:pPr>
        <w:pBdr>
          <w:top w:val="nil"/>
          <w:left w:val="nil"/>
          <w:bottom w:val="nil"/>
          <w:right w:val="nil"/>
          <w:between w:val="nil"/>
        </w:pBdr>
        <w:spacing w:line="240" w:lineRule="auto"/>
        <w:jc w:val="both"/>
        <w:rPr>
          <w:color w:val="000000"/>
        </w:rPr>
      </w:pPr>
      <w:r>
        <w:rPr>
          <w:b/>
          <w:color w:val="000000"/>
        </w:rPr>
        <w:t xml:space="preserve">Certificação e </w:t>
      </w:r>
      <w:r>
        <w:rPr>
          <w:b/>
        </w:rPr>
        <w:t>d</w:t>
      </w:r>
      <w:r>
        <w:rPr>
          <w:b/>
          <w:color w:val="000000"/>
        </w:rPr>
        <w:t xml:space="preserve">ocumentação de </w:t>
      </w:r>
      <w:r>
        <w:rPr>
          <w:b/>
        </w:rPr>
        <w:t>c</w:t>
      </w:r>
      <w:r>
        <w:rPr>
          <w:b/>
          <w:color w:val="000000"/>
        </w:rPr>
        <w:t>onformidade</w:t>
      </w:r>
      <w:r>
        <w:rPr>
          <w:color w:val="000000"/>
        </w:rPr>
        <w:t>:</w:t>
      </w:r>
    </w:p>
    <w:p w:rsidR="006430DA" w:rsidRDefault="00B54928" w14:paraId="00000049" w14:textId="77777777">
      <w:pPr>
        <w:numPr>
          <w:ilvl w:val="0"/>
          <w:numId w:val="4"/>
        </w:numPr>
        <w:pBdr>
          <w:top w:val="nil"/>
          <w:left w:val="nil"/>
          <w:bottom w:val="nil"/>
          <w:right w:val="nil"/>
          <w:between w:val="nil"/>
        </w:pBdr>
        <w:spacing w:line="240" w:lineRule="auto"/>
        <w:jc w:val="both"/>
        <w:rPr>
          <w:color w:val="000000"/>
        </w:rPr>
      </w:pPr>
      <w:r>
        <w:rPr>
          <w:b/>
          <w:color w:val="000000"/>
        </w:rPr>
        <w:t>Solicite certificações de qualidade</w:t>
      </w:r>
      <w:r>
        <w:rPr>
          <w:color w:val="000000"/>
        </w:rPr>
        <w:t xml:space="preserve">: </w:t>
      </w:r>
      <w:r>
        <w:t>d</w:t>
      </w:r>
      <w:r>
        <w:rPr>
          <w:color w:val="000000"/>
        </w:rPr>
        <w:t xml:space="preserve">ependendo da natureza do objeto da contratação, é recomendável exigir certificações específicas. Por exemplo, para equipamentos sob regime de vigilância sanitária, pode-se exigir a apresentação do </w:t>
      </w:r>
      <w:r>
        <w:t>s</w:t>
      </w:r>
      <w:r>
        <w:rPr>
          <w:color w:val="000000"/>
        </w:rPr>
        <w:t xml:space="preserve">elo de </w:t>
      </w:r>
      <w:r>
        <w:t>i</w:t>
      </w:r>
      <w:r>
        <w:rPr>
          <w:color w:val="000000"/>
        </w:rPr>
        <w:t xml:space="preserve">dentificação da </w:t>
      </w:r>
      <w:r>
        <w:t>c</w:t>
      </w:r>
      <w:r>
        <w:rPr>
          <w:color w:val="000000"/>
        </w:rPr>
        <w:t>onformidade do Inmetro​.</w:t>
      </w:r>
    </w:p>
    <w:p w:rsidR="006430DA" w:rsidRDefault="00B54928" w14:paraId="0000004A" w14:textId="77777777">
      <w:pPr>
        <w:numPr>
          <w:ilvl w:val="0"/>
          <w:numId w:val="4"/>
        </w:numPr>
        <w:pBdr>
          <w:top w:val="nil"/>
          <w:left w:val="nil"/>
          <w:bottom w:val="nil"/>
          <w:right w:val="nil"/>
          <w:between w:val="nil"/>
        </w:pBdr>
        <w:spacing w:line="240" w:lineRule="auto"/>
        <w:jc w:val="both"/>
        <w:rPr>
          <w:color w:val="000000"/>
        </w:rPr>
      </w:pPr>
      <w:r>
        <w:rPr>
          <w:b/>
          <w:color w:val="000000"/>
        </w:rPr>
        <w:t>Prova de conformidade</w:t>
      </w:r>
      <w:r>
        <w:rPr>
          <w:color w:val="000000"/>
        </w:rPr>
        <w:t xml:space="preserve">: </w:t>
      </w:r>
      <w:r>
        <w:t>é</w:t>
      </w:r>
      <w:r>
        <w:rPr>
          <w:color w:val="000000"/>
        </w:rPr>
        <w:t xml:space="preserve"> fundamental prever a exigência de amostras, laudos laboratoriais ou outros documentos que comprovem a qualidade e conformidade do produto com os padrões especificados. Esta exigência pode ser feita na fase de julgamento das propostas ou como condição para a formalização do contrato​.</w:t>
      </w:r>
    </w:p>
    <w:p w:rsidR="006430DA" w:rsidRDefault="00B54928" w14:paraId="0000004B" w14:textId="77777777">
      <w:pPr>
        <w:pBdr>
          <w:top w:val="nil"/>
          <w:left w:val="nil"/>
          <w:bottom w:val="nil"/>
          <w:right w:val="nil"/>
          <w:between w:val="nil"/>
        </w:pBdr>
        <w:spacing w:line="240" w:lineRule="auto"/>
        <w:jc w:val="both"/>
        <w:rPr>
          <w:color w:val="000000"/>
        </w:rPr>
      </w:pPr>
      <w:r>
        <w:rPr>
          <w:b/>
          <w:color w:val="000000"/>
        </w:rPr>
        <w:t xml:space="preserve">Padronização e </w:t>
      </w:r>
      <w:r>
        <w:rPr>
          <w:b/>
        </w:rPr>
        <w:t>a</w:t>
      </w:r>
      <w:r>
        <w:rPr>
          <w:b/>
          <w:color w:val="000000"/>
        </w:rPr>
        <w:t>valiação</w:t>
      </w:r>
      <w:r>
        <w:rPr>
          <w:color w:val="000000"/>
        </w:rPr>
        <w:t>:</w:t>
      </w:r>
    </w:p>
    <w:p w:rsidR="006430DA" w:rsidRDefault="00B54928" w14:paraId="0000004C" w14:textId="77777777">
      <w:pPr>
        <w:numPr>
          <w:ilvl w:val="0"/>
          <w:numId w:val="6"/>
        </w:numPr>
        <w:pBdr>
          <w:top w:val="nil"/>
          <w:left w:val="nil"/>
          <w:bottom w:val="nil"/>
          <w:right w:val="nil"/>
          <w:between w:val="nil"/>
        </w:pBdr>
        <w:spacing w:line="240" w:lineRule="auto"/>
        <w:jc w:val="both"/>
        <w:rPr>
          <w:color w:val="000000"/>
        </w:rPr>
      </w:pPr>
      <w:r>
        <w:rPr>
          <w:b/>
          <w:color w:val="000000"/>
        </w:rPr>
        <w:t>Estabeleça critérios claros de avaliação</w:t>
      </w:r>
      <w:r>
        <w:rPr>
          <w:color w:val="000000"/>
        </w:rPr>
        <w:t xml:space="preserve">: </w:t>
      </w:r>
      <w:r>
        <w:t>o</w:t>
      </w:r>
      <w:r>
        <w:rPr>
          <w:color w:val="000000"/>
        </w:rPr>
        <w:t xml:space="preserve"> processo de padronização deve incluir um parecer técnico detalhado sobre as especificações técnicas e estéticas, desempenho, custo, manutenção, e garantias do produto​. A adoção do padrão deve ser justificada por despacho motivado da autoridade competente.</w:t>
      </w:r>
    </w:p>
    <w:p w:rsidR="006430DA" w:rsidRDefault="00B54928" w14:paraId="0000004D" w14:textId="77777777">
      <w:pPr>
        <w:numPr>
          <w:ilvl w:val="0"/>
          <w:numId w:val="6"/>
        </w:numPr>
        <w:pBdr>
          <w:top w:val="nil"/>
          <w:left w:val="nil"/>
          <w:bottom w:val="nil"/>
          <w:right w:val="nil"/>
          <w:between w:val="nil"/>
        </w:pBdr>
        <w:spacing w:line="240" w:lineRule="auto"/>
        <w:jc w:val="both"/>
        <w:rPr>
          <w:color w:val="000000"/>
        </w:rPr>
      </w:pPr>
      <w:r>
        <w:rPr>
          <w:b/>
          <w:color w:val="000000"/>
        </w:rPr>
        <w:t>Utilize o processo de padronização de outros órgãos como referência</w:t>
      </w:r>
      <w:r>
        <w:rPr>
          <w:color w:val="000000"/>
        </w:rPr>
        <w:t xml:space="preserve">: </w:t>
      </w:r>
      <w:r>
        <w:t>q</w:t>
      </w:r>
      <w:r>
        <w:rPr>
          <w:color w:val="000000"/>
        </w:rPr>
        <w:t>uando aplicável, é permitido aderir a processos de padronização adotados por outros órgãos ou entidades de nível federativo equivalente ou superior, desde que devidamente justificado e divulgado​.</w:t>
      </w:r>
    </w:p>
    <w:p w:rsidR="006430DA" w:rsidRDefault="00B54928" w14:paraId="0000004E" w14:textId="77777777">
      <w:pPr>
        <w:pBdr>
          <w:top w:val="nil"/>
          <w:left w:val="nil"/>
          <w:bottom w:val="nil"/>
          <w:right w:val="nil"/>
          <w:between w:val="nil"/>
        </w:pBdr>
        <w:spacing w:line="240" w:lineRule="auto"/>
        <w:ind w:left="360"/>
        <w:jc w:val="both"/>
        <w:rPr>
          <w:color w:val="000000"/>
        </w:rPr>
      </w:pPr>
      <w:r>
        <w:rPr>
          <w:b/>
          <w:color w:val="000000"/>
        </w:rPr>
        <w:t xml:space="preserve">Inclusão no </w:t>
      </w:r>
      <w:r>
        <w:rPr>
          <w:b/>
        </w:rPr>
        <w:t>t</w:t>
      </w:r>
      <w:r>
        <w:rPr>
          <w:b/>
          <w:color w:val="000000"/>
        </w:rPr>
        <w:t xml:space="preserve">ermo de </w:t>
      </w:r>
      <w:r>
        <w:rPr>
          <w:b/>
        </w:rPr>
        <w:t>r</w:t>
      </w:r>
      <w:r>
        <w:rPr>
          <w:b/>
          <w:color w:val="000000"/>
        </w:rPr>
        <w:t>eferência</w:t>
      </w:r>
      <w:r>
        <w:rPr>
          <w:color w:val="000000"/>
        </w:rPr>
        <w:t>:</w:t>
      </w:r>
    </w:p>
    <w:p w:rsidR="006430DA" w:rsidRDefault="00B54928" w14:paraId="0000004F" w14:textId="77777777">
      <w:pPr>
        <w:numPr>
          <w:ilvl w:val="0"/>
          <w:numId w:val="8"/>
        </w:numPr>
        <w:pBdr>
          <w:top w:val="nil"/>
          <w:left w:val="nil"/>
          <w:bottom w:val="nil"/>
          <w:right w:val="nil"/>
          <w:between w:val="nil"/>
        </w:pBdr>
        <w:spacing w:line="240" w:lineRule="auto"/>
        <w:jc w:val="both"/>
        <w:rPr>
          <w:color w:val="000000"/>
        </w:rPr>
      </w:pPr>
      <w:r>
        <w:rPr>
          <w:b/>
          <w:color w:val="000000"/>
        </w:rPr>
        <w:t>Detalhe as obrigações da contratada</w:t>
      </w:r>
      <w:r>
        <w:rPr>
          <w:color w:val="000000"/>
        </w:rPr>
        <w:t xml:space="preserve">: </w:t>
      </w:r>
      <w:r>
        <w:t>o</w:t>
      </w:r>
      <w:r>
        <w:rPr>
          <w:color w:val="000000"/>
        </w:rPr>
        <w:t xml:space="preserve"> termo de referência deve especificar as obrigações da contratada em relação ao cumprimento dos padrões de qualidade, incluindo a apresentação de certificados de conformidade e a garantia de que os produtos ou serviços fornecidos estejam em conformidade com as normas aplicáveis​.</w:t>
      </w:r>
    </w:p>
    <w:p w:rsidR="006430DA" w:rsidRDefault="00B54928" w14:paraId="00000050" w14:textId="77777777">
      <w:pPr>
        <w:numPr>
          <w:ilvl w:val="0"/>
          <w:numId w:val="8"/>
        </w:numPr>
        <w:pBdr>
          <w:top w:val="nil"/>
          <w:left w:val="nil"/>
          <w:bottom w:val="nil"/>
          <w:right w:val="nil"/>
          <w:between w:val="nil"/>
        </w:pBdr>
        <w:spacing w:line="240" w:lineRule="auto"/>
        <w:jc w:val="both"/>
        <w:rPr>
          <w:color w:val="000000"/>
        </w:rPr>
      </w:pPr>
      <w:r>
        <w:rPr>
          <w:b/>
          <w:color w:val="000000"/>
        </w:rPr>
        <w:t>Indique condições para a aceitação das propostas</w:t>
      </w:r>
      <w:r>
        <w:rPr>
          <w:color w:val="000000"/>
        </w:rPr>
        <w:t xml:space="preserve">: </w:t>
      </w:r>
      <w:r>
        <w:t>n</w:t>
      </w:r>
      <w:r>
        <w:rPr>
          <w:color w:val="000000"/>
        </w:rPr>
        <w:t>o edital, devem ser estabelecidas condições claras para a aceitação das propostas, como a exigência de apresentação de certificações e amostras comprovando que o produto ou serviço atende aos requisitos técnicos​.</w:t>
      </w:r>
    </w:p>
    <w:p w:rsidR="006430DA" w:rsidP="01118B6B" w:rsidRDefault="00B54928" w14:paraId="00000051" w14:textId="58562CD2">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000000"/>
        </w:rPr>
      </w:pPr>
      <w:r w:rsidRPr="01118B6B" w:rsidR="00B54928">
        <w:rPr>
          <w:b w:val="1"/>
          <w:bCs w:val="1"/>
          <w:color w:val="000000" w:themeColor="text1" w:themeTint="FF" w:themeShade="FF"/>
        </w:rPr>
        <w:t xml:space="preserve">Tópico 4.9. Participação de </w:t>
      </w:r>
      <w:r w:rsidRPr="01118B6B" w:rsidR="00B54928">
        <w:rPr>
          <w:b w:val="1"/>
          <w:bCs w:val="1"/>
        </w:rPr>
        <w:t>c</w:t>
      </w:r>
      <w:r w:rsidRPr="01118B6B" w:rsidR="00B54928">
        <w:rPr>
          <w:b w:val="1"/>
          <w:bCs w:val="1"/>
          <w:color w:val="000000" w:themeColor="text1" w:themeTint="FF" w:themeShade="FF"/>
        </w:rPr>
        <w:t>onsórcio</w:t>
      </w:r>
      <w:r w:rsidRPr="01118B6B" w:rsidR="00B54928">
        <w:rPr>
          <w:color w:val="000000" w:themeColor="text1" w:themeTint="FF" w:themeShade="FF"/>
        </w:rPr>
        <w:t xml:space="preserve">: </w:t>
      </w:r>
      <w:r w:rsidR="00B54928">
        <w:rPr/>
        <w:t>a</w:t>
      </w:r>
      <w:r w:rsidRPr="01118B6B" w:rsidR="00B54928">
        <w:rPr>
          <w:color w:val="000000" w:themeColor="text1" w:themeTint="FF" w:themeShade="FF"/>
        </w:rPr>
        <w:t xml:space="preserve"> vedação de participação no processo licitatório de pessoas jurídicas reunidas em consórcio é medida </w:t>
      </w:r>
      <w:r w:rsidRPr="01118B6B" w:rsidR="00B54928">
        <w:rPr>
          <w:color w:val="000000" w:themeColor="text1" w:themeTint="FF" w:themeShade="FF"/>
        </w:rPr>
        <w:t>excepcional</w:t>
      </w:r>
      <w:r w:rsidRPr="01118B6B" w:rsidR="00B54928">
        <w:rPr>
          <w:color w:val="000000" w:themeColor="text1" w:themeTint="FF" w:themeShade="FF"/>
        </w:rPr>
        <w:t xml:space="preserve"> e a adoção dessa restrição está condicionada à apresentação de justificativa pela área técnica do órgão assessorado, nos termos do </w:t>
      </w:r>
      <w:r w:rsidRPr="01118B6B" w:rsidR="00B54928">
        <w:rPr>
          <w:color w:val="000000" w:themeColor="text1" w:themeTint="FF" w:themeShade="FF"/>
        </w:rPr>
        <w:t>art</w:t>
      </w:r>
      <w:r w:rsidRPr="01118B6B" w:rsidR="00B54928">
        <w:rPr>
          <w:color w:val="000000" w:themeColor="text1" w:themeTint="FF" w:themeShade="FF"/>
        </w:rPr>
        <w:t xml:space="preserve">. 15, </w:t>
      </w:r>
      <w:r w:rsidRPr="01118B6B" w:rsidR="00B54928">
        <w:rPr>
          <w:i w:val="1"/>
          <w:iCs w:val="1"/>
          <w:color w:val="000000" w:themeColor="text1" w:themeTint="FF" w:themeShade="FF"/>
        </w:rPr>
        <w:t>caput</w:t>
      </w:r>
      <w:r w:rsidRPr="01118B6B" w:rsidR="00B54928">
        <w:rPr>
          <w:color w:val="000000" w:themeColor="text1" w:themeTint="FF" w:themeShade="FF"/>
        </w:rPr>
        <w:t xml:space="preserve">, da </w:t>
      </w:r>
      <w:r w:rsidRPr="01118B6B" w:rsidR="00B54928">
        <w:rPr>
          <w:color w:val="000000" w:themeColor="text1" w:themeTint="FF" w:themeShade="FF"/>
        </w:rPr>
        <w:t>Lei</w:t>
      </w:r>
      <w:r w:rsidR="00B54928">
        <w:rPr/>
        <w:t xml:space="preserve"> nº</w:t>
      </w:r>
      <w:r w:rsidRPr="01118B6B" w:rsidR="00B54928">
        <w:rPr>
          <w:color w:val="000000" w:themeColor="text1" w:themeTint="FF" w:themeShade="FF"/>
        </w:rPr>
        <w:t xml:space="preserve"> 14.133, de 2021.</w:t>
      </w:r>
    </w:p>
    <w:p w:rsidR="006430DA" w:rsidP="01118B6B" w:rsidRDefault="00B54928" w14:paraId="00000052" w14:textId="10E4ECCA">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000000"/>
        </w:rPr>
      </w:pPr>
      <w:r w:rsidRPr="01118B6B" w:rsidR="00B54928">
        <w:rPr>
          <w:color w:val="000000" w:themeColor="text1" w:themeTint="FF" w:themeShade="FF"/>
        </w:rPr>
        <w:t xml:space="preserve">Adicionalmente, informa-se que, se o consórcio não for formado exclusivamente por microempresas ou empresas de pequeno porte e o termo de referência exigir requisitos de habilitação </w:t>
      </w:r>
      <w:r w:rsidRPr="01118B6B" w:rsidR="00B54928">
        <w:rPr>
          <w:color w:val="000000" w:themeColor="text1" w:themeTint="FF" w:themeShade="FF"/>
        </w:rPr>
        <w:t>econômico-financeir</w:t>
      </w:r>
      <w:r w:rsidRPr="01118B6B" w:rsidR="7DF3926F">
        <w:rPr>
          <w:color w:val="000000" w:themeColor="text1" w:themeTint="FF" w:themeShade="FF"/>
        </w:rPr>
        <w:t>o</w:t>
      </w:r>
      <w:r w:rsidRPr="01118B6B" w:rsidR="00B54928">
        <w:rPr>
          <w:color w:val="000000" w:themeColor="text1" w:themeTint="FF" w:themeShade="FF"/>
        </w:rPr>
        <w:t xml:space="preserve">, haverá um acréscimo de </w:t>
      </w:r>
      <w:r w:rsidRPr="01118B6B" w:rsidR="00B54928">
        <w:rPr>
          <w:color w:val="000000" w:themeColor="text1" w:themeTint="FF" w:themeShade="FF"/>
          <w:highlight w:val="yellow"/>
        </w:rPr>
        <w:t>[inserir um percentual de 10% a 30%, salvo se houver justificativa documentada para isenção desse acréscimo</w:t>
      </w:r>
      <w:r w:rsidRPr="01118B6B" w:rsidR="00B54928">
        <w:rPr>
          <w:color w:val="000000" w:themeColor="text1" w:themeTint="FF" w:themeShade="FF"/>
        </w:rPr>
        <w:t>] no valor exigido para os licitantes individuais. Sugere-se que o percentual seja incluído no edital ou que seja apresentada uma justificativa adequada para a dispensa desse acréscimo.</w:t>
      </w:r>
    </w:p>
    <w:p w:rsidR="006430DA" w:rsidRDefault="00B54928" w14:paraId="00000053" w14:textId="77777777">
      <w:pPr>
        <w:pBdr>
          <w:top w:val="nil"/>
          <w:left w:val="nil"/>
          <w:bottom w:val="nil"/>
          <w:right w:val="nil"/>
          <w:between w:val="nil"/>
        </w:pBdr>
        <w:spacing w:line="240" w:lineRule="auto"/>
        <w:ind w:left="360"/>
        <w:jc w:val="both"/>
        <w:rPr>
          <w:color w:val="000000"/>
        </w:rPr>
      </w:pPr>
      <w:r>
        <w:rPr>
          <w:color w:val="000000"/>
        </w:rPr>
        <w:t xml:space="preserve">Tópico 5. </w:t>
      </w:r>
      <w:r>
        <w:rPr>
          <w:b/>
          <w:color w:val="000000"/>
        </w:rPr>
        <w:t xml:space="preserve">Levantamento de </w:t>
      </w:r>
      <w:r>
        <w:rPr>
          <w:b/>
        </w:rPr>
        <w:t>m</w:t>
      </w:r>
      <w:r>
        <w:rPr>
          <w:b/>
          <w:color w:val="000000"/>
        </w:rPr>
        <w:t xml:space="preserve">ercado: </w:t>
      </w:r>
      <w:r>
        <w:t>p</w:t>
      </w:r>
      <w:r>
        <w:rPr>
          <w:color w:val="000000"/>
        </w:rPr>
        <w:t xml:space="preserve">ara conduzir o </w:t>
      </w:r>
      <w:r>
        <w:rPr>
          <w:b/>
        </w:rPr>
        <w:t>l</w:t>
      </w:r>
      <w:r>
        <w:rPr>
          <w:b/>
          <w:color w:val="000000"/>
        </w:rPr>
        <w:t xml:space="preserve">evantamento de </w:t>
      </w:r>
      <w:r>
        <w:rPr>
          <w:b/>
        </w:rPr>
        <w:t>m</w:t>
      </w:r>
      <w:r>
        <w:rPr>
          <w:b/>
          <w:color w:val="000000"/>
        </w:rPr>
        <w:t>ercado</w:t>
      </w:r>
      <w:r>
        <w:rPr>
          <w:color w:val="000000"/>
        </w:rPr>
        <w:t xml:space="preserve"> no contexto da elaboração de um Estudo Técnico Preliminar (ETP), é essencial seguir um processo estruturado e estratégico. O levantamento é a base para identificar a solução mais adequada às necessidades da Administração Pública, garantindo a escolha de alternativas viáveis e eficientes. Se</w:t>
      </w:r>
      <w:r>
        <w:t xml:space="preserve">guem as </w:t>
      </w:r>
      <w:r>
        <w:rPr>
          <w:color w:val="000000"/>
        </w:rPr>
        <w:t>diretrizes essenciais:</w:t>
      </w:r>
    </w:p>
    <w:p w:rsidR="006430DA" w:rsidRDefault="00B54928" w14:paraId="00000054" w14:textId="77777777">
      <w:pPr>
        <w:pBdr>
          <w:top w:val="nil"/>
          <w:left w:val="nil"/>
          <w:bottom w:val="nil"/>
          <w:right w:val="nil"/>
          <w:between w:val="nil"/>
        </w:pBdr>
        <w:spacing w:after="60" w:line="240" w:lineRule="auto"/>
        <w:jc w:val="both"/>
        <w:rPr>
          <w:color w:val="000000"/>
        </w:rPr>
      </w:pPr>
      <w:r>
        <w:rPr>
          <w:b/>
          <w:color w:val="000000"/>
        </w:rPr>
        <w:t xml:space="preserve">Definição </w:t>
      </w:r>
      <w:r>
        <w:rPr>
          <w:b/>
        </w:rPr>
        <w:t>c</w:t>
      </w:r>
      <w:r>
        <w:rPr>
          <w:b/>
          <w:color w:val="000000"/>
        </w:rPr>
        <w:t xml:space="preserve">lara dos </w:t>
      </w:r>
      <w:r>
        <w:rPr>
          <w:b/>
        </w:rPr>
        <w:t>o</w:t>
      </w:r>
      <w:r>
        <w:rPr>
          <w:b/>
          <w:color w:val="000000"/>
        </w:rPr>
        <w:t>bjetivos</w:t>
      </w:r>
    </w:p>
    <w:p w:rsidR="006430DA" w:rsidRDefault="00B54928" w14:paraId="00000055" w14:textId="77777777">
      <w:pPr>
        <w:numPr>
          <w:ilvl w:val="0"/>
          <w:numId w:val="27"/>
        </w:numPr>
        <w:pBdr>
          <w:top w:val="nil"/>
          <w:left w:val="nil"/>
          <w:bottom w:val="nil"/>
          <w:right w:val="nil"/>
          <w:between w:val="nil"/>
        </w:pBdr>
        <w:spacing w:line="240" w:lineRule="auto"/>
        <w:jc w:val="both"/>
        <w:rPr>
          <w:color w:val="000000"/>
        </w:rPr>
      </w:pPr>
      <w:r>
        <w:rPr>
          <w:color w:val="000000"/>
        </w:rPr>
        <w:t>Estabeleça de forma explícita os objetivos do levantamento, como a obtenção de informações sobre alternativas disponíveis, preços de mercado, tendências tecnológicas, e capacidades dos fornecedores. Isso ajudará a orientar as atividades de pesquisa e garantir que os dados coletados sejam relevantes e úteis para a tomada de decisão.</w:t>
      </w:r>
    </w:p>
    <w:p w:rsidR="006430DA" w:rsidRDefault="00B54928" w14:paraId="00000056" w14:textId="77777777">
      <w:pPr>
        <w:pBdr>
          <w:top w:val="nil"/>
          <w:left w:val="nil"/>
          <w:bottom w:val="nil"/>
          <w:right w:val="nil"/>
          <w:between w:val="nil"/>
        </w:pBdr>
        <w:spacing w:after="60" w:line="240" w:lineRule="auto"/>
        <w:jc w:val="both"/>
        <w:rPr>
          <w:color w:val="000000"/>
        </w:rPr>
      </w:pPr>
      <w:r>
        <w:rPr>
          <w:b/>
          <w:color w:val="000000"/>
        </w:rPr>
        <w:t xml:space="preserve">Seleção de </w:t>
      </w:r>
      <w:r>
        <w:rPr>
          <w:b/>
        </w:rPr>
        <w:t>t</w:t>
      </w:r>
      <w:r>
        <w:rPr>
          <w:b/>
          <w:color w:val="000000"/>
        </w:rPr>
        <w:t xml:space="preserve">écnicas de </w:t>
      </w:r>
      <w:r>
        <w:rPr>
          <w:b/>
        </w:rPr>
        <w:t>c</w:t>
      </w:r>
      <w:r>
        <w:rPr>
          <w:b/>
          <w:color w:val="000000"/>
        </w:rPr>
        <w:t xml:space="preserve">oleta de </w:t>
      </w:r>
      <w:r>
        <w:rPr>
          <w:b/>
        </w:rPr>
        <w:t>d</w:t>
      </w:r>
      <w:r>
        <w:rPr>
          <w:b/>
          <w:color w:val="000000"/>
        </w:rPr>
        <w:t>ados</w:t>
      </w:r>
    </w:p>
    <w:p w:rsidR="006430DA" w:rsidRDefault="00B54928" w14:paraId="00000057" w14:textId="77777777">
      <w:pPr>
        <w:numPr>
          <w:ilvl w:val="0"/>
          <w:numId w:val="29"/>
        </w:numPr>
        <w:pBdr>
          <w:top w:val="nil"/>
          <w:left w:val="nil"/>
          <w:bottom w:val="nil"/>
          <w:right w:val="nil"/>
          <w:between w:val="nil"/>
        </w:pBdr>
        <w:spacing w:line="240" w:lineRule="auto"/>
        <w:jc w:val="both"/>
        <w:rPr>
          <w:color w:val="000000"/>
        </w:rPr>
      </w:pPr>
      <w:r>
        <w:rPr>
          <w:color w:val="000000"/>
        </w:rPr>
        <w:t>Utilize técnicas apropriadas para coletar informações. As técnicas podem incluir pesquisas de mercado, consultas diretas a fornecedores, análise de relatórios setoriais, benchmarking e revisão de publicações especializadas. A escolha das técnicas deve considerar a natureza do mercado e a complexidade do objeto a ser contratado.</w:t>
      </w:r>
    </w:p>
    <w:p w:rsidR="006430DA" w:rsidRDefault="00B54928" w14:paraId="00000058" w14:textId="77777777">
      <w:pPr>
        <w:pBdr>
          <w:top w:val="nil"/>
          <w:left w:val="nil"/>
          <w:bottom w:val="nil"/>
          <w:right w:val="nil"/>
          <w:between w:val="nil"/>
        </w:pBdr>
        <w:spacing w:after="60" w:line="240" w:lineRule="auto"/>
        <w:jc w:val="both"/>
        <w:rPr>
          <w:color w:val="000000"/>
        </w:rPr>
      </w:pPr>
      <w:r>
        <w:rPr>
          <w:b/>
          <w:color w:val="000000"/>
        </w:rPr>
        <w:t xml:space="preserve">Exame das </w:t>
      </w:r>
      <w:r>
        <w:rPr>
          <w:b/>
        </w:rPr>
        <w:t>a</w:t>
      </w:r>
      <w:r>
        <w:rPr>
          <w:b/>
          <w:color w:val="000000"/>
        </w:rPr>
        <w:t xml:space="preserve">lternativas </w:t>
      </w:r>
      <w:r>
        <w:rPr>
          <w:b/>
        </w:rPr>
        <w:t>d</w:t>
      </w:r>
      <w:r>
        <w:rPr>
          <w:b/>
          <w:color w:val="000000"/>
        </w:rPr>
        <w:t>isponíveis</w:t>
      </w:r>
    </w:p>
    <w:p w:rsidR="006430DA" w:rsidRDefault="00B54928" w14:paraId="00000059" w14:textId="77777777">
      <w:pPr>
        <w:numPr>
          <w:ilvl w:val="0"/>
          <w:numId w:val="30"/>
        </w:numPr>
        <w:pBdr>
          <w:top w:val="nil"/>
          <w:left w:val="nil"/>
          <w:bottom w:val="nil"/>
          <w:right w:val="nil"/>
          <w:between w:val="nil"/>
        </w:pBdr>
        <w:spacing w:line="240" w:lineRule="auto"/>
        <w:jc w:val="both"/>
        <w:rPr>
          <w:color w:val="000000"/>
        </w:rPr>
      </w:pPr>
      <w:r>
        <w:rPr>
          <w:color w:val="000000"/>
        </w:rPr>
        <w:t>Avalie diferentes alternativas que possam atender à necessidade identificada. Isso inclui a análise de produtos, serviços ou abordagens tecnológicas disponíveis no mercado, considerando suas vantagens e desvantagens em relação ao objetivo do ETP.</w:t>
      </w:r>
    </w:p>
    <w:p w:rsidR="006430DA" w:rsidRDefault="00B54928" w14:paraId="0000005A" w14:textId="77777777">
      <w:pPr>
        <w:pBdr>
          <w:top w:val="nil"/>
          <w:left w:val="nil"/>
          <w:bottom w:val="nil"/>
          <w:right w:val="nil"/>
          <w:between w:val="nil"/>
        </w:pBdr>
        <w:spacing w:after="60" w:line="240" w:lineRule="auto"/>
        <w:jc w:val="both"/>
        <w:rPr>
          <w:color w:val="000000"/>
        </w:rPr>
      </w:pPr>
      <w:r>
        <w:rPr>
          <w:b/>
          <w:color w:val="000000"/>
        </w:rPr>
        <w:t xml:space="preserve"> Consideração de </w:t>
      </w:r>
      <w:r>
        <w:rPr>
          <w:b/>
        </w:rPr>
        <w:t>t</w:t>
      </w:r>
      <w:r>
        <w:rPr>
          <w:b/>
          <w:color w:val="000000"/>
        </w:rPr>
        <w:t xml:space="preserve">endências </w:t>
      </w:r>
      <w:r>
        <w:rPr>
          <w:b/>
        </w:rPr>
        <w:t>t</w:t>
      </w:r>
      <w:r>
        <w:rPr>
          <w:b/>
          <w:color w:val="000000"/>
        </w:rPr>
        <w:t>ecnológicas</w:t>
      </w:r>
    </w:p>
    <w:p w:rsidR="006430DA" w:rsidRDefault="00B54928" w14:paraId="0000005B" w14:textId="77777777">
      <w:pPr>
        <w:numPr>
          <w:ilvl w:val="0"/>
          <w:numId w:val="31"/>
        </w:numPr>
        <w:pBdr>
          <w:top w:val="nil"/>
          <w:left w:val="nil"/>
          <w:bottom w:val="nil"/>
          <w:right w:val="nil"/>
          <w:between w:val="nil"/>
        </w:pBdr>
        <w:spacing w:line="240" w:lineRule="auto"/>
        <w:jc w:val="both"/>
        <w:rPr>
          <w:color w:val="000000"/>
        </w:rPr>
      </w:pPr>
      <w:r>
        <w:rPr>
          <w:color w:val="000000"/>
        </w:rPr>
        <w:t>Esteja atento às tendências tecnológicas atuais e futuras que possam impactar a solução a ser adquirida. A adoção de tecnologias emergentes pode proporcionar vantagens competitivas, maior eficiência e redução de custos a longo prazo.</w:t>
      </w:r>
    </w:p>
    <w:p w:rsidR="006430DA" w:rsidRDefault="00B54928" w14:paraId="0000005C" w14:textId="77777777">
      <w:pPr>
        <w:pBdr>
          <w:top w:val="nil"/>
          <w:left w:val="nil"/>
          <w:bottom w:val="nil"/>
          <w:right w:val="nil"/>
          <w:between w:val="nil"/>
        </w:pBdr>
        <w:spacing w:after="60" w:line="240" w:lineRule="auto"/>
        <w:jc w:val="both"/>
        <w:rPr>
          <w:color w:val="000000"/>
        </w:rPr>
      </w:pPr>
      <w:r>
        <w:rPr>
          <w:b/>
          <w:color w:val="000000"/>
        </w:rPr>
        <w:t xml:space="preserve">Interação com </w:t>
      </w:r>
      <w:r>
        <w:rPr>
          <w:b/>
        </w:rPr>
        <w:t>p</w:t>
      </w:r>
      <w:r>
        <w:rPr>
          <w:b/>
          <w:color w:val="000000"/>
        </w:rPr>
        <w:t xml:space="preserve">artes </w:t>
      </w:r>
      <w:r>
        <w:rPr>
          <w:b/>
        </w:rPr>
        <w:t>i</w:t>
      </w:r>
      <w:r>
        <w:rPr>
          <w:b/>
          <w:color w:val="000000"/>
        </w:rPr>
        <w:t>nteressadas</w:t>
      </w:r>
    </w:p>
    <w:p w:rsidR="006430DA" w:rsidRDefault="00B54928" w14:paraId="0000005D" w14:textId="77777777">
      <w:pPr>
        <w:numPr>
          <w:ilvl w:val="0"/>
          <w:numId w:val="18"/>
        </w:numPr>
        <w:pBdr>
          <w:top w:val="nil"/>
          <w:left w:val="nil"/>
          <w:bottom w:val="nil"/>
          <w:right w:val="nil"/>
          <w:between w:val="nil"/>
        </w:pBdr>
        <w:spacing w:line="240" w:lineRule="auto"/>
        <w:jc w:val="both"/>
        <w:rPr>
          <w:color w:val="000000"/>
        </w:rPr>
      </w:pPr>
      <w:r>
        <w:rPr>
          <w:color w:val="000000"/>
        </w:rPr>
        <w:t>Envolva as partes interessadas ao longo do processo de levantamento de mercado. Consultas e feedback de especialistas, usuários finais e outros públicos de interesse podem fornecer cont</w:t>
      </w:r>
      <w:r>
        <w:t xml:space="preserve">ribuições </w:t>
      </w:r>
      <w:r>
        <w:rPr>
          <w:color w:val="000000"/>
        </w:rPr>
        <w:t xml:space="preserve">valiosas </w:t>
      </w:r>
      <w:r>
        <w:t>para</w:t>
      </w:r>
      <w:r>
        <w:rPr>
          <w:color w:val="000000"/>
        </w:rPr>
        <w:t xml:space="preserve"> refinar as opções disponíveis e adaptar a solução final às necessidades reais.</w:t>
      </w:r>
    </w:p>
    <w:p w:rsidR="006430DA" w:rsidRDefault="00B54928" w14:paraId="0000005E" w14:textId="77777777">
      <w:pPr>
        <w:pBdr>
          <w:top w:val="nil"/>
          <w:left w:val="nil"/>
          <w:bottom w:val="nil"/>
          <w:right w:val="nil"/>
          <w:between w:val="nil"/>
        </w:pBdr>
        <w:spacing w:after="60" w:line="240" w:lineRule="auto"/>
        <w:jc w:val="both"/>
        <w:rPr>
          <w:color w:val="000000"/>
        </w:rPr>
      </w:pPr>
      <w:r>
        <w:rPr>
          <w:b/>
          <w:color w:val="000000"/>
        </w:rPr>
        <w:t xml:space="preserve">Registro </w:t>
      </w:r>
      <w:r>
        <w:rPr>
          <w:b/>
        </w:rPr>
        <w:t>o</w:t>
      </w:r>
      <w:r>
        <w:rPr>
          <w:b/>
          <w:color w:val="000000"/>
        </w:rPr>
        <w:t xml:space="preserve">rganizado das </w:t>
      </w:r>
      <w:r>
        <w:rPr>
          <w:b/>
        </w:rPr>
        <w:t>d</w:t>
      </w:r>
      <w:r>
        <w:rPr>
          <w:b/>
          <w:color w:val="000000"/>
        </w:rPr>
        <w:t>escobertas</w:t>
      </w:r>
    </w:p>
    <w:p w:rsidR="006430DA" w:rsidRDefault="00B54928" w14:paraId="0000005F" w14:textId="77777777">
      <w:pPr>
        <w:numPr>
          <w:ilvl w:val="0"/>
          <w:numId w:val="21"/>
        </w:numPr>
        <w:pBdr>
          <w:top w:val="nil"/>
          <w:left w:val="nil"/>
          <w:bottom w:val="nil"/>
          <w:right w:val="nil"/>
          <w:between w:val="nil"/>
        </w:pBdr>
        <w:spacing w:line="240" w:lineRule="auto"/>
        <w:jc w:val="both"/>
        <w:rPr>
          <w:color w:val="000000"/>
        </w:rPr>
      </w:pPr>
      <w:r>
        <w:rPr>
          <w:color w:val="000000"/>
        </w:rPr>
        <w:t>Registre todas as informações obtidas de maneira organizada e sistemática. Este registro servirá como uma base sólida para a elaboração do ETP e para justificar a escolha da solução proposta.</w:t>
      </w:r>
    </w:p>
    <w:p w:rsidR="006430DA" w:rsidRDefault="00B54928" w14:paraId="00000060" w14:textId="77777777">
      <w:pPr>
        <w:pBdr>
          <w:top w:val="nil"/>
          <w:left w:val="nil"/>
          <w:bottom w:val="nil"/>
          <w:right w:val="nil"/>
          <w:between w:val="nil"/>
        </w:pBdr>
        <w:spacing w:after="60" w:line="240" w:lineRule="auto"/>
        <w:jc w:val="both"/>
        <w:rPr>
          <w:color w:val="000000"/>
        </w:rPr>
      </w:pPr>
      <w:r>
        <w:rPr>
          <w:color w:val="000000"/>
        </w:rPr>
        <w:t>Seguindo essas diretrizes, o levantamento de mercado será um processo robusto, fornecendo a base necessária para que o ETP seja elaborado com precisão, de forma a garantir que a contratação atenda às necessidades da Administração Pública de forma eficiente e econômica.</w:t>
      </w:r>
    </w:p>
    <w:p w:rsidR="006430DA" w:rsidRDefault="006430DA" w14:paraId="00000061" w14:textId="77777777">
      <w:pPr>
        <w:pBdr>
          <w:top w:val="nil"/>
          <w:left w:val="nil"/>
          <w:bottom w:val="nil"/>
          <w:right w:val="nil"/>
          <w:between w:val="nil"/>
        </w:pBdr>
        <w:spacing w:after="60" w:line="240" w:lineRule="auto"/>
        <w:jc w:val="both"/>
        <w:rPr>
          <w:color w:val="000000"/>
        </w:rPr>
      </w:pPr>
    </w:p>
    <w:p w:rsidR="006430DA" w:rsidRDefault="00B54928" w14:paraId="00000062" w14:textId="77777777">
      <w:pPr>
        <w:pBdr>
          <w:top w:val="nil"/>
          <w:left w:val="nil"/>
          <w:bottom w:val="nil"/>
          <w:right w:val="nil"/>
          <w:between w:val="nil"/>
        </w:pBdr>
        <w:spacing w:after="60" w:line="240" w:lineRule="auto"/>
        <w:jc w:val="both"/>
        <w:rPr>
          <w:color w:val="000000"/>
        </w:rPr>
      </w:pPr>
      <w:r>
        <w:rPr>
          <w:b/>
          <w:color w:val="000000"/>
        </w:rPr>
        <w:t xml:space="preserve">Tópico 5.1. Planejamento e </w:t>
      </w:r>
      <w:r>
        <w:rPr>
          <w:b/>
        </w:rPr>
        <w:t>a</w:t>
      </w:r>
      <w:r>
        <w:rPr>
          <w:b/>
          <w:color w:val="000000"/>
        </w:rPr>
        <w:t xml:space="preserve">linhamento com as </w:t>
      </w:r>
      <w:r>
        <w:rPr>
          <w:b/>
        </w:rPr>
        <w:t>p</w:t>
      </w:r>
      <w:r>
        <w:rPr>
          <w:b/>
          <w:color w:val="000000"/>
        </w:rPr>
        <w:t xml:space="preserve">ráticas de </w:t>
      </w:r>
      <w:r>
        <w:rPr>
          <w:b/>
        </w:rPr>
        <w:t>m</w:t>
      </w:r>
      <w:r>
        <w:rPr>
          <w:b/>
          <w:color w:val="000000"/>
        </w:rPr>
        <w:t xml:space="preserve">ercado: </w:t>
      </w:r>
      <w:r>
        <w:t>e</w:t>
      </w:r>
      <w:r>
        <w:rPr>
          <w:color w:val="000000"/>
        </w:rPr>
        <w:t>ste levantamento de mercado foi elaborado com base nos projetos referenciados e disponibilizados pelo Ministério da Saúde. No entanto, caso seja necessário, o projeto poderá ser adaptado à realidade local, desde que respeitadas as metragens mínimas dos ambientes previstas na Resolução RDC nº 50/2002 da Agência Nacional de Vigilância San</w:t>
      </w:r>
      <w:r>
        <w:t>itária (Anvisa)</w:t>
      </w:r>
      <w:r>
        <w:rPr>
          <w:color w:val="000000"/>
        </w:rPr>
        <w:t xml:space="preserve"> e suas atualizações. Ressalta-se, contudo, que essa adaptação exigirá a emissão de Registro de Responsabilidade Técni</w:t>
      </w:r>
      <w:r>
        <w:rPr>
          <w:color w:val="000000"/>
        </w:rPr>
        <w:t xml:space="preserve">ca (RTT) ou </w:t>
      </w:r>
      <w:r>
        <w:t xml:space="preserve">de </w:t>
      </w:r>
      <w:r>
        <w:rPr>
          <w:color w:val="000000"/>
        </w:rPr>
        <w:t>Anotação de Responsabilidade Técnica (A</w:t>
      </w:r>
      <w:r>
        <w:t>RT</w:t>
      </w:r>
      <w:r>
        <w:rPr>
          <w:color w:val="000000"/>
        </w:rPr>
        <w:t>) do responsável pelo projeto.</w:t>
      </w:r>
    </w:p>
    <w:p w:rsidR="006430DA" w:rsidRDefault="00B54928" w14:paraId="00000063" w14:textId="77777777">
      <w:pPr>
        <w:pBdr>
          <w:top w:val="nil"/>
          <w:left w:val="nil"/>
          <w:bottom w:val="nil"/>
          <w:right w:val="nil"/>
          <w:between w:val="nil"/>
        </w:pBdr>
        <w:spacing w:after="60" w:line="240" w:lineRule="auto"/>
        <w:jc w:val="both"/>
        <w:rPr>
          <w:b/>
          <w:color w:val="000000"/>
        </w:rPr>
      </w:pPr>
      <w:r>
        <w:rPr>
          <w:b/>
          <w:color w:val="000000"/>
        </w:rPr>
        <w:t>Em caso de alterações significativas que impactem, por exemplo, a metodologia construtiva, o ente em questão deverá apresentar os estudos e levantamentos realizados para justificar a escolha das melhores soluções e métodos adequados à realidade e necessidade local.</w:t>
      </w:r>
    </w:p>
    <w:p w:rsidR="006430DA" w:rsidRDefault="006430DA" w14:paraId="00000064" w14:textId="77777777">
      <w:pPr>
        <w:pBdr>
          <w:top w:val="nil"/>
          <w:left w:val="nil"/>
          <w:bottom w:val="nil"/>
          <w:right w:val="nil"/>
          <w:between w:val="nil"/>
        </w:pBdr>
        <w:spacing w:after="60" w:line="240" w:lineRule="auto"/>
        <w:jc w:val="both"/>
        <w:rPr>
          <w:b/>
          <w:color w:val="000000"/>
        </w:rPr>
      </w:pPr>
    </w:p>
    <w:p w:rsidR="006430DA" w:rsidRDefault="00B54928" w14:paraId="00000065" w14:textId="77777777">
      <w:pPr>
        <w:pBdr>
          <w:top w:val="nil"/>
          <w:left w:val="nil"/>
          <w:bottom w:val="nil"/>
          <w:right w:val="nil"/>
          <w:between w:val="nil"/>
        </w:pBdr>
        <w:spacing w:after="60" w:line="240" w:lineRule="auto"/>
        <w:jc w:val="both"/>
        <w:rPr>
          <w:color w:val="000000"/>
        </w:rPr>
      </w:pPr>
      <w:r>
        <w:rPr>
          <w:b/>
          <w:color w:val="000000"/>
        </w:rPr>
        <w:t xml:space="preserve">Tópico 5.2. Opções de </w:t>
      </w:r>
      <w:r>
        <w:rPr>
          <w:b/>
        </w:rPr>
        <w:t>s</w:t>
      </w:r>
      <w:r>
        <w:rPr>
          <w:b/>
          <w:color w:val="000000"/>
        </w:rPr>
        <w:t xml:space="preserve">oluções </w:t>
      </w:r>
      <w:r>
        <w:rPr>
          <w:b/>
        </w:rPr>
        <w:t>t</w:t>
      </w:r>
      <w:r>
        <w:rPr>
          <w:b/>
          <w:color w:val="000000"/>
        </w:rPr>
        <w:t xml:space="preserve">ecnológicas </w:t>
      </w:r>
      <w:r>
        <w:rPr>
          <w:b/>
        </w:rPr>
        <w:t>d</w:t>
      </w:r>
      <w:r>
        <w:rPr>
          <w:b/>
          <w:color w:val="000000"/>
        </w:rPr>
        <w:t xml:space="preserve">isponíveis no </w:t>
      </w:r>
      <w:r>
        <w:rPr>
          <w:b/>
        </w:rPr>
        <w:t>m</w:t>
      </w:r>
      <w:r>
        <w:rPr>
          <w:b/>
          <w:color w:val="000000"/>
        </w:rPr>
        <w:t xml:space="preserve">ercado: </w:t>
      </w:r>
      <w:r>
        <w:t>p</w:t>
      </w:r>
      <w:r>
        <w:rPr>
          <w:color w:val="000000"/>
        </w:rPr>
        <w:t xml:space="preserve">ara elaborar a seção 5.2 do Estudo Técnico Preliminar que trata das "Opções de </w:t>
      </w:r>
      <w:r>
        <w:t>s</w:t>
      </w:r>
      <w:r>
        <w:rPr>
          <w:color w:val="000000"/>
        </w:rPr>
        <w:t xml:space="preserve">oluções </w:t>
      </w:r>
      <w:r>
        <w:t>t</w:t>
      </w:r>
      <w:r>
        <w:rPr>
          <w:color w:val="000000"/>
        </w:rPr>
        <w:t xml:space="preserve">ecnológicas </w:t>
      </w:r>
      <w:r>
        <w:t>d</w:t>
      </w:r>
      <w:r>
        <w:rPr>
          <w:color w:val="000000"/>
        </w:rPr>
        <w:t xml:space="preserve">isponíveis no </w:t>
      </w:r>
      <w:r>
        <w:t>m</w:t>
      </w:r>
      <w:r>
        <w:rPr>
          <w:color w:val="000000"/>
        </w:rPr>
        <w:t xml:space="preserve">ercado", é essencial fundamentar o texto em uma análise criteriosa e detalhada, conforme previsto pela Lei nº 14.133/2021 e pela Instrução Normativa Seges nº 58, de 8 de agosto de 2022. A legislação e a normativa enfatizam a necessidade de considerar as inovações tecnológicas e as tendências de mercado para garantir que a solução escolhida seja a mais adequada para atender às necessidades da </w:t>
      </w:r>
      <w:r>
        <w:rPr>
          <w:color w:val="000000"/>
        </w:rPr>
        <w:t>Administração Pública.</w:t>
      </w:r>
    </w:p>
    <w:p w:rsidR="006430DA" w:rsidRDefault="00B54928" w14:paraId="00000066" w14:textId="77777777">
      <w:pPr>
        <w:numPr>
          <w:ilvl w:val="0"/>
          <w:numId w:val="23"/>
        </w:numPr>
        <w:pBdr>
          <w:top w:val="nil"/>
          <w:left w:val="nil"/>
          <w:bottom w:val="nil"/>
          <w:right w:val="nil"/>
          <w:between w:val="nil"/>
        </w:pBdr>
        <w:spacing w:after="60" w:line="240" w:lineRule="auto"/>
        <w:jc w:val="both"/>
        <w:rPr>
          <w:color w:val="000000"/>
        </w:rPr>
      </w:pPr>
      <w:r>
        <w:rPr>
          <w:b/>
          <w:color w:val="000000"/>
        </w:rPr>
        <w:t xml:space="preserve">Análise das </w:t>
      </w:r>
      <w:r>
        <w:rPr>
          <w:b/>
        </w:rPr>
        <w:t>i</w:t>
      </w:r>
      <w:r>
        <w:rPr>
          <w:b/>
          <w:color w:val="000000"/>
        </w:rPr>
        <w:t xml:space="preserve">novações e </w:t>
      </w:r>
      <w:r>
        <w:rPr>
          <w:b/>
        </w:rPr>
        <w:t>t</w:t>
      </w:r>
      <w:r>
        <w:rPr>
          <w:b/>
          <w:color w:val="000000"/>
        </w:rPr>
        <w:t xml:space="preserve">ecnologias </w:t>
      </w:r>
      <w:r>
        <w:rPr>
          <w:b/>
        </w:rPr>
        <w:t>d</w:t>
      </w:r>
      <w:r>
        <w:rPr>
          <w:b/>
          <w:color w:val="000000"/>
        </w:rPr>
        <w:t xml:space="preserve">isponíveis - </w:t>
      </w:r>
      <w:r>
        <w:rPr>
          <w:color w:val="000000"/>
        </w:rPr>
        <w:t xml:space="preserve">Lei nº 14.133/2021: </w:t>
      </w:r>
      <w:r>
        <w:t>a</w:t>
      </w:r>
      <w:r>
        <w:rPr>
          <w:color w:val="000000"/>
        </w:rPr>
        <w:t xml:space="preserve"> lei estabelece a importância de buscar a solução mais vantajosa para a Administração Pública, considerando a economicidade, a eficiência e a sustentabilidade (Art. 11). Além disso, </w:t>
      </w:r>
      <w:r>
        <w:t>destaca</w:t>
      </w:r>
      <w:r>
        <w:rPr>
          <w:color w:val="000000"/>
        </w:rPr>
        <w:t xml:space="preserve"> a necessidade de se realizar uma análise ampla das alternativas tecnológicas disponíveis no mercado, especialmente aquelas que incorporam inovações capazes de melhorar a qualidade e reduzir os custos ao longo do ciclo de vida do projeto​ (</w:t>
      </w:r>
      <w:hyperlink r:id="rId7">
        <w:r>
          <w:rPr>
            <w:color w:val="000000"/>
          </w:rPr>
          <w:t>Planalto</w:t>
        </w:r>
      </w:hyperlink>
      <w:r>
        <w:rPr>
          <w:color w:val="000000"/>
        </w:rPr>
        <w:t>).</w:t>
      </w:r>
    </w:p>
    <w:p w:rsidR="006430DA" w:rsidRDefault="00B54928" w14:paraId="00000067" w14:textId="77777777">
      <w:pPr>
        <w:pBdr>
          <w:top w:val="nil"/>
          <w:left w:val="nil"/>
          <w:bottom w:val="nil"/>
          <w:right w:val="nil"/>
          <w:between w:val="nil"/>
        </w:pBdr>
        <w:spacing w:after="60" w:line="240" w:lineRule="auto"/>
        <w:jc w:val="both"/>
        <w:rPr>
          <w:color w:val="000000"/>
        </w:rPr>
      </w:pPr>
      <w:r>
        <w:rPr>
          <w:b/>
          <w:color w:val="000000"/>
        </w:rPr>
        <w:t>Instrução Normativa Seges nº 58/2022:</w:t>
      </w:r>
      <w:r>
        <w:rPr>
          <w:color w:val="000000"/>
        </w:rPr>
        <w:t xml:space="preserve"> </w:t>
      </w:r>
      <w:r>
        <w:t>e</w:t>
      </w:r>
      <w:r>
        <w:rPr>
          <w:color w:val="000000"/>
        </w:rPr>
        <w:t xml:space="preserve">sta IN regulamenta o processo de elaboração dos ETPs, destacando a importância de considerar as inovações de mercado. O </w:t>
      </w:r>
      <w:r>
        <w:t>a</w:t>
      </w:r>
      <w:r>
        <w:rPr>
          <w:color w:val="000000"/>
        </w:rPr>
        <w:t>rt. 3º da IN 58 define que o ETP deve incluir uma análise das soluções tecnológicas disponíveis, levando em conta não apenas as opções tradicionais, mas também as tecnologias emergentes e inovadoras que possam oferecer melhores resultados. A IN também incentiva a busca de informações sobre contratações similares de sucesso realizadas por outros órgãos públicos, o que pode servir como re</w:t>
      </w:r>
      <w:r>
        <w:rPr>
          <w:color w:val="000000"/>
        </w:rPr>
        <w:t>ferência para a escolha da solução tecnológica mais apropriada​ (</w:t>
      </w:r>
      <w:hyperlink r:id="rId8">
        <w:r>
          <w:rPr>
            <w:color w:val="000000"/>
          </w:rPr>
          <w:t>Serviços e Informações do Brasil</w:t>
        </w:r>
      </w:hyperlink>
      <w:r>
        <w:rPr>
          <w:color w:val="000000"/>
        </w:rPr>
        <w:t>)​ (</w:t>
      </w:r>
      <w:hyperlink r:id="rId9">
        <w:r>
          <w:rPr>
            <w:color w:val="000000"/>
          </w:rPr>
          <w:t>Bolsa Nacional de Compras</w:t>
        </w:r>
      </w:hyperlink>
      <w:r>
        <w:t>/BNC</w:t>
      </w:r>
      <w:r>
        <w:rPr>
          <w:color w:val="000000"/>
        </w:rPr>
        <w:t>).</w:t>
      </w:r>
    </w:p>
    <w:p w:rsidR="006430DA" w:rsidRDefault="00B54928" w14:paraId="00000068" w14:textId="77777777">
      <w:pPr>
        <w:pBdr>
          <w:top w:val="nil"/>
          <w:left w:val="nil"/>
          <w:bottom w:val="nil"/>
          <w:right w:val="nil"/>
          <w:between w:val="nil"/>
        </w:pBdr>
        <w:spacing w:after="60" w:line="240" w:lineRule="auto"/>
        <w:jc w:val="both"/>
        <w:rPr>
          <w:b/>
          <w:color w:val="000000"/>
        </w:rPr>
      </w:pPr>
      <w:r>
        <w:rPr>
          <w:b/>
          <w:color w:val="000000"/>
        </w:rPr>
        <w:t xml:space="preserve">Importância da </w:t>
      </w:r>
      <w:r>
        <w:rPr>
          <w:b/>
        </w:rPr>
        <w:t>a</w:t>
      </w:r>
      <w:r>
        <w:rPr>
          <w:b/>
          <w:color w:val="000000"/>
        </w:rPr>
        <w:t xml:space="preserve">nálise de </w:t>
      </w:r>
      <w:r>
        <w:rPr>
          <w:b/>
        </w:rPr>
        <w:t>m</w:t>
      </w:r>
      <w:r>
        <w:rPr>
          <w:b/>
          <w:color w:val="000000"/>
        </w:rPr>
        <w:t xml:space="preserve">ercado e de </w:t>
      </w:r>
      <w:r>
        <w:rPr>
          <w:b/>
        </w:rPr>
        <w:t>s</w:t>
      </w:r>
      <w:r>
        <w:rPr>
          <w:b/>
          <w:color w:val="000000"/>
        </w:rPr>
        <w:t xml:space="preserve">oluções </w:t>
      </w:r>
      <w:r>
        <w:rPr>
          <w:b/>
        </w:rPr>
        <w:t>i</w:t>
      </w:r>
      <w:r>
        <w:rPr>
          <w:b/>
          <w:color w:val="000000"/>
        </w:rPr>
        <w:t xml:space="preserve">novadoras: </w:t>
      </w:r>
      <w:r>
        <w:t>p</w:t>
      </w:r>
      <w:r>
        <w:rPr>
          <w:color w:val="000000"/>
        </w:rPr>
        <w:t>ara atender à necessidade específica do caso concreto, é crucial realizar uma análise aprofundada das inovações e tecnologias disponíveis no mercado. Essa análise deve incluir:</w:t>
      </w:r>
    </w:p>
    <w:p w:rsidR="006430DA" w:rsidRDefault="00B54928" w14:paraId="00000069"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Tendências </w:t>
      </w:r>
      <w:r>
        <w:rPr>
          <w:b/>
        </w:rPr>
        <w:t>t</w:t>
      </w:r>
      <w:r>
        <w:rPr>
          <w:b/>
          <w:color w:val="000000"/>
        </w:rPr>
        <w:t>ecnológicas:</w:t>
      </w:r>
      <w:r>
        <w:rPr>
          <w:color w:val="000000"/>
        </w:rPr>
        <w:t xml:space="preserve"> </w:t>
      </w:r>
      <w:r>
        <w:t>a</w:t>
      </w:r>
      <w:r>
        <w:rPr>
          <w:color w:val="000000"/>
        </w:rPr>
        <w:t>valiar como as inovações tecnológicas podem impactar positivamente o projeto, melhorando a eficiência, reduzindo custos e aumentando a sustentabilidade da solução adotada. Isso inclui considerar o uso de novas tecnologias que estejam ganhando espaço em setores correlatos.</w:t>
      </w:r>
    </w:p>
    <w:p w:rsidR="006430DA" w:rsidRDefault="00B54928" w14:paraId="0000006A"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Casos de </w:t>
      </w:r>
      <w:r>
        <w:rPr>
          <w:b/>
        </w:rPr>
        <w:t>s</w:t>
      </w:r>
      <w:r>
        <w:rPr>
          <w:b/>
          <w:color w:val="000000"/>
        </w:rPr>
        <w:t xml:space="preserve">ucesso em </w:t>
      </w:r>
      <w:r>
        <w:rPr>
          <w:b/>
        </w:rPr>
        <w:t>c</w:t>
      </w:r>
      <w:r>
        <w:rPr>
          <w:b/>
          <w:color w:val="000000"/>
        </w:rPr>
        <w:t xml:space="preserve">ontratações </w:t>
      </w:r>
      <w:r>
        <w:rPr>
          <w:b/>
        </w:rPr>
        <w:t>s</w:t>
      </w:r>
      <w:r>
        <w:rPr>
          <w:b/>
          <w:color w:val="000000"/>
        </w:rPr>
        <w:t>imilares</w:t>
      </w:r>
      <w:r>
        <w:rPr>
          <w:color w:val="000000"/>
        </w:rPr>
        <w:t xml:space="preserve">: </w:t>
      </w:r>
      <w:r>
        <w:t>a</w:t>
      </w:r>
      <w:r>
        <w:rPr>
          <w:color w:val="000000"/>
        </w:rPr>
        <w:t>nalisar contratações realizadas por outros órgãos públicos que obtiveram sucesso ao adotar novas tecnologias. Esse benchmarking permite identificar práticas bem-sucedidas que podem ser replicadas, além de fornecer uma base para justificar a escolha da tecnologia.</w:t>
      </w:r>
    </w:p>
    <w:p w:rsidR="006430DA" w:rsidRDefault="00B54928" w14:paraId="0000006B"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Disponibilidade no </w:t>
      </w:r>
      <w:r>
        <w:rPr>
          <w:b/>
        </w:rPr>
        <w:t>m</w:t>
      </w:r>
      <w:r>
        <w:rPr>
          <w:b/>
          <w:color w:val="000000"/>
        </w:rPr>
        <w:t>ercado:</w:t>
      </w:r>
      <w:r>
        <w:rPr>
          <w:color w:val="000000"/>
        </w:rPr>
        <w:t xml:space="preserve"> </w:t>
      </w:r>
      <w:r>
        <w:t>v</w:t>
      </w:r>
      <w:r>
        <w:rPr>
          <w:color w:val="000000"/>
        </w:rPr>
        <w:t>erificar a disponibilidade da tecnologia no mercado, incluindo a capacidade dos fornecedores em entregar e manter a solução. É essencial considerar o histórico de fornecimento, suporte técnico e manutenção oferecidos pelos fornecedores, garantindo que a escolha tecnológica seja viável a longo prazo.</w:t>
      </w:r>
    </w:p>
    <w:p w:rsidR="006430DA" w:rsidRDefault="00B54928" w14:paraId="0000006C"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Inovação e </w:t>
      </w:r>
      <w:r>
        <w:rPr>
          <w:b/>
        </w:rPr>
        <w:t>s</w:t>
      </w:r>
      <w:r>
        <w:rPr>
          <w:b/>
          <w:color w:val="000000"/>
        </w:rPr>
        <w:t>ustentabilidade:</w:t>
      </w:r>
      <w:r>
        <w:rPr>
          <w:color w:val="000000"/>
        </w:rPr>
        <w:t xml:space="preserve"> </w:t>
      </w:r>
      <w:r>
        <w:t>a</w:t>
      </w:r>
      <w:r>
        <w:rPr>
          <w:color w:val="000000"/>
        </w:rPr>
        <w:t xml:space="preserve"> análise deve considerar como a tecnologia escolhida contribui para a sustentabilidade do projeto, tanto em termos ambientais quanto em durabilidade e eficiência ao longo do tempo. A adoção de soluções tecnológicas inovadoras, que </w:t>
      </w:r>
      <w:r>
        <w:t>minimizem</w:t>
      </w:r>
      <w:r>
        <w:rPr>
          <w:color w:val="000000"/>
        </w:rPr>
        <w:t xml:space="preserve"> o impacto ambiental e </w:t>
      </w:r>
      <w:r>
        <w:t>otimizem</w:t>
      </w:r>
      <w:r>
        <w:rPr>
          <w:color w:val="000000"/>
        </w:rPr>
        <w:t xml:space="preserve"> os recursos, está alinhada aos princípios da Lei nº 14.133/2021.</w:t>
      </w:r>
    </w:p>
    <w:p w:rsidR="006430DA" w:rsidRDefault="00B54928" w14:paraId="0000006D" w14:textId="77777777">
      <w:pPr>
        <w:numPr>
          <w:ilvl w:val="0"/>
          <w:numId w:val="23"/>
        </w:numPr>
        <w:pBdr>
          <w:top w:val="nil"/>
          <w:left w:val="nil"/>
          <w:bottom w:val="nil"/>
          <w:right w:val="nil"/>
          <w:between w:val="nil"/>
        </w:pBdr>
        <w:spacing w:after="60" w:line="240" w:lineRule="auto"/>
        <w:jc w:val="both"/>
        <w:rPr>
          <w:color w:val="000000"/>
        </w:rPr>
      </w:pPr>
      <w:r>
        <w:rPr>
          <w:b/>
          <w:color w:val="000000"/>
        </w:rPr>
        <w:t xml:space="preserve">Conclusão: </w:t>
      </w:r>
      <w:r>
        <w:t>n</w:t>
      </w:r>
      <w:r>
        <w:rPr>
          <w:color w:val="000000"/>
        </w:rPr>
        <w:t xml:space="preserve">a elaboração do ETP, a seção 5.2 deve refletir um compromisso com a escolha da solução mais adequada, considerando a inovação tecnológica e a experiência de contratações similares. Isso não apenas assegura que a Administração Pública </w:t>
      </w:r>
      <w:r>
        <w:t>esteja</w:t>
      </w:r>
      <w:r>
        <w:rPr>
          <w:color w:val="000000"/>
        </w:rPr>
        <w:t xml:space="preserve"> utilizando as melhores práticas disponíveis, mas também garante que a solução escolhida </w:t>
      </w:r>
      <w:r>
        <w:t>seja</w:t>
      </w:r>
      <w:r>
        <w:rPr>
          <w:color w:val="000000"/>
        </w:rPr>
        <w:t xml:space="preserve"> sustentável, eficiente e econômica, atendendo plenamente às necessidades específicas do projeto. O respaldo da Lei nº 14.133/2021 e da Instrução Normativa Seges nº 58/2022 é fun</w:t>
      </w:r>
      <w:r>
        <w:rPr>
          <w:color w:val="000000"/>
        </w:rPr>
        <w:t>damental para garantir que o processo de escolha seja robusto, transparente e justificado.</w:t>
      </w:r>
    </w:p>
    <w:p w:rsidR="006430DA" w:rsidRDefault="00B54928" w14:paraId="0000006E" w14:textId="77777777">
      <w:pPr>
        <w:pBdr>
          <w:top w:val="nil"/>
          <w:left w:val="nil"/>
          <w:bottom w:val="nil"/>
          <w:right w:val="nil"/>
          <w:between w:val="nil"/>
        </w:pBdr>
        <w:spacing w:line="240" w:lineRule="auto"/>
        <w:jc w:val="both"/>
        <w:rPr>
          <w:b/>
          <w:color w:val="000000"/>
        </w:rPr>
      </w:pPr>
      <w:r>
        <w:rPr>
          <w:b/>
          <w:color w:val="000000"/>
        </w:rPr>
        <w:t xml:space="preserve">Tópico 5.3. Solução e </w:t>
      </w:r>
      <w:r>
        <w:rPr>
          <w:b/>
        </w:rPr>
        <w:t>r</w:t>
      </w:r>
      <w:r>
        <w:rPr>
          <w:b/>
          <w:color w:val="000000"/>
        </w:rPr>
        <w:t xml:space="preserve">egime de </w:t>
      </w:r>
      <w:r>
        <w:rPr>
          <w:b/>
        </w:rPr>
        <w:t>e</w:t>
      </w:r>
      <w:r>
        <w:rPr>
          <w:b/>
          <w:color w:val="000000"/>
        </w:rPr>
        <w:t xml:space="preserve">xecução: </w:t>
      </w:r>
      <w:r>
        <w:rPr>
          <w:b/>
        </w:rPr>
        <w:t>p</w:t>
      </w:r>
      <w:r>
        <w:rPr>
          <w:b/>
          <w:color w:val="000000"/>
        </w:rPr>
        <w:t xml:space="preserve">ara a seção 5.3.3 </w:t>
      </w:r>
      <w:r>
        <w:rPr>
          <w:color w:val="000000"/>
        </w:rPr>
        <w:t>que trata do regime de execução a ser adotado na contratação de obras de engenharia, é essencial fundamentar a escolha com base na Lei nº 14.133/2021 e nas orientações da Instrução Normativa Seges nº 58, de 8 de agosto de 2022. A escolha do regime de execução deve ser feita considerando a natureza do objeto, a complexidade técnica e os riscos envolvidos.</w:t>
      </w:r>
    </w:p>
    <w:p w:rsidR="006430DA" w:rsidRDefault="00B54928" w14:paraId="0000006F" w14:textId="77777777">
      <w:pPr>
        <w:pBdr>
          <w:top w:val="nil"/>
          <w:left w:val="nil"/>
          <w:bottom w:val="nil"/>
          <w:right w:val="nil"/>
          <w:between w:val="nil"/>
        </w:pBdr>
        <w:spacing w:after="60" w:line="240" w:lineRule="auto"/>
        <w:jc w:val="both"/>
        <w:rPr>
          <w:color w:val="000000"/>
        </w:rPr>
      </w:pPr>
      <w:r>
        <w:rPr>
          <w:color w:val="000000"/>
        </w:rPr>
        <w:t>A Lei nº 14.133/2021 especifica os diferentes regimes de execução que podem ser adotados em contratos de obras e serviços de engenharia. Entre os principais regimes estão:</w:t>
      </w:r>
    </w:p>
    <w:p w:rsidR="006430DA" w:rsidRDefault="00B54928" w14:paraId="00000070"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g</w:t>
      </w:r>
      <w:r>
        <w:rPr>
          <w:color w:val="000000"/>
        </w:rPr>
        <w:t xml:space="preserve">lobal: </w:t>
      </w:r>
      <w:r>
        <w:t>n</w:t>
      </w:r>
      <w:r>
        <w:rPr>
          <w:color w:val="000000"/>
        </w:rPr>
        <w:t xml:space="preserve">este regime, a contratada se compromete a realizar a obra por um preço fixo, abrangendo todos os serviços necessários. </w:t>
      </w:r>
      <w:r>
        <w:t xml:space="preserve">É </w:t>
      </w:r>
      <w:r>
        <w:rPr>
          <w:color w:val="000000"/>
        </w:rPr>
        <w:t xml:space="preserve">adequado quando os quantitativos de serviços e materiais podem ser precisamente estimados na fase de projeto, e </w:t>
      </w:r>
      <w:r>
        <w:t xml:space="preserve">é </w:t>
      </w:r>
      <w:r>
        <w:rPr>
          <w:color w:val="000000"/>
        </w:rPr>
        <w:t>ideal para projetos com escopo bem definido, pois a responsabilidade por qualquer variação nos quantitativos recai sobre a contratada.</w:t>
      </w:r>
    </w:p>
    <w:p w:rsidR="006430DA" w:rsidRDefault="00B54928" w14:paraId="00000071"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u</w:t>
      </w:r>
      <w:r>
        <w:rPr>
          <w:color w:val="000000"/>
        </w:rPr>
        <w:t xml:space="preserve">nitário: </w:t>
      </w:r>
      <w:r>
        <w:t>n</w:t>
      </w:r>
      <w:r>
        <w:rPr>
          <w:color w:val="000000"/>
        </w:rPr>
        <w:t>este regime, o preço é fixado por unidade de serviço e a remuneração é baseada nos serviços efetivamente executados. É indicado para projetos onde os quantitativos totais não podem ser precisamente estimados antecipadamente, como em obras de terraplanagem ou fundações, onde as condições podem variar​.</w:t>
      </w:r>
    </w:p>
    <w:p w:rsidR="006430DA" w:rsidRDefault="00B54928" w14:paraId="00000072"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w:t>
      </w:r>
      <w:r>
        <w:t>i</w:t>
      </w:r>
      <w:r>
        <w:rPr>
          <w:color w:val="000000"/>
        </w:rPr>
        <w:t xml:space="preserve">ntegral: </w:t>
      </w:r>
      <w:r>
        <w:t>a</w:t>
      </w:r>
      <w:r>
        <w:rPr>
          <w:color w:val="000000"/>
        </w:rPr>
        <w:t xml:space="preserve"> contratada é responsável pela totalidade da obra, desde o projeto até a entrega final, incluindo todas as etapas e serviços necessários para a conclusão da obra. Esse regime é utilizado para projetos de grande porte e complexidade, onde o contratante deseja transferir ao contratado a maior parte dos riscos de execução.</w:t>
      </w:r>
    </w:p>
    <w:p w:rsidR="006430DA" w:rsidRDefault="00B54928" w14:paraId="00000073"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Contratação </w:t>
      </w:r>
      <w:r>
        <w:t>i</w:t>
      </w:r>
      <w:r>
        <w:rPr>
          <w:color w:val="000000"/>
        </w:rPr>
        <w:t>ntegrada: similar à</w:t>
      </w:r>
      <w:r>
        <w:t xml:space="preserve"> empreitada</w:t>
      </w:r>
      <w:r>
        <w:rPr>
          <w:color w:val="000000"/>
        </w:rPr>
        <w:t xml:space="preserve"> integral, mas a contratada também é responsável pela elaboração do projeto básico e executivo. Este regime é indicado para obras que demandem soluções inovadoras ou em casos onde a Administração não </w:t>
      </w:r>
      <w:r>
        <w:t>possua</w:t>
      </w:r>
      <w:r>
        <w:rPr>
          <w:color w:val="000000"/>
        </w:rPr>
        <w:t xml:space="preserve"> um projeto detalhado​.</w:t>
      </w:r>
    </w:p>
    <w:p w:rsidR="006430DA" w:rsidRDefault="00B54928" w14:paraId="00000074" w14:textId="77777777">
      <w:pPr>
        <w:pBdr>
          <w:top w:val="nil"/>
          <w:left w:val="nil"/>
          <w:bottom w:val="nil"/>
          <w:right w:val="nil"/>
          <w:between w:val="nil"/>
        </w:pBdr>
        <w:spacing w:after="60" w:line="240" w:lineRule="auto"/>
        <w:jc w:val="both"/>
        <w:rPr>
          <w:b/>
          <w:color w:val="000000"/>
        </w:rPr>
      </w:pPr>
      <w:r>
        <w:rPr>
          <w:b/>
          <w:color w:val="000000"/>
        </w:rPr>
        <w:t>Instrução Normativa Seges nº 58/2022</w:t>
      </w:r>
    </w:p>
    <w:p w:rsidR="006430DA" w:rsidRDefault="00B54928" w14:paraId="00000075" w14:textId="77777777">
      <w:pPr>
        <w:pBdr>
          <w:top w:val="nil"/>
          <w:left w:val="nil"/>
          <w:bottom w:val="nil"/>
          <w:right w:val="nil"/>
          <w:between w:val="nil"/>
        </w:pBdr>
        <w:spacing w:after="60" w:line="240" w:lineRule="auto"/>
        <w:jc w:val="both"/>
        <w:rPr>
          <w:color w:val="000000"/>
        </w:rPr>
      </w:pPr>
      <w:r>
        <w:rPr>
          <w:color w:val="000000"/>
        </w:rPr>
        <w:t>A Instrução Normativa Seges nº 58/2022 complementa a Lei nº 14.133/2021 ao detalhar a importância da escolha do regime de execução. Segundo a IN, o ETP deve justificar a escolha do regime de execução com base na análise técnica, levando em consideração os riscos envolvidos, a complexidade da obra e a precisão dos quantitativos de serviços. A IN também reforça a necessidade de que o regime de execução escolhido esteja alinhado às melhores práticas de mercado e às especificidades do projeto​.</w:t>
      </w:r>
    </w:p>
    <w:p w:rsidR="006430DA" w:rsidRDefault="00B54928" w14:paraId="00000076" w14:textId="77777777">
      <w:pPr>
        <w:pBdr>
          <w:top w:val="nil"/>
          <w:left w:val="nil"/>
          <w:bottom w:val="nil"/>
          <w:right w:val="nil"/>
          <w:between w:val="nil"/>
        </w:pBdr>
        <w:spacing w:after="60" w:line="240" w:lineRule="auto"/>
        <w:jc w:val="both"/>
        <w:rPr>
          <w:b/>
          <w:color w:val="000000"/>
        </w:rPr>
      </w:pPr>
      <w:r>
        <w:rPr>
          <w:b/>
          <w:color w:val="000000"/>
        </w:rPr>
        <w:t>Aplicação na Seção 5.3.3 do ETP</w:t>
      </w:r>
    </w:p>
    <w:p w:rsidR="006430DA" w:rsidRDefault="00B54928" w14:paraId="00000077" w14:textId="77777777">
      <w:pPr>
        <w:pBdr>
          <w:top w:val="nil"/>
          <w:left w:val="nil"/>
          <w:bottom w:val="nil"/>
          <w:right w:val="nil"/>
          <w:between w:val="nil"/>
        </w:pBdr>
        <w:spacing w:after="60" w:line="240" w:lineRule="auto"/>
        <w:jc w:val="both"/>
        <w:rPr>
          <w:color w:val="000000"/>
        </w:rPr>
      </w:pPr>
      <w:r>
        <w:rPr>
          <w:color w:val="000000"/>
        </w:rPr>
        <w:t>Na redação da seção 5.3.3 é crucial:</w:t>
      </w:r>
    </w:p>
    <w:p w:rsidR="006430DA" w:rsidP="57A4165E" w:rsidRDefault="00B54928" w14:paraId="00000078" w14:textId="1E52BE03">
      <w:pPr>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000000"/>
        </w:rPr>
      </w:pPr>
      <w:r w:rsidRPr="57A4165E" w:rsidR="00B54928">
        <w:rPr>
          <w:b w:val="1"/>
          <w:bCs w:val="1"/>
          <w:color w:val="000000" w:themeColor="text1" w:themeTint="FF" w:themeShade="FF"/>
        </w:rPr>
        <w:t xml:space="preserve">Empreitada por </w:t>
      </w:r>
      <w:r w:rsidRPr="57A4165E" w:rsidR="00B54928">
        <w:rPr>
          <w:b w:val="1"/>
          <w:bCs w:val="1"/>
        </w:rPr>
        <w:t>p</w:t>
      </w:r>
      <w:r w:rsidRPr="57A4165E" w:rsidR="00B54928">
        <w:rPr>
          <w:b w:val="1"/>
          <w:bCs w:val="1"/>
          <w:color w:val="000000" w:themeColor="text1" w:themeTint="FF" w:themeShade="FF"/>
        </w:rPr>
        <w:t xml:space="preserve">reço </w:t>
      </w:r>
      <w:r w:rsidRPr="57A4165E" w:rsidR="00B54928">
        <w:rPr>
          <w:b w:val="1"/>
          <w:bCs w:val="1"/>
        </w:rPr>
        <w:t>g</w:t>
      </w:r>
      <w:r w:rsidRPr="57A4165E" w:rsidR="00B54928">
        <w:rPr>
          <w:b w:val="1"/>
          <w:bCs w:val="1"/>
          <w:color w:val="000000" w:themeColor="text1" w:themeTint="FF" w:themeShade="FF"/>
        </w:rPr>
        <w:t>lobal:</w:t>
      </w:r>
      <w:r w:rsidRPr="57A4165E" w:rsidR="00B54928">
        <w:rPr>
          <w:color w:val="000000" w:themeColor="text1" w:themeTint="FF" w:themeShade="FF"/>
        </w:rPr>
        <w:t xml:space="preserve"> </w:t>
      </w:r>
      <w:r w:rsidR="00B54928">
        <w:rPr/>
        <w:t xml:space="preserve">a escolha deste regime é </w:t>
      </w:r>
      <w:r w:rsidR="00B54928">
        <w:rPr/>
        <w:t xml:space="preserve">justificada </w:t>
      </w:r>
      <w:r w:rsidRPr="57A4165E" w:rsidR="00B54928">
        <w:rPr>
          <w:color w:val="000000" w:themeColor="text1" w:themeTint="FF" w:themeShade="FF"/>
        </w:rPr>
        <w:t>se</w:t>
      </w:r>
      <w:r w:rsidRPr="57A4165E" w:rsidR="00B54928">
        <w:rPr>
          <w:color w:val="000000" w:themeColor="text1" w:themeTint="FF" w:themeShade="FF"/>
        </w:rPr>
        <w:t xml:space="preserve"> o projeto da obra estiver claramente definido e for possível estimar com precisão os quantitativos de materiais e serviços. Esse regime minimiza os riscos para a Administração, pois o preço total é acordado previamente, transferindo o risco de variações de custo para a contratada.</w:t>
      </w:r>
    </w:p>
    <w:p w:rsidR="006430DA" w:rsidRDefault="00B54928" w14:paraId="00000079" w14:textId="77777777">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por </w:t>
      </w:r>
      <w:r>
        <w:rPr>
          <w:b/>
        </w:rPr>
        <w:t>p</w:t>
      </w:r>
      <w:r>
        <w:rPr>
          <w:b/>
          <w:color w:val="000000"/>
        </w:rPr>
        <w:t>reço</w:t>
      </w:r>
      <w:r>
        <w:rPr>
          <w:b/>
          <w:color w:val="000000"/>
        </w:rPr>
        <w:t xml:space="preserve"> </w:t>
      </w:r>
      <w:r>
        <w:rPr>
          <w:b/>
        </w:rPr>
        <w:t>u</w:t>
      </w:r>
      <w:r>
        <w:rPr>
          <w:b/>
          <w:color w:val="000000"/>
        </w:rPr>
        <w:t xml:space="preserve">nitário: </w:t>
      </w:r>
      <w:r>
        <w:t>s</w:t>
      </w:r>
      <w:r>
        <w:rPr>
          <w:color w:val="000000"/>
        </w:rPr>
        <w:t xml:space="preserve">e o projeto envolve serviços cujo volume não pode ser definido com precisão antes da execução, como escavações ou obras em terrenos com condições desconhecidas, este regime pode ser mais adequado. </w:t>
      </w:r>
      <w:r>
        <w:t>O</w:t>
      </w:r>
      <w:r>
        <w:rPr>
          <w:color w:val="000000"/>
        </w:rPr>
        <w:t>ferece maior flexibilidade, permitindo ajustes conforme as condições do projeto se desenvolvem.</w:t>
      </w:r>
    </w:p>
    <w:p w:rsidR="006430DA" w:rsidRDefault="00B54928" w14:paraId="0000007A" w14:textId="77777777">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w:t>
      </w:r>
      <w:r>
        <w:rPr>
          <w:b/>
        </w:rPr>
        <w:t>i</w:t>
      </w:r>
      <w:r>
        <w:rPr>
          <w:b/>
          <w:color w:val="000000"/>
        </w:rPr>
        <w:t xml:space="preserve">ntegral ou </w:t>
      </w:r>
      <w:r>
        <w:rPr>
          <w:b/>
        </w:rPr>
        <w:t>c</w:t>
      </w:r>
      <w:r>
        <w:rPr>
          <w:b/>
          <w:color w:val="000000"/>
        </w:rPr>
        <w:t xml:space="preserve">ontratação </w:t>
      </w:r>
      <w:r>
        <w:rPr>
          <w:b/>
        </w:rPr>
        <w:t>i</w:t>
      </w:r>
      <w:r>
        <w:rPr>
          <w:b/>
          <w:color w:val="000000"/>
        </w:rPr>
        <w:t>ntegrada</w:t>
      </w:r>
      <w:r>
        <w:rPr>
          <w:color w:val="000000"/>
        </w:rPr>
        <w:t xml:space="preserve">: considerar estas opções em projetos de grande porte ou alta complexidade </w:t>
      </w:r>
      <w:r>
        <w:t xml:space="preserve">em que </w:t>
      </w:r>
      <w:r>
        <w:rPr>
          <w:color w:val="000000"/>
        </w:rPr>
        <w:t>é vantajoso para a Administração transferir a maior parte dos riscos e responsabilidades para a contratada. A empreitada integral é apropriada para obras que exigem uma execução coordenada de várias fases, enquanto a contratação integrada é ideal para projetos que requerem soluções técnicas inovadoras.</w:t>
      </w:r>
    </w:p>
    <w:p w:rsidR="006430DA" w:rsidRDefault="00B54928" w14:paraId="0000007B" w14:textId="77777777">
      <w:pPr>
        <w:pBdr>
          <w:top w:val="nil"/>
          <w:left w:val="nil"/>
          <w:bottom w:val="nil"/>
          <w:right w:val="nil"/>
          <w:between w:val="nil"/>
        </w:pBdr>
        <w:spacing w:after="60" w:line="240" w:lineRule="auto"/>
        <w:jc w:val="both"/>
        <w:rPr>
          <w:b/>
          <w:color w:val="000000"/>
        </w:rPr>
      </w:pPr>
      <w:r>
        <w:rPr>
          <w:b/>
          <w:color w:val="000000"/>
        </w:rPr>
        <w:t>Conclusão</w:t>
      </w:r>
    </w:p>
    <w:p w:rsidR="006430DA" w:rsidRDefault="00B54928" w14:paraId="0000007C" w14:textId="77777777">
      <w:pPr>
        <w:pBdr>
          <w:top w:val="nil"/>
          <w:left w:val="nil"/>
          <w:bottom w:val="nil"/>
          <w:right w:val="nil"/>
          <w:between w:val="nil"/>
        </w:pBdr>
        <w:spacing w:after="60" w:line="240" w:lineRule="auto"/>
        <w:jc w:val="both"/>
        <w:rPr>
          <w:color w:val="000000"/>
        </w:rPr>
      </w:pPr>
      <w:r>
        <w:rPr>
          <w:color w:val="000000"/>
        </w:rPr>
        <w:t xml:space="preserve">A escolha do regime de execução é uma decisão estratégica que deve ser baseada em uma análise detalhada das características da obra e dos riscos envolvidos. A </w:t>
      </w:r>
      <w:r>
        <w:t>e</w:t>
      </w:r>
      <w:r>
        <w:rPr>
          <w:color w:val="000000"/>
        </w:rPr>
        <w:t xml:space="preserve">mpreitada por </w:t>
      </w:r>
      <w:r>
        <w:t>p</w:t>
      </w:r>
      <w:r>
        <w:rPr>
          <w:color w:val="000000"/>
        </w:rPr>
        <w:t xml:space="preserve">reço </w:t>
      </w:r>
      <w:r>
        <w:t>g</w:t>
      </w:r>
      <w:r>
        <w:rPr>
          <w:color w:val="000000"/>
        </w:rPr>
        <w:t xml:space="preserve">lobal ou </w:t>
      </w:r>
      <w:r>
        <w:t>unitário</w:t>
      </w:r>
      <w:r>
        <w:rPr>
          <w:color w:val="000000"/>
        </w:rPr>
        <w:t xml:space="preserve"> são as opções mais comuns e devem ser consideradas em função da precisão do projeto e dos riscos que a Administração está disposta a assumir. O regime escolhido deve ser plenamente justificado no ETP, assegurando que ele atenda às exigências legais e promova a eficiência e economicidade na execução da obra​.</w:t>
      </w:r>
    </w:p>
    <w:p w:rsidR="006430DA" w:rsidRDefault="00B54928" w14:paraId="0000007D" w14:textId="77777777">
      <w:pPr>
        <w:pBdr>
          <w:top w:val="nil"/>
          <w:left w:val="nil"/>
          <w:bottom w:val="nil"/>
          <w:right w:val="nil"/>
          <w:between w:val="nil"/>
        </w:pBdr>
        <w:spacing w:line="240" w:lineRule="auto"/>
        <w:jc w:val="both"/>
        <w:rPr>
          <w:b/>
          <w:color w:val="000000"/>
        </w:rPr>
      </w:pPr>
      <w:r>
        <w:rPr>
          <w:b/>
          <w:color w:val="000000"/>
        </w:rPr>
        <w:t xml:space="preserve">Tópico 5.3.2. Contratação </w:t>
      </w:r>
      <w:r>
        <w:rPr>
          <w:b/>
        </w:rPr>
        <w:t>i</w:t>
      </w:r>
      <w:r>
        <w:rPr>
          <w:b/>
          <w:color w:val="000000"/>
        </w:rPr>
        <w:t xml:space="preserve">ntegrada ou </w:t>
      </w:r>
      <w:r>
        <w:rPr>
          <w:b/>
        </w:rPr>
        <w:t>s</w:t>
      </w:r>
      <w:r>
        <w:rPr>
          <w:b/>
          <w:color w:val="000000"/>
        </w:rPr>
        <w:t>emi-</w:t>
      </w:r>
      <w:r>
        <w:rPr>
          <w:b/>
        </w:rPr>
        <w:t>i</w:t>
      </w:r>
      <w:r>
        <w:rPr>
          <w:b/>
          <w:color w:val="000000"/>
        </w:rPr>
        <w:t>ntegrada</w:t>
      </w:r>
    </w:p>
    <w:p w:rsidR="006430DA" w:rsidRDefault="00B54928" w14:paraId="0000007E" w14:textId="77777777">
      <w:pPr>
        <w:pBdr>
          <w:top w:val="nil"/>
          <w:left w:val="nil"/>
          <w:bottom w:val="nil"/>
          <w:right w:val="nil"/>
          <w:between w:val="nil"/>
        </w:pBdr>
        <w:spacing w:after="60" w:line="240" w:lineRule="auto"/>
        <w:jc w:val="both"/>
        <w:rPr>
          <w:color w:val="000000"/>
        </w:rPr>
      </w:pPr>
      <w:r>
        <w:rPr>
          <w:color w:val="000000"/>
        </w:rPr>
        <w:t xml:space="preserve">A escolha do modelo de contratação adequado para obras e serviços de engenharia é uma decisão crucial que deve ser tomada pelo ente contratante com base em sua realidade e especificidade. As opções incluem a </w:t>
      </w:r>
      <w:r>
        <w:t>c</w:t>
      </w:r>
      <w:r>
        <w:rPr>
          <w:color w:val="000000"/>
        </w:rPr>
        <w:t xml:space="preserve">ontratação </w:t>
      </w:r>
      <w:r>
        <w:t>i</w:t>
      </w:r>
      <w:r>
        <w:rPr>
          <w:color w:val="000000"/>
        </w:rPr>
        <w:t xml:space="preserve">ntegrada, a </w:t>
      </w:r>
      <w:r>
        <w:t>c</w:t>
      </w:r>
      <w:r>
        <w:rPr>
          <w:color w:val="000000"/>
        </w:rPr>
        <w:t xml:space="preserve">ontratação </w:t>
      </w:r>
      <w:r>
        <w:t>s</w:t>
      </w:r>
      <w:r>
        <w:rPr>
          <w:color w:val="000000"/>
        </w:rPr>
        <w:t>emi-</w:t>
      </w:r>
      <w:r>
        <w:t>i</w:t>
      </w:r>
      <w:r>
        <w:rPr>
          <w:color w:val="000000"/>
        </w:rPr>
        <w:t>ntegrada, ou a decisão de não optar por nenhum dos modelos específicos, aplicando métodos tradicionais de contratação. Abaixo estão descritos os principais aspectos de cada modalidade e as orientações para a tomada de decisão do ente.</w:t>
      </w:r>
    </w:p>
    <w:p w:rsidR="006430DA" w:rsidRDefault="006430DA" w14:paraId="0000007F" w14:textId="77777777">
      <w:pPr>
        <w:pBdr>
          <w:top w:val="nil"/>
          <w:left w:val="nil"/>
          <w:bottom w:val="nil"/>
          <w:right w:val="nil"/>
          <w:between w:val="nil"/>
        </w:pBdr>
        <w:spacing w:after="60" w:line="240" w:lineRule="auto"/>
        <w:jc w:val="both"/>
        <w:rPr>
          <w:color w:val="000000"/>
        </w:rPr>
      </w:pPr>
    </w:p>
    <w:p w:rsidR="006430DA" w:rsidRDefault="00B54928" w14:paraId="00000080" w14:textId="77777777">
      <w:pPr>
        <w:pBdr>
          <w:top w:val="nil"/>
          <w:left w:val="nil"/>
          <w:bottom w:val="nil"/>
          <w:right w:val="nil"/>
          <w:between w:val="nil"/>
        </w:pBdr>
        <w:spacing w:after="60" w:line="240" w:lineRule="auto"/>
        <w:jc w:val="both"/>
        <w:rPr>
          <w:b/>
          <w:color w:val="000000"/>
        </w:rPr>
      </w:pPr>
      <w:r>
        <w:rPr>
          <w:b/>
          <w:color w:val="000000"/>
        </w:rPr>
        <w:t xml:space="preserve">1. Contratação </w:t>
      </w:r>
      <w:r>
        <w:rPr>
          <w:b/>
        </w:rPr>
        <w:t>i</w:t>
      </w:r>
      <w:r>
        <w:rPr>
          <w:b/>
          <w:color w:val="000000"/>
        </w:rPr>
        <w:t>ntegrada</w:t>
      </w:r>
    </w:p>
    <w:p w:rsidR="006430DA" w:rsidRDefault="00B54928" w14:paraId="00000081" w14:textId="77777777">
      <w:pPr>
        <w:numPr>
          <w:ilvl w:val="0"/>
          <w:numId w:val="13"/>
        </w:numPr>
        <w:pBdr>
          <w:top w:val="nil"/>
          <w:left w:val="nil"/>
          <w:bottom w:val="nil"/>
          <w:right w:val="nil"/>
          <w:between w:val="nil"/>
        </w:pBdr>
        <w:spacing w:after="60" w:line="240" w:lineRule="auto"/>
        <w:jc w:val="both"/>
        <w:rPr>
          <w:color w:val="000000"/>
        </w:rPr>
      </w:pPr>
      <w:r>
        <w:rPr>
          <w:color w:val="000000"/>
        </w:rPr>
        <w:t xml:space="preserve">A </w:t>
      </w:r>
      <w:r>
        <w:t>c</w:t>
      </w:r>
      <w:r>
        <w:rPr>
          <w:color w:val="000000"/>
        </w:rPr>
        <w:t xml:space="preserve">ontratação </w:t>
      </w:r>
      <w:r>
        <w:t>i</w:t>
      </w:r>
      <w:r>
        <w:rPr>
          <w:color w:val="000000"/>
        </w:rPr>
        <w:t>ntegrada é um modelo de contratação em que o contratado é responsável por todas as etapas do projeto, desde a concepção até a entrega final da obra ou serviço. Isso inclui estudos preliminares, projeto básico e executivo, execução das obras e até a realização de testes e ajustes.</w:t>
      </w:r>
    </w:p>
    <w:p w:rsidR="006430DA" w:rsidRDefault="00B54928" w14:paraId="00000082" w14:textId="77777777">
      <w:pPr>
        <w:numPr>
          <w:ilvl w:val="0"/>
          <w:numId w:val="13"/>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Este modelo é indicado quando o contratante busca soluções inovadoras e possui capacidade de gestão para monitorar todas as etapas do processo contratual desde a elaboração do projeto </w:t>
      </w:r>
      <w:r>
        <w:t>até</w:t>
      </w:r>
      <w:r>
        <w:rPr>
          <w:color w:val="000000"/>
        </w:rPr>
        <w:t xml:space="preserve"> a execução dos serviços.</w:t>
      </w:r>
    </w:p>
    <w:p w:rsidR="006430DA" w:rsidRDefault="00B54928" w14:paraId="00000083" w14:textId="77777777">
      <w:pPr>
        <w:pBdr>
          <w:top w:val="nil"/>
          <w:left w:val="nil"/>
          <w:bottom w:val="nil"/>
          <w:right w:val="nil"/>
          <w:between w:val="nil"/>
        </w:pBdr>
        <w:spacing w:after="60" w:line="240" w:lineRule="auto"/>
        <w:jc w:val="both"/>
        <w:rPr>
          <w:color w:val="44546A"/>
        </w:rPr>
      </w:pPr>
      <w:r>
        <w:rPr>
          <w:b/>
          <w:color w:val="000000"/>
        </w:rPr>
        <w:t xml:space="preserve">2. Contratação </w:t>
      </w:r>
      <w:r>
        <w:rPr>
          <w:b/>
        </w:rPr>
        <w:t>s</w:t>
      </w:r>
      <w:r>
        <w:rPr>
          <w:b/>
          <w:color w:val="000000"/>
        </w:rPr>
        <w:t xml:space="preserve">emi-integrada </w:t>
      </w:r>
      <w:r>
        <w:rPr>
          <w:color w:val="000000"/>
        </w:rPr>
        <w:t>(Conforme § 5º do art. 46 da Lei nº 14.133/21 e o “Instrumento de Padronização dos Procedimentos de Contratação de Obras e Serviços de Engenharia”, p. 61-67).</w:t>
      </w:r>
    </w:p>
    <w:p w:rsidR="006430DA" w:rsidRDefault="006430DA" w14:paraId="00000084" w14:textId="77777777">
      <w:pPr>
        <w:pBdr>
          <w:top w:val="nil"/>
          <w:left w:val="nil"/>
          <w:bottom w:val="nil"/>
          <w:right w:val="nil"/>
          <w:between w:val="nil"/>
        </w:pBdr>
        <w:spacing w:after="60" w:line="240" w:lineRule="auto"/>
        <w:jc w:val="both"/>
        <w:rPr>
          <w:b/>
          <w:color w:val="000000"/>
        </w:rPr>
      </w:pPr>
    </w:p>
    <w:p w:rsidR="006430DA" w:rsidRDefault="00B54928" w14:paraId="00000085" w14:textId="77777777">
      <w:pPr>
        <w:numPr>
          <w:ilvl w:val="0"/>
          <w:numId w:val="14"/>
        </w:numPr>
        <w:pBdr>
          <w:top w:val="nil"/>
          <w:left w:val="nil"/>
          <w:bottom w:val="nil"/>
          <w:right w:val="nil"/>
          <w:between w:val="nil"/>
        </w:pBdr>
        <w:spacing w:after="60" w:line="240" w:lineRule="auto"/>
        <w:jc w:val="both"/>
        <w:rPr>
          <w:color w:val="000000"/>
        </w:rPr>
      </w:pPr>
      <w:r>
        <w:rPr>
          <w:color w:val="000000"/>
        </w:rPr>
        <w:t xml:space="preserve">Na </w:t>
      </w:r>
      <w:r>
        <w:t>c</w:t>
      </w:r>
      <w:r>
        <w:rPr>
          <w:color w:val="000000"/>
        </w:rPr>
        <w:t xml:space="preserve">ontratação </w:t>
      </w:r>
      <w:r>
        <w:t>s</w:t>
      </w:r>
      <w:r>
        <w:rPr>
          <w:color w:val="000000"/>
        </w:rPr>
        <w:t>emi-</w:t>
      </w:r>
      <w:r>
        <w:t>i</w:t>
      </w:r>
      <w:r>
        <w:rPr>
          <w:color w:val="000000"/>
        </w:rPr>
        <w:t>ntegrada, o contratado assume a responsabilidade por parte das etapas, como o projeto executivo e a execução da obra, mas com base em um projeto básico e/ou arquitetônico fornecido pelo contratante.</w:t>
      </w:r>
    </w:p>
    <w:p w:rsidR="006430DA" w:rsidRDefault="00B54928" w14:paraId="00000086" w14:textId="77777777">
      <w:pPr>
        <w:numPr>
          <w:ilvl w:val="0"/>
          <w:numId w:val="14"/>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Recomendada para entes que possuem capacidade de elaborar projetos básicos de qualidade, mas que buscam expertise externa para execução e detalhes finais do projeto.</w:t>
      </w:r>
    </w:p>
    <w:p w:rsidR="006430DA" w:rsidRDefault="00B54928" w14:paraId="00000087" w14:textId="77777777">
      <w:pPr>
        <w:pBdr>
          <w:top w:val="nil"/>
          <w:left w:val="nil"/>
          <w:bottom w:val="nil"/>
          <w:right w:val="nil"/>
          <w:between w:val="nil"/>
        </w:pBdr>
        <w:spacing w:after="60" w:line="240" w:lineRule="auto"/>
        <w:jc w:val="both"/>
        <w:rPr>
          <w:b/>
          <w:color w:val="000000"/>
        </w:rPr>
      </w:pPr>
      <w:r>
        <w:rPr>
          <w:b/>
          <w:color w:val="000000"/>
        </w:rPr>
        <w:t>3. Escolha pelo método convencional</w:t>
      </w:r>
    </w:p>
    <w:p w:rsidR="006430DA" w:rsidP="57A4165E" w:rsidRDefault="00B54928" w14:paraId="00000088" w14:textId="1112C991">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O ente público pode optar por não adotar as modalidades de </w:t>
      </w:r>
      <w:r w:rsidR="00B54928">
        <w:rPr/>
        <w:t>c</w:t>
      </w:r>
      <w:r w:rsidRPr="57A4165E" w:rsidR="00B54928">
        <w:rPr>
          <w:color w:val="000000" w:themeColor="text1" w:themeTint="FF" w:themeShade="FF"/>
        </w:rPr>
        <w:t xml:space="preserve">ontratação </w:t>
      </w:r>
      <w:r w:rsidR="00B54928">
        <w:rPr/>
        <w:t>i</w:t>
      </w:r>
      <w:r w:rsidRPr="57A4165E" w:rsidR="00B54928">
        <w:rPr>
          <w:color w:val="000000" w:themeColor="text1" w:themeTint="FF" w:themeShade="FF"/>
        </w:rPr>
        <w:t xml:space="preserve">ntegrada ou </w:t>
      </w:r>
      <w:r w:rsidR="00B54928">
        <w:rPr/>
        <w:t>s</w:t>
      </w:r>
      <w:r w:rsidRPr="57A4165E" w:rsidR="00B54928">
        <w:rPr>
          <w:color w:val="000000" w:themeColor="text1" w:themeTint="FF" w:themeShade="FF"/>
        </w:rPr>
        <w:t>emi-</w:t>
      </w:r>
      <w:r w:rsidR="00B54928">
        <w:rPr/>
        <w:t>i</w:t>
      </w:r>
      <w:r w:rsidRPr="57A4165E" w:rsidR="00B54928">
        <w:rPr>
          <w:color w:val="000000" w:themeColor="text1" w:themeTint="FF" w:themeShade="FF"/>
        </w:rPr>
        <w:t>ntegrada</w:t>
      </w:r>
      <w:r w:rsidRPr="57A4165E" w:rsidR="00B54928">
        <w:rPr>
          <w:color w:val="000000" w:themeColor="text1" w:themeTint="FF" w:themeShade="FF"/>
        </w:rPr>
        <w:t xml:space="preserve">, preferindo modelos tradicionais de contratação. Nesse caso, utiliza-se os próprios projetos básicos, </w:t>
      </w:r>
      <w:r w:rsidRPr="57A4165E" w:rsidR="00B54928">
        <w:rPr>
          <w:color w:val="000000" w:themeColor="text1" w:themeTint="FF" w:themeShade="FF"/>
        </w:rPr>
        <w:t>arquitetônicos</w:t>
      </w:r>
      <w:r w:rsidRPr="57A4165E" w:rsidR="00B54928">
        <w:rPr>
          <w:color w:val="000000" w:themeColor="text1" w:themeTint="FF" w:themeShade="FF"/>
        </w:rPr>
        <w:t xml:space="preserve">, executivos e complementares, contratando a </w:t>
      </w:r>
      <w:r w:rsidRPr="57A4165E" w:rsidR="00B54928">
        <w:rPr>
          <w:color w:val="000000" w:themeColor="text1" w:themeTint="FF" w:themeShade="FF"/>
        </w:rPr>
        <w:t>empresa exclusivamente</w:t>
      </w:r>
      <w:r w:rsidRPr="57A4165E" w:rsidR="00B54928">
        <w:rPr>
          <w:color w:val="000000" w:themeColor="text1" w:themeTint="FF" w:themeShade="FF"/>
        </w:rPr>
        <w:t>, para a execução das obras e serviços. Esse modelo permite maior controle sobre o planejamento, visto que o ente já desenvolveu previamente os projetos necessários, delegando à contratada apenas a execução conforme especificado, sem a necessidade de desenvolver ou complementar os projet</w:t>
      </w:r>
      <w:r w:rsidRPr="57A4165E" w:rsidR="00B54928">
        <w:rPr>
          <w:color w:val="000000" w:themeColor="text1" w:themeTint="FF" w:themeShade="FF"/>
        </w:rPr>
        <w:t>os existentes.</w:t>
      </w:r>
    </w:p>
    <w:p w:rsidR="006430DA" w:rsidRDefault="00B54928" w14:paraId="00000089" w14:textId="77777777">
      <w:pPr>
        <w:pBdr>
          <w:top w:val="nil"/>
          <w:left w:val="nil"/>
          <w:bottom w:val="nil"/>
          <w:right w:val="nil"/>
          <w:between w:val="nil"/>
        </w:pBdr>
        <w:spacing w:after="60" w:line="240" w:lineRule="auto"/>
        <w:jc w:val="both"/>
        <w:rPr>
          <w:b/>
          <w:color w:val="000000"/>
        </w:rPr>
      </w:pPr>
      <w:r>
        <w:rPr>
          <w:b/>
          <w:color w:val="000000"/>
        </w:rPr>
        <w:t>Conclusão</w:t>
      </w:r>
    </w:p>
    <w:p w:rsidR="006430DA" w:rsidRDefault="00B54928" w14:paraId="0000008A" w14:textId="77777777">
      <w:pPr>
        <w:pBdr>
          <w:top w:val="nil"/>
          <w:left w:val="nil"/>
          <w:bottom w:val="nil"/>
          <w:right w:val="nil"/>
          <w:between w:val="nil"/>
        </w:pBdr>
        <w:spacing w:after="60" w:line="240" w:lineRule="auto"/>
        <w:jc w:val="both"/>
        <w:rPr>
          <w:color w:val="000000"/>
        </w:rPr>
      </w:pPr>
      <w:r>
        <w:rPr>
          <w:color w:val="000000"/>
        </w:rPr>
        <w:t xml:space="preserve">A ênfase da adoção das contratações integradas e semi-integradas deve-se pautar na demonstração da eficácia do modelo a ser adotado, mediante a devida justificativa de ordem técnica. De todo modo, esclarece-se que, em regra, não se deve adotar tais regimes para objetos comuns ou padronizados cujas soluções técnicas não comportem variações significativas, embora não haja óbices às suas respectivas utilizações quando se verifica, no caso concreto, oportunidade de soluções inovadoras. </w:t>
      </w:r>
    </w:p>
    <w:p w:rsidR="006430DA" w:rsidRDefault="00B54928" w14:paraId="0000008B" w14:textId="77777777">
      <w:pPr>
        <w:pBdr>
          <w:top w:val="nil"/>
          <w:left w:val="nil"/>
          <w:bottom w:val="nil"/>
          <w:right w:val="nil"/>
          <w:between w:val="nil"/>
        </w:pBdr>
        <w:spacing w:after="60" w:line="240" w:lineRule="auto"/>
        <w:jc w:val="both"/>
        <w:rPr>
          <w:color w:val="000000"/>
        </w:rPr>
      </w:pPr>
      <w:r>
        <w:rPr>
          <w:color w:val="000000"/>
        </w:rPr>
        <w:t>Podendo ser observados, ainda</w:t>
      </w:r>
      <w:r>
        <w:t xml:space="preserve">, </w:t>
      </w:r>
      <w:r>
        <w:rPr>
          <w:color w:val="000000"/>
        </w:rPr>
        <w:t>fatores como a complexidade do projeto, a capacidade técnica do ente, os recursos disponíveis, e o nível de inovação desejado. Portanto, o ente deve avaliar e identificar a estratégia mais adequada para sua realidade. Essa análise deve considerar, ainda, a necessidade de elaboração de projetos executivos e complementares, quando necessário, para garantir que as soluções propostas e escolhidas atendam de forma eficiente às demandas locais, respeitando as normativas vigentes e garantindo a viabilidade técnica</w:t>
      </w:r>
      <w:r>
        <w:rPr>
          <w:color w:val="000000"/>
        </w:rPr>
        <w:t xml:space="preserve"> das adaptações necessárias.</w:t>
      </w:r>
    </w:p>
    <w:p w:rsidR="006430DA" w:rsidRDefault="00B54928" w14:paraId="0000008C" w14:textId="77777777">
      <w:pPr>
        <w:pBdr>
          <w:top w:val="nil"/>
          <w:left w:val="nil"/>
          <w:bottom w:val="nil"/>
          <w:right w:val="nil"/>
          <w:between w:val="nil"/>
        </w:pBdr>
        <w:spacing w:line="240" w:lineRule="auto"/>
        <w:jc w:val="both"/>
        <w:rPr>
          <w:color w:val="000000"/>
        </w:rPr>
      </w:pPr>
      <w:r>
        <w:rPr>
          <w:b/>
          <w:color w:val="000000"/>
        </w:rPr>
        <w:t xml:space="preserve">Tópico 5.5. Forma de </w:t>
      </w:r>
      <w:r>
        <w:rPr>
          <w:b/>
        </w:rPr>
        <w:t>s</w:t>
      </w:r>
      <w:r>
        <w:rPr>
          <w:b/>
          <w:color w:val="000000"/>
        </w:rPr>
        <w:t xml:space="preserve">eleção do </w:t>
      </w:r>
      <w:r>
        <w:rPr>
          <w:b/>
        </w:rPr>
        <w:t>f</w:t>
      </w:r>
      <w:r>
        <w:rPr>
          <w:b/>
          <w:color w:val="000000"/>
        </w:rPr>
        <w:t xml:space="preserve">ornecedor e </w:t>
      </w:r>
      <w:r>
        <w:rPr>
          <w:b/>
        </w:rPr>
        <w:t>m</w:t>
      </w:r>
      <w:r>
        <w:rPr>
          <w:b/>
          <w:color w:val="000000"/>
        </w:rPr>
        <w:t xml:space="preserve">odalidade de </w:t>
      </w:r>
      <w:r>
        <w:rPr>
          <w:b/>
        </w:rPr>
        <w:t>l</w:t>
      </w:r>
      <w:r>
        <w:rPr>
          <w:b/>
          <w:color w:val="000000"/>
        </w:rPr>
        <w:t>icitação:</w:t>
      </w:r>
      <w:r>
        <w:rPr>
          <w:color w:val="000000"/>
        </w:rPr>
        <w:t xml:space="preserve"> </w:t>
      </w:r>
      <w:r>
        <w:t>p</w:t>
      </w:r>
      <w:r>
        <w:rPr>
          <w:color w:val="000000"/>
        </w:rPr>
        <w:t>ara a elaboração deste item do Estudo Técnico Preliminar (ETP) no contexto de uma obra de engenharia, é essencial seguir as diretrizes estabelecidas pela Lei nº 14.133/2021 e pela Instrução Normativa Seges nº 58, de 8 de agosto de 2022, no que for aplicável. Essa seção deve justificar a escolha da modalidade de licitação e da forma de seleção do fornecedor de maneira robusta, considerando as especificidades técnicas da obra a ser realizada.</w:t>
      </w:r>
    </w:p>
    <w:p w:rsidR="006430DA" w:rsidRDefault="00B54928" w14:paraId="0000008D" w14:textId="77777777">
      <w:pPr>
        <w:pBdr>
          <w:top w:val="nil"/>
          <w:left w:val="nil"/>
          <w:bottom w:val="nil"/>
          <w:right w:val="nil"/>
          <w:between w:val="nil"/>
        </w:pBdr>
        <w:spacing w:after="60" w:line="240" w:lineRule="auto"/>
        <w:jc w:val="both"/>
        <w:rPr>
          <w:color w:val="000000"/>
        </w:rPr>
      </w:pPr>
      <w:r>
        <w:rPr>
          <w:b/>
          <w:color w:val="000000"/>
        </w:rPr>
        <w:t>1. Lei nº 14.133/2021</w:t>
      </w:r>
    </w:p>
    <w:p w:rsidR="006430DA" w:rsidRDefault="00B54928" w14:paraId="0000008E" w14:textId="77777777">
      <w:pPr>
        <w:pBdr>
          <w:top w:val="nil"/>
          <w:left w:val="nil"/>
          <w:bottom w:val="nil"/>
          <w:right w:val="nil"/>
          <w:between w:val="nil"/>
        </w:pBdr>
        <w:spacing w:after="60" w:line="240" w:lineRule="auto"/>
        <w:jc w:val="both"/>
        <w:rPr>
          <w:color w:val="000000"/>
        </w:rPr>
      </w:pPr>
      <w:r>
        <w:rPr>
          <w:color w:val="000000"/>
        </w:rPr>
        <w:t xml:space="preserve">A Lei nº 14.133/2021, que regula as licitações e contratos administrativos, oferece diversas modalidades de licitação que devem ser escolhidas com base na complexidade e valor do objeto contratado. No caso de obras de engenharia, a modalidade de </w:t>
      </w:r>
      <w:r>
        <w:rPr>
          <w:b/>
        </w:rPr>
        <w:t>c</w:t>
      </w:r>
      <w:r>
        <w:rPr>
          <w:b/>
          <w:color w:val="000000"/>
        </w:rPr>
        <w:t>oncorrência</w:t>
      </w:r>
      <w:r>
        <w:rPr>
          <w:color w:val="000000"/>
        </w:rPr>
        <w:t xml:space="preserve"> é a mais indicada, conforme o </w:t>
      </w:r>
      <w:r>
        <w:t>a</w:t>
      </w:r>
      <w:r>
        <w:rPr>
          <w:color w:val="000000"/>
        </w:rPr>
        <w:t xml:space="preserve">rt. 28 da lei, uma vez que permite a avaliação criteriosa das propostas com base em critérios técnicos e financeiros. A </w:t>
      </w:r>
      <w:r>
        <w:rPr>
          <w:b/>
        </w:rPr>
        <w:t>c</w:t>
      </w:r>
      <w:r>
        <w:rPr>
          <w:b/>
          <w:color w:val="000000"/>
        </w:rPr>
        <w:t xml:space="preserve">oncorrência </w:t>
      </w:r>
      <w:r>
        <w:rPr>
          <w:b/>
        </w:rPr>
        <w:t>e</w:t>
      </w:r>
      <w:r>
        <w:rPr>
          <w:b/>
          <w:color w:val="000000"/>
        </w:rPr>
        <w:t>letrônica</w:t>
      </w:r>
      <w:r>
        <w:rPr>
          <w:color w:val="000000"/>
        </w:rPr>
        <w:t xml:space="preserve"> é uma forma eficiente de conduzir o processo, promovendo transparência, competitividade e permitindo a participação ampla de fornecedores​.</w:t>
      </w:r>
    </w:p>
    <w:p w:rsidR="006430DA" w:rsidRDefault="00B54928" w14:paraId="0000008F" w14:textId="77777777">
      <w:pPr>
        <w:pBdr>
          <w:top w:val="nil"/>
          <w:left w:val="nil"/>
          <w:bottom w:val="nil"/>
          <w:right w:val="nil"/>
          <w:between w:val="nil"/>
        </w:pBdr>
        <w:spacing w:after="60" w:line="240" w:lineRule="auto"/>
        <w:jc w:val="both"/>
        <w:rPr>
          <w:color w:val="000000"/>
        </w:rPr>
      </w:pPr>
      <w:r>
        <w:rPr>
          <w:color w:val="000000"/>
        </w:rPr>
        <w:t xml:space="preserve">Além disso, a lei estabelece que o critério de julgamento deve ser alinhado com os objetivos da contratação. Para obras de engenharia,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frequentemente utilizado, mas em casos onde a qualidade técnica é primordial, pode-se adotar o critério de </w:t>
      </w:r>
      <w:r>
        <w:rPr>
          <w:b/>
        </w:rPr>
        <w:t>t</w:t>
      </w:r>
      <w:r>
        <w:rPr>
          <w:b/>
          <w:color w:val="000000"/>
        </w:rPr>
        <w:t xml:space="preserve">écnica e </w:t>
      </w:r>
      <w:r>
        <w:rPr>
          <w:b/>
        </w:rPr>
        <w:t>p</w:t>
      </w:r>
      <w:r>
        <w:rPr>
          <w:b/>
          <w:color w:val="000000"/>
        </w:rPr>
        <w:t>reço</w:t>
      </w:r>
      <w:r>
        <w:rPr>
          <w:color w:val="000000"/>
        </w:rPr>
        <w:t>. A seleção de fornecedores deve priorizar a proposta mais vantajosa para a Administração Pública, considerando não apenas o custo inicial, mas também a capacidade técnica e a experiência do fornecedor.</w:t>
      </w:r>
    </w:p>
    <w:p w:rsidR="006430DA" w:rsidRDefault="00B54928" w14:paraId="00000090" w14:textId="77777777">
      <w:pPr>
        <w:pBdr>
          <w:top w:val="nil"/>
          <w:left w:val="nil"/>
          <w:bottom w:val="nil"/>
          <w:right w:val="nil"/>
          <w:between w:val="nil"/>
        </w:pBdr>
        <w:spacing w:after="60" w:line="240" w:lineRule="auto"/>
        <w:jc w:val="both"/>
        <w:rPr>
          <w:color w:val="000000"/>
        </w:rPr>
      </w:pPr>
      <w:r>
        <w:rPr>
          <w:b/>
          <w:color w:val="000000"/>
        </w:rPr>
        <w:t>2. Instrução Normativa Seges nº 58/2022</w:t>
      </w:r>
    </w:p>
    <w:p w:rsidR="006430DA" w:rsidRDefault="00B54928" w14:paraId="00000091" w14:textId="77777777">
      <w:pPr>
        <w:pBdr>
          <w:top w:val="nil"/>
          <w:left w:val="nil"/>
          <w:bottom w:val="nil"/>
          <w:right w:val="nil"/>
          <w:between w:val="nil"/>
        </w:pBdr>
        <w:spacing w:after="60" w:line="240" w:lineRule="auto"/>
        <w:jc w:val="both"/>
        <w:rPr>
          <w:color w:val="000000"/>
        </w:rPr>
      </w:pPr>
      <w:r>
        <w:rPr>
          <w:color w:val="000000"/>
        </w:rPr>
        <w:t>A Instrução Normativa Seges nº 58/2022 detalha o processo de elaboração dos ETPs, reforçando a necessidade de escolher a modalidade de licitação que melhor atenda às especificidades da contratação. A IN destaca que, para obras de engenharia, é fundamental justificar a escolha da modalidade de licitação, considerando a complexidade técnica, o valor estimado da obra e a urgência da necessidade (</w:t>
      </w:r>
      <w:r>
        <w:t>a</w:t>
      </w:r>
      <w:r>
        <w:rPr>
          <w:color w:val="000000"/>
        </w:rPr>
        <w:t>rt. 5º e 6º). A IN nº 58/2022 também exige que o ETP inclua uma análise do mercado, identificando a capacidade dos fornecedores de atender aos requisitos técnicos do projeto​.</w:t>
      </w:r>
    </w:p>
    <w:p w:rsidR="006430DA" w:rsidRDefault="00B54928" w14:paraId="00000092" w14:textId="77777777">
      <w:pPr>
        <w:pBdr>
          <w:top w:val="nil"/>
          <w:left w:val="nil"/>
          <w:bottom w:val="nil"/>
          <w:right w:val="nil"/>
          <w:between w:val="nil"/>
        </w:pBdr>
        <w:spacing w:after="60" w:line="240" w:lineRule="auto"/>
        <w:jc w:val="both"/>
        <w:rPr>
          <w:color w:val="000000"/>
        </w:rPr>
      </w:pPr>
      <w:r>
        <w:rPr>
          <w:color w:val="000000"/>
        </w:rPr>
        <w:t xml:space="preserve">A escolha da </w:t>
      </w:r>
      <w:r>
        <w:rPr>
          <w:b/>
        </w:rPr>
        <w:t>c</w:t>
      </w:r>
      <w:r>
        <w:rPr>
          <w:b/>
          <w:color w:val="000000"/>
        </w:rPr>
        <w:t>oncorrência</w:t>
      </w:r>
      <w:r>
        <w:rPr>
          <w:color w:val="000000"/>
        </w:rPr>
        <w:t xml:space="preserve">, preferencialmente na forma eletrônica, é sugerida para obras de engenharia, pois permite uma avaliação aprofundada das propostas e assegura a transparência e a lisura do processo licitatório. O modo de disputa </w:t>
      </w:r>
      <w:r>
        <w:rPr>
          <w:b/>
        </w:rPr>
        <w:t>a</w:t>
      </w:r>
      <w:r>
        <w:rPr>
          <w:b/>
          <w:color w:val="000000"/>
        </w:rPr>
        <w:t>berto</w:t>
      </w:r>
      <w:r>
        <w:rPr>
          <w:color w:val="000000"/>
        </w:rPr>
        <w:t xml:space="preserve"> é geralmente preferido, pois promove maior transparência e competitividade entre os licitantes.</w:t>
      </w:r>
    </w:p>
    <w:p w:rsidR="006430DA" w:rsidRDefault="006430DA" w14:paraId="00000093" w14:textId="77777777">
      <w:pPr>
        <w:pBdr>
          <w:top w:val="nil"/>
          <w:left w:val="nil"/>
          <w:bottom w:val="nil"/>
          <w:right w:val="nil"/>
          <w:between w:val="nil"/>
        </w:pBdr>
        <w:spacing w:after="60" w:line="240" w:lineRule="auto"/>
        <w:jc w:val="both"/>
        <w:rPr>
          <w:color w:val="000000"/>
        </w:rPr>
      </w:pPr>
    </w:p>
    <w:p w:rsidR="006430DA" w:rsidP="57A4165E" w:rsidRDefault="00B54928" w14:paraId="00000094" w14:textId="2B41FC69">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A escolha da </w:t>
      </w:r>
      <w:r w:rsidRPr="57A4165E" w:rsidR="00B54928">
        <w:rPr>
          <w:b w:val="1"/>
          <w:bCs w:val="1"/>
        </w:rPr>
        <w:t>c</w:t>
      </w:r>
      <w:r w:rsidRPr="57A4165E" w:rsidR="00B54928">
        <w:rPr>
          <w:b w:val="1"/>
          <w:bCs w:val="1"/>
          <w:color w:val="000000" w:themeColor="text1" w:themeTint="FF" w:themeShade="FF"/>
        </w:rPr>
        <w:t>oncorrência</w:t>
      </w:r>
      <w:r w:rsidRPr="57A4165E" w:rsidR="00B54928">
        <w:rPr>
          <w:color w:val="000000" w:themeColor="text1" w:themeTint="FF" w:themeShade="FF"/>
        </w:rPr>
        <w:t xml:space="preserve"> é sugerida para obras de engenharia, pois permite uma avaliação aprofundada das propostas e assegura a transparência e a lisura do processo licitatório, e deverá ser realizada, preferencialmente, na forma eletrônica. Caso o </w:t>
      </w:r>
      <w:r w:rsidR="00B54928">
        <w:rPr/>
        <w:t>e</w:t>
      </w:r>
      <w:r w:rsidRPr="57A4165E" w:rsidR="00B54928">
        <w:rPr>
          <w:color w:val="000000" w:themeColor="text1" w:themeTint="FF" w:themeShade="FF"/>
        </w:rPr>
        <w:t xml:space="preserve">nte opte pela forma presencial, desde que apresente justificativa motivada, por ser opção </w:t>
      </w:r>
      <w:r w:rsidRPr="57A4165E" w:rsidR="00B54928">
        <w:rPr>
          <w:color w:val="000000" w:themeColor="text1" w:themeTint="FF" w:themeShade="FF"/>
        </w:rPr>
        <w:t>excepcional</w:t>
      </w:r>
      <w:r w:rsidRPr="57A4165E" w:rsidR="00B54928">
        <w:rPr>
          <w:color w:val="000000" w:themeColor="text1" w:themeTint="FF" w:themeShade="FF"/>
        </w:rPr>
        <w:t>, a sessão pública para apresentação de propostas deverá ser</w:t>
      </w:r>
      <w:r w:rsidRPr="57A4165E" w:rsidR="55BDB6B9">
        <w:rPr>
          <w:color w:val="000000" w:themeColor="text1" w:themeTint="FF" w:themeShade="FF"/>
        </w:rPr>
        <w:t xml:space="preserve"> </w:t>
      </w:r>
      <w:r w:rsidRPr="57A4165E" w:rsidR="00B54928">
        <w:rPr>
          <w:color w:val="000000" w:themeColor="text1" w:themeTint="FF" w:themeShade="FF"/>
        </w:rPr>
        <w:t>registrada</w:t>
      </w:r>
      <w:r w:rsidRPr="57A4165E" w:rsidR="00B54928">
        <w:rPr>
          <w:color w:val="000000" w:themeColor="text1" w:themeTint="FF" w:themeShade="FF"/>
        </w:rPr>
        <w:t xml:space="preserve"> em ata, gravada em áudio e vídeo, e anexada aos autos do processo. O modo de disputa </w:t>
      </w:r>
      <w:r w:rsidRPr="57A4165E" w:rsidR="00B54928">
        <w:rPr>
          <w:b w:val="1"/>
          <w:bCs w:val="1"/>
        </w:rPr>
        <w:t>a</w:t>
      </w:r>
      <w:r w:rsidRPr="57A4165E" w:rsidR="00B54928">
        <w:rPr>
          <w:b w:val="1"/>
          <w:bCs w:val="1"/>
          <w:color w:val="000000" w:themeColor="text1" w:themeTint="FF" w:themeShade="FF"/>
        </w:rPr>
        <w:t>berto</w:t>
      </w:r>
      <w:r w:rsidRPr="57A4165E" w:rsidR="00B54928">
        <w:rPr>
          <w:color w:val="000000" w:themeColor="text1" w:themeTint="FF" w:themeShade="FF"/>
        </w:rPr>
        <w:t xml:space="preserve"> é geralmente preferid</w:t>
      </w:r>
      <w:r w:rsidRPr="57A4165E" w:rsidR="00B54928">
        <w:rPr>
          <w:color w:val="000000" w:themeColor="text1" w:themeTint="FF" w:themeShade="FF"/>
        </w:rPr>
        <w:t>o, pois promove maior transparência e competitividade entre os licitantes.</w:t>
      </w:r>
    </w:p>
    <w:p w:rsidR="006430DA" w:rsidRDefault="00B54928" w14:paraId="00000095" w14:textId="77777777">
      <w:pPr>
        <w:pBdr>
          <w:top w:val="nil"/>
          <w:left w:val="nil"/>
          <w:bottom w:val="nil"/>
          <w:right w:val="nil"/>
          <w:between w:val="nil"/>
        </w:pBdr>
        <w:spacing w:after="60" w:line="240" w:lineRule="auto"/>
        <w:jc w:val="both"/>
        <w:rPr>
          <w:b/>
          <w:color w:val="000000"/>
        </w:rPr>
      </w:pPr>
      <w:r>
        <w:rPr>
          <w:color w:val="000000"/>
        </w:rPr>
        <w:t xml:space="preserve">A tomada de decisão é discricionária do ente, fundamentada em suas próprias conclusões e com base na legislação vigente. Cabe ressaltar que o ente será responsável por todas as decisões, incluindo a escolha da modalidade de licitação, o modo de disputa e o critério de julgamento adotado para o caso. Além disso, deve-se observar os princípios que regem a </w:t>
      </w:r>
      <w:r>
        <w:t>A</w:t>
      </w:r>
      <w:r>
        <w:rPr>
          <w:color w:val="000000"/>
        </w:rPr>
        <w:t xml:space="preserve">dministração </w:t>
      </w:r>
      <w:r>
        <w:t>P</w:t>
      </w:r>
      <w:r>
        <w:rPr>
          <w:color w:val="000000"/>
        </w:rPr>
        <w:t>ública em processos licitatórios, como legalidade, impessoalidade, moralidade, publicidade e eficiência.</w:t>
      </w:r>
      <w:r>
        <w:rPr>
          <w:b/>
          <w:color w:val="000000"/>
        </w:rPr>
        <w:t xml:space="preserve"> </w:t>
      </w:r>
    </w:p>
    <w:p w:rsidR="006430DA" w:rsidRDefault="00B54928" w14:paraId="00000096" w14:textId="77777777">
      <w:pPr>
        <w:pBdr>
          <w:top w:val="nil"/>
          <w:left w:val="nil"/>
          <w:bottom w:val="nil"/>
          <w:right w:val="nil"/>
          <w:between w:val="nil"/>
        </w:pBdr>
        <w:spacing w:after="60" w:line="240" w:lineRule="auto"/>
        <w:jc w:val="both"/>
        <w:rPr>
          <w:color w:val="000000"/>
        </w:rPr>
      </w:pPr>
      <w:r>
        <w:rPr>
          <w:b/>
          <w:color w:val="000000"/>
        </w:rPr>
        <w:t xml:space="preserve">3. Aplicação na </w:t>
      </w:r>
      <w:r>
        <w:rPr>
          <w:b/>
        </w:rPr>
        <w:t>s</w:t>
      </w:r>
      <w:r>
        <w:rPr>
          <w:b/>
          <w:color w:val="000000"/>
        </w:rPr>
        <w:t>eção 5.5 do ETP</w:t>
      </w:r>
    </w:p>
    <w:p w:rsidR="006430DA" w:rsidRDefault="00B54928" w14:paraId="00000097" w14:textId="77777777">
      <w:pPr>
        <w:pBdr>
          <w:top w:val="nil"/>
          <w:left w:val="nil"/>
          <w:bottom w:val="nil"/>
          <w:right w:val="nil"/>
          <w:between w:val="nil"/>
        </w:pBdr>
        <w:spacing w:after="60" w:line="240" w:lineRule="auto"/>
        <w:jc w:val="both"/>
        <w:rPr>
          <w:color w:val="000000"/>
        </w:rPr>
      </w:pPr>
      <w:r>
        <w:rPr>
          <w:color w:val="000000"/>
        </w:rPr>
        <w:t xml:space="preserve">Na seção 5.5 do ETP, ao justificar a escolha da </w:t>
      </w:r>
      <w:r>
        <w:rPr>
          <w:b/>
        </w:rPr>
        <w:t>c</w:t>
      </w:r>
      <w:r>
        <w:rPr>
          <w:b/>
          <w:color w:val="000000"/>
        </w:rPr>
        <w:t xml:space="preserve">oncorrência </w:t>
      </w:r>
      <w:r>
        <w:rPr>
          <w:b/>
        </w:rPr>
        <w:t>e</w:t>
      </w:r>
      <w:r>
        <w:rPr>
          <w:b/>
          <w:color w:val="000000"/>
        </w:rPr>
        <w:t>letrônica</w:t>
      </w:r>
      <w:r>
        <w:rPr>
          <w:color w:val="000000"/>
        </w:rPr>
        <w:t xml:space="preserve"> como modalidade de licitação, deve-se destacar que essa modalidade é a mais adequada para a obra de engenharia em questão, dada a sua complexidade técnica e o valor elevado. A </w:t>
      </w:r>
      <w:r>
        <w:t>c</w:t>
      </w:r>
      <w:r>
        <w:rPr>
          <w:color w:val="000000"/>
        </w:rPr>
        <w:t>oncorrência permite uma análise minuciosa das propostas, garantindo que o processo licitatório resulte na seleção do fornecedor que melhor atenda aos critérios técnicos e financeiros estabelecidos.</w:t>
      </w:r>
    </w:p>
    <w:p w:rsidR="006430DA" w:rsidRDefault="00B54928" w14:paraId="00000098" w14:textId="77777777">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deve ser fundamentada na necessidade de maximizar a transparência e a competitividade, permitindo que as propostas sejam avaliadas de forma comparativa, com todos os licitantes tendo a oportunidade de ajustar suas ofertas durante o processo.</w:t>
      </w:r>
    </w:p>
    <w:p w:rsidR="006430DA" w:rsidRDefault="00B54928" w14:paraId="00000099" w14:textId="77777777">
      <w:pPr>
        <w:pBdr>
          <w:top w:val="nil"/>
          <w:left w:val="nil"/>
          <w:bottom w:val="nil"/>
          <w:right w:val="nil"/>
          <w:between w:val="nil"/>
        </w:pBdr>
        <w:spacing w:after="60" w:line="240" w:lineRule="auto"/>
        <w:jc w:val="both"/>
        <w:rPr>
          <w:color w:val="000000"/>
        </w:rPr>
      </w:pPr>
      <w:r>
        <w:rPr>
          <w:color w:val="000000"/>
        </w:rPr>
        <w:t xml:space="preserve">O </w:t>
      </w:r>
      <w:r>
        <w:rPr>
          <w:b/>
          <w:color w:val="000000"/>
        </w:rPr>
        <w:t>critério de julgamento</w:t>
      </w:r>
      <w:r>
        <w:rPr>
          <w:color w:val="000000"/>
        </w:rPr>
        <w:t xml:space="preserve"> por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apropriado quando a especificação técnica do projeto está bem definida e a principal preocupação é a otimização dos custos. No entanto, se o projeto exigir soluções técnicas inovadoras ou um alto padrão de qualidade, o critério de </w:t>
      </w:r>
      <w:r>
        <w:rPr>
          <w:b/>
        </w:rPr>
        <w:t>t</w:t>
      </w:r>
      <w:r>
        <w:rPr>
          <w:b/>
          <w:color w:val="000000"/>
        </w:rPr>
        <w:t xml:space="preserve">écnica e </w:t>
      </w:r>
      <w:r>
        <w:rPr>
          <w:b/>
        </w:rPr>
        <w:t>p</w:t>
      </w:r>
      <w:r>
        <w:rPr>
          <w:b/>
          <w:color w:val="000000"/>
        </w:rPr>
        <w:t>reço</w:t>
      </w:r>
      <w:r>
        <w:rPr>
          <w:color w:val="000000"/>
        </w:rPr>
        <w:t xml:space="preserve"> pode ser mais adequado, permitindo que a avaliação técnica tenha um peso significativo na escolha da proposta vencedora.</w:t>
      </w:r>
    </w:p>
    <w:p w:rsidR="006430DA" w:rsidRDefault="00B54928" w14:paraId="0000009A" w14:textId="77777777">
      <w:pPr>
        <w:pBdr>
          <w:top w:val="nil"/>
          <w:left w:val="nil"/>
          <w:bottom w:val="nil"/>
          <w:right w:val="nil"/>
          <w:between w:val="nil"/>
        </w:pBdr>
        <w:spacing w:after="60" w:line="240" w:lineRule="auto"/>
        <w:jc w:val="both"/>
        <w:rPr>
          <w:color w:val="000000"/>
        </w:rPr>
      </w:pPr>
      <w:r>
        <w:rPr>
          <w:b/>
          <w:color w:val="000000"/>
        </w:rPr>
        <w:t>Conclusão</w:t>
      </w:r>
    </w:p>
    <w:p w:rsidR="006430DA" w:rsidP="57A4165E" w:rsidRDefault="00B54928" w14:paraId="0000009B" w14:textId="46C4CDDC">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A escolha da modalidade de licitação, da forma de seleção do fornecedor e do critério de julgamento deve ser feita com base em uma análise detalhada das necessidades específicas da obra de engenharia. A </w:t>
      </w:r>
      <w:r w:rsidRPr="57A4165E" w:rsidR="00B54928">
        <w:rPr>
          <w:b w:val="1"/>
          <w:bCs w:val="1"/>
        </w:rPr>
        <w:t>c</w:t>
      </w:r>
      <w:r w:rsidRPr="57A4165E" w:rsidR="00B54928">
        <w:rPr>
          <w:b w:val="1"/>
          <w:bCs w:val="1"/>
          <w:color w:val="000000" w:themeColor="text1" w:themeTint="FF" w:themeShade="FF"/>
        </w:rPr>
        <w:t xml:space="preserve">oncorrência </w:t>
      </w:r>
      <w:r w:rsidRPr="57A4165E" w:rsidR="00B54928">
        <w:rPr>
          <w:b w:val="1"/>
          <w:bCs w:val="1"/>
        </w:rPr>
        <w:t>e</w:t>
      </w:r>
      <w:r w:rsidRPr="57A4165E" w:rsidR="00B54928">
        <w:rPr>
          <w:b w:val="1"/>
          <w:bCs w:val="1"/>
          <w:color w:val="000000" w:themeColor="text1" w:themeTint="FF" w:themeShade="FF"/>
        </w:rPr>
        <w:t>letrônica</w:t>
      </w:r>
      <w:r w:rsidRPr="57A4165E" w:rsidR="00B54928">
        <w:rPr>
          <w:color w:val="000000" w:themeColor="text1" w:themeTint="FF" w:themeShade="FF"/>
        </w:rPr>
        <w:t xml:space="preserve">, com </w:t>
      </w:r>
      <w:r w:rsidRPr="57A4165E" w:rsidR="00B54928">
        <w:rPr>
          <w:b w:val="1"/>
          <w:bCs w:val="1"/>
          <w:color w:val="000000" w:themeColor="text1" w:themeTint="FF" w:themeShade="FF"/>
        </w:rPr>
        <w:t xml:space="preserve">modo de disputa </w:t>
      </w:r>
      <w:r w:rsidRPr="57A4165E" w:rsidR="00B54928">
        <w:rPr>
          <w:b w:val="1"/>
          <w:bCs w:val="1"/>
        </w:rPr>
        <w:t>a</w:t>
      </w:r>
      <w:r w:rsidRPr="57A4165E" w:rsidR="00B54928">
        <w:rPr>
          <w:b w:val="1"/>
          <w:bCs w:val="1"/>
          <w:color w:val="000000" w:themeColor="text1" w:themeTint="FF" w:themeShade="FF"/>
        </w:rPr>
        <w:t>berto</w:t>
      </w:r>
      <w:r w:rsidRPr="57A4165E" w:rsidR="00B54928">
        <w:rPr>
          <w:color w:val="000000" w:themeColor="text1" w:themeTint="FF" w:themeShade="FF"/>
        </w:rPr>
        <w:t xml:space="preserve"> e julgamento pelo </w:t>
      </w:r>
      <w:r w:rsidRPr="57A4165E" w:rsidR="00B54928">
        <w:rPr>
          <w:b w:val="1"/>
          <w:bCs w:val="1"/>
        </w:rPr>
        <w:t>m</w:t>
      </w:r>
      <w:r w:rsidRPr="57A4165E" w:rsidR="00B54928">
        <w:rPr>
          <w:b w:val="1"/>
          <w:bCs w:val="1"/>
          <w:color w:val="000000" w:themeColor="text1" w:themeTint="FF" w:themeShade="FF"/>
        </w:rPr>
        <w:t xml:space="preserve">enor </w:t>
      </w:r>
      <w:r w:rsidRPr="57A4165E" w:rsidR="00B54928">
        <w:rPr>
          <w:b w:val="1"/>
          <w:bCs w:val="1"/>
        </w:rPr>
        <w:t>p</w:t>
      </w:r>
      <w:r w:rsidRPr="57A4165E" w:rsidR="00B54928">
        <w:rPr>
          <w:b w:val="1"/>
          <w:bCs w:val="1"/>
          <w:color w:val="000000" w:themeColor="text1" w:themeTint="FF" w:themeShade="FF"/>
        </w:rPr>
        <w:t xml:space="preserve">reço </w:t>
      </w:r>
      <w:r w:rsidRPr="57A4165E" w:rsidR="00B54928">
        <w:rPr>
          <w:b w:val="1"/>
          <w:bCs w:val="1"/>
        </w:rPr>
        <w:t>g</w:t>
      </w:r>
      <w:r w:rsidRPr="57A4165E" w:rsidR="00B54928">
        <w:rPr>
          <w:b w:val="1"/>
          <w:bCs w:val="1"/>
          <w:color w:val="000000" w:themeColor="text1" w:themeTint="FF" w:themeShade="FF"/>
        </w:rPr>
        <w:t>lobal</w:t>
      </w:r>
      <w:r w:rsidRPr="57A4165E" w:rsidR="00B54928">
        <w:rPr>
          <w:color w:val="000000" w:themeColor="text1" w:themeTint="FF" w:themeShade="FF"/>
        </w:rPr>
        <w:t xml:space="preserve"> ou </w:t>
      </w:r>
      <w:r w:rsidRPr="57A4165E" w:rsidR="00B54928">
        <w:rPr>
          <w:b w:val="1"/>
          <w:bCs w:val="1"/>
        </w:rPr>
        <w:t>t</w:t>
      </w:r>
      <w:r w:rsidRPr="57A4165E" w:rsidR="00B54928">
        <w:rPr>
          <w:b w:val="1"/>
          <w:bCs w:val="1"/>
          <w:color w:val="000000" w:themeColor="text1" w:themeTint="FF" w:themeShade="FF"/>
        </w:rPr>
        <w:t xml:space="preserve">écnica e </w:t>
      </w:r>
      <w:r w:rsidRPr="57A4165E" w:rsidR="00B54928">
        <w:rPr>
          <w:b w:val="1"/>
          <w:bCs w:val="1"/>
        </w:rPr>
        <w:t>p</w:t>
      </w:r>
      <w:r w:rsidRPr="57A4165E" w:rsidR="00B54928">
        <w:rPr>
          <w:b w:val="1"/>
          <w:bCs w:val="1"/>
          <w:color w:val="000000" w:themeColor="text1" w:themeTint="FF" w:themeShade="FF"/>
        </w:rPr>
        <w:t>reço</w:t>
      </w:r>
      <w:r w:rsidRPr="57A4165E" w:rsidR="00B54928">
        <w:rPr>
          <w:color w:val="000000" w:themeColor="text1" w:themeTint="FF" w:themeShade="FF"/>
        </w:rPr>
        <w:t xml:space="preserve">, oferece uma combinação que garante a seleção da proposta mais vantajosa para a Administração Pública, alinhada com os princípios de eficiência, </w:t>
      </w:r>
      <w:r w:rsidRPr="57A4165E" w:rsidR="00B54928">
        <w:rPr>
          <w:b w:val="1"/>
          <w:bCs w:val="1"/>
          <w:color w:val="000000" w:themeColor="text1" w:themeTint="FF" w:themeShade="FF"/>
        </w:rPr>
        <w:t>transparência e competitividade</w:t>
      </w:r>
      <w:r w:rsidRPr="57A4165E" w:rsidR="00B54928">
        <w:rPr>
          <w:color w:val="000000" w:themeColor="text1" w:themeTint="FF" w:themeShade="FF"/>
        </w:rPr>
        <w:t xml:space="preserve"> estabelecidos pela Lei nº 14.133/2021 e pela Instrução Normativa Seges nº 58/2022</w:t>
      </w:r>
      <w:r w:rsidRPr="57A4165E" w:rsidR="315CC7DF">
        <w:rPr>
          <w:color w:val="000000" w:themeColor="text1" w:themeTint="FF" w:themeShade="FF"/>
        </w:rPr>
        <w:t>.</w:t>
      </w:r>
    </w:p>
    <w:p w:rsidR="006430DA" w:rsidRDefault="00B54928" w14:paraId="0000009C" w14:textId="77777777">
      <w:pPr>
        <w:pBdr>
          <w:top w:val="nil"/>
          <w:left w:val="nil"/>
          <w:bottom w:val="nil"/>
          <w:right w:val="nil"/>
          <w:between w:val="nil"/>
        </w:pBdr>
        <w:spacing w:line="240" w:lineRule="auto"/>
        <w:jc w:val="both"/>
        <w:rPr>
          <w:b/>
          <w:color w:val="000000"/>
        </w:rPr>
      </w:pPr>
      <w:r>
        <w:rPr>
          <w:b/>
          <w:color w:val="000000"/>
        </w:rPr>
        <w:t xml:space="preserve">Tópico 5.6.3. Do </w:t>
      </w:r>
      <w:r>
        <w:rPr>
          <w:b/>
        </w:rPr>
        <w:t>c</w:t>
      </w:r>
      <w:r>
        <w:rPr>
          <w:b/>
          <w:color w:val="000000"/>
        </w:rPr>
        <w:t xml:space="preserve">ritério de </w:t>
      </w:r>
      <w:r>
        <w:rPr>
          <w:b/>
        </w:rPr>
        <w:t>j</w:t>
      </w:r>
      <w:r>
        <w:rPr>
          <w:b/>
          <w:color w:val="000000"/>
        </w:rPr>
        <w:t>ulgamento: “</w:t>
      </w:r>
      <w:r>
        <w:rPr>
          <w:b/>
        </w:rPr>
        <w:t>m</w:t>
      </w:r>
      <w:r>
        <w:rPr>
          <w:b/>
          <w:color w:val="000000"/>
        </w:rPr>
        <w:t xml:space="preserve">enor </w:t>
      </w:r>
      <w:r>
        <w:rPr>
          <w:b/>
        </w:rPr>
        <w:t>p</w:t>
      </w:r>
      <w:r>
        <w:rPr>
          <w:b/>
          <w:color w:val="000000"/>
        </w:rPr>
        <w:t xml:space="preserve">reço </w:t>
      </w:r>
      <w:r>
        <w:rPr>
          <w:b/>
        </w:rPr>
        <w:t>g</w:t>
      </w:r>
      <w:r>
        <w:rPr>
          <w:b/>
          <w:color w:val="000000"/>
        </w:rPr>
        <w:t xml:space="preserve">lobal”: </w:t>
      </w:r>
      <w:r>
        <w:t>a</w:t>
      </w:r>
      <w:r>
        <w:rPr>
          <w:color w:val="000000"/>
        </w:rPr>
        <w:t xml:space="preserve">o escolher o critério de julgamento em uma licitação, é fundamental que o ente público considere as especificidades de cada contratação para garantir a melhor relação entre custo, qualidade e atendimento à necessidade pública dentre os critérios de julgamento estabelecidos na legislação vigente, destacam-se as seguintes: </w:t>
      </w:r>
    </w:p>
    <w:p w:rsidR="006430DA" w:rsidRDefault="00B54928" w14:paraId="0000009D" w14:textId="77777777">
      <w:pPr>
        <w:numPr>
          <w:ilvl w:val="0"/>
          <w:numId w:val="15"/>
        </w:numPr>
        <w:pBdr>
          <w:top w:val="nil"/>
          <w:left w:val="nil"/>
          <w:bottom w:val="nil"/>
          <w:right w:val="nil"/>
          <w:between w:val="nil"/>
        </w:pBdr>
        <w:spacing w:before="280" w:after="0" w:line="240" w:lineRule="auto"/>
        <w:jc w:val="both"/>
        <w:rPr>
          <w:color w:val="000000"/>
        </w:rPr>
      </w:pPr>
      <w:r>
        <w:rPr>
          <w:b/>
          <w:color w:val="000000"/>
        </w:rPr>
        <w:t xml:space="preserve">Menor </w:t>
      </w:r>
      <w:r>
        <w:rPr>
          <w:b/>
        </w:rPr>
        <w:t>p</w:t>
      </w:r>
      <w:r>
        <w:rPr>
          <w:b/>
          <w:color w:val="000000"/>
        </w:rPr>
        <w:t>reço:</w:t>
      </w:r>
      <w:r>
        <w:rPr>
          <w:color w:val="000000"/>
        </w:rPr>
        <w:t xml:space="preserve"> </w:t>
      </w:r>
      <w:r>
        <w:t>i</w:t>
      </w:r>
      <w:r>
        <w:rPr>
          <w:color w:val="000000"/>
        </w:rPr>
        <w:t>deal para contratações de bens e serviços comuns, onde a principal variável é o custo, e a qualidade mínima exigida está bem definida no edital. Esse critério é recomendado quando o objeto licitado possui especificações claras e padronizadas, como materiais de consumo, equipamentos ou serviços de manutenção rotineir</w:t>
      </w:r>
      <w:r>
        <w:t>a</w:t>
      </w:r>
      <w:r>
        <w:rPr>
          <w:color w:val="000000"/>
        </w:rPr>
        <w:t>s.</w:t>
      </w:r>
    </w:p>
    <w:p w:rsidR="006430DA" w:rsidRDefault="00B54928" w14:paraId="0000009E" w14:textId="77777777">
      <w:pPr>
        <w:numPr>
          <w:ilvl w:val="0"/>
          <w:numId w:val="15"/>
        </w:numPr>
        <w:pBdr>
          <w:top w:val="nil"/>
          <w:left w:val="nil"/>
          <w:bottom w:val="nil"/>
          <w:right w:val="nil"/>
          <w:between w:val="nil"/>
        </w:pBdr>
        <w:spacing w:after="0" w:line="240" w:lineRule="auto"/>
        <w:jc w:val="both"/>
        <w:rPr>
          <w:color w:val="000000"/>
        </w:rPr>
      </w:pPr>
      <w:r>
        <w:rPr>
          <w:b/>
          <w:color w:val="000000"/>
        </w:rPr>
        <w:t xml:space="preserve">Melhor </w:t>
      </w:r>
      <w:r>
        <w:rPr>
          <w:b/>
        </w:rPr>
        <w:t>t</w:t>
      </w:r>
      <w:r>
        <w:rPr>
          <w:b/>
          <w:color w:val="000000"/>
        </w:rPr>
        <w:t xml:space="preserve">écnica ou </w:t>
      </w:r>
      <w:r>
        <w:rPr>
          <w:b/>
        </w:rPr>
        <w:t>t</w:t>
      </w:r>
      <w:r>
        <w:rPr>
          <w:b/>
          <w:color w:val="000000"/>
        </w:rPr>
        <w:t xml:space="preserve">écnica e </w:t>
      </w:r>
      <w:r>
        <w:rPr>
          <w:b/>
        </w:rPr>
        <w:t>p</w:t>
      </w:r>
      <w:r>
        <w:rPr>
          <w:b/>
          <w:color w:val="000000"/>
        </w:rPr>
        <w:t>reço:</w:t>
      </w:r>
      <w:r>
        <w:rPr>
          <w:color w:val="000000"/>
        </w:rPr>
        <w:t xml:space="preserve"> </w:t>
      </w:r>
      <w:r>
        <w:t>m</w:t>
      </w:r>
      <w:r>
        <w:rPr>
          <w:color w:val="000000"/>
        </w:rPr>
        <w:t>ais adequado para contratações que envolvem serviços de natureza intelectual, como consultorias, projetos técnicos ou serviços especializados. A ênfase recai sobre a qualidade da proposta técnica, que deve ser cuidadosamente avaliada, garantindo que a solução apresentada atenda a necessidades complexas, com o preço tendo um peso menor ou combinado com a técnica.</w:t>
      </w:r>
    </w:p>
    <w:p w:rsidR="006430DA" w:rsidRDefault="00B54928" w14:paraId="0000009F" w14:textId="77777777">
      <w:pPr>
        <w:numPr>
          <w:ilvl w:val="0"/>
          <w:numId w:val="15"/>
        </w:numPr>
        <w:pBdr>
          <w:top w:val="nil"/>
          <w:left w:val="nil"/>
          <w:bottom w:val="nil"/>
          <w:right w:val="nil"/>
          <w:between w:val="nil"/>
        </w:pBdr>
        <w:spacing w:after="280" w:line="240" w:lineRule="auto"/>
        <w:jc w:val="both"/>
        <w:rPr>
          <w:color w:val="000000"/>
        </w:rPr>
      </w:pPr>
      <w:r>
        <w:rPr>
          <w:b/>
          <w:color w:val="000000"/>
        </w:rPr>
        <w:t xml:space="preserve">Maior </w:t>
      </w:r>
      <w:r>
        <w:rPr>
          <w:b/>
        </w:rPr>
        <w:t>d</w:t>
      </w:r>
      <w:r>
        <w:rPr>
          <w:b/>
          <w:color w:val="000000"/>
        </w:rPr>
        <w:t>esconto:</w:t>
      </w:r>
      <w:r>
        <w:rPr>
          <w:color w:val="000000"/>
        </w:rPr>
        <w:t xml:space="preserve"> </w:t>
      </w:r>
      <w:r>
        <w:t>u</w:t>
      </w:r>
      <w:r>
        <w:rPr>
          <w:color w:val="000000"/>
        </w:rPr>
        <w:t>sado principalmente em contratações que envolvem a prestação de serviços com valores de referência previamente estabelecidos, como serviços continuados ou fornecimento de bens e serviços com valores tabelados. Esse critério visa garantir o menor custo possível com base em descontos oferecidos sobre o valor de referência.</w:t>
      </w:r>
    </w:p>
    <w:p w:rsidR="006430DA" w:rsidRDefault="00B54928" w14:paraId="000000A0" w14:textId="77777777">
      <w:pPr>
        <w:pBdr>
          <w:top w:val="nil"/>
          <w:left w:val="nil"/>
          <w:bottom w:val="nil"/>
          <w:right w:val="nil"/>
          <w:between w:val="nil"/>
        </w:pBdr>
        <w:spacing w:after="60" w:line="240" w:lineRule="auto"/>
        <w:jc w:val="both"/>
        <w:rPr>
          <w:color w:val="000000"/>
        </w:rPr>
      </w:pPr>
      <w:r>
        <w:rPr>
          <w:b/>
          <w:color w:val="000000"/>
        </w:rPr>
        <w:t>Tópico 5.7. Adequação entre a solução escolhida e o potencial em atender à necessidade:</w:t>
      </w:r>
      <w:r>
        <w:rPr>
          <w:color w:val="000000"/>
        </w:rPr>
        <w:t xml:space="preserve"> </w:t>
      </w:r>
      <w:r>
        <w:t>p</w:t>
      </w:r>
      <w:r>
        <w:rPr>
          <w:color w:val="000000"/>
        </w:rPr>
        <w:t>osicionamento conclusivo sobre a adequação da contratação para o atendimento da necessidade a que se destina. (Inciso XIII do § 1° do art. 18 da Lei nº 14.133/21).</w:t>
      </w:r>
    </w:p>
    <w:p w:rsidR="006430DA" w:rsidRDefault="00B54928" w14:paraId="000000A1" w14:textId="77777777">
      <w:pPr>
        <w:pBdr>
          <w:top w:val="nil"/>
          <w:left w:val="nil"/>
          <w:bottom w:val="nil"/>
          <w:right w:val="nil"/>
          <w:between w:val="nil"/>
        </w:pBdr>
        <w:spacing w:after="60" w:line="240" w:lineRule="auto"/>
        <w:jc w:val="both"/>
        <w:rPr>
          <w:color w:val="000000"/>
        </w:rPr>
      </w:pPr>
      <w:r>
        <w:rPr>
          <w:color w:val="000000"/>
        </w:rPr>
        <w:t>Para auxiliar na elaboração da cláusula 5.7 do Estudo Técnico Preliminar (ETP), é essencial considerar tanto a Lei nº 14.133/2021 quanto à Instrução Normativa Seges nº 58, de 8 de agosto de 2022.</w:t>
      </w:r>
    </w:p>
    <w:p w:rsidR="006430DA" w:rsidRDefault="00B54928" w14:paraId="000000A2" w14:textId="77777777">
      <w:pPr>
        <w:pBdr>
          <w:top w:val="nil"/>
          <w:left w:val="nil"/>
          <w:bottom w:val="nil"/>
          <w:right w:val="nil"/>
          <w:between w:val="nil"/>
        </w:pBdr>
        <w:spacing w:after="60" w:line="240" w:lineRule="auto"/>
        <w:jc w:val="both"/>
        <w:rPr>
          <w:color w:val="000000"/>
        </w:rPr>
      </w:pPr>
      <w:r>
        <w:rPr>
          <w:b/>
          <w:color w:val="000000"/>
        </w:rPr>
        <w:t>Lei nº 14.133/2021</w:t>
      </w:r>
    </w:p>
    <w:p w:rsidR="006430DA" w:rsidRDefault="00B54928" w14:paraId="000000A3" w14:textId="77777777">
      <w:pPr>
        <w:pBdr>
          <w:top w:val="nil"/>
          <w:left w:val="nil"/>
          <w:bottom w:val="nil"/>
          <w:right w:val="nil"/>
          <w:between w:val="nil"/>
        </w:pBdr>
        <w:spacing w:after="60" w:line="240" w:lineRule="auto"/>
        <w:jc w:val="both"/>
        <w:rPr>
          <w:color w:val="000000"/>
        </w:rPr>
      </w:pPr>
      <w:r>
        <w:rPr>
          <w:color w:val="000000"/>
        </w:rPr>
        <w:t>A Lei nº 14.133/2021 estabelece as diretrizes para as licitações e contratos administrativos, enfatizando a necessidade de que a solução escolhida seja a mais vantajosa para a Administração Pública. Isso significa que a escolha deve equilibrar economicidade, eficiência, e adequação ao objeto do contrato (Art. 11). A lei também sublinha que as soluções devem ser analisadas considerando o ciclo de vida dos bens ou serviços contratados, o que inclui desde a concepção até a fase de manutenção e eventual descart</w:t>
      </w:r>
      <w:r>
        <w:rPr>
          <w:color w:val="000000"/>
        </w:rPr>
        <w:t>e (Art. 6º, §1º).</w:t>
      </w:r>
    </w:p>
    <w:p w:rsidR="006430DA" w:rsidRDefault="00B54928" w14:paraId="000000A4" w14:textId="77777777">
      <w:pPr>
        <w:pBdr>
          <w:top w:val="nil"/>
          <w:left w:val="nil"/>
          <w:bottom w:val="nil"/>
          <w:right w:val="nil"/>
          <w:between w:val="nil"/>
        </w:pBdr>
        <w:spacing w:after="60" w:line="240" w:lineRule="auto"/>
        <w:jc w:val="both"/>
        <w:rPr>
          <w:color w:val="000000"/>
        </w:rPr>
      </w:pPr>
      <w:r>
        <w:rPr>
          <w:b/>
          <w:color w:val="000000"/>
        </w:rPr>
        <w:t>Instrução Normativa Seges nº 58/2022</w:t>
      </w:r>
    </w:p>
    <w:p w:rsidR="006430DA" w:rsidRDefault="00B54928" w14:paraId="000000A5" w14:textId="77777777">
      <w:pPr>
        <w:pBdr>
          <w:top w:val="nil"/>
          <w:left w:val="nil"/>
          <w:bottom w:val="nil"/>
          <w:right w:val="nil"/>
          <w:between w:val="nil"/>
        </w:pBdr>
        <w:spacing w:after="60" w:line="240" w:lineRule="auto"/>
        <w:jc w:val="both"/>
        <w:rPr>
          <w:color w:val="000000"/>
        </w:rPr>
      </w:pPr>
      <w:r>
        <w:rPr>
          <w:color w:val="000000"/>
        </w:rPr>
        <w:t xml:space="preserve">A Instrução Normativa Seges nº 58, de 2022, regulamenta a elaboração dos Estudos Técnicos Preliminares, estabelecendo que o ETP deve caracterizar o interesse público envolvido e determinar a melhor solução técnica e econômica para atender a essa necessidade. Segundo o </w:t>
      </w:r>
      <w:r>
        <w:t>a</w:t>
      </w:r>
      <w:r>
        <w:rPr>
          <w:color w:val="000000"/>
        </w:rPr>
        <w:t>rt. 3º da IN, o ETP é um documento fundamental para assegurar que a contratação se alinhe aos objetivos da Administração, oferecendo uma análise criteriosa das alternativas disponíveis no mercado e justificando tecnicamente a solução adotada​.</w:t>
      </w:r>
    </w:p>
    <w:p w:rsidR="006430DA" w:rsidRDefault="00B54928" w14:paraId="000000A6" w14:textId="77777777">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5.7</w:t>
      </w:r>
    </w:p>
    <w:p w:rsidR="006430DA" w:rsidRDefault="00B54928" w14:paraId="000000A7" w14:textId="77777777">
      <w:pPr>
        <w:pBdr>
          <w:top w:val="nil"/>
          <w:left w:val="nil"/>
          <w:bottom w:val="nil"/>
          <w:right w:val="nil"/>
          <w:between w:val="nil"/>
        </w:pBdr>
        <w:spacing w:after="60" w:line="240" w:lineRule="auto"/>
        <w:jc w:val="both"/>
        <w:rPr>
          <w:color w:val="000000"/>
        </w:rPr>
      </w:pPr>
      <w:r>
        <w:rPr>
          <w:color w:val="000000"/>
        </w:rPr>
        <w:t xml:space="preserve">Com base nesses normativos, a cláusula 5.7 deve destacar que a escolha da construção convencional, complementada por elementos modernos como o </w:t>
      </w:r>
      <w:r>
        <w:rPr>
          <w:i/>
          <w:color w:val="000000"/>
        </w:rPr>
        <w:t>drywall</w:t>
      </w:r>
      <w:r>
        <w:rPr>
          <w:color w:val="000000"/>
        </w:rPr>
        <w:t>, foi feita considerando a durabilidade, flexibilidade e capacidade de adaptação a diferentes contextos geográficos do Brasil. A análise incluiu uma avaliação rigorosa dos custos ao longo do ciclo de vida do projeto, confirmando que essa solução não só atende aos requisitos técnicos e normativos, mas também é economicamente vantajosa.</w:t>
      </w:r>
    </w:p>
    <w:p w:rsidR="006430DA" w:rsidRDefault="00B54928" w14:paraId="000000A8" w14:textId="77777777">
      <w:pPr>
        <w:pBdr>
          <w:top w:val="nil"/>
          <w:left w:val="nil"/>
          <w:bottom w:val="nil"/>
          <w:right w:val="nil"/>
          <w:between w:val="nil"/>
        </w:pBdr>
        <w:spacing w:after="60" w:line="240" w:lineRule="auto"/>
        <w:jc w:val="both"/>
        <w:rPr>
          <w:color w:val="000000"/>
        </w:rPr>
      </w:pPr>
      <w:r>
        <w:rPr>
          <w:color w:val="000000"/>
        </w:rPr>
        <w:t xml:space="preserve">Além disso, a modalidade de licitação </w:t>
      </w:r>
      <w:r>
        <w:t>c</w:t>
      </w:r>
      <w:r>
        <w:rPr>
          <w:color w:val="000000"/>
        </w:rPr>
        <w:t xml:space="preserve">oncorrência </w:t>
      </w:r>
      <w:r>
        <w:t>e</w:t>
      </w:r>
      <w:r>
        <w:rPr>
          <w:color w:val="000000"/>
        </w:rPr>
        <w:t xml:space="preserve">letrônica, utilizando o critério de julgamento de </w:t>
      </w:r>
      <w:r>
        <w:t>m</w:t>
      </w:r>
      <w:r>
        <w:rPr>
          <w:color w:val="000000"/>
        </w:rPr>
        <w:t xml:space="preserve">enor </w:t>
      </w:r>
      <w:r>
        <w:t>p</w:t>
      </w:r>
      <w:r>
        <w:rPr>
          <w:color w:val="000000"/>
        </w:rPr>
        <w:t xml:space="preserve">reço </w:t>
      </w:r>
      <w:r>
        <w:t>g</w:t>
      </w:r>
      <w:r>
        <w:rPr>
          <w:color w:val="000000"/>
        </w:rPr>
        <w:t>lobal, é proposta com o objetivo de garantir maior transparência e competitividade no processo. Essa abordagem busca assegurar que a proposta vencedora ofereça o melhor custo-benefício, sem comprometer a qualidade ou a conformidade técnica do objeto contratado. A escolha do regime de execução (</w:t>
      </w:r>
      <w:r>
        <w:t>e</w:t>
      </w:r>
      <w:r>
        <w:rPr>
          <w:color w:val="000000"/>
        </w:rPr>
        <w:t xml:space="preserve">mpreitada por </w:t>
      </w:r>
      <w:r>
        <w:t>p</w:t>
      </w:r>
      <w:r>
        <w:rPr>
          <w:color w:val="000000"/>
        </w:rPr>
        <w:t xml:space="preserve">reço </w:t>
      </w:r>
      <w:r>
        <w:t>u</w:t>
      </w:r>
      <w:r>
        <w:rPr>
          <w:color w:val="000000"/>
        </w:rPr>
        <w:t xml:space="preserve">nitário ou </w:t>
      </w:r>
      <w:r>
        <w:t>g</w:t>
      </w:r>
      <w:r>
        <w:rPr>
          <w:color w:val="000000"/>
        </w:rPr>
        <w:t>lobal) deverá ser alinhada à necessidade de flexibilidade e precisão na execução da obra, garantindo que os riscos financeiros sejam minimizados para ambas as partes.</w:t>
      </w:r>
    </w:p>
    <w:p w:rsidR="006430DA" w:rsidP="6CBC204B" w:rsidRDefault="00B54928" w14:paraId="000000A9" w14:textId="10A49D2A">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6CBC204B" w:rsidR="0EF41D6F">
        <w:rPr>
          <w:color w:val="000000" w:themeColor="text1" w:themeTint="FF" w:themeShade="FF"/>
        </w:rPr>
        <w:t>Em resumo, a solução e a modalidade de licitação que dever</w:t>
      </w:r>
      <w:r w:rsidR="0EF41D6F">
        <w:rPr/>
        <w:t>ão</w:t>
      </w:r>
      <w:r w:rsidRPr="6CBC204B" w:rsidR="0EF41D6F">
        <w:rPr>
          <w:color w:val="000000" w:themeColor="text1" w:themeTint="FF" w:themeShade="FF"/>
        </w:rPr>
        <w:t xml:space="preserve"> ser definidas pelo ente são plenamente adequadas para atender às necessidades específicas da construção d</w:t>
      </w:r>
      <w:r w:rsidRPr="6CBC204B" w:rsidR="60F9E5CE">
        <w:rPr>
          <w:color w:val="000000" w:themeColor="text1" w:themeTint="FF" w:themeShade="FF"/>
        </w:rPr>
        <w:t>os CAPS</w:t>
      </w:r>
      <w:r w:rsidRPr="6CBC204B" w:rsidR="0EF41D6F">
        <w:rPr>
          <w:color w:val="000000" w:themeColor="text1" w:themeTint="FF" w:themeShade="FF"/>
        </w:rPr>
        <w:t>, assegurando que as obras sejam concluídas com qualidade, dentro do prazo e em conformidade com as exigências legais e normativas​.</w:t>
      </w:r>
    </w:p>
    <w:p w:rsidR="006430DA" w:rsidRDefault="006430DA" w14:paraId="000000AA" w14:textId="77777777">
      <w:pPr>
        <w:pBdr>
          <w:top w:val="nil"/>
          <w:left w:val="nil"/>
          <w:bottom w:val="nil"/>
          <w:right w:val="nil"/>
          <w:between w:val="nil"/>
        </w:pBdr>
        <w:spacing w:after="60" w:line="240" w:lineRule="auto"/>
        <w:jc w:val="both"/>
        <w:rPr>
          <w:color w:val="000000"/>
        </w:rPr>
      </w:pPr>
    </w:p>
    <w:p w:rsidR="006430DA" w:rsidRDefault="00B54928" w14:paraId="000000AB" w14:textId="77777777">
      <w:pPr>
        <w:pBdr>
          <w:top w:val="nil"/>
          <w:left w:val="nil"/>
          <w:bottom w:val="nil"/>
          <w:right w:val="nil"/>
          <w:between w:val="nil"/>
        </w:pBdr>
        <w:spacing w:after="60" w:line="240" w:lineRule="auto"/>
        <w:jc w:val="both"/>
        <w:rPr>
          <w:color w:val="000000"/>
        </w:rPr>
      </w:pPr>
      <w:r>
        <w:rPr>
          <w:b/>
          <w:color w:val="000000"/>
        </w:rPr>
        <w:t xml:space="preserve">Tópico 5.8. Adequação da </w:t>
      </w:r>
      <w:r>
        <w:rPr>
          <w:b/>
        </w:rPr>
        <w:t>f</w:t>
      </w:r>
      <w:r>
        <w:rPr>
          <w:b/>
          <w:color w:val="000000"/>
        </w:rPr>
        <w:t xml:space="preserve">orma de </w:t>
      </w:r>
      <w:r>
        <w:rPr>
          <w:b/>
        </w:rPr>
        <w:t>m</w:t>
      </w:r>
      <w:r>
        <w:rPr>
          <w:b/>
          <w:color w:val="000000"/>
        </w:rPr>
        <w:t xml:space="preserve">odalidade de </w:t>
      </w:r>
      <w:r>
        <w:rPr>
          <w:b/>
        </w:rPr>
        <w:t>l</w:t>
      </w:r>
      <w:r>
        <w:rPr>
          <w:b/>
          <w:color w:val="000000"/>
        </w:rPr>
        <w:t xml:space="preserve">icitação, </w:t>
      </w:r>
      <w:r>
        <w:rPr>
          <w:b/>
        </w:rPr>
        <w:t>f</w:t>
      </w:r>
      <w:r>
        <w:rPr>
          <w:b/>
          <w:color w:val="000000"/>
        </w:rPr>
        <w:t xml:space="preserve">orma de </w:t>
      </w:r>
      <w:r>
        <w:rPr>
          <w:b/>
        </w:rPr>
        <w:t>d</w:t>
      </w:r>
      <w:r>
        <w:rPr>
          <w:b/>
          <w:color w:val="000000"/>
        </w:rPr>
        <w:t xml:space="preserve">isputa e do </w:t>
      </w:r>
      <w:r>
        <w:rPr>
          <w:b/>
        </w:rPr>
        <w:t>c</w:t>
      </w:r>
      <w:r>
        <w:rPr>
          <w:b/>
          <w:color w:val="000000"/>
        </w:rPr>
        <w:t xml:space="preserve">ritério de </w:t>
      </w:r>
      <w:r>
        <w:rPr>
          <w:b/>
        </w:rPr>
        <w:t>j</w:t>
      </w:r>
      <w:r>
        <w:rPr>
          <w:b/>
          <w:color w:val="000000"/>
        </w:rPr>
        <w:t>ulgamento:</w:t>
      </w:r>
      <w:r>
        <w:rPr>
          <w:color w:val="000000"/>
        </w:rPr>
        <w:t xml:space="preserve"> </w:t>
      </w:r>
      <w:r>
        <w:t>p</w:t>
      </w:r>
      <w:r>
        <w:rPr>
          <w:color w:val="000000"/>
        </w:rPr>
        <w:t>ara elaborar a cláusula 5.8 do Estudo Técnico Preliminar (ETP), é essencial considerar as diretrizes estabelecidas pela Lei nº 14.133/2021 e pela Instrução Normativa Seges nº 58, de 8 de agosto de 2022.</w:t>
      </w:r>
    </w:p>
    <w:p w:rsidR="006430DA" w:rsidRDefault="00B54928" w14:paraId="000000AC" w14:textId="77777777">
      <w:pPr>
        <w:pBdr>
          <w:top w:val="nil"/>
          <w:left w:val="nil"/>
          <w:bottom w:val="nil"/>
          <w:right w:val="nil"/>
          <w:between w:val="nil"/>
        </w:pBdr>
        <w:spacing w:after="60" w:line="240" w:lineRule="auto"/>
        <w:jc w:val="both"/>
        <w:rPr>
          <w:color w:val="000000"/>
        </w:rPr>
      </w:pPr>
      <w:r>
        <w:rPr>
          <w:b/>
          <w:color w:val="000000"/>
        </w:rPr>
        <w:t>Lei nº 14.133/2021</w:t>
      </w:r>
    </w:p>
    <w:p w:rsidR="006430DA" w:rsidRDefault="00B54928" w14:paraId="000000AD" w14:textId="77777777">
      <w:pPr>
        <w:pBdr>
          <w:top w:val="nil"/>
          <w:left w:val="nil"/>
          <w:bottom w:val="nil"/>
          <w:right w:val="nil"/>
          <w:between w:val="nil"/>
        </w:pBdr>
        <w:spacing w:after="60" w:line="240" w:lineRule="auto"/>
        <w:jc w:val="both"/>
        <w:rPr>
          <w:color w:val="000000"/>
        </w:rPr>
      </w:pPr>
      <w:r>
        <w:rPr>
          <w:color w:val="000000"/>
        </w:rPr>
        <w:t xml:space="preserve">A Lei nº 14.133/2021 estabelece que a escolha da modalidade de licitação deve ser adequada à complexidade e especificidade do objeto da contratação (Art. 28). A modalidade de </w:t>
      </w:r>
      <w:r>
        <w:rPr>
          <w:b/>
        </w:rPr>
        <w:t>c</w:t>
      </w:r>
      <w:r>
        <w:rPr>
          <w:b/>
          <w:color w:val="000000"/>
        </w:rPr>
        <w:t>oncorrência</w:t>
      </w:r>
      <w:r>
        <w:rPr>
          <w:color w:val="000000"/>
        </w:rPr>
        <w:t xml:space="preserve">, por exemplo, é indicada para obras e serviços de engenharia que demandem maior qualificação técnica e avaliação criteriosa das propostas. A escolha do </w:t>
      </w:r>
      <w:r>
        <w:rPr>
          <w:b/>
          <w:color w:val="000000"/>
        </w:rPr>
        <w:t>modo de disputa</w:t>
      </w:r>
      <w:r>
        <w:rPr>
          <w:color w:val="000000"/>
        </w:rPr>
        <w:t xml:space="preserve"> também é regulamentada pela lei, que permite tanto o modo </w:t>
      </w:r>
      <w:r>
        <w:rPr>
          <w:b/>
        </w:rPr>
        <w:t>a</w:t>
      </w:r>
      <w:r>
        <w:rPr>
          <w:b/>
          <w:color w:val="000000"/>
        </w:rPr>
        <w:t>berto</w:t>
      </w:r>
      <w:r>
        <w:rPr>
          <w:color w:val="000000"/>
        </w:rPr>
        <w:t xml:space="preserve"> quanto o </w:t>
      </w:r>
      <w:r>
        <w:rPr>
          <w:b/>
        </w:rPr>
        <w:t>f</w:t>
      </w:r>
      <w:r>
        <w:rPr>
          <w:b/>
          <w:color w:val="000000"/>
        </w:rPr>
        <w:t>echado</w:t>
      </w:r>
      <w:r>
        <w:rPr>
          <w:color w:val="000000"/>
        </w:rPr>
        <w:t xml:space="preserve">, sendo o modo </w:t>
      </w:r>
      <w:r>
        <w:t>a</w:t>
      </w:r>
      <w:r>
        <w:rPr>
          <w:color w:val="000000"/>
        </w:rPr>
        <w:t xml:space="preserve">berto mais transparente e apropriado para a maioria das contratações públicas. A lei ainda define vários </w:t>
      </w:r>
      <w:r>
        <w:rPr>
          <w:b/>
          <w:color w:val="000000"/>
        </w:rPr>
        <w:t>critérios de julgamento</w:t>
      </w:r>
      <w:r>
        <w:rPr>
          <w:color w:val="000000"/>
        </w:rPr>
        <w:t xml:space="preserve">, como o </w:t>
      </w:r>
      <w:r>
        <w:rPr>
          <w:b/>
        </w:rPr>
        <w:t>m</w:t>
      </w:r>
      <w:r>
        <w:rPr>
          <w:b/>
          <w:color w:val="000000"/>
        </w:rPr>
        <w:t xml:space="preserve">enor </w:t>
      </w:r>
      <w:r>
        <w:rPr>
          <w:b/>
        </w:rPr>
        <w:t>p</w:t>
      </w:r>
      <w:r>
        <w:rPr>
          <w:b/>
          <w:color w:val="000000"/>
        </w:rPr>
        <w:t>reço</w:t>
      </w:r>
      <w:r>
        <w:rPr>
          <w:color w:val="000000"/>
        </w:rPr>
        <w:t xml:space="preserve">, </w:t>
      </w:r>
      <w:r>
        <w:rPr>
          <w:b/>
        </w:rPr>
        <w:t>m</w:t>
      </w:r>
      <w:r>
        <w:rPr>
          <w:b/>
          <w:color w:val="000000"/>
        </w:rPr>
        <w:t xml:space="preserve">elhor </w:t>
      </w:r>
      <w:r>
        <w:rPr>
          <w:b/>
        </w:rPr>
        <w:t>t</w:t>
      </w:r>
      <w:r>
        <w:rPr>
          <w:b/>
          <w:color w:val="000000"/>
        </w:rPr>
        <w:t>écnica</w:t>
      </w:r>
      <w:r>
        <w:rPr>
          <w:color w:val="000000"/>
        </w:rPr>
        <w:t xml:space="preserve">, e </w:t>
      </w:r>
      <w:r>
        <w:rPr>
          <w:b/>
        </w:rPr>
        <w:t>t</w:t>
      </w:r>
      <w:r>
        <w:rPr>
          <w:b/>
          <w:color w:val="000000"/>
        </w:rPr>
        <w:t xml:space="preserve">écnica e </w:t>
      </w:r>
      <w:r>
        <w:rPr>
          <w:b/>
        </w:rPr>
        <w:t>p</w:t>
      </w:r>
      <w:r>
        <w:rPr>
          <w:b/>
          <w:color w:val="000000"/>
        </w:rPr>
        <w:t>reço</w:t>
      </w:r>
      <w:r>
        <w:rPr>
          <w:color w:val="000000"/>
        </w:rPr>
        <w:t xml:space="preserve">, sendo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amplamente utilizado para garantir economicidade e objetividade nas licitações​.</w:t>
      </w:r>
    </w:p>
    <w:p w:rsidR="006430DA" w:rsidRDefault="00B54928" w14:paraId="000000AE" w14:textId="77777777">
      <w:pPr>
        <w:pBdr>
          <w:top w:val="nil"/>
          <w:left w:val="nil"/>
          <w:bottom w:val="nil"/>
          <w:right w:val="nil"/>
          <w:between w:val="nil"/>
        </w:pBdr>
        <w:spacing w:after="60" w:line="240" w:lineRule="auto"/>
        <w:jc w:val="both"/>
        <w:rPr>
          <w:color w:val="000000"/>
        </w:rPr>
      </w:pPr>
      <w:r>
        <w:rPr>
          <w:b/>
          <w:color w:val="000000"/>
        </w:rPr>
        <w:t>Instrução Normativa S</w:t>
      </w:r>
      <w:r>
        <w:rPr>
          <w:b/>
        </w:rPr>
        <w:t>eges</w:t>
      </w:r>
      <w:r>
        <w:rPr>
          <w:b/>
          <w:color w:val="000000"/>
        </w:rPr>
        <w:t xml:space="preserve"> nº 58/2022</w:t>
      </w:r>
    </w:p>
    <w:p w:rsidR="006430DA" w:rsidRDefault="00B54928" w14:paraId="000000AF" w14:textId="77777777">
      <w:pPr>
        <w:pBdr>
          <w:top w:val="nil"/>
          <w:left w:val="nil"/>
          <w:bottom w:val="nil"/>
          <w:right w:val="nil"/>
          <w:between w:val="nil"/>
        </w:pBdr>
        <w:spacing w:after="60" w:line="240" w:lineRule="auto"/>
        <w:jc w:val="both"/>
        <w:rPr>
          <w:color w:val="000000"/>
        </w:rPr>
      </w:pPr>
      <w:r>
        <w:rPr>
          <w:color w:val="000000"/>
        </w:rPr>
        <w:t xml:space="preserve">A Instrução Normativa Seges nº 58/2022 complementa a Lei nº 14.133/2021, detalhando os procedimentos para a escolha da modalidade de licitação, da forma de disputa e do critério de julgamento no âmbito do ETP. Segundo a IN, essas escolhas devem ser justificadas no ETP, com base em uma análise técnica que considere a natureza do objeto a ser contratado e as características do mercado. A modalidade de licitação, como a </w:t>
      </w:r>
      <w:r>
        <w:rPr>
          <w:b/>
        </w:rPr>
        <w:t>c</w:t>
      </w:r>
      <w:r>
        <w:rPr>
          <w:b/>
          <w:color w:val="000000"/>
        </w:rPr>
        <w:t xml:space="preserve">oncorrência </w:t>
      </w:r>
      <w:r>
        <w:rPr>
          <w:b/>
        </w:rPr>
        <w:t>e</w:t>
      </w:r>
      <w:r>
        <w:rPr>
          <w:b/>
          <w:color w:val="000000"/>
        </w:rPr>
        <w:t>letrônica</w:t>
      </w:r>
      <w:r>
        <w:rPr>
          <w:color w:val="000000"/>
        </w:rPr>
        <w:t>, poderá ser escolhida de forma a maximizar a competitividade e a transparência, enquanto a forma de disputa e o critério de julgamento devem assegurar que a Administração Pública obtenha o melhor resultado possível, em termos de qualidade e custo​.</w:t>
      </w:r>
    </w:p>
    <w:p w:rsidR="006430DA" w:rsidRDefault="00B54928" w14:paraId="000000B0" w14:textId="77777777">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5.8</w:t>
      </w:r>
    </w:p>
    <w:p w:rsidR="006430DA" w:rsidP="6CBC204B" w:rsidRDefault="00B54928" w14:paraId="000000B1" w14:textId="0E801C73">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6CBC204B" w:rsidR="0EF41D6F">
        <w:rPr>
          <w:color w:val="000000" w:themeColor="text1" w:themeTint="FF" w:themeShade="FF"/>
        </w:rPr>
        <w:t xml:space="preserve">Na redação da cláusula 5.8, deve-se enfatizar que a escolha da </w:t>
      </w:r>
      <w:r w:rsidRPr="6CBC204B" w:rsidR="0EF41D6F">
        <w:rPr>
          <w:b w:val="1"/>
          <w:bCs w:val="1"/>
        </w:rPr>
        <w:t>c</w:t>
      </w:r>
      <w:r w:rsidRPr="6CBC204B" w:rsidR="0EF41D6F">
        <w:rPr>
          <w:b w:val="1"/>
          <w:bCs w:val="1"/>
          <w:color w:val="000000" w:themeColor="text1" w:themeTint="FF" w:themeShade="FF"/>
        </w:rPr>
        <w:t xml:space="preserve">oncorrência </w:t>
      </w:r>
      <w:r w:rsidRPr="6CBC204B" w:rsidR="0EF41D6F">
        <w:rPr>
          <w:b w:val="1"/>
          <w:bCs w:val="1"/>
        </w:rPr>
        <w:t>e</w:t>
      </w:r>
      <w:r w:rsidRPr="6CBC204B" w:rsidR="0EF41D6F">
        <w:rPr>
          <w:b w:val="1"/>
          <w:bCs w:val="1"/>
          <w:color w:val="000000" w:themeColor="text1" w:themeTint="FF" w:themeShade="FF"/>
        </w:rPr>
        <w:t>letrônica</w:t>
      </w:r>
      <w:r w:rsidRPr="6CBC204B" w:rsidR="0EF41D6F">
        <w:rPr>
          <w:color w:val="000000" w:themeColor="text1" w:themeTint="FF" w:themeShade="FF"/>
        </w:rPr>
        <w:t xml:space="preserve"> como modalidade de licitação foi baseada na complexidade e especificidade técnica do projeto d</w:t>
      </w:r>
      <w:r w:rsidRPr="6CBC204B" w:rsidR="30660763">
        <w:rPr>
          <w:color w:val="000000" w:themeColor="text1" w:themeTint="FF" w:themeShade="FF"/>
        </w:rPr>
        <w:t>os CAPS porte XX</w:t>
      </w:r>
      <w:r w:rsidRPr="6CBC204B" w:rsidR="0EF41D6F">
        <w:rPr>
          <w:color w:val="000000" w:themeColor="text1" w:themeTint="FF" w:themeShade="FF"/>
        </w:rPr>
        <w:t>. Essa modalidade é a mais adequada para garantir ampla participação de licitantes, assegurando que o processo seja competitivo e transparente.</w:t>
      </w:r>
    </w:p>
    <w:p w:rsidR="006430DA" w:rsidRDefault="00B54928" w14:paraId="000000B2" w14:textId="77777777">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reflete a necessidade de promover transparência e competitividade durante o processo licitatório. Este modo permite que todas as propostas sejam avaliadas em conjunto, facilitando a comparação e garantindo que a Administração Pública escolha a proposta mais vantajosa.</w:t>
      </w:r>
    </w:p>
    <w:p w:rsidR="006430DA" w:rsidRDefault="00B54928" w14:paraId="000000B3" w14:textId="77777777">
      <w:pPr>
        <w:pBdr>
          <w:top w:val="nil"/>
          <w:left w:val="nil"/>
          <w:bottom w:val="nil"/>
          <w:right w:val="nil"/>
          <w:between w:val="nil"/>
        </w:pBdr>
        <w:spacing w:after="60" w:line="240" w:lineRule="auto"/>
        <w:jc w:val="both"/>
        <w:rPr>
          <w:color w:val="000000"/>
        </w:rPr>
      </w:pPr>
      <w:r>
        <w:rPr>
          <w:color w:val="000000"/>
        </w:rPr>
        <w:t xml:space="preserve">Por fim, o critério de julgamento pelo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foi sugerido por ser o mais objetivo e eficiente para o tipo de obra em questão. Esse critério garante que a proposta vencedora ofereça o melhor custo-benefício, sem comprometer a qualidade e a conformidade técnica do projeto. Essa abordagem está em conformidade com a Lei nº 14.133/2021 e a Instrução Normativa Seges nº 58/2022, garantindo que a contratação atenda plenamente às necessidades da Administração Pública com a máxima eficiência e economicidade​.</w:t>
      </w:r>
    </w:p>
    <w:p w:rsidR="006430DA" w:rsidRDefault="006430DA" w14:paraId="000000B4" w14:textId="77777777">
      <w:pPr>
        <w:pBdr>
          <w:top w:val="nil"/>
          <w:left w:val="nil"/>
          <w:bottom w:val="nil"/>
          <w:right w:val="nil"/>
          <w:between w:val="nil"/>
        </w:pBdr>
        <w:spacing w:after="60" w:line="240" w:lineRule="auto"/>
        <w:jc w:val="both"/>
        <w:rPr>
          <w:color w:val="000000"/>
        </w:rPr>
      </w:pPr>
    </w:p>
    <w:p w:rsidR="006430DA" w:rsidRDefault="00B54928" w14:paraId="000000B5" w14:textId="77777777">
      <w:pPr>
        <w:pBdr>
          <w:top w:val="nil"/>
          <w:left w:val="nil"/>
          <w:bottom w:val="nil"/>
          <w:right w:val="nil"/>
          <w:between w:val="nil"/>
        </w:pBdr>
        <w:spacing w:line="240" w:lineRule="auto"/>
        <w:jc w:val="both"/>
        <w:rPr>
          <w:color w:val="000000"/>
        </w:rPr>
      </w:pPr>
      <w:r>
        <w:rPr>
          <w:b/>
          <w:color w:val="000000"/>
        </w:rPr>
        <w:t xml:space="preserve">Tópico 6.2. Abrangência da </w:t>
      </w:r>
      <w:r>
        <w:rPr>
          <w:b/>
        </w:rPr>
        <w:t>o</w:t>
      </w:r>
      <w:r>
        <w:rPr>
          <w:b/>
          <w:color w:val="000000"/>
        </w:rPr>
        <w:t>bra:</w:t>
      </w:r>
      <w:r>
        <w:rPr>
          <w:color w:val="000000"/>
        </w:rPr>
        <w:t xml:space="preserve"> o tópico deverá ser ajustado conforme o cronograma estabelecido, juntamente com outras informações relevantes ao caso concreto.</w:t>
      </w:r>
    </w:p>
    <w:p w:rsidR="006430DA" w:rsidP="6CBC204B" w:rsidRDefault="00B54928" w14:paraId="000000B6" w14:textId="0D4FC658">
      <w:pPr>
        <w:numPr>
          <w:ilvl w:val="0"/>
          <w:numId w:val="19"/>
        </w:numPr>
        <w:pBdr>
          <w:top w:val="nil" w:color="000000" w:sz="0" w:space="0"/>
          <w:left w:val="nil" w:color="000000" w:sz="0" w:space="0"/>
          <w:bottom w:val="nil" w:color="000000" w:sz="0" w:space="0"/>
          <w:right w:val="nil" w:color="000000" w:sz="0" w:space="0"/>
          <w:between w:val="nil" w:color="000000" w:sz="0" w:space="0"/>
        </w:pBdr>
        <w:spacing w:after="0"/>
        <w:jc w:val="both"/>
        <w:rPr>
          <w:color w:val="000000"/>
        </w:rPr>
      </w:pPr>
      <w:r w:rsidRPr="6CBC204B" w:rsidR="0EF41D6F">
        <w:rPr>
          <w:color w:val="000000" w:themeColor="text1" w:themeTint="FF" w:themeShade="FF"/>
        </w:rPr>
        <w:t xml:space="preserve">Adicionalmente, cumpre informar que o Ministério da Saúde desenvolveu os projetos arquitetônicos e complementares referenciais para </w:t>
      </w:r>
      <w:r w:rsidRPr="6CBC204B" w:rsidR="0E1F7B1C">
        <w:rPr>
          <w:color w:val="000000" w:themeColor="text1" w:themeTint="FF" w:themeShade="FF"/>
        </w:rPr>
        <w:t>o</w:t>
      </w:r>
      <w:r w:rsidRPr="6CBC204B" w:rsidR="0EF41D6F">
        <w:rPr>
          <w:color w:val="000000" w:themeColor="text1" w:themeTint="FF" w:themeShade="FF"/>
        </w:rPr>
        <w:t>s nov</w:t>
      </w:r>
      <w:r w:rsidRPr="6CBC204B" w:rsidR="1E18E1D1">
        <w:rPr>
          <w:color w:val="000000" w:themeColor="text1" w:themeTint="FF" w:themeShade="FF"/>
        </w:rPr>
        <w:t>o</w:t>
      </w:r>
      <w:r w:rsidRPr="6CBC204B" w:rsidR="0EF41D6F">
        <w:rPr>
          <w:color w:val="000000" w:themeColor="text1" w:themeTint="FF" w:themeShade="FF"/>
        </w:rPr>
        <w:t xml:space="preserve">s </w:t>
      </w:r>
      <w:r w:rsidRPr="6CBC204B" w:rsidR="24A98F41">
        <w:rPr>
          <w:color w:val="000000" w:themeColor="text1" w:themeTint="FF" w:themeShade="FF"/>
        </w:rPr>
        <w:t>Centros de Atenção Psicossocial (CAPS)</w:t>
      </w:r>
      <w:r w:rsidRPr="6CBC204B" w:rsidR="0EF41D6F">
        <w:rPr>
          <w:color w:val="000000" w:themeColor="text1" w:themeTint="FF" w:themeShade="FF"/>
        </w:rPr>
        <w:t>,</w:t>
      </w:r>
      <w:r w:rsidRPr="6CBC204B" w:rsidR="0EF41D6F">
        <w:rPr>
          <w:color w:val="000000" w:themeColor="text1" w:themeTint="FF" w:themeShade="FF"/>
        </w:rPr>
        <w:t xml:space="preserve"> juntamente com as especificações, memoriais descritivos, planilhas orçamentárias e cronograma físico-financeiro os quais estão disponíveis no portal do Fundo Nacional de Saúde (</w:t>
      </w:r>
      <w:hyperlink r:id="R4b878dd6c4464d48">
        <w:r w:rsidRPr="6CBC204B" w:rsidR="0EF41D6F">
          <w:rPr>
            <w:color w:val="0563C1"/>
            <w:u w:val="single"/>
          </w:rPr>
          <w:t>https://portalfns.saude.gov.br/</w:t>
        </w:r>
      </w:hyperlink>
      <w:r w:rsidR="0EF41D6F">
        <w:rPr/>
        <w:t>)</w:t>
      </w:r>
      <w:r w:rsidRPr="6CBC204B" w:rsidR="0EF41D6F">
        <w:rPr>
          <w:color w:val="000000" w:themeColor="text1" w:themeTint="FF" w:themeShade="FF"/>
        </w:rPr>
        <w:t xml:space="preserve">. </w:t>
      </w:r>
    </w:p>
    <w:p w:rsidR="006430DA" w:rsidRDefault="00B54928" w14:paraId="000000B7" w14:textId="77777777">
      <w:pPr>
        <w:numPr>
          <w:ilvl w:val="0"/>
          <w:numId w:val="19"/>
        </w:numPr>
        <w:pBdr>
          <w:top w:val="nil"/>
          <w:left w:val="nil"/>
          <w:bottom w:val="nil"/>
          <w:right w:val="nil"/>
          <w:between w:val="nil"/>
        </w:pBdr>
        <w:jc w:val="both"/>
        <w:rPr>
          <w:color w:val="000000"/>
        </w:rPr>
      </w:pPr>
      <w:r>
        <w:rPr>
          <w:color w:val="000000"/>
        </w:rPr>
        <w:t>O Manual de Uso da Marca do Governo Federal (Novo PAC), que apresenta o modelo de placa de obra que deverá ser aplicado, está disponível no portal da Casa Civil/Novo PAC</w:t>
      </w:r>
      <w:r>
        <w:t xml:space="preserve"> (</w:t>
      </w:r>
      <w:r>
        <w:rPr>
          <w:color w:val="000000"/>
        </w:rPr>
        <w:t xml:space="preserve"> </w:t>
      </w:r>
      <w:hyperlink r:id="rId11">
        <w:r>
          <w:rPr>
            <w:color w:val="0563C1"/>
            <w:u w:val="single"/>
          </w:rPr>
          <w:t>https://www.gov.br/casacivil/pt-br/novopac/baixe-aqui-o-manual-de-uso-da-marca-do-novo-pac</w:t>
        </w:r>
      </w:hyperlink>
      <w:r>
        <w:t>)</w:t>
      </w:r>
    </w:p>
    <w:p w:rsidR="006430DA" w:rsidRDefault="00B54928" w14:paraId="000000B8" w14:textId="77777777">
      <w:pPr>
        <w:pBdr>
          <w:top w:val="nil"/>
          <w:left w:val="nil"/>
          <w:bottom w:val="nil"/>
          <w:right w:val="nil"/>
          <w:between w:val="nil"/>
        </w:pBdr>
        <w:spacing w:line="240" w:lineRule="auto"/>
        <w:jc w:val="both"/>
        <w:rPr>
          <w:color w:val="000000"/>
        </w:rPr>
      </w:pPr>
      <w:r>
        <w:rPr>
          <w:b/>
          <w:color w:val="000000"/>
        </w:rPr>
        <w:t>Tópico 8. Estimativa do valor da contratação:</w:t>
      </w:r>
      <w:r>
        <w:rPr>
          <w:color w:val="000000"/>
        </w:rPr>
        <w:t xml:space="preserve"> o detalhamento da </w:t>
      </w:r>
      <w:r>
        <w:t>m</w:t>
      </w:r>
      <w:r>
        <w:rPr>
          <w:color w:val="000000"/>
        </w:rPr>
        <w:t xml:space="preserve">etodologia utilizada deve constar em </w:t>
      </w:r>
      <w:r>
        <w:t>n</w:t>
      </w:r>
      <w:r>
        <w:rPr>
          <w:color w:val="000000"/>
        </w:rPr>
        <w:t xml:space="preserve">ota crítica de preços, onde será detalhada a fonte de consulta, os métodos </w:t>
      </w:r>
      <w:r>
        <w:t>utilizados</w:t>
      </w:r>
      <w:r>
        <w:rPr>
          <w:color w:val="000000"/>
        </w:rPr>
        <w:t xml:space="preserve"> e a análise </w:t>
      </w:r>
      <w:r>
        <w:t>crítica</w:t>
      </w:r>
      <w:r>
        <w:rPr>
          <w:color w:val="000000"/>
        </w:rPr>
        <w:t xml:space="preserve"> dos valores </w:t>
      </w:r>
      <w:r>
        <w:t>obtidos</w:t>
      </w:r>
      <w:r>
        <w:rPr>
          <w:color w:val="000000"/>
        </w:rPr>
        <w:t>, juntamente com a planilha orçamentária da obra.</w:t>
      </w:r>
    </w:p>
    <w:p w:rsidR="006430DA" w:rsidRDefault="00B54928" w14:paraId="000000B9" w14:textId="77777777">
      <w:pPr>
        <w:numPr>
          <w:ilvl w:val="0"/>
          <w:numId w:val="2"/>
        </w:numPr>
        <w:pBdr>
          <w:top w:val="nil"/>
          <w:left w:val="nil"/>
          <w:bottom w:val="nil"/>
          <w:right w:val="nil"/>
          <w:between w:val="nil"/>
        </w:pBdr>
        <w:spacing w:line="240" w:lineRule="auto"/>
        <w:jc w:val="both"/>
        <w:rPr>
          <w:color w:val="000000"/>
        </w:rPr>
      </w:pPr>
      <w:bookmarkStart w:name="_heading=h.gjdgxs" w:colFirst="0" w:colLast="0" w:id="0"/>
      <w:bookmarkEnd w:id="0"/>
      <w:r>
        <w:rPr>
          <w:b/>
          <w:color w:val="000000"/>
        </w:rPr>
        <w:t xml:space="preserve">Metodologia do </w:t>
      </w:r>
      <w:r>
        <w:rPr>
          <w:b/>
        </w:rPr>
        <w:t>v</w:t>
      </w:r>
      <w:r>
        <w:rPr>
          <w:b/>
          <w:color w:val="000000"/>
        </w:rPr>
        <w:t xml:space="preserve">alor </w:t>
      </w:r>
      <w:r>
        <w:rPr>
          <w:b/>
        </w:rPr>
        <w:t>e</w:t>
      </w:r>
      <w:r>
        <w:rPr>
          <w:b/>
          <w:color w:val="000000"/>
        </w:rPr>
        <w:t xml:space="preserve">stimado e </w:t>
      </w:r>
      <w:r>
        <w:rPr>
          <w:b/>
        </w:rPr>
        <w:t>p</w:t>
      </w:r>
      <w:r>
        <w:rPr>
          <w:b/>
          <w:color w:val="000000"/>
        </w:rPr>
        <w:t xml:space="preserve">esquisa de </w:t>
      </w:r>
      <w:r>
        <w:rPr>
          <w:b/>
        </w:rPr>
        <w:t>p</w:t>
      </w:r>
      <w:r>
        <w:rPr>
          <w:b/>
          <w:color w:val="000000"/>
        </w:rPr>
        <w:t>reços:</w:t>
      </w:r>
      <w:r>
        <w:rPr>
          <w:color w:val="000000"/>
        </w:rPr>
        <w:t xml:space="preserve"> </w:t>
      </w:r>
      <w:r>
        <w:t>p</w:t>
      </w:r>
      <w:r>
        <w:rPr>
          <w:color w:val="000000"/>
        </w:rPr>
        <w:t xml:space="preserve">ara a contratação de obras ou serviços de engenharia, a metodologia adotada está alinhada com o Decreto nº 7.983 de 8 de abril de 2013, que estabelece diretrizes para a definição do custo global de referência. Este custo deve ser baseado nas composições de custos unitários menores ou iguais à mediana dos valores referenciados pelo Sistema Nacional de Pesquisa de Custos e Índices da Construção Civil (Sinapi), mantido pela Caixa Econômica Federal com dados </w:t>
      </w:r>
      <w:r>
        <w:t>do Instituto Br</w:t>
      </w:r>
      <w:r>
        <w:t>asileiro de Geografia e Estatística</w:t>
      </w:r>
      <w:r>
        <w:rPr>
          <w:color w:val="000000"/>
        </w:rPr>
        <w:t xml:space="preserve"> (IBGE). O processo orçamentário tem in</w:t>
      </w:r>
      <w:r>
        <w:t xml:space="preserve">ício </w:t>
      </w:r>
      <w:r>
        <w:rPr>
          <w:color w:val="000000"/>
        </w:rPr>
        <w:t>com uma análise detalhada dos projetos e memoriais, utilizando o Sinapi como base principal, complementado por pesquisas em outros bancos de dados quando necessário. A pesquisa de preços pode se estender ao mercado se as bases de dados oficiais não contemplarem todos os insumos necessários, culminando na elaboração de um memorial de cálculo que justifica as composições de custos adotadas. Este processo rigoroso assegura que o orç</w:t>
      </w:r>
      <w:r>
        <w:rPr>
          <w:color w:val="000000"/>
        </w:rPr>
        <w:t>amento da obra seja realista e esteja em conformidade com as exigências legais e normativas vigentes.</w:t>
      </w:r>
    </w:p>
    <w:p w:rsidR="006430DA" w:rsidRDefault="00B54928" w14:paraId="000000BA" w14:textId="77777777">
      <w:pPr>
        <w:jc w:val="both"/>
        <w:rPr>
          <w:b/>
        </w:rPr>
      </w:pPr>
      <w:r>
        <w:rPr>
          <w:b/>
        </w:rPr>
        <w:t>Orientações para a pesquisa de preços e elaboração de orçamento com vista ao valor estimado</w:t>
      </w:r>
      <w:r>
        <w:t>.</w:t>
      </w:r>
    </w:p>
    <w:p w:rsidR="006430DA" w:rsidRDefault="00B54928" w14:paraId="000000BB" w14:textId="77777777">
      <w:pPr>
        <w:numPr>
          <w:ilvl w:val="0"/>
          <w:numId w:val="2"/>
        </w:numPr>
        <w:pBdr>
          <w:top w:val="nil"/>
          <w:left w:val="nil"/>
          <w:bottom w:val="nil"/>
          <w:right w:val="nil"/>
          <w:between w:val="nil"/>
        </w:pBdr>
        <w:jc w:val="both"/>
        <w:rPr>
          <w:b/>
          <w:color w:val="000000"/>
        </w:rPr>
      </w:pPr>
      <w:r>
        <w:rPr>
          <w:b/>
          <w:color w:val="000000"/>
        </w:rPr>
        <w:t>Metodologia do valor estimado e pesquisa de preços</w:t>
      </w:r>
    </w:p>
    <w:p w:rsidR="006430DA" w:rsidRDefault="00B54928" w14:paraId="000000BC" w14:textId="77777777">
      <w:pPr>
        <w:jc w:val="both"/>
      </w:pPr>
      <w:r>
        <w:t xml:space="preserve">Por se tratar de contratação de obra ou serviço de engenharia, utilizou-se a metodologia estabelecida pelo Decreto nº 7.983 de 8 de abril de 2013, conforme disposto no artigo 3º: </w:t>
      </w:r>
    </w:p>
    <w:p w:rsidR="006430DA" w:rsidRDefault="00B54928" w14:paraId="000000BD" w14:textId="77777777">
      <w:pPr>
        <w:ind w:left="2268"/>
        <w:jc w:val="both"/>
        <w:rPr>
          <w:sz w:val="18"/>
          <w:szCs w:val="18"/>
        </w:rPr>
      </w:pPr>
      <w:r>
        <w:rPr>
          <w:sz w:val="18"/>
          <w:szCs w:val="18"/>
        </w:rPr>
        <w:t>Art. 3º O custo global de referência de obras e serviços de engenharia, exceto os serviços e obras de infraestrutura de transporte, será obtido a partir das composições dos custos unitários previstas no projeto que integra o edital de licitação, menores ou iguais à mediana de seus correspondentes nos custos unitários de referência do Sistema Nacional de Pesquisa de Custos e Índices da Construção Civil (Sinapi), excetuados os itens caracterizados como montagem industrial ou que não possam ser considerados co</w:t>
      </w:r>
      <w:r>
        <w:rPr>
          <w:sz w:val="18"/>
          <w:szCs w:val="18"/>
        </w:rPr>
        <w:t>mo de construção civil. Parágrafo único. O Sinapi deverá ser mantido pela Caixa Econômica Federal (CEF), segundo definições técnicas de engenharia da CEF e de pesquisa de preço realizada pelo Instituto Brasileiro de Geografia e Estatística (IBGE).</w:t>
      </w:r>
    </w:p>
    <w:p w:rsidR="006430DA" w:rsidRDefault="00B54928" w14:paraId="000000BE" w14:textId="77777777">
      <w:pPr>
        <w:jc w:val="both"/>
      </w:pPr>
      <w:r>
        <w:t xml:space="preserve">O processo de orçamentação de obras e serviços de engenharia inicia-se com a análise detalhada dos projetos e memoriais disponibilizados pela equipe de arquitetura e engenharia, a partir dos quais é elaborado o </w:t>
      </w:r>
      <w:r>
        <w:t>m</w:t>
      </w:r>
      <w:r>
        <w:t xml:space="preserve">emorial de </w:t>
      </w:r>
      <w:r>
        <w:t>c</w:t>
      </w:r>
      <w:r>
        <w:t xml:space="preserve">álculo de </w:t>
      </w:r>
      <w:r>
        <w:t>q</w:t>
      </w:r>
      <w:r>
        <w:t>uantitativos. Este documento tem a função de descrever as metodologias utilizadas na construção das planilhas de quantidades.</w:t>
      </w:r>
    </w:p>
    <w:p w:rsidR="006430DA" w:rsidRDefault="00B54928" w14:paraId="000000BF" w14:textId="77777777">
      <w:pPr>
        <w:jc w:val="both"/>
      </w:pPr>
      <w:r w:rsidR="00B54928">
        <w:rPr/>
        <w:t xml:space="preserve">Na fase seguinte, é realizada pesquisa de composições de serviços, inicialmente no banco </w:t>
      </w:r>
      <w:r w:rsidR="00B54928">
        <w:rPr/>
        <w:t>Sinapi</w:t>
      </w:r>
      <w:r w:rsidR="00B54928">
        <w:rPr/>
        <w:t xml:space="preserve">. Se a composição não for encontrada, busca-se em outros bancos de dados, como o </w:t>
      </w:r>
      <w:r w:rsidR="00B54928">
        <w:rPr/>
        <w:t>CPOS.</w:t>
      </w:r>
      <w:r w:rsidR="00B54928">
        <w:rPr/>
        <w:t xml:space="preserve"> Caso ainda não se obtenha sucesso, utiliza-se o </w:t>
      </w:r>
      <w:r w:rsidR="00B54928">
        <w:rPr/>
        <w:t>p</w:t>
      </w:r>
      <w:r w:rsidR="00B54928">
        <w:rPr/>
        <w:t xml:space="preserve">ainel de </w:t>
      </w:r>
      <w:r w:rsidR="00B54928">
        <w:rPr/>
        <w:t>p</w:t>
      </w:r>
      <w:r w:rsidR="00B54928">
        <w:rPr/>
        <w:t xml:space="preserve">reços do </w:t>
      </w:r>
      <w:r w:rsidR="00B54928">
        <w:rPr/>
        <w:t>g</w:t>
      </w:r>
      <w:r w:rsidR="00B54928">
        <w:rPr/>
        <w:t xml:space="preserve">overno </w:t>
      </w:r>
      <w:r w:rsidR="00B54928">
        <w:rPr/>
        <w:t>f</w:t>
      </w:r>
      <w:r w:rsidR="00B54928">
        <w:rPr/>
        <w:t xml:space="preserve">ederal ou o </w:t>
      </w:r>
      <w:r w:rsidR="00B54928">
        <w:rPr/>
        <w:t>Renem</w:t>
      </w:r>
      <w:r w:rsidR="00B54928">
        <w:rPr/>
        <w:t xml:space="preserve"> pa</w:t>
      </w:r>
      <w:r w:rsidR="00B54928">
        <w:rPr/>
        <w:t>ra adaptar e justificar a composição de custos com base nas referências disponíveis.</w:t>
      </w:r>
    </w:p>
    <w:p w:rsidR="006430DA" w:rsidRDefault="00B54928" w14:paraId="000000C0" w14:textId="614D9078">
      <w:pPr>
        <w:jc w:val="both"/>
      </w:pPr>
      <w:r w:rsidR="00B54928">
        <w:rPr/>
        <w:t xml:space="preserve">Quando essas fontes não são suficientes, procede-se à pesquisa de mercado, resultando em cotações que são equalizadas e documentadas no </w:t>
      </w:r>
      <w:r w:rsidR="00B54928">
        <w:rPr/>
        <w:t>m</w:t>
      </w:r>
      <w:r w:rsidR="00B54928">
        <w:rPr/>
        <w:t xml:space="preserve">emorial de </w:t>
      </w:r>
      <w:r w:rsidR="00B54928">
        <w:rPr/>
        <w:t>c</w:t>
      </w:r>
      <w:r w:rsidR="00B54928">
        <w:rPr/>
        <w:t xml:space="preserve">álculo de </w:t>
      </w:r>
      <w:r w:rsidR="00B54928">
        <w:rPr/>
        <w:t>s</w:t>
      </w:r>
      <w:r w:rsidR="00B54928">
        <w:rPr/>
        <w:t xml:space="preserve">uprimentos. Esse memorial detalha todo o processo, desde o contato inicial com fornecedores até a incorporação dos preços na </w:t>
      </w:r>
      <w:r w:rsidR="00B54928">
        <w:rPr/>
        <w:t>p</w:t>
      </w:r>
      <w:r w:rsidR="00B54928">
        <w:rPr/>
        <w:t xml:space="preserve">lanilha </w:t>
      </w:r>
      <w:r w:rsidR="00B54928">
        <w:rPr/>
        <w:t>o</w:t>
      </w:r>
      <w:r w:rsidR="00B54928">
        <w:rPr/>
        <w:t xml:space="preserve">rçamentária. Se as cotações forem </w:t>
      </w:r>
      <w:r w:rsidR="00B54928">
        <w:rPr/>
        <w:t>utilizadas,</w:t>
      </w:r>
      <w:r w:rsidR="40E1B95B">
        <w:rPr/>
        <w:t xml:space="preserve"> </w:t>
      </w:r>
      <w:r w:rsidR="00B54928">
        <w:rPr/>
        <w:t xml:space="preserve">uma </w:t>
      </w:r>
      <w:r w:rsidR="00B54928">
        <w:rPr/>
        <w:t>j</w:t>
      </w:r>
      <w:r w:rsidR="00B54928">
        <w:rPr/>
        <w:t xml:space="preserve">ustificativa de </w:t>
      </w:r>
      <w:r w:rsidR="00B54928">
        <w:rPr/>
        <w:t>c</w:t>
      </w:r>
      <w:r w:rsidR="00B54928">
        <w:rPr/>
        <w:t xml:space="preserve">omposição de </w:t>
      </w:r>
      <w:r w:rsidR="00B54928">
        <w:rPr/>
        <w:t>c</w:t>
      </w:r>
      <w:r w:rsidR="00B54928">
        <w:rPr/>
        <w:t>usto também deve ser elaborada.</w:t>
      </w:r>
    </w:p>
    <w:p w:rsidR="006430DA" w:rsidRDefault="00B54928" w14:paraId="000000C1" w14:textId="77777777">
      <w:pPr>
        <w:jc w:val="both"/>
      </w:pPr>
      <w:r>
        <w:t xml:space="preserve">Por fim, todas as composições são inseridas na </w:t>
      </w:r>
      <w:r>
        <w:t>p</w:t>
      </w:r>
      <w:r>
        <w:t xml:space="preserve">lanilha </w:t>
      </w:r>
      <w:r>
        <w:t>o</w:t>
      </w:r>
      <w:r>
        <w:t xml:space="preserve">rçamentária, gerando o orçamento referencial para o processo licitatório. Esse processo é rigorosamente embasado em leis, normas e instrumentos normativos, como o Decreto nº 7.983/2013, que regulamenta a elaboração de orçamentos de referência para obras públicas. Os preços utilizados são principalmente obtidos das tabelas nacionais referenciais, ajustados conforme necessário, e complementados por pesquisa de mercado conforme detalhado na </w:t>
      </w:r>
      <w:r>
        <w:t>a</w:t>
      </w:r>
      <w:r>
        <w:t xml:space="preserve">nálise </w:t>
      </w:r>
      <w:r>
        <w:t>crítica</w:t>
      </w:r>
      <w:r>
        <w:t xml:space="preserve"> da </w:t>
      </w:r>
      <w:r>
        <w:t>p</w:t>
      </w:r>
      <w:r>
        <w:t xml:space="preserve">esquisa de </w:t>
      </w:r>
      <w:r>
        <w:t>p</w:t>
      </w:r>
      <w:r>
        <w:t>reços.</w:t>
      </w:r>
    </w:p>
    <w:p w:rsidR="006430DA" w:rsidRDefault="00B54928" w14:paraId="000000C2" w14:textId="77777777">
      <w:pPr>
        <w:numPr>
          <w:ilvl w:val="0"/>
          <w:numId w:val="2"/>
        </w:numPr>
        <w:pBdr>
          <w:top w:val="nil"/>
          <w:left w:val="nil"/>
          <w:bottom w:val="nil"/>
          <w:right w:val="nil"/>
          <w:between w:val="nil"/>
        </w:pBdr>
        <w:jc w:val="both"/>
        <w:rPr>
          <w:b/>
          <w:color w:val="000000"/>
        </w:rPr>
      </w:pPr>
      <w:r>
        <w:rPr>
          <w:b/>
          <w:color w:val="000000"/>
        </w:rPr>
        <w:t xml:space="preserve">Metodologia e </w:t>
      </w:r>
      <w:r>
        <w:rPr>
          <w:b/>
        </w:rPr>
        <w:t>p</w:t>
      </w:r>
      <w:r>
        <w:rPr>
          <w:b/>
          <w:color w:val="000000"/>
        </w:rPr>
        <w:t xml:space="preserve">arâmetros </w:t>
      </w:r>
      <w:r>
        <w:rPr>
          <w:b/>
        </w:rPr>
        <w:t>s</w:t>
      </w:r>
      <w:r>
        <w:rPr>
          <w:b/>
          <w:color w:val="000000"/>
        </w:rPr>
        <w:t xml:space="preserve">oftware de </w:t>
      </w:r>
      <w:r>
        <w:rPr>
          <w:b/>
        </w:rPr>
        <w:t>o</w:t>
      </w:r>
      <w:r>
        <w:rPr>
          <w:b/>
          <w:color w:val="000000"/>
        </w:rPr>
        <w:t>rçamento</w:t>
      </w:r>
    </w:p>
    <w:p w:rsidR="006430DA" w:rsidRDefault="00B54928" w14:paraId="000000C3" w14:textId="77777777">
      <w:pPr>
        <w:jc w:val="both"/>
      </w:pPr>
      <w:r w:rsidR="00B54928">
        <w:rPr/>
        <w:t xml:space="preserve">O orçamento foi elaborado utilizando o software </w:t>
      </w:r>
      <w:r w:rsidR="00B54928">
        <w:rPr/>
        <w:t>Orçafascio</w:t>
      </w:r>
      <w:r w:rsidR="00B54928">
        <w:rPr/>
        <w:t xml:space="preserve">, que integra mais de 20 tabelas de bancos referenciais, incluindo </w:t>
      </w:r>
      <w:r w:rsidR="00B54928">
        <w:rPr/>
        <w:t>Sinapi</w:t>
      </w:r>
      <w:r w:rsidR="00B54928">
        <w:rPr/>
        <w:t xml:space="preserve"> (03/2024), CPOS/CDHU (03/2024), SBC (03/2024), ORSE (03/2024), </w:t>
      </w:r>
      <w:r w:rsidR="00B54928">
        <w:rPr/>
        <w:t>Seinfra</w:t>
      </w:r>
      <w:r w:rsidR="00B54928">
        <w:rPr/>
        <w:t xml:space="preserve"> (028), </w:t>
      </w:r>
      <w:r w:rsidR="00B54928">
        <w:rPr/>
        <w:t>Iopes</w:t>
      </w:r>
      <w:r w:rsidR="00B54928">
        <w:rPr/>
        <w:t xml:space="preserve"> (03/2024) e </w:t>
      </w:r>
      <w:r w:rsidR="00B54928">
        <w:rPr/>
        <w:t>Emop</w:t>
      </w:r>
      <w:r w:rsidR="00B54928">
        <w:rPr/>
        <w:t xml:space="preserve"> (03/2024). Conforme a </w:t>
      </w:r>
      <w:r w:rsidR="00B54928">
        <w:rPr/>
        <w:t>a</w:t>
      </w:r>
      <w:r w:rsidR="00B54928">
        <w:rPr/>
        <w:t>artilha</w:t>
      </w:r>
      <w:r w:rsidR="00B54928">
        <w:rPr/>
        <w:t xml:space="preserve"> de </w:t>
      </w:r>
      <w:r w:rsidR="00B54928">
        <w:rPr/>
        <w:t>o</w:t>
      </w:r>
      <w:r w:rsidR="00B54928">
        <w:rPr/>
        <w:t xml:space="preserve">rientações para </w:t>
      </w:r>
      <w:r w:rsidR="00B54928">
        <w:rPr/>
        <w:t>e</w:t>
      </w:r>
      <w:r w:rsidR="00B54928">
        <w:rPr/>
        <w:t xml:space="preserve">laboração de </w:t>
      </w:r>
      <w:r w:rsidR="00B54928">
        <w:rPr/>
        <w:t>p</w:t>
      </w:r>
      <w:r w:rsidR="00B54928">
        <w:rPr/>
        <w:t xml:space="preserve">lanilhas </w:t>
      </w:r>
      <w:r w:rsidR="00B54928">
        <w:rPr/>
        <w:t>o</w:t>
      </w:r>
      <w:r w:rsidR="00B54928">
        <w:rPr/>
        <w:t xml:space="preserve">rçamentárias de </w:t>
      </w:r>
      <w:r w:rsidR="00B54928">
        <w:rPr/>
        <w:t>o</w:t>
      </w:r>
      <w:r w:rsidR="00B54928">
        <w:rPr/>
        <w:t xml:space="preserve">bras </w:t>
      </w:r>
      <w:r w:rsidR="00B54928">
        <w:rPr/>
        <w:t>p</w:t>
      </w:r>
      <w:r w:rsidR="00B54928">
        <w:rPr/>
        <w:t>úblicas do Tribu</w:t>
      </w:r>
      <w:r w:rsidR="00B54928">
        <w:rPr/>
        <w:t>nal de Contas da União (</w:t>
      </w:r>
      <w:r w:rsidR="00B54928">
        <w:rPr/>
        <w:t>TCU), todo orçamento é uma estimativa, mas deve ser o mais precisa possível. Para evitar imprecisões, os valores foram truncados em duas casas decimais, abrangendo preços unitários, preços unitários co</w:t>
      </w:r>
      <w:r w:rsidR="00B54928">
        <w:rPr/>
        <w:t xml:space="preserve">m </w:t>
      </w:r>
      <w:r w:rsidR="00B54928">
        <w:rPr/>
        <w:t>BDI</w:t>
      </w:r>
      <w:r w:rsidR="00B54928">
        <w:rPr/>
        <w:t xml:space="preserve"> e </w:t>
      </w:r>
      <w:r w:rsidR="00B54928">
        <w:rPr/>
        <w:t>o total de cada item.</w:t>
      </w:r>
    </w:p>
    <w:p w:rsidR="006430DA" w:rsidRDefault="00B54928" w14:paraId="000000C4" w14:textId="77777777">
      <w:pPr>
        <w:jc w:val="both"/>
      </w:pPr>
      <w:r>
        <w:t xml:space="preserve">Composições de bases distintas do Sinapi que contêm insumos ou composições auxiliares com códigos </w:t>
      </w:r>
      <w:r>
        <w:t xml:space="preserve">do sistema </w:t>
      </w:r>
      <w:r>
        <w:t>foram atualizadas para a data-base vigente (São Paulo, 03/2024). Isso pode resultar em pequenas variações ao comparar os valores da base oficial com os do orçamento. Para serviços cujas composições ou insumos não estão presentes no Sinapi, os valores regionais foram mantidos, uma vez que são exequíveis na região de São Paulo sem impactar a equação financeira do projeto.</w:t>
      </w:r>
    </w:p>
    <w:p w:rsidR="006430DA" w:rsidRDefault="00B54928" w14:paraId="000000C5" w14:textId="77777777">
      <w:pPr>
        <w:jc w:val="both"/>
      </w:pPr>
      <w:r>
        <w:t>O BDI foi aplicado a cada preço unitário das composições, conforme recomendado pelo TCU, com BDI geral para serviços e BDI diferenciado para equipamentos, de acordo com a composição apresentada na planilha orçamentária.</w:t>
      </w:r>
    </w:p>
    <w:p w:rsidR="006430DA" w:rsidRDefault="00B54928" w14:paraId="000000C6" w14:textId="77777777">
      <w:pPr>
        <w:numPr>
          <w:ilvl w:val="0"/>
          <w:numId w:val="2"/>
        </w:numPr>
        <w:pBdr>
          <w:top w:val="nil"/>
          <w:left w:val="nil"/>
          <w:bottom w:val="nil"/>
          <w:right w:val="nil"/>
          <w:between w:val="nil"/>
        </w:pBdr>
        <w:jc w:val="both"/>
        <w:rPr>
          <w:b/>
          <w:color w:val="000000"/>
        </w:rPr>
      </w:pPr>
      <w:r>
        <w:rPr>
          <w:b/>
          <w:color w:val="000000"/>
        </w:rPr>
        <w:t xml:space="preserve">Pesquisa de </w:t>
      </w:r>
      <w:r>
        <w:rPr>
          <w:b/>
        </w:rPr>
        <w:t>p</w:t>
      </w:r>
      <w:r>
        <w:rPr>
          <w:b/>
          <w:color w:val="000000"/>
        </w:rPr>
        <w:t>reços</w:t>
      </w:r>
    </w:p>
    <w:p w:rsidR="006430DA" w:rsidRDefault="00B54928" w14:paraId="000000C7" w14:textId="77777777">
      <w:pPr>
        <w:jc w:val="both"/>
      </w:pPr>
      <w:r>
        <w:t xml:space="preserve">A regulamentação específica para a pesquisa de preços em obras e serviços de engenharia referentes a itens não constantes em tabelas oficiais e não abrangidos pelo Decreto nº 7.983, somada à diversidade de entendimentos sobre sua aplicação, torna essa atividade desafiadora nas contratações públicas. Como prática comum, orientada por órgãos de controle como o TCU, adota-se a obtenção de, no mínimo, três cotações de fornecedores. Essa abordagem está em conformidade com o artigo 23 da </w:t>
      </w:r>
      <w:r>
        <w:t>n</w:t>
      </w:r>
      <w:r>
        <w:t>ova Lei de Licitações e Contratos e com a Instrução Normativa nº 65/2021, que recomendam a utilização de fontes diversas e práticas de mercado para assegurar a precisão e a compatibilidade dos preços estimados.</w:t>
      </w:r>
    </w:p>
    <w:p w:rsidR="006430DA" w:rsidRDefault="00B54928" w14:paraId="000000C8" w14:textId="77777777">
      <w:pPr>
        <w:jc w:val="both"/>
      </w:pPr>
      <w:r>
        <w:t>O TCU, em diversas decisões, destaca a importância da pesquisa de preços como base para o orçamento estimativo, recomendando a obtenção de, pelo menos, três orçamentos (Acórdão nº 3.026/2010 – Plenário). A falta dessa pesquisa pode resultar em contratações com valores superiores aos de mercado, comprometendo a economicidade e a transparência do processo licitatório (Acórdão nº 769/2013 – Plenário).</w:t>
      </w:r>
    </w:p>
    <w:p w:rsidR="006430DA" w:rsidRDefault="00B54928" w14:paraId="000000C9" w14:textId="77777777">
      <w:pPr>
        <w:jc w:val="both"/>
      </w:pPr>
      <w:r>
        <w:t xml:space="preserve">A Instrução Normativa nº 65/2021 orienta que a pesquisa de preços seja feita utilizando fontes como o </w:t>
      </w:r>
      <w:r>
        <w:t>p</w:t>
      </w:r>
      <w:r>
        <w:t xml:space="preserve">ortal de </w:t>
      </w:r>
      <w:r>
        <w:t>c</w:t>
      </w:r>
      <w:r>
        <w:t xml:space="preserve">ompras </w:t>
      </w:r>
      <w:r>
        <w:t>g</w:t>
      </w:r>
      <w:r>
        <w:t xml:space="preserve">overnamentais, mídias especializadas, contratações similares ou cotações junto a fornecedores. O TCU recomenda, ainda, o uso de bancos públicos de referência, como Sinapi e Sicro3, para maior precisão (Acórdão nº 2.816/2014 – Plenário). </w:t>
      </w:r>
    </w:p>
    <w:p w:rsidR="006430DA" w:rsidRDefault="00B54928" w14:paraId="000000CA" w14:textId="77777777">
      <w:pPr>
        <w:jc w:val="both"/>
      </w:pPr>
      <w:r>
        <w:t>O Decreto nº 7.983/2013 estabelece a mediana como critério preferencial para aferir o preço de mercado em obras e serviços de engenharia, alinhando-se ao entendimento do TCU de que a média e a mediana são medidas robustas de tendência central (Acórdão nº 3.068/2010 – Plenário).</w:t>
      </w:r>
    </w:p>
    <w:p w:rsidR="006430DA" w:rsidRDefault="00B54928" w14:paraId="000000CB" w14:textId="77777777">
      <w:pPr>
        <w:jc w:val="both"/>
      </w:pPr>
      <w:r>
        <w:t>Dificuldades como a diminuição de fornecedores e a variação cambial foram enfrentadas durante a pesquisa de preços, sendo a escolha final baseada na média, mediana ou menor valor obtido, conforme as circunstâncias.</w:t>
      </w:r>
    </w:p>
    <w:p w:rsidR="006430DA" w:rsidRDefault="00B54928" w14:paraId="000000CC" w14:textId="77777777">
      <w:pPr>
        <w:numPr>
          <w:ilvl w:val="0"/>
          <w:numId w:val="2"/>
        </w:numPr>
        <w:pBdr>
          <w:top w:val="nil"/>
          <w:left w:val="nil"/>
          <w:bottom w:val="nil"/>
          <w:right w:val="nil"/>
          <w:between w:val="nil"/>
        </w:pBdr>
        <w:jc w:val="both"/>
        <w:rPr>
          <w:b/>
          <w:color w:val="000000"/>
        </w:rPr>
      </w:pPr>
      <w:r>
        <w:rPr>
          <w:b/>
          <w:color w:val="000000"/>
        </w:rPr>
        <w:t>Memória de cálculo</w:t>
      </w:r>
    </w:p>
    <w:p w:rsidR="006430DA" w:rsidRDefault="00B54928" w14:paraId="000000CD" w14:textId="77777777">
      <w:pPr>
        <w:jc w:val="both"/>
        <w:rPr>
          <w:b/>
        </w:rPr>
      </w:pPr>
      <w:r>
        <w:t>A memória de cálculo relacionada a definição dos espaços para a contratação em comento está consubstanciada nas planilhas orçamentárias que subsidiará a execução da obra a ser contratada.</w:t>
      </w:r>
    </w:p>
    <w:p w:rsidR="006430DA" w:rsidRDefault="00B54928" w14:paraId="000000CE" w14:textId="77777777">
      <w:pPr>
        <w:pBdr>
          <w:top w:val="nil"/>
          <w:left w:val="nil"/>
          <w:bottom w:val="nil"/>
          <w:right w:val="nil"/>
          <w:between w:val="nil"/>
        </w:pBdr>
        <w:spacing w:line="240" w:lineRule="auto"/>
        <w:jc w:val="both"/>
        <w:rPr>
          <w:b/>
          <w:color w:val="000000"/>
        </w:rPr>
      </w:pPr>
      <w:r>
        <w:rPr>
          <w:b/>
          <w:color w:val="000000"/>
        </w:rPr>
        <w:t xml:space="preserve">Tópico 9. Justificativa para o </w:t>
      </w:r>
      <w:r>
        <w:rPr>
          <w:b/>
        </w:rPr>
        <w:t>p</w:t>
      </w:r>
      <w:r>
        <w:rPr>
          <w:b/>
          <w:color w:val="000000"/>
        </w:rPr>
        <w:t xml:space="preserve">arcelamento ou </w:t>
      </w:r>
      <w:r>
        <w:rPr>
          <w:b/>
        </w:rPr>
        <w:t>n</w:t>
      </w:r>
      <w:r>
        <w:rPr>
          <w:b/>
          <w:color w:val="000000"/>
        </w:rPr>
        <w:t xml:space="preserve">ão da </w:t>
      </w:r>
      <w:r>
        <w:rPr>
          <w:b/>
        </w:rPr>
        <w:t>s</w:t>
      </w:r>
      <w:r>
        <w:rPr>
          <w:b/>
          <w:color w:val="000000"/>
        </w:rPr>
        <w:t xml:space="preserve">olução: </w:t>
      </w:r>
      <w:r>
        <w:rPr>
          <w:color w:val="000000"/>
        </w:rPr>
        <w:t>De acordo com o art. 40, § 3º, da Lei nº 14.133/2021, a decisão de parcelar ou não uma solução em contratações públicas deve considerar vários fatores para garantir eficiência e economicidade no processo de licitação. O parcelamento não é recomendado em três cenários principais:</w:t>
      </w:r>
    </w:p>
    <w:p w:rsidR="006430DA" w:rsidRDefault="00B54928" w14:paraId="000000CF"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Economia de </w:t>
      </w:r>
      <w:r>
        <w:rPr>
          <w:b/>
        </w:rPr>
        <w:t>e</w:t>
      </w:r>
      <w:r>
        <w:rPr>
          <w:b/>
          <w:color w:val="000000"/>
        </w:rPr>
        <w:t>scala</w:t>
      </w:r>
      <w:r>
        <w:rPr>
          <w:color w:val="000000"/>
        </w:rPr>
        <w:t xml:space="preserve">: </w:t>
      </w:r>
      <w:r>
        <w:t>q</w:t>
      </w:r>
      <w:r>
        <w:rPr>
          <w:color w:val="000000"/>
        </w:rPr>
        <w:t xml:space="preserve">uando a compra conjunta dos itens oferece uma redução de custos significativa que justifica a aquisição de todos os itens de um único fornecedor. </w:t>
      </w:r>
      <w:r>
        <w:t xml:space="preserve">É </w:t>
      </w:r>
      <w:r>
        <w:rPr>
          <w:color w:val="000000"/>
        </w:rPr>
        <w:t>aplicável especialmente em casos onde a gestão do contrato se torna mais eficiente e menos custosa.</w:t>
      </w:r>
    </w:p>
    <w:p w:rsidR="006430DA" w:rsidRDefault="00B54928" w14:paraId="000000D0"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Sistema </w:t>
      </w:r>
      <w:r>
        <w:rPr>
          <w:b/>
        </w:rPr>
        <w:t>ú</w:t>
      </w:r>
      <w:r>
        <w:rPr>
          <w:b/>
          <w:color w:val="000000"/>
        </w:rPr>
        <w:t xml:space="preserve">nico e </w:t>
      </w:r>
      <w:r>
        <w:rPr>
          <w:b/>
        </w:rPr>
        <w:t>i</w:t>
      </w:r>
      <w:r>
        <w:rPr>
          <w:b/>
          <w:color w:val="000000"/>
        </w:rPr>
        <w:t>ntegrado</w:t>
      </w:r>
      <w:r>
        <w:rPr>
          <w:color w:val="000000"/>
        </w:rPr>
        <w:t xml:space="preserve">: </w:t>
      </w:r>
      <w:r>
        <w:t>s</w:t>
      </w:r>
      <w:r>
        <w:rPr>
          <w:color w:val="000000"/>
        </w:rPr>
        <w:t xml:space="preserve">e o objeto da contratação formar um sistema integrado, o parcelamento pode introduzir riscos que </w:t>
      </w:r>
      <w:r>
        <w:t>afetam</w:t>
      </w:r>
      <w:r>
        <w:rPr>
          <w:color w:val="000000"/>
        </w:rPr>
        <w:t xml:space="preserve"> a integridade e a funcionalidade do sistema como um todo. Nesses casos, manter a contratação como um pacote único garante que todos os componentes sejam compatíveis e funcionem bem juntos.</w:t>
      </w:r>
    </w:p>
    <w:p w:rsidR="006430DA" w:rsidRDefault="00B54928" w14:paraId="000000D1"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Padronização e </w:t>
      </w:r>
      <w:r>
        <w:rPr>
          <w:b/>
        </w:rPr>
        <w:t>e</w:t>
      </w:r>
      <w:r>
        <w:rPr>
          <w:b/>
          <w:color w:val="000000"/>
        </w:rPr>
        <w:t>xclusividade</w:t>
      </w:r>
      <w:r>
        <w:rPr>
          <w:color w:val="000000"/>
        </w:rPr>
        <w:t xml:space="preserve">: </w:t>
      </w:r>
      <w:r>
        <w:t>e</w:t>
      </w:r>
      <w:r>
        <w:rPr>
          <w:color w:val="000000"/>
        </w:rPr>
        <w:t>m situações onde o processo de padronização ou a escolha de uma marca específica conduz a um fornecedor exclusivo, o parcelamento poderia violar o princípio da padronização ou não ser possível devido à exclusividade do fornecedor.</w:t>
      </w:r>
    </w:p>
    <w:p w:rsidR="006430DA" w:rsidRDefault="00B54928" w14:paraId="000000D2" w14:textId="77777777">
      <w:pPr>
        <w:pBdr>
          <w:top w:val="nil"/>
          <w:left w:val="nil"/>
          <w:bottom w:val="nil"/>
          <w:right w:val="nil"/>
          <w:between w:val="nil"/>
        </w:pBdr>
        <w:spacing w:after="60" w:line="240" w:lineRule="auto"/>
        <w:jc w:val="both"/>
        <w:rPr>
          <w:color w:val="000000"/>
        </w:rPr>
      </w:pPr>
      <w:r>
        <w:rPr>
          <w:color w:val="000000"/>
        </w:rPr>
        <w:t>Além disso, a Instrução Normativa Seges/ME nº 58/2022 complementa essa abordagem ao enfatizar a importância de um estudo técnico preliminar que justifique a decisão pelo parcelamento ou sua ausência. Esse estudo deve levar em conta a compatibilidade técnica, riscos associados e o impacto na gestão do contrato.</w:t>
      </w:r>
    </w:p>
    <w:p w:rsidR="006430DA" w:rsidRDefault="006430DA" w14:paraId="000000D3" w14:textId="77777777">
      <w:pPr>
        <w:pBdr>
          <w:top w:val="nil"/>
          <w:left w:val="nil"/>
          <w:bottom w:val="nil"/>
          <w:right w:val="nil"/>
          <w:between w:val="nil"/>
        </w:pBdr>
        <w:spacing w:after="60" w:line="240" w:lineRule="auto"/>
        <w:jc w:val="both"/>
        <w:rPr>
          <w:color w:val="000000"/>
        </w:rPr>
      </w:pPr>
    </w:p>
    <w:p w:rsidR="006430DA" w:rsidRDefault="00B54928" w14:paraId="000000D4" w14:textId="77777777">
      <w:pPr>
        <w:pBdr>
          <w:top w:val="nil"/>
          <w:left w:val="nil"/>
          <w:bottom w:val="nil"/>
          <w:right w:val="nil"/>
          <w:between w:val="nil"/>
        </w:pBdr>
        <w:spacing w:after="60" w:line="240" w:lineRule="auto"/>
        <w:jc w:val="both"/>
        <w:rPr>
          <w:color w:val="000000"/>
        </w:rPr>
      </w:pPr>
      <w:r>
        <w:rPr>
          <w:b/>
          <w:color w:val="000000"/>
        </w:rPr>
        <w:t>Tópico: 10. Contratações correlatas e/ou interdependentes: c</w:t>
      </w:r>
      <w:r>
        <w:rPr>
          <w:color w:val="000000"/>
        </w:rPr>
        <w:t>ontratações correlatas e/ou interdependentes" na redação de cláusulas contratuais sob a Lei nº 14.133/2021 e a Instrução Normativa Seges/ME nº 58/2022 pode ser delineada da seguinte forma:</w:t>
      </w:r>
    </w:p>
    <w:p w:rsidR="006430DA" w:rsidP="6CBC204B" w:rsidRDefault="00B54928" w14:paraId="000000D5" w14:textId="2FD9DB48">
      <w:pPr>
        <w:numPr>
          <w:ilvl w:val="0"/>
          <w:numId w:val="3"/>
        </w:num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6CBC204B" w:rsidR="0EF41D6F">
        <w:rPr>
          <w:color w:val="000000" w:themeColor="text1" w:themeTint="FF" w:themeShade="FF"/>
        </w:rPr>
        <w:t>Contratações correlatas são aquelas que, embora não sejam essenciais para a execução direta do objeto principal, estão vinculadas a ele de forma que sua realização possa otimizar ou complementar o serviço ou bem contratado principal. Por exemplo, enquanto a construção de um</w:t>
      </w:r>
      <w:r w:rsidRPr="6CBC204B" w:rsidR="10A91007">
        <w:rPr>
          <w:color w:val="000000" w:themeColor="text1" w:themeTint="FF" w:themeShade="FF"/>
        </w:rPr>
        <w:t xml:space="preserve"> Centro de Atenção Psicossocial (CAPS</w:t>
      </w:r>
      <w:r w:rsidRPr="6CBC204B" w:rsidR="0EF41D6F">
        <w:rPr>
          <w:color w:val="000000" w:themeColor="text1" w:themeTint="FF" w:themeShade="FF"/>
        </w:rPr>
        <w:t>) constitui o objeto principal, a aquisição de mobiliário e equipamentos médicos pode ser vista como contratação correlata, pois enriquece a funcionalidade d</w:t>
      </w:r>
      <w:r w:rsidRPr="6CBC204B" w:rsidR="5E4B2ACD">
        <w:rPr>
          <w:color w:val="000000" w:themeColor="text1" w:themeTint="FF" w:themeShade="FF"/>
        </w:rPr>
        <w:t>o CAPS</w:t>
      </w:r>
      <w:r w:rsidRPr="6CBC204B" w:rsidR="0EF41D6F">
        <w:rPr>
          <w:color w:val="000000" w:themeColor="text1" w:themeTint="FF" w:themeShade="FF"/>
        </w:rPr>
        <w:t xml:space="preserve"> sem ser estritamente necessária para sua cons</w:t>
      </w:r>
      <w:r w:rsidRPr="6CBC204B" w:rsidR="0EF41D6F">
        <w:rPr>
          <w:color w:val="000000" w:themeColor="text1" w:themeTint="FF" w:themeShade="FF"/>
        </w:rPr>
        <w:t>trução física.</w:t>
      </w:r>
    </w:p>
    <w:p w:rsidR="006430DA" w:rsidP="6CBC204B" w:rsidRDefault="00B54928" w14:paraId="000000D6" w14:textId="477F0B5D">
      <w:pPr>
        <w:numPr>
          <w:ilvl w:val="0"/>
          <w:numId w:val="3"/>
        </w:num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6CBC204B" w:rsidR="0EF41D6F">
        <w:rPr>
          <w:color w:val="000000" w:themeColor="text1" w:themeTint="FF" w:themeShade="FF"/>
        </w:rPr>
        <w:t>Contratações interdependentes, por outro lado, são essenciais para a funcionalidade do objeto principal e devem ser realizadas conjuntamente para garantir a execução completa e eficaz do projeto. No contexto de um</w:t>
      </w:r>
      <w:r w:rsidRPr="6CBC204B" w:rsidR="47211661">
        <w:rPr>
          <w:color w:val="000000" w:themeColor="text1" w:themeTint="FF" w:themeShade="FF"/>
        </w:rPr>
        <w:t xml:space="preserve"> CAPS</w:t>
      </w:r>
      <w:r w:rsidRPr="6CBC204B" w:rsidR="0EF41D6F">
        <w:rPr>
          <w:color w:val="000000" w:themeColor="text1" w:themeTint="FF" w:themeShade="FF"/>
        </w:rPr>
        <w:t>, serviços como segurança, limpeza e manutenção são interdependentes, pois a operacionalidade d</w:t>
      </w:r>
      <w:r w:rsidRPr="6CBC204B" w:rsidR="3CEB9E2B">
        <w:rPr>
          <w:color w:val="000000" w:themeColor="text1" w:themeTint="FF" w:themeShade="FF"/>
        </w:rPr>
        <w:t>o CAPS</w:t>
      </w:r>
      <w:r w:rsidRPr="6CBC204B" w:rsidR="0EF41D6F">
        <w:rPr>
          <w:color w:val="000000" w:themeColor="text1" w:themeTint="FF" w:themeShade="FF"/>
        </w:rPr>
        <w:t xml:space="preserve"> depende diretamente deles.</w:t>
      </w:r>
    </w:p>
    <w:p w:rsidR="006430DA" w:rsidRDefault="00B54928" w14:paraId="000000D7" w14:textId="77777777">
      <w:pPr>
        <w:numPr>
          <w:ilvl w:val="0"/>
          <w:numId w:val="3"/>
        </w:numPr>
        <w:pBdr>
          <w:top w:val="nil"/>
          <w:left w:val="nil"/>
          <w:bottom w:val="nil"/>
          <w:right w:val="nil"/>
          <w:between w:val="nil"/>
        </w:pBdr>
        <w:spacing w:after="60" w:line="240" w:lineRule="auto"/>
        <w:jc w:val="both"/>
        <w:rPr>
          <w:color w:val="000000"/>
        </w:rPr>
      </w:pPr>
      <w:r>
        <w:rPr>
          <w:color w:val="000000"/>
        </w:rPr>
        <w:t>A Lei nº 14.133/2021 não detalha especificamente os termos para contratações correlatas e interdependentes, mas subentende-se</w:t>
      </w:r>
      <w:r>
        <w:t>,</w:t>
      </w:r>
      <w:r>
        <w:rPr>
          <w:color w:val="000000"/>
        </w:rPr>
        <w:t xml:space="preserve"> pela natureza das disposições sobre planejamento e execução de contratos, que tais contratações devem ser cuidadosamente justificadas e planejadas para assegurar transparência e eficiência. A </w:t>
      </w:r>
      <w:r>
        <w:t>i</w:t>
      </w:r>
      <w:r>
        <w:rPr>
          <w:color w:val="000000"/>
        </w:rPr>
        <w:t xml:space="preserve">nstrução </w:t>
      </w:r>
      <w:r>
        <w:t>n</w:t>
      </w:r>
      <w:r>
        <w:rPr>
          <w:color w:val="000000"/>
        </w:rPr>
        <w:t xml:space="preserve">ormativa não trata diretamente do assunto, mas orienta sobre a necessidade de planejamento detalhado e justificativa para todas as aquisições, o que implica considerar as interdependências e correlações para evitar futuras falhas ou lacunas na entrega e funcionalidade dos serviços públicos​. </w:t>
      </w:r>
    </w:p>
    <w:p w:rsidR="006430DA" w:rsidRDefault="006430DA" w14:paraId="000000D8" w14:textId="77777777">
      <w:pPr>
        <w:pBdr>
          <w:top w:val="nil"/>
          <w:left w:val="nil"/>
          <w:bottom w:val="nil"/>
          <w:right w:val="nil"/>
          <w:between w:val="nil"/>
        </w:pBdr>
        <w:spacing w:after="60" w:line="240" w:lineRule="auto"/>
        <w:jc w:val="both"/>
        <w:rPr>
          <w:b/>
          <w:color w:val="000000"/>
        </w:rPr>
      </w:pPr>
    </w:p>
    <w:p w:rsidR="006430DA" w:rsidRDefault="00B54928" w14:paraId="000000D9" w14:textId="77777777">
      <w:pPr>
        <w:pBdr>
          <w:top w:val="nil"/>
          <w:left w:val="nil"/>
          <w:bottom w:val="nil"/>
          <w:right w:val="nil"/>
          <w:between w:val="nil"/>
        </w:pBdr>
        <w:spacing w:after="60" w:line="240" w:lineRule="auto"/>
        <w:jc w:val="both"/>
        <w:rPr>
          <w:color w:val="000000"/>
        </w:rPr>
      </w:pPr>
      <w:r>
        <w:rPr>
          <w:b/>
          <w:color w:val="000000"/>
        </w:rPr>
        <w:t xml:space="preserve">Tópico 11. Alinhamento entre a </w:t>
      </w:r>
      <w:r>
        <w:rPr>
          <w:b/>
        </w:rPr>
        <w:t>c</w:t>
      </w:r>
      <w:r>
        <w:rPr>
          <w:b/>
          <w:color w:val="000000"/>
        </w:rPr>
        <w:t xml:space="preserve">ontratação e o </w:t>
      </w:r>
      <w:r>
        <w:rPr>
          <w:b/>
        </w:rPr>
        <w:t>p</w:t>
      </w:r>
      <w:r>
        <w:rPr>
          <w:b/>
          <w:color w:val="000000"/>
        </w:rPr>
        <w:t xml:space="preserve">lanejamento </w:t>
      </w:r>
      <w:r>
        <w:rPr>
          <w:b/>
        </w:rPr>
        <w:t>e</w:t>
      </w:r>
      <w:r>
        <w:rPr>
          <w:b/>
          <w:color w:val="000000"/>
        </w:rPr>
        <w:t>stratégico:</w:t>
      </w:r>
      <w:r>
        <w:rPr>
          <w:color w:val="000000"/>
        </w:rPr>
        <w:t xml:space="preserve"> </w:t>
      </w:r>
      <w:r>
        <w:t>o</w:t>
      </w:r>
      <w:r>
        <w:rPr>
          <w:color w:val="000000"/>
        </w:rPr>
        <w:t xml:space="preserve"> alinhamento da contratação pública com o planejamento estratégico é essencial para garantir que os objetivos e metas governamentais sejam atendidos de maneira eficiente e eficaz. A Lei nº 14.133/2021, também conhecida como </w:t>
      </w:r>
      <w:r>
        <w:t>N</w:t>
      </w:r>
      <w:r>
        <w:rPr>
          <w:color w:val="000000"/>
        </w:rPr>
        <w:t xml:space="preserve">ova Lei de Licitações e Contratos, enfatiza a importância desse alinhamento ao estabelecer diretrizes para a Administração </w:t>
      </w:r>
      <w:r>
        <w:t>P</w:t>
      </w:r>
      <w:r>
        <w:rPr>
          <w:color w:val="000000"/>
        </w:rPr>
        <w:t>ública.</w:t>
      </w:r>
    </w:p>
    <w:p w:rsidR="006430DA" w:rsidP="01118B6B" w:rsidRDefault="00B54928" w14:paraId="000000DA" w14:textId="70DB529E">
      <w:pPr>
        <w:numPr>
          <w:ilvl w:val="0"/>
          <w:numId w:val="5"/>
        </w:numPr>
        <w:spacing w:line="240" w:lineRule="auto"/>
        <w:ind w:left="851" w:hanging="425"/>
        <w:jc w:val="both"/>
        <w:rPr>
          <w:color w:val="000000"/>
        </w:rPr>
      </w:pPr>
      <w:r w:rsidRPr="01118B6B" w:rsidR="0EF41D6F">
        <w:rPr>
          <w:b w:val="1"/>
          <w:bCs w:val="1"/>
          <w:color w:val="000000" w:themeColor="text1" w:themeTint="FF" w:themeShade="FF"/>
        </w:rPr>
        <w:t xml:space="preserve">Alinhamento com </w:t>
      </w:r>
      <w:r w:rsidRPr="01118B6B" w:rsidR="0EF41D6F">
        <w:rPr>
          <w:b w:val="1"/>
          <w:bCs w:val="1"/>
        </w:rPr>
        <w:t>p</w:t>
      </w:r>
      <w:r w:rsidRPr="01118B6B" w:rsidR="0EF41D6F">
        <w:rPr>
          <w:b w:val="1"/>
          <w:bCs w:val="1"/>
          <w:color w:val="000000" w:themeColor="text1" w:themeTint="FF" w:themeShade="FF"/>
        </w:rPr>
        <w:t xml:space="preserve">olíticas e </w:t>
      </w:r>
      <w:r w:rsidRPr="01118B6B" w:rsidR="0EF41D6F">
        <w:rPr>
          <w:b w:val="1"/>
          <w:bCs w:val="1"/>
        </w:rPr>
        <w:t>p</w:t>
      </w:r>
      <w:r w:rsidRPr="01118B6B" w:rsidR="0EF41D6F">
        <w:rPr>
          <w:b w:val="1"/>
          <w:bCs w:val="1"/>
          <w:color w:val="000000" w:themeColor="text1" w:themeTint="FF" w:themeShade="FF"/>
        </w:rPr>
        <w:t>lanos</w:t>
      </w:r>
      <w:r w:rsidRPr="01118B6B" w:rsidR="0EF41D6F">
        <w:rPr>
          <w:color w:val="000000" w:themeColor="text1" w:themeTint="FF" w:themeShade="FF"/>
        </w:rPr>
        <w:t xml:space="preserve">: </w:t>
      </w:r>
      <w:r w:rsidR="0EF41D6F">
        <w:rPr/>
        <w:t>c</w:t>
      </w:r>
      <w:r w:rsidRPr="01118B6B" w:rsidR="0EF41D6F">
        <w:rPr>
          <w:color w:val="000000" w:themeColor="text1" w:themeTint="FF" w:themeShade="FF"/>
        </w:rPr>
        <w:t xml:space="preserve">onforme o </w:t>
      </w:r>
      <w:r w:rsidRPr="01118B6B" w:rsidR="0EF41D6F">
        <w:rPr>
          <w:color w:val="000000" w:themeColor="text1" w:themeTint="FF" w:themeShade="FF"/>
        </w:rPr>
        <w:t>art</w:t>
      </w:r>
      <w:r w:rsidRPr="01118B6B" w:rsidR="0EF41D6F">
        <w:rPr>
          <w:color w:val="000000" w:themeColor="text1" w:themeTint="FF" w:themeShade="FF"/>
        </w:rPr>
        <w:t xml:space="preserve">. 5º da Lei nº 14.133/2021, a contratação pública deve ser realizada de forma planejada, alinhada com as políticas, os objetivos e as metas dos planos de governo. Isso inclui a integração com políticas específicas, como </w:t>
      </w:r>
      <w:r w:rsidRPr="01118B6B" w:rsidR="1710B3A3">
        <w:rPr>
          <w:color w:val="000000" w:themeColor="text1" w:themeTint="FF" w:themeShade="FF"/>
        </w:rPr>
        <w:t xml:space="preserve">a </w:t>
      </w:r>
      <w:r w:rsidRPr="01118B6B" w:rsidR="1710B3A3">
        <w:rPr>
          <w:rFonts w:ascii="Calibri" w:hAnsi="Calibri" w:eastAsia="Calibri" w:cs="Calibri"/>
          <w:noProof w:val="0"/>
          <w:sz w:val="22"/>
          <w:szCs w:val="22"/>
          <w:lang w:val="pt-PT"/>
        </w:rPr>
        <w:t>Política Nacional de Atenção Especializada em Saúde (PNAES)</w:t>
      </w:r>
      <w:r w:rsidRPr="01118B6B" w:rsidR="5309E14D">
        <w:rPr>
          <w:rFonts w:ascii="Calibri" w:hAnsi="Calibri" w:eastAsia="Calibri" w:cs="Calibri"/>
          <w:noProof w:val="0"/>
          <w:sz w:val="22"/>
          <w:szCs w:val="22"/>
          <w:lang w:val="pt-PT"/>
        </w:rPr>
        <w:t xml:space="preserve">, instituída pela </w:t>
      </w:r>
      <w:r w:rsidRPr="01118B6B" w:rsidR="5309E14D">
        <w:rPr>
          <w:rFonts w:ascii="Calibri" w:hAnsi="Calibri" w:eastAsia="Calibri" w:cs="Calibri"/>
          <w:noProof w:val="0"/>
          <w:color w:val="auto"/>
          <w:sz w:val="22"/>
          <w:szCs w:val="22"/>
          <w:lang w:val="pt"/>
        </w:rPr>
        <w:t>Portaria GM/MS Nº 1.604/2023</w:t>
      </w:r>
      <w:r w:rsidRPr="01118B6B" w:rsidR="1E7F479A">
        <w:rPr>
          <w:rFonts w:ascii="Calibri" w:hAnsi="Calibri" w:eastAsia="Calibri" w:cs="Calibri"/>
          <w:noProof w:val="0"/>
          <w:color w:val="auto"/>
          <w:sz w:val="22"/>
          <w:szCs w:val="22"/>
          <w:lang w:val="pt"/>
        </w:rPr>
        <w:t xml:space="preserve">; a Política Nacional de Saúde Integral das Populações do Campo, da Floresta e das Águas (PNSIPCFA), </w:t>
      </w:r>
      <w:r w:rsidRPr="01118B6B" w:rsidR="33A6CFE1">
        <w:rPr>
          <w:rFonts w:ascii="Calibri" w:hAnsi="Calibri" w:eastAsia="Calibri" w:cs="Calibri"/>
          <w:noProof w:val="0"/>
          <w:color w:val="auto"/>
          <w:sz w:val="22"/>
          <w:szCs w:val="22"/>
          <w:lang w:val="pt"/>
        </w:rPr>
        <w:t>instituída</w:t>
      </w:r>
      <w:r w:rsidRPr="01118B6B" w:rsidR="1E7F479A">
        <w:rPr>
          <w:rFonts w:ascii="Calibri" w:hAnsi="Calibri" w:eastAsia="Calibri" w:cs="Calibri"/>
          <w:noProof w:val="0"/>
          <w:color w:val="auto"/>
          <w:sz w:val="22"/>
          <w:szCs w:val="22"/>
          <w:lang w:val="pt"/>
        </w:rPr>
        <w:t xml:space="preserve"> pela Portaria GM/MS Nº 2.866/ 1 2011; </w:t>
      </w:r>
      <w:r w:rsidRPr="01118B6B" w:rsidR="1B6B9F1C">
        <w:rPr>
          <w:rFonts w:ascii="Calibri" w:hAnsi="Calibri" w:eastAsia="Calibri" w:cs="Calibri"/>
          <w:noProof w:val="0"/>
          <w:color w:val="auto"/>
          <w:sz w:val="22"/>
          <w:szCs w:val="22"/>
          <w:lang w:val="pt"/>
        </w:rPr>
        <w:t xml:space="preserve">a </w:t>
      </w:r>
      <w:r w:rsidRPr="01118B6B" w:rsidR="43DBFC72">
        <w:rPr>
          <w:rFonts w:ascii="Calibri" w:hAnsi="Calibri" w:eastAsia="Calibri" w:cs="Calibri"/>
          <w:noProof w:val="0"/>
          <w:color w:val="auto"/>
          <w:sz w:val="22"/>
          <w:szCs w:val="22"/>
          <w:lang w:val="pt"/>
        </w:rPr>
        <w:t xml:space="preserve">Estratégia Antirracista para a Saúde, instituída pela </w:t>
      </w:r>
      <w:r w:rsidRPr="01118B6B" w:rsidR="1E7F479A">
        <w:rPr>
          <w:rFonts w:ascii="Calibri" w:hAnsi="Calibri" w:eastAsia="Calibri" w:cs="Calibri"/>
          <w:noProof w:val="0"/>
          <w:color w:val="auto"/>
          <w:sz w:val="22"/>
          <w:szCs w:val="22"/>
          <w:lang w:val="pt"/>
        </w:rPr>
        <w:t>Portaria GM/MS nº 2198/2023; e</w:t>
      </w:r>
      <w:r w:rsidRPr="01118B6B" w:rsidR="6FD163A5">
        <w:rPr>
          <w:rFonts w:ascii="Calibri" w:hAnsi="Calibri" w:eastAsia="Calibri" w:cs="Calibri"/>
          <w:noProof w:val="0"/>
          <w:color w:val="auto"/>
          <w:sz w:val="22"/>
          <w:szCs w:val="22"/>
          <w:lang w:val="pt"/>
        </w:rPr>
        <w:t xml:space="preserve"> </w:t>
      </w:r>
      <w:r w:rsidRPr="01118B6B" w:rsidR="5DA745F8">
        <w:rPr>
          <w:rFonts w:ascii="Calibri" w:hAnsi="Calibri" w:eastAsia="Calibri" w:cs="Calibri"/>
          <w:noProof w:val="0"/>
          <w:color w:val="auto"/>
          <w:sz w:val="22"/>
          <w:szCs w:val="22"/>
          <w:lang w:val="pt"/>
        </w:rPr>
        <w:t xml:space="preserve">a </w:t>
      </w:r>
      <w:r w:rsidRPr="01118B6B" w:rsidR="6FD163A5">
        <w:rPr>
          <w:rFonts w:ascii="Calibri" w:hAnsi="Calibri" w:eastAsia="Calibri" w:cs="Calibri"/>
          <w:noProof w:val="0"/>
          <w:color w:val="auto"/>
          <w:sz w:val="22"/>
          <w:szCs w:val="22"/>
          <w:lang w:val="pt"/>
        </w:rPr>
        <w:t>Política Nacional da Saúde da População Negra, instituída p</w:t>
      </w:r>
      <w:r w:rsidRPr="01118B6B" w:rsidR="71D02283">
        <w:rPr>
          <w:rFonts w:ascii="Calibri" w:hAnsi="Calibri" w:eastAsia="Calibri" w:cs="Calibri"/>
          <w:noProof w:val="0"/>
          <w:color w:val="auto"/>
          <w:sz w:val="22"/>
          <w:szCs w:val="22"/>
          <w:lang w:val="pt"/>
        </w:rPr>
        <w:t>el</w:t>
      </w:r>
      <w:r w:rsidRPr="01118B6B" w:rsidR="6FD163A5">
        <w:rPr>
          <w:rFonts w:ascii="Calibri" w:hAnsi="Calibri" w:eastAsia="Calibri" w:cs="Calibri"/>
          <w:noProof w:val="0"/>
          <w:color w:val="auto"/>
          <w:sz w:val="22"/>
          <w:szCs w:val="22"/>
          <w:lang w:val="pt"/>
        </w:rPr>
        <w:t>a</w:t>
      </w:r>
      <w:r w:rsidRPr="01118B6B" w:rsidR="1E7F479A">
        <w:rPr>
          <w:rFonts w:ascii="Calibri" w:hAnsi="Calibri" w:eastAsia="Calibri" w:cs="Calibri"/>
          <w:noProof w:val="0"/>
          <w:color w:val="auto"/>
          <w:sz w:val="22"/>
          <w:szCs w:val="22"/>
          <w:lang w:val="pt"/>
        </w:rPr>
        <w:t xml:space="preserve"> Portaria GM/MS Nº 992/2009</w:t>
      </w:r>
      <w:r w:rsidRPr="01118B6B" w:rsidR="1B04159E">
        <w:rPr>
          <w:rFonts w:ascii="Calibri" w:hAnsi="Calibri" w:eastAsia="Calibri" w:cs="Calibri"/>
          <w:noProof w:val="0"/>
          <w:color w:val="auto"/>
          <w:sz w:val="22"/>
          <w:szCs w:val="22"/>
          <w:lang w:val="pt"/>
        </w:rPr>
        <w:t>, bem como pel</w:t>
      </w:r>
      <w:r w:rsidRPr="01118B6B" w:rsidR="0EF41D6F">
        <w:rPr>
          <w:color w:val="000000" w:themeColor="text1" w:themeTint="FF" w:themeShade="FF"/>
        </w:rPr>
        <w:t>o Plano Plurianual (PPA), assegurando que as contratações contribuam para a realização desses planos.</w:t>
      </w:r>
    </w:p>
    <w:p w:rsidR="006430DA" w:rsidRDefault="00B54928" w14:paraId="000000DB"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Documentação de </w:t>
      </w:r>
      <w:r>
        <w:rPr>
          <w:b/>
        </w:rPr>
        <w:t>a</w:t>
      </w:r>
      <w:r>
        <w:rPr>
          <w:b/>
          <w:color w:val="000000"/>
        </w:rPr>
        <w:t>linhamento</w:t>
      </w:r>
      <w:r>
        <w:rPr>
          <w:color w:val="000000"/>
        </w:rPr>
        <w:t xml:space="preserve">: </w:t>
      </w:r>
      <w:r>
        <w:t>é</w:t>
      </w:r>
      <w:r>
        <w:rPr>
          <w:color w:val="000000"/>
        </w:rPr>
        <w:t xml:space="preserve"> crucial que todo o processo de contratação seja documentado de maneira detalhada, com justificativas claras que demonstrem o alinhamento com as diretrizes estratégicas. A IN Seges/ME nº 58/2022 reforça a necessidade de elaborar Estudos Técnicos Preliminares (ETP) que detalhem como as contratações estão alinhadas às necessidades e objetivos estratégicos do órgão ou entidade, bem como com o planejamento governamental mais amplo.</w:t>
      </w:r>
    </w:p>
    <w:p w:rsidR="006430DA" w:rsidRDefault="00B54928" w14:paraId="000000DC"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Considerações de </w:t>
      </w:r>
      <w:r>
        <w:rPr>
          <w:b/>
        </w:rPr>
        <w:t>s</w:t>
      </w:r>
      <w:r>
        <w:rPr>
          <w:b/>
          <w:color w:val="000000"/>
        </w:rPr>
        <w:t xml:space="preserve">ustentabilidade e </w:t>
      </w:r>
      <w:r>
        <w:rPr>
          <w:b/>
        </w:rPr>
        <w:t>i</w:t>
      </w:r>
      <w:r>
        <w:rPr>
          <w:b/>
          <w:color w:val="000000"/>
        </w:rPr>
        <w:t>nclusão</w:t>
      </w:r>
      <w:r>
        <w:rPr>
          <w:color w:val="000000"/>
        </w:rPr>
        <w:t xml:space="preserve">: </w:t>
      </w:r>
      <w:r>
        <w:t>a</w:t>
      </w:r>
      <w:r>
        <w:rPr>
          <w:color w:val="000000"/>
        </w:rPr>
        <w:t xml:space="preserve"> Lei nº 14.133/2021 também promove a integração de práticas sustentáveis e de inclusão social nas contratações públicas, como parte do alinhamento estratégico. Isso está em consonância com os Objetivos de Desenvolvimento Sustentável (ODS) e garante que as contratações públicas contribuam para um desenvolvimento mais sustentável e inclusivo.</w:t>
      </w:r>
    </w:p>
    <w:p w:rsidR="006430DA" w:rsidRDefault="00B54928" w14:paraId="000000DD"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Auditoria e </w:t>
      </w:r>
      <w:r>
        <w:rPr>
          <w:b/>
        </w:rPr>
        <w:t>r</w:t>
      </w:r>
      <w:r>
        <w:rPr>
          <w:b/>
          <w:color w:val="000000"/>
        </w:rPr>
        <w:t>evisão</w:t>
      </w:r>
      <w:r>
        <w:rPr>
          <w:color w:val="000000"/>
        </w:rPr>
        <w:t xml:space="preserve">: </w:t>
      </w:r>
      <w:r>
        <w:t>o</w:t>
      </w:r>
      <w:r>
        <w:rPr>
          <w:color w:val="000000"/>
        </w:rPr>
        <w:t xml:space="preserve"> alinhamento deve ser verificável através de auditorias e revisões regulares, conforme recomendado pela legislação. Isso permite que órgãos de controle interno e externo, como o Tribunal de Contas da União (TCU), avalie a conformidade das contratações com os planos e políticas vigentes.</w:t>
      </w:r>
    </w:p>
    <w:p w:rsidR="006430DA" w:rsidRDefault="00B54928" w14:paraId="000000DE" w14:textId="77777777">
      <w:pPr>
        <w:pBdr>
          <w:top w:val="nil"/>
          <w:left w:val="nil"/>
          <w:bottom w:val="nil"/>
          <w:right w:val="nil"/>
          <w:between w:val="nil"/>
        </w:pBdr>
        <w:spacing w:after="60" w:line="240" w:lineRule="auto"/>
        <w:jc w:val="both"/>
        <w:rPr>
          <w:color w:val="000000"/>
        </w:rPr>
      </w:pPr>
      <w:r>
        <w:rPr>
          <w:b/>
          <w:color w:val="000000"/>
        </w:rPr>
        <w:t xml:space="preserve">Tópico 12. Benefícios a serem alcançados com a contratação: </w:t>
      </w:r>
      <w:r>
        <w:t>e</w:t>
      </w:r>
      <w:r>
        <w:rPr>
          <w:color w:val="000000"/>
        </w:rPr>
        <w:t xml:space="preserve">sta nota explicativa visa orientar a redação da cláusula sobre os benefícios diretos e indiretos resultantes da contratação pública, conforme estabelecido pela Lei nº 14.133, de 1º de abril de 2021, e pela Instrução Normativa </w:t>
      </w:r>
      <w:r>
        <w:t xml:space="preserve">Seges/ME </w:t>
      </w:r>
      <w:r>
        <w:rPr>
          <w:color w:val="000000"/>
        </w:rPr>
        <w:t>nº 58, de 2022.</w:t>
      </w:r>
    </w:p>
    <w:p w:rsidR="006430DA" w:rsidRDefault="00B54928" w14:paraId="000000DF" w14:textId="77777777">
      <w:pPr>
        <w:pBdr>
          <w:top w:val="nil"/>
          <w:left w:val="nil"/>
          <w:bottom w:val="nil"/>
          <w:right w:val="nil"/>
          <w:between w:val="nil"/>
        </w:pBdr>
        <w:spacing w:after="60" w:line="240" w:lineRule="auto"/>
        <w:jc w:val="both"/>
        <w:rPr>
          <w:color w:val="000000"/>
        </w:rPr>
      </w:pPr>
      <w:r>
        <w:rPr>
          <w:b/>
          <w:color w:val="000000"/>
        </w:rPr>
        <w:t xml:space="preserve">1. Contexto </w:t>
      </w:r>
      <w:r>
        <w:rPr>
          <w:b/>
        </w:rPr>
        <w:t>l</w:t>
      </w:r>
      <w:r>
        <w:rPr>
          <w:b/>
          <w:color w:val="000000"/>
        </w:rPr>
        <w:t>egal:</w:t>
      </w:r>
    </w:p>
    <w:p w:rsidR="006430DA" w:rsidRDefault="00B54928" w14:paraId="000000E0" w14:textId="77777777">
      <w:pPr>
        <w:numPr>
          <w:ilvl w:val="0"/>
          <w:numId w:val="7"/>
        </w:numPr>
        <w:pBdr>
          <w:top w:val="nil"/>
          <w:left w:val="nil"/>
          <w:bottom w:val="nil"/>
          <w:right w:val="nil"/>
          <w:between w:val="nil"/>
        </w:pBdr>
        <w:spacing w:line="240" w:lineRule="auto"/>
        <w:jc w:val="both"/>
        <w:rPr>
          <w:color w:val="000000"/>
        </w:rPr>
      </w:pPr>
      <w:r>
        <w:rPr>
          <w:b/>
          <w:color w:val="000000"/>
        </w:rPr>
        <w:t>Lei nº 14.133/2021 (Lei de Licitações e Contratos Administrativos):</w:t>
      </w:r>
      <w:r>
        <w:rPr>
          <w:color w:val="000000"/>
        </w:rPr>
        <w:t xml:space="preserve"> </w:t>
      </w:r>
      <w:r>
        <w:t>e</w:t>
      </w:r>
      <w:r>
        <w:rPr>
          <w:color w:val="000000"/>
        </w:rPr>
        <w:t>stabelece que todas as contratações públicas devem ser precedidas de planejamento, justificando a necessidade do objeto contratado e detalhando os resultados esperados, incluindo a análise de viabilidade e a relação custo-benefício.</w:t>
      </w:r>
    </w:p>
    <w:p w:rsidR="006430DA" w:rsidRDefault="00B54928" w14:paraId="000000E1" w14:textId="77777777">
      <w:pPr>
        <w:numPr>
          <w:ilvl w:val="0"/>
          <w:numId w:val="7"/>
        </w:numPr>
        <w:pBdr>
          <w:top w:val="nil"/>
          <w:left w:val="nil"/>
          <w:bottom w:val="nil"/>
          <w:right w:val="nil"/>
          <w:between w:val="nil"/>
        </w:pBdr>
        <w:spacing w:line="240" w:lineRule="auto"/>
        <w:jc w:val="both"/>
        <w:rPr>
          <w:color w:val="000000"/>
        </w:rPr>
      </w:pPr>
      <w:r>
        <w:rPr>
          <w:b/>
          <w:color w:val="000000"/>
        </w:rPr>
        <w:t>Instrução Normativa nº 58/2022:</w:t>
      </w:r>
      <w:r>
        <w:rPr>
          <w:color w:val="000000"/>
        </w:rPr>
        <w:t xml:space="preserve"> </w:t>
      </w:r>
      <w:r>
        <w:t>r</w:t>
      </w:r>
      <w:r>
        <w:rPr>
          <w:color w:val="000000"/>
        </w:rPr>
        <w:t>egula os Estudos Técnicos Preliminares (ETP), que devem incluir a identificação e justificativa dos benefícios esperados com a contratação, tanto diretos quanto indiretos.</w:t>
      </w:r>
    </w:p>
    <w:p w:rsidR="006430DA" w:rsidRDefault="00B54928" w14:paraId="000000E2" w14:textId="77777777">
      <w:pPr>
        <w:pBdr>
          <w:top w:val="nil"/>
          <w:left w:val="nil"/>
          <w:bottom w:val="nil"/>
          <w:right w:val="nil"/>
          <w:between w:val="nil"/>
        </w:pBdr>
        <w:spacing w:after="60" w:line="240" w:lineRule="auto"/>
        <w:jc w:val="both"/>
        <w:rPr>
          <w:color w:val="000000"/>
        </w:rPr>
      </w:pPr>
      <w:r>
        <w:rPr>
          <w:b/>
          <w:color w:val="000000"/>
        </w:rPr>
        <w:t xml:space="preserve">2. Benefícios </w:t>
      </w:r>
      <w:r>
        <w:rPr>
          <w:b/>
        </w:rPr>
        <w:t>d</w:t>
      </w:r>
      <w:r>
        <w:rPr>
          <w:b/>
          <w:color w:val="000000"/>
        </w:rPr>
        <w:t>iretos:</w:t>
      </w:r>
    </w:p>
    <w:p w:rsidR="006430DA" w:rsidRDefault="00B54928" w14:paraId="000000E3" w14:textId="77777777">
      <w:pPr>
        <w:numPr>
          <w:ilvl w:val="0"/>
          <w:numId w:val="9"/>
        </w:numPr>
        <w:pBdr>
          <w:top w:val="nil"/>
          <w:left w:val="nil"/>
          <w:bottom w:val="nil"/>
          <w:right w:val="nil"/>
          <w:between w:val="nil"/>
        </w:pBdr>
        <w:spacing w:line="240" w:lineRule="auto"/>
        <w:jc w:val="both"/>
        <w:rPr>
          <w:color w:val="000000"/>
        </w:rPr>
      </w:pPr>
      <w:r>
        <w:rPr>
          <w:color w:val="000000"/>
        </w:rPr>
        <w:t>São aqueles que resultam imediatamente da execução do contrato. Incluem, por exemplo, a melhoria da eficiência dos serviços públicos fornecidos, aquisição de bens essenciais para o funcionamento das entidades governamentais, ou a realização de obras que atendam diretamente às necessidades públicas.</w:t>
      </w:r>
    </w:p>
    <w:p w:rsidR="006430DA" w:rsidRDefault="00B54928" w14:paraId="000000E4" w14:textId="77777777">
      <w:pPr>
        <w:pBdr>
          <w:top w:val="nil"/>
          <w:left w:val="nil"/>
          <w:bottom w:val="nil"/>
          <w:right w:val="nil"/>
          <w:between w:val="nil"/>
        </w:pBdr>
        <w:spacing w:after="60" w:line="240" w:lineRule="auto"/>
        <w:jc w:val="both"/>
        <w:rPr>
          <w:color w:val="000000"/>
        </w:rPr>
      </w:pPr>
      <w:r>
        <w:rPr>
          <w:b/>
          <w:color w:val="000000"/>
        </w:rPr>
        <w:t xml:space="preserve">3. Benefícios </w:t>
      </w:r>
      <w:r>
        <w:rPr>
          <w:b/>
        </w:rPr>
        <w:t>i</w:t>
      </w:r>
      <w:r>
        <w:rPr>
          <w:b/>
          <w:color w:val="000000"/>
        </w:rPr>
        <w:t>ndiretos:</w:t>
      </w:r>
    </w:p>
    <w:p w:rsidR="006430DA" w:rsidRDefault="00B54928" w14:paraId="000000E5" w14:textId="77777777">
      <w:pPr>
        <w:numPr>
          <w:ilvl w:val="0"/>
          <w:numId w:val="26"/>
        </w:numPr>
        <w:pBdr>
          <w:top w:val="nil"/>
          <w:left w:val="nil"/>
          <w:bottom w:val="nil"/>
          <w:right w:val="nil"/>
          <w:between w:val="nil"/>
        </w:pBdr>
        <w:spacing w:line="240" w:lineRule="auto"/>
        <w:jc w:val="both"/>
        <w:rPr>
          <w:color w:val="000000"/>
        </w:rPr>
      </w:pPr>
      <w:r>
        <w:rPr>
          <w:color w:val="000000"/>
        </w:rPr>
        <w:t>Referem-se aos efeitos positivos a longo prazo que não são o objetivo principal da contratação, mas que contribuem significativamente para o bem-estar social, econômico ou ambiental. Isso pode incluir o desenvolvimento econômico local, a criação de empregos, a promoção da sustentabilidade, e o fortalecimento da infraestrutura comunitária.</w:t>
      </w:r>
    </w:p>
    <w:p w:rsidR="006430DA" w:rsidRDefault="00B54928" w14:paraId="000000E6" w14:textId="77777777">
      <w:pPr>
        <w:pBdr>
          <w:top w:val="nil"/>
          <w:left w:val="nil"/>
          <w:bottom w:val="nil"/>
          <w:right w:val="nil"/>
          <w:between w:val="nil"/>
        </w:pBdr>
        <w:spacing w:after="60" w:line="240" w:lineRule="auto"/>
        <w:jc w:val="both"/>
        <w:rPr>
          <w:color w:val="000000"/>
        </w:rPr>
      </w:pPr>
      <w:r>
        <w:rPr>
          <w:b/>
          <w:color w:val="000000"/>
        </w:rPr>
        <w:t xml:space="preserve">5. Implicações para a </w:t>
      </w:r>
      <w:r>
        <w:rPr>
          <w:b/>
        </w:rPr>
        <w:t>r</w:t>
      </w:r>
      <w:r>
        <w:rPr>
          <w:b/>
          <w:color w:val="000000"/>
        </w:rPr>
        <w:t xml:space="preserve">edação da </w:t>
      </w:r>
      <w:r>
        <w:rPr>
          <w:b/>
        </w:rPr>
        <w:t>c</w:t>
      </w:r>
      <w:r>
        <w:rPr>
          <w:b/>
          <w:color w:val="000000"/>
        </w:rPr>
        <w:t>láusula:</w:t>
      </w:r>
    </w:p>
    <w:p w:rsidR="006430DA" w:rsidRDefault="00B54928" w14:paraId="000000E7" w14:textId="77777777">
      <w:pPr>
        <w:numPr>
          <w:ilvl w:val="0"/>
          <w:numId w:val="28"/>
        </w:numPr>
        <w:pBdr>
          <w:top w:val="nil"/>
          <w:left w:val="nil"/>
          <w:bottom w:val="nil"/>
          <w:right w:val="nil"/>
          <w:between w:val="nil"/>
        </w:pBdr>
        <w:spacing w:line="240" w:lineRule="auto"/>
        <w:jc w:val="both"/>
        <w:rPr>
          <w:color w:val="000000"/>
        </w:rPr>
      </w:pPr>
      <w:r>
        <w:rPr>
          <w:color w:val="000000"/>
        </w:rPr>
        <w:t>O tópico deve especificar claramente os benefícios diretos e indiretos, proporcionando uma base sólida para a avaliação da contratação. Deve também prever mecanismos de monitoramento e avaliação para assegurar que os benefícios sejam alcançados conforme planejado.</w:t>
      </w:r>
    </w:p>
    <w:p w:rsidR="006430DA" w:rsidP="57A4165E" w:rsidRDefault="006430DA" w14:paraId="000000E9" w14:textId="39792708">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b w:val="1"/>
          <w:bCs w:val="1"/>
          <w:color w:val="000000" w:themeColor="text1" w:themeTint="FF" w:themeShade="FF"/>
        </w:rPr>
        <w:t xml:space="preserve">Tópico 13. Providências a serem adotadas: </w:t>
      </w:r>
      <w:r w:rsidR="00B54928">
        <w:rPr/>
        <w:t>i</w:t>
      </w:r>
      <w:r w:rsidRPr="57A4165E" w:rsidR="00B54928">
        <w:rPr>
          <w:color w:val="000000" w:themeColor="text1" w:themeTint="FF" w:themeShade="FF"/>
        </w:rPr>
        <w:t xml:space="preserve">nformar, se houver, todas as providências a serem adotadas pela </w:t>
      </w:r>
      <w:r w:rsidR="00B54928">
        <w:rPr/>
        <w:t>A</w:t>
      </w:r>
      <w:r w:rsidRPr="57A4165E" w:rsidR="00B54928">
        <w:rPr>
          <w:color w:val="000000" w:themeColor="text1" w:themeTint="FF" w:themeShade="FF"/>
        </w:rPr>
        <w:t>dministração previamente à celebração do contrato, inclusive quanto à capacitação de servidores ou de empregados para fiscalização e gestão contratual ou adequação do ambiente da organização</w:t>
      </w:r>
      <w:r w:rsidR="00B54928">
        <w:rPr/>
        <w:t xml:space="preserve"> </w:t>
      </w:r>
      <w:r w:rsidRPr="57A4165E" w:rsidR="00B54928">
        <w:rPr>
          <w:color w:val="000000" w:themeColor="text1" w:themeTint="FF" w:themeShade="FF"/>
        </w:rPr>
        <w:t xml:space="preserve">(inciso XI, </w:t>
      </w:r>
      <w:r w:rsidRPr="57A4165E" w:rsidR="00B54928">
        <w:rPr>
          <w:color w:val="000000" w:themeColor="text1" w:themeTint="FF" w:themeShade="FF"/>
        </w:rPr>
        <w:t>art</w:t>
      </w:r>
      <w:r w:rsidRPr="57A4165E" w:rsidR="00B54928">
        <w:rPr>
          <w:color w:val="000000" w:themeColor="text1" w:themeTint="FF" w:themeShade="FF"/>
        </w:rPr>
        <w:t xml:space="preserve">. 7º, IN nº 40/2020). De acordo com o </w:t>
      </w:r>
      <w:r w:rsidRPr="57A4165E" w:rsidR="00B54928">
        <w:rPr>
          <w:color w:val="000000" w:themeColor="text1" w:themeTint="FF" w:themeShade="FF"/>
        </w:rPr>
        <w:t>art</w:t>
      </w:r>
      <w:r w:rsidRPr="57A4165E" w:rsidR="00B54928">
        <w:rPr>
          <w:color w:val="000000" w:themeColor="text1" w:themeTint="FF" w:themeShade="FF"/>
        </w:rPr>
        <w:t>. 7º, §2º, em caso do não preenchimento deste campo, devem ser apresentadas as devidas justificativas.</w:t>
      </w:r>
    </w:p>
    <w:p w:rsidR="006430DA" w:rsidRDefault="006430DA" w14:paraId="000000EA" w14:textId="77777777">
      <w:pPr>
        <w:pBdr>
          <w:top w:val="nil"/>
          <w:left w:val="nil"/>
          <w:bottom w:val="nil"/>
          <w:right w:val="nil"/>
          <w:between w:val="nil"/>
        </w:pBdr>
        <w:spacing w:after="60" w:line="240" w:lineRule="auto"/>
        <w:jc w:val="both"/>
        <w:rPr>
          <w:color w:val="000000"/>
        </w:rPr>
      </w:pPr>
    </w:p>
    <w:p w:rsidR="006430DA" w:rsidP="6CBC204B" w:rsidRDefault="00B54928" w14:paraId="000000EB" w14:textId="37CF3E6C">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b w:val="1"/>
          <w:bCs w:val="1"/>
          <w:color w:val="000000"/>
        </w:rPr>
      </w:pPr>
      <w:r w:rsidRPr="6CBC204B" w:rsidR="0EF41D6F">
        <w:rPr>
          <w:b w:val="1"/>
          <w:bCs w:val="1"/>
          <w:color w:val="000000" w:themeColor="text1" w:themeTint="FF" w:themeShade="FF"/>
        </w:rPr>
        <w:t xml:space="preserve">Tópico 14. Possíveis impactos ambientais: </w:t>
      </w:r>
      <w:r w:rsidR="0EF41D6F">
        <w:rPr/>
        <w:t>e</w:t>
      </w:r>
      <w:r w:rsidRPr="6CBC204B" w:rsidR="0EF41D6F">
        <w:rPr>
          <w:color w:val="000000" w:themeColor="text1" w:themeTint="FF" w:themeShade="FF"/>
        </w:rPr>
        <w:t xml:space="preserve">sta nota explicativa visa orientar a redação da cláusula 13, "Impactos Ambientais", do </w:t>
      </w:r>
      <w:r w:rsidR="0EF41D6F">
        <w:rPr/>
        <w:t>t</w:t>
      </w:r>
      <w:r w:rsidRPr="6CBC204B" w:rsidR="0EF41D6F">
        <w:rPr>
          <w:color w:val="000000" w:themeColor="text1" w:themeTint="FF" w:themeShade="FF"/>
        </w:rPr>
        <w:t xml:space="preserve">ermo de </w:t>
      </w:r>
      <w:r w:rsidR="0EF41D6F">
        <w:rPr/>
        <w:t>r</w:t>
      </w:r>
      <w:r w:rsidRPr="6CBC204B" w:rsidR="0EF41D6F">
        <w:rPr>
          <w:color w:val="000000" w:themeColor="text1" w:themeTint="FF" w:themeShade="FF"/>
        </w:rPr>
        <w:t>eferência ou do Estudo Técnico Preliminar (ETP) para a construção d</w:t>
      </w:r>
      <w:r w:rsidRPr="6CBC204B" w:rsidR="2EB83435">
        <w:rPr>
          <w:color w:val="000000" w:themeColor="text1" w:themeTint="FF" w:themeShade="FF"/>
        </w:rPr>
        <w:t>o CAPS porte XX</w:t>
      </w:r>
      <w:r w:rsidRPr="6CBC204B" w:rsidR="0EF41D6F">
        <w:rPr>
          <w:color w:val="000000" w:themeColor="text1" w:themeTint="FF" w:themeShade="FF"/>
        </w:rPr>
        <w:t xml:space="preserve">, esclarecendo as distinções e </w:t>
      </w:r>
      <w:r w:rsidR="0EF41D6F">
        <w:rPr/>
        <w:t>inter</w:t>
      </w:r>
      <w:r w:rsidR="0EF41D6F">
        <w:rPr/>
        <w:t xml:space="preserve"> relações</w:t>
      </w:r>
      <w:r w:rsidRPr="6CBC204B" w:rsidR="0EF41D6F">
        <w:rPr>
          <w:color w:val="000000" w:themeColor="text1" w:themeTint="FF" w:themeShade="FF"/>
        </w:rPr>
        <w:t xml:space="preserve"> entre os seguintes elementos:</w:t>
      </w:r>
    </w:p>
    <w:p w:rsidR="006430DA" w:rsidRDefault="00B54928" w14:paraId="000000EC"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Impacto </w:t>
      </w:r>
      <w:r>
        <w:rPr>
          <w:b/>
        </w:rPr>
        <w:t>A</w:t>
      </w:r>
      <w:r>
        <w:rPr>
          <w:b/>
          <w:color w:val="000000"/>
        </w:rPr>
        <w:t>mbiental (ETP Item 14)</w:t>
      </w:r>
      <w:r>
        <w:rPr>
          <w:color w:val="000000"/>
        </w:rPr>
        <w:t xml:space="preserve">: </w:t>
      </w:r>
      <w:r>
        <w:t>r</w:t>
      </w:r>
      <w:r>
        <w:rPr>
          <w:color w:val="000000"/>
        </w:rPr>
        <w:t>efere-se às alterações no meio ambiente que podem ocorrer devido à execução do projeto, como poluição sonora e atmosférica, consumo de recursos naturais e alteração de habitats, entre outros. Este item deve detalhar todos os impactos potenciais que a construção pode causar ao ambiente natural e urbano.</w:t>
      </w:r>
    </w:p>
    <w:p w:rsidR="006430DA" w:rsidRDefault="00B54928" w14:paraId="000000ED"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s</w:t>
      </w:r>
      <w:r>
        <w:rPr>
          <w:b/>
          <w:color w:val="000000"/>
        </w:rPr>
        <w:t xml:space="preserve">ustentabilidade da </w:t>
      </w:r>
      <w:r>
        <w:rPr>
          <w:b/>
        </w:rPr>
        <w:t>c</w:t>
      </w:r>
      <w:r>
        <w:rPr>
          <w:b/>
          <w:color w:val="000000"/>
        </w:rPr>
        <w:t>ontratação (ETP Item 4)</w:t>
      </w:r>
      <w:r>
        <w:rPr>
          <w:color w:val="000000"/>
        </w:rPr>
        <w:t xml:space="preserve">: inclui as medidas e práticas que devem ser adotadas para minimizar os danos ambientais identificados no item de </w:t>
      </w:r>
      <w:r>
        <w:t>i</w:t>
      </w:r>
      <w:r>
        <w:rPr>
          <w:color w:val="000000"/>
        </w:rPr>
        <w:t xml:space="preserve">mpacto </w:t>
      </w:r>
      <w:r>
        <w:t>a</w:t>
      </w:r>
      <w:r>
        <w:rPr>
          <w:color w:val="000000"/>
        </w:rPr>
        <w:t>mbiental. Esses requisitos devem contemplar o uso de materiais sustentáveis, técnicas de construção que economizem recursos, e estratégias para o manejo adequado de resíduos. É fundamental que essas medidas sejam capazes de mitigar os impactos ambientais previstos, contribuindo para um projeto mais sustentável.</w:t>
      </w:r>
    </w:p>
    <w:p w:rsidR="006430DA" w:rsidRDefault="00B54928" w14:paraId="000000EE"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h</w:t>
      </w:r>
      <w:r>
        <w:rPr>
          <w:b/>
          <w:color w:val="000000"/>
        </w:rPr>
        <w:t xml:space="preserve">abilitação </w:t>
      </w:r>
      <w:r>
        <w:rPr>
          <w:b/>
        </w:rPr>
        <w:t>t</w:t>
      </w:r>
      <w:r>
        <w:rPr>
          <w:b/>
          <w:color w:val="000000"/>
        </w:rPr>
        <w:t>écnica (</w:t>
      </w:r>
      <w:r>
        <w:rPr>
          <w:b/>
        </w:rPr>
        <w:t>t</w:t>
      </w:r>
      <w:r>
        <w:rPr>
          <w:b/>
          <w:color w:val="000000"/>
        </w:rPr>
        <w:t xml:space="preserve">ermo de </w:t>
      </w:r>
      <w:r>
        <w:rPr>
          <w:b/>
        </w:rPr>
        <w:t>r</w:t>
      </w:r>
      <w:r>
        <w:rPr>
          <w:b/>
          <w:color w:val="000000"/>
        </w:rPr>
        <w:t>eferência)</w:t>
      </w:r>
      <w:r>
        <w:rPr>
          <w:color w:val="000000"/>
        </w:rPr>
        <w:t xml:space="preserve">: </w:t>
      </w:r>
      <w:r>
        <w:t>e</w:t>
      </w:r>
      <w:r>
        <w:rPr>
          <w:color w:val="000000"/>
        </w:rPr>
        <w:t>stes requisitos estão relacionados às competências e capacidades técnicas que os licitantes devem demonstrar para executar a obra de acordo com os padrões exigidos, incluindo experiência prévia em projetos semelhantes e capacidade técnica para implementar as práticas de sustentabilidade exigidas. Embora relacionados, não devem ser confundidos com os itens de impacto ambiental ou requisitos de sustentabilidade.</w:t>
      </w:r>
    </w:p>
    <w:p w:rsidR="006430DA" w:rsidRDefault="00B54928" w14:paraId="000000EF" w14:textId="77777777">
      <w:pPr>
        <w:pBdr>
          <w:top w:val="nil"/>
          <w:left w:val="nil"/>
          <w:bottom w:val="nil"/>
          <w:right w:val="nil"/>
          <w:between w:val="nil"/>
        </w:pBdr>
        <w:spacing w:after="60" w:line="240" w:lineRule="auto"/>
        <w:jc w:val="both"/>
        <w:rPr>
          <w:color w:val="000000"/>
        </w:rPr>
      </w:pPr>
      <w:r>
        <w:rPr>
          <w:b/>
          <w:color w:val="000000"/>
        </w:rPr>
        <w:t xml:space="preserve">Integração entre os </w:t>
      </w:r>
      <w:r>
        <w:rPr>
          <w:b/>
        </w:rPr>
        <w:t>e</w:t>
      </w:r>
      <w:r>
        <w:rPr>
          <w:b/>
          <w:color w:val="000000"/>
        </w:rPr>
        <w:t>lementos</w:t>
      </w:r>
      <w:r>
        <w:rPr>
          <w:color w:val="000000"/>
        </w:rPr>
        <w:t>:</w:t>
      </w:r>
    </w:p>
    <w:p w:rsidR="006430DA" w:rsidP="6CBC204B" w:rsidRDefault="00B54928" w14:paraId="000000F0" w14:textId="44B24BB9">
      <w:pPr>
        <w:numPr>
          <w:ilvl w:val="0"/>
          <w:numId w:val="16"/>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6CBC204B" w:rsidR="0EF41D6F">
        <w:rPr>
          <w:color w:val="000000" w:themeColor="text1" w:themeTint="FF" w:themeShade="FF"/>
        </w:rPr>
        <w:t xml:space="preserve">Ao redigir a cláusula, é importante estabelecer uma relação clara entre os requisitos de sustentabilidade e a mitigação dos impactos ambientais. Por exemplo, se um impacto identificado é o alto consumo de água, os requisitos de sustentabilidade podem incluir a implementação de sistemas de reuso de água na </w:t>
      </w:r>
      <w:r w:rsidRPr="6CBC204B" w:rsidR="023EB1DA">
        <w:rPr>
          <w:color w:val="000000" w:themeColor="text1" w:themeTint="FF" w:themeShade="FF"/>
        </w:rPr>
        <w:t>CAPS</w:t>
      </w:r>
      <w:r w:rsidRPr="6CBC204B" w:rsidR="0EF41D6F">
        <w:rPr>
          <w:color w:val="000000" w:themeColor="text1" w:themeTint="FF" w:themeShade="FF"/>
        </w:rPr>
        <w:t>.</w:t>
      </w:r>
    </w:p>
    <w:p w:rsidR="006430DA" w:rsidRDefault="00B54928" w14:paraId="000000F1" w14:textId="77777777">
      <w:pPr>
        <w:numPr>
          <w:ilvl w:val="0"/>
          <w:numId w:val="16"/>
        </w:numPr>
        <w:pBdr>
          <w:top w:val="nil"/>
          <w:left w:val="nil"/>
          <w:bottom w:val="nil"/>
          <w:right w:val="nil"/>
          <w:between w:val="nil"/>
        </w:pBdr>
        <w:spacing w:line="240" w:lineRule="auto"/>
        <w:jc w:val="both"/>
        <w:rPr>
          <w:color w:val="000000"/>
        </w:rPr>
      </w:pPr>
      <w:r>
        <w:rPr>
          <w:color w:val="000000"/>
        </w:rPr>
        <w:t>Deve-se destacar que, enquanto os impactos ambientais detalham os efeitos negativos potenciais, os requisitos de sustentabilidade são propositivos e visam reduzir ou eliminar esses efeitos.</w:t>
      </w:r>
    </w:p>
    <w:p w:rsidR="006430DA" w:rsidRDefault="00B54928" w14:paraId="000000F2" w14:textId="77777777">
      <w:pPr>
        <w:pBdr>
          <w:top w:val="nil"/>
          <w:left w:val="nil"/>
          <w:bottom w:val="nil"/>
          <w:right w:val="nil"/>
          <w:between w:val="nil"/>
        </w:pBdr>
        <w:spacing w:line="240" w:lineRule="auto"/>
        <w:ind w:left="360"/>
        <w:jc w:val="both"/>
        <w:rPr>
          <w:color w:val="000000"/>
        </w:rPr>
      </w:pPr>
      <w:r>
        <w:rPr>
          <w:color w:val="000000"/>
        </w:rPr>
        <w:t>A habilidade técnica necessária para implementar soluções sustentáveis deve ser, claramente, definida nos critérios de habilitação técnica, se avaliar necessário, garantindo que apenas empresas capacitadas e com experiência comprovada em práticas sustentáveis possam participar da licitação.</w:t>
      </w:r>
    </w:p>
    <w:p w:rsidR="006430DA" w:rsidRDefault="00B54928" w14:paraId="000000F3" w14:textId="77777777">
      <w:pPr>
        <w:pBdr>
          <w:top w:val="nil"/>
          <w:left w:val="nil"/>
          <w:bottom w:val="nil"/>
          <w:right w:val="nil"/>
          <w:between w:val="nil"/>
        </w:pBdr>
        <w:spacing w:after="60" w:line="240" w:lineRule="auto"/>
        <w:jc w:val="both"/>
        <w:rPr>
          <w:color w:val="000000"/>
        </w:rPr>
      </w:pPr>
      <w:r>
        <w:rPr>
          <w:b/>
          <w:color w:val="000000"/>
        </w:rPr>
        <w:t>Tópico 17. Responsáveis:</w:t>
      </w:r>
      <w:r>
        <w:rPr>
          <w:color w:val="000000"/>
        </w:rPr>
        <w:t xml:space="preserve"> </w:t>
      </w:r>
      <w:r>
        <w:t>o</w:t>
      </w:r>
      <w:r>
        <w:rPr>
          <w:color w:val="000000"/>
        </w:rPr>
        <w:t xml:space="preserve">s responsáveis pela produção dos elementos e/ou peças técnicas exclusivamente relacionados com engenharia e/ou arquitetura e/ ou técnica industrial devem ser identificados nos autos (art. 2º, I, da IN </w:t>
      </w:r>
      <w:r>
        <w:t>c</w:t>
      </w:r>
      <w:r>
        <w:rPr>
          <w:color w:val="000000"/>
        </w:rPr>
        <w:t>onjunta MP/CGU nº 01/2016). </w:t>
      </w:r>
    </w:p>
    <w:p w:rsidR="006430DA" w:rsidRDefault="00B54928" w14:paraId="000000F4" w14:textId="77777777">
      <w:pPr>
        <w:pBdr>
          <w:top w:val="nil"/>
          <w:left w:val="nil"/>
          <w:bottom w:val="nil"/>
          <w:right w:val="nil"/>
          <w:between w:val="nil"/>
        </w:pBdr>
        <w:spacing w:after="60" w:line="240" w:lineRule="auto"/>
        <w:jc w:val="both"/>
        <w:rPr>
          <w:color w:val="000000"/>
        </w:rPr>
      </w:pPr>
      <w:r>
        <w:rPr>
          <w:color w:val="000000"/>
        </w:rPr>
        <w:t>Em razão das peculiaridades do objeto, a equipe de planejamento, conforme as competências, deve ter integrante com formação em engenharia e/ou arquitetura e/ou técnica industrial.</w:t>
      </w:r>
    </w:p>
    <w:p w:rsidR="006430DA" w:rsidRDefault="00B54928" w14:paraId="000000F5" w14:textId="77777777">
      <w:pPr>
        <w:pBdr>
          <w:top w:val="nil"/>
          <w:left w:val="nil"/>
          <w:bottom w:val="nil"/>
          <w:right w:val="nil"/>
          <w:between w:val="nil"/>
        </w:pBdr>
        <w:spacing w:after="60" w:line="240" w:lineRule="auto"/>
        <w:jc w:val="both"/>
        <w:rPr>
          <w:color w:val="000000"/>
        </w:rPr>
      </w:pPr>
      <w:r>
        <w:rPr>
          <w:color w:val="000000"/>
        </w:rPr>
        <w:t>Confira-se, nesse sentido, os ditames abaixo da IN Seges/MP nº 05, de 2017</w:t>
      </w:r>
      <w:r>
        <w:t>, a</w:t>
      </w:r>
      <w:r>
        <w:rPr>
          <w:color w:val="000000"/>
        </w:rPr>
        <w:t xml:space="preserve">rt. 22, § 1º: </w:t>
      </w:r>
    </w:p>
    <w:p w:rsidR="006430DA" w:rsidRDefault="00B54928" w14:paraId="000000F6" w14:textId="77777777">
      <w:pPr>
        <w:pBdr>
          <w:top w:val="nil"/>
          <w:left w:val="nil"/>
          <w:bottom w:val="nil"/>
          <w:right w:val="nil"/>
          <w:between w:val="nil"/>
        </w:pBdr>
        <w:spacing w:after="60" w:line="240" w:lineRule="auto"/>
        <w:jc w:val="both"/>
        <w:rPr>
          <w:b/>
          <w:i/>
          <w:color w:val="44546A"/>
        </w:rPr>
      </w:pPr>
      <w:r>
        <w:rPr>
          <w:i/>
          <w:color w:val="000000"/>
        </w:rPr>
        <w:t xml:space="preserve">A equipe de </w:t>
      </w:r>
      <w:r>
        <w:rPr>
          <w:i/>
        </w:rPr>
        <w:t>p</w:t>
      </w:r>
      <w:r>
        <w:rPr>
          <w:i/>
          <w:color w:val="000000"/>
        </w:rPr>
        <w:t xml:space="preserve">lanejamento da </w:t>
      </w:r>
      <w:r>
        <w:rPr>
          <w:i/>
        </w:rPr>
        <w:t>c</w:t>
      </w:r>
      <w:r>
        <w:rPr>
          <w:i/>
          <w:color w:val="000000"/>
        </w:rPr>
        <w:t xml:space="preserve">ontratação é o conjunto de servidores que reúnem as competências necessárias à completa execução das etapas de </w:t>
      </w:r>
      <w:r>
        <w:rPr>
          <w:i/>
        </w:rPr>
        <w:t>p</w:t>
      </w:r>
      <w:r>
        <w:rPr>
          <w:i/>
          <w:color w:val="000000"/>
        </w:rPr>
        <w:t xml:space="preserve">lanejamento da </w:t>
      </w:r>
      <w:r>
        <w:rPr>
          <w:i/>
        </w:rPr>
        <w:t>c</w:t>
      </w:r>
      <w:r>
        <w:rPr>
          <w:i/>
          <w:color w:val="000000"/>
        </w:rPr>
        <w:t>ontratação, o que inclui conhecimentos sobre aspectos técnicos e de uso do objeto, licitações e contratos, dentre outros.</w:t>
      </w:r>
    </w:p>
    <w:p w:rsidR="006430DA" w:rsidRDefault="006430DA" w14:paraId="000000F7" w14:textId="77777777">
      <w:pPr>
        <w:jc w:val="both"/>
      </w:pPr>
    </w:p>
    <w:p w:rsidR="006430DA" w:rsidRDefault="006430DA" w14:paraId="000000F8" w14:textId="77777777"/>
    <w:sectPr w:rsidR="006430DA">
      <w:pgSz w:w="11906" w:h="16838" w:orient="portrait"/>
      <w:pgMar w:top="1417" w:right="1701" w:bottom="1276" w:left="1701" w:header="708" w:footer="708" w:gutter="0"/>
      <w:pgNumType w:start="1"/>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CB" w:author="Camila Girão de Moraes Barcelos" w:date="12/26/2024 15:10:38" w:id="1872735722">
    <w:p xmlns:w14="http://schemas.microsoft.com/office/word/2010/wordml" w:rsidR="21AF7E7F" w:rsidRDefault="0E45F45B" w14:paraId="327D9E9C" w14:textId="364C3F33">
      <w:pPr>
        <w:pStyle w:val="CommentText"/>
      </w:pPr>
      <w:r>
        <w:rPr>
          <w:rStyle w:val="CommentReference"/>
        </w:rPr>
        <w:annotationRef/>
      </w:r>
      <w:r w:rsidRPr="33FA3BE1" w:rsidR="10CB4DB8">
        <w:t>Atualmente o projeto disponilizado no site encontra-se em formato CAD.  Equipe de saúde mental, vcs acham melhor deixar essa indicação do CAD e alterar esse trecho depois que o projeto tiver sido finalizado para BIM?</w:t>
      </w:r>
    </w:p>
  </w:comment>
</w:comments>
</file>

<file path=word/commentsExtended.xml><?xml version="1.0" encoding="utf-8"?>
<w15:commentsEx xmlns:mc="http://schemas.openxmlformats.org/markup-compatibility/2006" xmlns:w15="http://schemas.microsoft.com/office/word/2012/wordml" mc:Ignorable="w15">
  <w15:commentEx w15:done="1" w15:paraId="327D9E9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0691C5" w16cex:dateUtc="2024-12-26T18:10:38.538Z"/>
</w16cex:commentsExtensible>
</file>

<file path=word/commentsIds.xml><?xml version="1.0" encoding="utf-8"?>
<w16cid:commentsIds xmlns:mc="http://schemas.openxmlformats.org/markup-compatibility/2006" xmlns:w16cid="http://schemas.microsoft.com/office/word/2016/wordml/cid" mc:Ignorable="w16cid">
  <w16cid:commentId w16cid:paraId="327D9E9C" w16cid:durableId="100691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A39776E6-D10D-4EBE-B439-441BEA5E4341}"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46FCBD78-F4AD-47F7-886A-F434B3F93A94}" r:id="rId2"/>
    <w:embedBold w:fontKey="{B813EEA5-FB7E-4370-8E1C-B382850EA852}" r:id="rId3"/>
    <w:embedItalic w:fontKey="{CBDB3C14-1A52-4005-BCE8-B92492FF2142}" r:id="rId4"/>
    <w:embedBoldItalic w:fontKey="{1FC92655-A6DE-40DB-ADB9-9B67F4836216}" r:id="rId5"/>
  </w:font>
  <w:font w:name="Segoe UI">
    <w:panose1 w:val="020B0502040204020203"/>
    <w:charset w:val="00"/>
    <w:family w:val="swiss"/>
    <w:pitch w:val="variable"/>
    <w:sig w:usb0="E4002EFF" w:usb1="C000E47F" w:usb2="00000009" w:usb3="00000000" w:csb0="000001FF" w:csb1="00000000"/>
    <w:embedRegular w:fontKey="{F4265D10-9918-42E6-BE3A-B9385FAE65EF}" r:id="rId6"/>
  </w:font>
  <w:font w:name="Georgia">
    <w:panose1 w:val="02040502050405020303"/>
    <w:charset w:val="00"/>
    <w:family w:val="roman"/>
    <w:pitch w:val="variable"/>
    <w:sig w:usb0="00000287" w:usb1="00000000" w:usb2="00000000" w:usb3="00000000" w:csb0="0000009F" w:csb1="00000000"/>
    <w:embedRegular w:fontKey="{992AE110-CE4B-4945-A233-7DB22854FD5D}" r:id="rId7"/>
    <w:embedItalic w:fontKey="{949F8A6B-3E33-44C0-97C5-5F0549E0A568}" r:id="rId8"/>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26D244CE-7337-4018-8BA7-BFAB01065951}" r:id="rId9"/>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2">
    <w:nsid w:val="46df3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3040a2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F6147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0F61E83"/>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2B4758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7D40541"/>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4" w15:restartNumberingAfterBreak="0">
    <w:nsid w:val="0B9C09D9"/>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5" w15:restartNumberingAfterBreak="0">
    <w:nsid w:val="0CB647FB"/>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6" w15:restartNumberingAfterBreak="0">
    <w:nsid w:val="0CC343B6"/>
    <w:multiLevelType w:val="multilevel"/>
    <w:tmpl w:val="FFFFFFFF"/>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11D48A3"/>
    <w:multiLevelType w:val="multilevel"/>
    <w:tmpl w:val="FFFFFFFF"/>
    <w:lvl w:ilvl="0">
      <w:start w:val="1"/>
      <w:numFmt w:val="decimal"/>
      <w:lvlText w:val="(%1)"/>
      <w:lvlJc w:val="left"/>
      <w:pPr>
        <w:ind w:left="1440" w:hanging="360"/>
      </w:pPr>
    </w:lvl>
    <w:lvl w:ilvl="1">
      <w:start w:val="1"/>
      <w:numFmt w:val="bullet"/>
      <w:lvlText w:val="●"/>
      <w:lvlJc w:val="left"/>
      <w:pPr>
        <w:ind w:left="1800" w:hanging="360"/>
      </w:pPr>
      <w:rPr>
        <w:rFonts w:ascii="Noto Sans Symbols" w:hAnsi="Noto Sans Symbols" w:eastAsia="Noto Sans Symbols" w:cs="Noto Sans Symbols"/>
      </w:r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8" w15:restartNumberingAfterBreak="0">
    <w:nsid w:val="124B737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BE43FA2"/>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0" w15:restartNumberingAfterBreak="0">
    <w:nsid w:val="20A34CC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65A7FE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2" w15:restartNumberingAfterBreak="0">
    <w:nsid w:val="315E0F28"/>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3" w15:restartNumberingAfterBreak="0">
    <w:nsid w:val="34E8782F"/>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4" w15:restartNumberingAfterBreak="0">
    <w:nsid w:val="380C5DB7"/>
    <w:multiLevelType w:val="multilevel"/>
    <w:tmpl w:val="FFFFFFFF"/>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5" w15:restartNumberingAfterBreak="0">
    <w:nsid w:val="3E767F8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6" w15:restartNumberingAfterBreak="0">
    <w:nsid w:val="4938342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49D2414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8" w15:restartNumberingAfterBreak="0">
    <w:nsid w:val="4D5C15E6"/>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9" w15:restartNumberingAfterBreak="0">
    <w:nsid w:val="4F73293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54243CF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bullet"/>
      <w:lvlText w:val="●"/>
      <w:lvlJc w:val="left"/>
      <w:pPr>
        <w:ind w:left="720" w:hanging="360"/>
      </w:pPr>
      <w:rPr>
        <w:rFonts w:ascii="Noto Sans Symbols" w:hAnsi="Noto Sans Symbols" w:eastAsia="Noto Sans Symbols" w:cs="Noto Sans Symbols"/>
      </w:rPr>
    </w:lvl>
    <w:lvl w:ilvl="3">
      <w:start w:val="1"/>
      <w:numFmt w:val="bullet"/>
      <w:lvlText w:val="●"/>
      <w:lvlJc w:val="left"/>
      <w:pPr>
        <w:ind w:left="720" w:hanging="360"/>
      </w:pPr>
      <w:rPr>
        <w:rFonts w:ascii="Noto Sans Symbols" w:hAnsi="Noto Sans Symbols" w:eastAsia="Noto Sans Symbols" w:cs="Noto Sans Symbols"/>
      </w:rPr>
    </w:lvl>
    <w:lvl w:ilvl="4">
      <w:start w:val="1"/>
      <w:numFmt w:val="bullet"/>
      <w:lvlText w:val="●"/>
      <w:lvlJc w:val="left"/>
      <w:pPr>
        <w:ind w:left="720" w:hanging="360"/>
      </w:pPr>
      <w:rPr>
        <w:rFonts w:ascii="Noto Sans Symbols" w:hAnsi="Noto Sans Symbols" w:eastAsia="Noto Sans Symbols" w:cs="Noto Sans Symbols"/>
      </w:rPr>
    </w:lvl>
    <w:lvl w:ilvl="5">
      <w:start w:val="1"/>
      <w:numFmt w:val="bullet"/>
      <w:lvlText w:val="●"/>
      <w:lvlJc w:val="left"/>
      <w:pPr>
        <w:ind w:left="720" w:hanging="360"/>
      </w:pPr>
      <w:rPr>
        <w:rFonts w:ascii="Noto Sans Symbols" w:hAnsi="Noto Sans Symbols" w:eastAsia="Noto Sans Symbols" w:cs="Noto Sans Symbols"/>
      </w:rPr>
    </w:lvl>
    <w:lvl w:ilvl="6">
      <w:start w:val="1"/>
      <w:numFmt w:val="bullet"/>
      <w:lvlText w:val="●"/>
      <w:lvlJc w:val="left"/>
      <w:pPr>
        <w:ind w:left="720" w:hanging="360"/>
      </w:pPr>
      <w:rPr>
        <w:rFonts w:ascii="Noto Sans Symbols" w:hAnsi="Noto Sans Symbols" w:eastAsia="Noto Sans Symbols" w:cs="Noto Sans Symbols"/>
      </w:rPr>
    </w:lvl>
    <w:lvl w:ilvl="7">
      <w:start w:val="1"/>
      <w:numFmt w:val="bullet"/>
      <w:lvlText w:val="●"/>
      <w:lvlJc w:val="left"/>
      <w:pPr>
        <w:ind w:left="720" w:hanging="360"/>
      </w:pPr>
      <w:rPr>
        <w:rFonts w:ascii="Noto Sans Symbols" w:hAnsi="Noto Sans Symbols" w:eastAsia="Noto Sans Symbols" w:cs="Noto Sans Symbols"/>
      </w:rPr>
    </w:lvl>
    <w:lvl w:ilvl="8">
      <w:start w:val="1"/>
      <w:numFmt w:val="bullet"/>
      <w:lvlText w:val="●"/>
      <w:lvlJc w:val="left"/>
      <w:pPr>
        <w:ind w:left="720" w:hanging="360"/>
      </w:pPr>
      <w:rPr>
        <w:rFonts w:ascii="Noto Sans Symbols" w:hAnsi="Noto Sans Symbols" w:eastAsia="Noto Sans Symbols" w:cs="Noto Sans Symbols"/>
      </w:rPr>
    </w:lvl>
  </w:abstractNum>
  <w:abstractNum w:abstractNumId="21" w15:restartNumberingAfterBreak="0">
    <w:nsid w:val="56F07278"/>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578014AC"/>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57BA39D4"/>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AB7566"/>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5" w15:restartNumberingAfterBreak="0">
    <w:nsid w:val="5C8766C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67A15384"/>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68CE62D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8" w15:restartNumberingAfterBreak="0">
    <w:nsid w:val="6B166E00"/>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29" w15:restartNumberingAfterBreak="0">
    <w:nsid w:val="6E0B6EC0"/>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30" w15:restartNumberingAfterBreak="0">
    <w:nsid w:val="738F1781"/>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num w:numId="33">
    <w:abstractNumId w:val="32"/>
  </w:num>
  <w:num w:numId="32">
    <w:abstractNumId w:val="31"/>
  </w:num>
  <w:num w:numId="1" w16cid:durableId="947546067">
    <w:abstractNumId w:val="7"/>
  </w:num>
  <w:num w:numId="2" w16cid:durableId="730809524">
    <w:abstractNumId w:val="16"/>
  </w:num>
  <w:num w:numId="3" w16cid:durableId="19009875">
    <w:abstractNumId w:val="26"/>
  </w:num>
  <w:num w:numId="4" w16cid:durableId="1779518259">
    <w:abstractNumId w:val="25"/>
  </w:num>
  <w:num w:numId="5" w16cid:durableId="343212240">
    <w:abstractNumId w:val="14"/>
  </w:num>
  <w:num w:numId="6" w16cid:durableId="393506341">
    <w:abstractNumId w:val="19"/>
  </w:num>
  <w:num w:numId="7" w16cid:durableId="1122531366">
    <w:abstractNumId w:val="20"/>
  </w:num>
  <w:num w:numId="8" w16cid:durableId="164519631">
    <w:abstractNumId w:val="2"/>
  </w:num>
  <w:num w:numId="9" w16cid:durableId="1469932004">
    <w:abstractNumId w:val="30"/>
  </w:num>
  <w:num w:numId="10" w16cid:durableId="1388451758">
    <w:abstractNumId w:val="6"/>
  </w:num>
  <w:num w:numId="11" w16cid:durableId="913315994">
    <w:abstractNumId w:val="10"/>
  </w:num>
  <w:num w:numId="12" w16cid:durableId="315770092">
    <w:abstractNumId w:val="28"/>
  </w:num>
  <w:num w:numId="13" w16cid:durableId="784815170">
    <w:abstractNumId w:val="22"/>
  </w:num>
  <w:num w:numId="14" w16cid:durableId="450517952">
    <w:abstractNumId w:val="1"/>
  </w:num>
  <w:num w:numId="15" w16cid:durableId="1469394029">
    <w:abstractNumId w:val="0"/>
  </w:num>
  <w:num w:numId="16" w16cid:durableId="675958047">
    <w:abstractNumId w:val="3"/>
  </w:num>
  <w:num w:numId="17" w16cid:durableId="2096631315">
    <w:abstractNumId w:val="8"/>
  </w:num>
  <w:num w:numId="18" w16cid:durableId="533620885">
    <w:abstractNumId w:val="11"/>
  </w:num>
  <w:num w:numId="19" w16cid:durableId="1096366520">
    <w:abstractNumId w:val="21"/>
  </w:num>
  <w:num w:numId="20" w16cid:durableId="1771272243">
    <w:abstractNumId w:val="23"/>
  </w:num>
  <w:num w:numId="21" w16cid:durableId="1965841392">
    <w:abstractNumId w:val="5"/>
  </w:num>
  <w:num w:numId="22" w16cid:durableId="1682657407">
    <w:abstractNumId w:val="27"/>
  </w:num>
  <w:num w:numId="23" w16cid:durableId="2127114774">
    <w:abstractNumId w:val="24"/>
  </w:num>
  <w:num w:numId="24" w16cid:durableId="1459642869">
    <w:abstractNumId w:val="13"/>
  </w:num>
  <w:num w:numId="25" w16cid:durableId="1479150007">
    <w:abstractNumId w:val="15"/>
  </w:num>
  <w:num w:numId="26" w16cid:durableId="267855600">
    <w:abstractNumId w:val="4"/>
  </w:num>
  <w:num w:numId="27" w16cid:durableId="223414730">
    <w:abstractNumId w:val="29"/>
  </w:num>
  <w:num w:numId="28" w16cid:durableId="640379098">
    <w:abstractNumId w:val="12"/>
  </w:num>
  <w:num w:numId="29" w16cid:durableId="301543852">
    <w:abstractNumId w:val="17"/>
  </w:num>
  <w:num w:numId="30" w16cid:durableId="1924146880">
    <w:abstractNumId w:val="9"/>
  </w:num>
  <w:num w:numId="31" w16cid:durableId="661274170">
    <w:abstractNumId w:val="18"/>
  </w:num>
</w:numbering>
</file>

<file path=word/people.xml><?xml version="1.0" encoding="utf-8"?>
<w15:people xmlns:mc="http://schemas.openxmlformats.org/markup-compatibility/2006" xmlns:w15="http://schemas.microsoft.com/office/word/2012/wordml" mc:Ignorable="w15">
  <w15:person w15:author="Camila Girão de Moraes Barcelos">
    <w15:presenceInfo w15:providerId="AD" w15:userId="S::camila.barcelos@saude.gov.br::84451cf8-a097-4807-9736-c32c3d2952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DA"/>
    <w:rsid w:val="0037147E"/>
    <w:rsid w:val="006430DA"/>
    <w:rsid w:val="00B54928"/>
    <w:rsid w:val="00C76668"/>
    <w:rsid w:val="01118B6B"/>
    <w:rsid w:val="01E6F501"/>
    <w:rsid w:val="023EB1DA"/>
    <w:rsid w:val="02BC1001"/>
    <w:rsid w:val="02FE3DC5"/>
    <w:rsid w:val="0371CBC4"/>
    <w:rsid w:val="03B7D6B5"/>
    <w:rsid w:val="0406E1FE"/>
    <w:rsid w:val="04A2D572"/>
    <w:rsid w:val="0531E0C1"/>
    <w:rsid w:val="06100949"/>
    <w:rsid w:val="076438C8"/>
    <w:rsid w:val="07A53465"/>
    <w:rsid w:val="086F3F3D"/>
    <w:rsid w:val="088BE738"/>
    <w:rsid w:val="089383B9"/>
    <w:rsid w:val="08AD52E7"/>
    <w:rsid w:val="090F521A"/>
    <w:rsid w:val="098A0A81"/>
    <w:rsid w:val="09BD6C74"/>
    <w:rsid w:val="0CCEB7A7"/>
    <w:rsid w:val="0CDCAD6A"/>
    <w:rsid w:val="0CF240B6"/>
    <w:rsid w:val="0D062058"/>
    <w:rsid w:val="0E1F7B1C"/>
    <w:rsid w:val="0EF41D6F"/>
    <w:rsid w:val="0FE436A9"/>
    <w:rsid w:val="10A91007"/>
    <w:rsid w:val="10B0C762"/>
    <w:rsid w:val="111749FC"/>
    <w:rsid w:val="1176ED89"/>
    <w:rsid w:val="11DB88F3"/>
    <w:rsid w:val="11F7565E"/>
    <w:rsid w:val="12168CA0"/>
    <w:rsid w:val="121CF118"/>
    <w:rsid w:val="12B84DE8"/>
    <w:rsid w:val="136662FC"/>
    <w:rsid w:val="13777309"/>
    <w:rsid w:val="13BA8F9F"/>
    <w:rsid w:val="13BBA87F"/>
    <w:rsid w:val="142B7931"/>
    <w:rsid w:val="14558EF0"/>
    <w:rsid w:val="15253CDC"/>
    <w:rsid w:val="16124983"/>
    <w:rsid w:val="1710B3A3"/>
    <w:rsid w:val="1749CFDE"/>
    <w:rsid w:val="187ABE23"/>
    <w:rsid w:val="1900851A"/>
    <w:rsid w:val="19ADFADC"/>
    <w:rsid w:val="1A369C91"/>
    <w:rsid w:val="1A3BD2C2"/>
    <w:rsid w:val="1A666A65"/>
    <w:rsid w:val="1B04159E"/>
    <w:rsid w:val="1B25648D"/>
    <w:rsid w:val="1B6B9F1C"/>
    <w:rsid w:val="1B762E3C"/>
    <w:rsid w:val="1BED1CDF"/>
    <w:rsid w:val="1C8807DE"/>
    <w:rsid w:val="1CD317A3"/>
    <w:rsid w:val="1CD7B189"/>
    <w:rsid w:val="1E06B8BD"/>
    <w:rsid w:val="1E18E1D1"/>
    <w:rsid w:val="1E3DDA8E"/>
    <w:rsid w:val="1E7F479A"/>
    <w:rsid w:val="2083E1E5"/>
    <w:rsid w:val="20EF54D5"/>
    <w:rsid w:val="20F133A3"/>
    <w:rsid w:val="215F0383"/>
    <w:rsid w:val="218926A8"/>
    <w:rsid w:val="21A25435"/>
    <w:rsid w:val="223F5A82"/>
    <w:rsid w:val="22411269"/>
    <w:rsid w:val="22E3C3EF"/>
    <w:rsid w:val="2322E48E"/>
    <w:rsid w:val="2325472C"/>
    <w:rsid w:val="24A98F41"/>
    <w:rsid w:val="2506219F"/>
    <w:rsid w:val="263888BB"/>
    <w:rsid w:val="2661F345"/>
    <w:rsid w:val="268AE1EB"/>
    <w:rsid w:val="269622FD"/>
    <w:rsid w:val="269FA521"/>
    <w:rsid w:val="26DF2704"/>
    <w:rsid w:val="274F83EB"/>
    <w:rsid w:val="28846317"/>
    <w:rsid w:val="28D95050"/>
    <w:rsid w:val="28DC94AA"/>
    <w:rsid w:val="297DE4BC"/>
    <w:rsid w:val="2A951E0C"/>
    <w:rsid w:val="2AD360B7"/>
    <w:rsid w:val="2C33B892"/>
    <w:rsid w:val="2C68D001"/>
    <w:rsid w:val="2CBF57F5"/>
    <w:rsid w:val="2E3A74B6"/>
    <w:rsid w:val="2EB83435"/>
    <w:rsid w:val="2ECCC93E"/>
    <w:rsid w:val="2EF7778C"/>
    <w:rsid w:val="2EFF2F24"/>
    <w:rsid w:val="2FD3DF89"/>
    <w:rsid w:val="3043E8C2"/>
    <w:rsid w:val="30660763"/>
    <w:rsid w:val="307B9A6C"/>
    <w:rsid w:val="30A3FF44"/>
    <w:rsid w:val="30D6589D"/>
    <w:rsid w:val="31334B89"/>
    <w:rsid w:val="315CC7DF"/>
    <w:rsid w:val="33898726"/>
    <w:rsid w:val="33A6CFE1"/>
    <w:rsid w:val="33F556F6"/>
    <w:rsid w:val="349E8B92"/>
    <w:rsid w:val="35F479B9"/>
    <w:rsid w:val="3675947E"/>
    <w:rsid w:val="373A1DBC"/>
    <w:rsid w:val="374B3654"/>
    <w:rsid w:val="381960FB"/>
    <w:rsid w:val="3955EE8F"/>
    <w:rsid w:val="396B7FDE"/>
    <w:rsid w:val="39906FED"/>
    <w:rsid w:val="39A82DA1"/>
    <w:rsid w:val="39A95E4E"/>
    <w:rsid w:val="3AC1A456"/>
    <w:rsid w:val="3B55405A"/>
    <w:rsid w:val="3CE184D7"/>
    <w:rsid w:val="3CEB9E2B"/>
    <w:rsid w:val="3CFE923E"/>
    <w:rsid w:val="3D1FA511"/>
    <w:rsid w:val="3E0CE615"/>
    <w:rsid w:val="3E16F99F"/>
    <w:rsid w:val="3E4450F5"/>
    <w:rsid w:val="3E6286C8"/>
    <w:rsid w:val="3E94F914"/>
    <w:rsid w:val="3F0E2CFB"/>
    <w:rsid w:val="40E1B95B"/>
    <w:rsid w:val="41D6749A"/>
    <w:rsid w:val="42284F13"/>
    <w:rsid w:val="4286AB26"/>
    <w:rsid w:val="42C2B655"/>
    <w:rsid w:val="434684A0"/>
    <w:rsid w:val="43DBFC72"/>
    <w:rsid w:val="43DC9DEA"/>
    <w:rsid w:val="44377184"/>
    <w:rsid w:val="450E1CD1"/>
    <w:rsid w:val="451BEFA0"/>
    <w:rsid w:val="457E9C27"/>
    <w:rsid w:val="468C944B"/>
    <w:rsid w:val="46B43482"/>
    <w:rsid w:val="47211661"/>
    <w:rsid w:val="47442F1B"/>
    <w:rsid w:val="49153BA4"/>
    <w:rsid w:val="492CFAA4"/>
    <w:rsid w:val="495B64C7"/>
    <w:rsid w:val="49E6B4E1"/>
    <w:rsid w:val="4A798679"/>
    <w:rsid w:val="4AD1AA98"/>
    <w:rsid w:val="4B1FD0F2"/>
    <w:rsid w:val="4DDE1384"/>
    <w:rsid w:val="4DFCF6D4"/>
    <w:rsid w:val="4EC44F69"/>
    <w:rsid w:val="4EDD491F"/>
    <w:rsid w:val="4EFE4613"/>
    <w:rsid w:val="4F44DD0B"/>
    <w:rsid w:val="4F59921F"/>
    <w:rsid w:val="4FE40F5F"/>
    <w:rsid w:val="504F1FDE"/>
    <w:rsid w:val="50739395"/>
    <w:rsid w:val="507F53A0"/>
    <w:rsid w:val="509CF54C"/>
    <w:rsid w:val="517E5F5C"/>
    <w:rsid w:val="5189DE99"/>
    <w:rsid w:val="51A615C3"/>
    <w:rsid w:val="521F2BB9"/>
    <w:rsid w:val="52701CF6"/>
    <w:rsid w:val="5309E14D"/>
    <w:rsid w:val="53916C18"/>
    <w:rsid w:val="540782E7"/>
    <w:rsid w:val="545DAF41"/>
    <w:rsid w:val="547922FE"/>
    <w:rsid w:val="55BDB6B9"/>
    <w:rsid w:val="57A4165E"/>
    <w:rsid w:val="57A51097"/>
    <w:rsid w:val="580A63C8"/>
    <w:rsid w:val="58D13561"/>
    <w:rsid w:val="58F5E769"/>
    <w:rsid w:val="599BD91F"/>
    <w:rsid w:val="5A0518DD"/>
    <w:rsid w:val="5B0845EF"/>
    <w:rsid w:val="5B5BE131"/>
    <w:rsid w:val="5BC44281"/>
    <w:rsid w:val="5C011B81"/>
    <w:rsid w:val="5C7B7828"/>
    <w:rsid w:val="5CE8B07F"/>
    <w:rsid w:val="5D18A6C7"/>
    <w:rsid w:val="5D2BDC8C"/>
    <w:rsid w:val="5D861FA8"/>
    <w:rsid w:val="5DA745F8"/>
    <w:rsid w:val="5E4B2ACD"/>
    <w:rsid w:val="5EF2C51C"/>
    <w:rsid w:val="5FC652CF"/>
    <w:rsid w:val="603C9F5C"/>
    <w:rsid w:val="6062D13F"/>
    <w:rsid w:val="608FB86C"/>
    <w:rsid w:val="60B8CDEE"/>
    <w:rsid w:val="60F9E5CE"/>
    <w:rsid w:val="613070D3"/>
    <w:rsid w:val="6175DCF5"/>
    <w:rsid w:val="61CCA0AF"/>
    <w:rsid w:val="61F96423"/>
    <w:rsid w:val="6238E067"/>
    <w:rsid w:val="6287BCB2"/>
    <w:rsid w:val="63BA8737"/>
    <w:rsid w:val="63DE99BC"/>
    <w:rsid w:val="63E5A8FA"/>
    <w:rsid w:val="640B312F"/>
    <w:rsid w:val="670FAE14"/>
    <w:rsid w:val="675DE54B"/>
    <w:rsid w:val="68BC0F99"/>
    <w:rsid w:val="692B6DFF"/>
    <w:rsid w:val="6A2B7972"/>
    <w:rsid w:val="6A3BB0EA"/>
    <w:rsid w:val="6A5C2C51"/>
    <w:rsid w:val="6B1779F0"/>
    <w:rsid w:val="6B5DF400"/>
    <w:rsid w:val="6BD572C0"/>
    <w:rsid w:val="6CBC204B"/>
    <w:rsid w:val="6CD611EC"/>
    <w:rsid w:val="6D5675BC"/>
    <w:rsid w:val="6D8B3D35"/>
    <w:rsid w:val="6DD15AD1"/>
    <w:rsid w:val="6E678E30"/>
    <w:rsid w:val="6EAAB30C"/>
    <w:rsid w:val="6F94276F"/>
    <w:rsid w:val="6FD163A5"/>
    <w:rsid w:val="709A51FD"/>
    <w:rsid w:val="711E0715"/>
    <w:rsid w:val="715AE051"/>
    <w:rsid w:val="71D02283"/>
    <w:rsid w:val="71D49477"/>
    <w:rsid w:val="72526DAB"/>
    <w:rsid w:val="728CB5CD"/>
    <w:rsid w:val="72FA3F00"/>
    <w:rsid w:val="7346889A"/>
    <w:rsid w:val="734AA42C"/>
    <w:rsid w:val="734FD6FF"/>
    <w:rsid w:val="73635F5C"/>
    <w:rsid w:val="736571C5"/>
    <w:rsid w:val="74426D09"/>
    <w:rsid w:val="7450AA66"/>
    <w:rsid w:val="74C333E5"/>
    <w:rsid w:val="74C7D6A6"/>
    <w:rsid w:val="75B6C8B6"/>
    <w:rsid w:val="762F19EB"/>
    <w:rsid w:val="766BC665"/>
    <w:rsid w:val="76A7E0A3"/>
    <w:rsid w:val="7717D814"/>
    <w:rsid w:val="774ED8CF"/>
    <w:rsid w:val="77E7DBAA"/>
    <w:rsid w:val="784B2E9F"/>
    <w:rsid w:val="788AEB61"/>
    <w:rsid w:val="78ABC25E"/>
    <w:rsid w:val="78E2FB31"/>
    <w:rsid w:val="790C58EC"/>
    <w:rsid w:val="795649CC"/>
    <w:rsid w:val="79E6EB31"/>
    <w:rsid w:val="7A2510FE"/>
    <w:rsid w:val="7B9559DD"/>
    <w:rsid w:val="7DDB2E05"/>
    <w:rsid w:val="7DF3926F"/>
    <w:rsid w:val="7E193CDF"/>
    <w:rsid w:val="7EA968B3"/>
    <w:rsid w:val="7EC5A3A3"/>
    <w:rsid w:val="7F665B5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1AB5D407-B56C-475F-9A60-C452EA6A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pt-P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A30C5"/>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unhideWhenUsed/>
    <w:qFormat/>
    <w:rsid w:val="007E22AF"/>
    <w:pPr>
      <w:spacing w:after="60" w:line="240" w:lineRule="auto"/>
      <w:jc w:val="center"/>
    </w:pPr>
    <w:rPr>
      <w:color w:val="44546A" w:themeColor="text2"/>
      <w:szCs w:val="20"/>
    </w:rPr>
  </w:style>
  <w:style w:type="character" w:styleId="TextodecomentrioChar" w:customStyle="1">
    <w:name w:val="Texto de comentário Char"/>
    <w:basedOn w:val="Fontepargpadro"/>
    <w:link w:val="Textodecomentrio"/>
    <w:uiPriority w:val="99"/>
    <w:qFormat/>
    <w:rsid w:val="007E22AF"/>
    <w:rPr>
      <w:color w:val="44546A" w:themeColor="text2"/>
      <w:szCs w:val="20"/>
      <w:lang w:val="pt-PT"/>
    </w:rPr>
  </w:style>
  <w:style w:type="character" w:styleId="Refdecomentrio">
    <w:name w:val="annotation reference"/>
    <w:basedOn w:val="Fontepargpadro"/>
    <w:unhideWhenUsed/>
    <w:qFormat/>
    <w:rsid w:val="00A61B0D"/>
    <w:rPr>
      <w:sz w:val="16"/>
      <w:szCs w:val="16"/>
    </w:rPr>
  </w:style>
  <w:style w:type="paragraph" w:styleId="Textodebalo">
    <w:name w:val="Balloon Text"/>
    <w:basedOn w:val="Normal"/>
    <w:link w:val="TextodebaloChar"/>
    <w:uiPriority w:val="99"/>
    <w:semiHidden/>
    <w:unhideWhenUsed/>
    <w:rsid w:val="00A61B0D"/>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A61B0D"/>
    <w:rPr>
      <w:rFonts w:ascii="Segoe UI" w:hAnsi="Segoe UI" w:cs="Segoe UI"/>
      <w:sz w:val="18"/>
      <w:szCs w:val="18"/>
    </w:rPr>
  </w:style>
  <w:style w:type="paragraph" w:styleId="PargrafodaLista">
    <w:name w:val="List Paragraph"/>
    <w:basedOn w:val="Normal"/>
    <w:link w:val="PargrafodaListaChar"/>
    <w:uiPriority w:val="34"/>
    <w:qFormat/>
    <w:rsid w:val="00DB735F"/>
    <w:pPr>
      <w:ind w:left="720"/>
      <w:contextualSpacing/>
    </w:pPr>
  </w:style>
  <w:style w:type="character" w:styleId="PargrafodaListaChar" w:customStyle="1">
    <w:name w:val="Parágrafo da Lista Char"/>
    <w:basedOn w:val="Fontepargpadro"/>
    <w:link w:val="PargrafodaLista"/>
    <w:uiPriority w:val="34"/>
    <w:locked/>
    <w:rsid w:val="00DB735F"/>
  </w:style>
  <w:style w:type="character" w:styleId="Hyperlink">
    <w:name w:val="Hyperlink"/>
    <w:basedOn w:val="Fontepargpadro"/>
    <w:uiPriority w:val="99"/>
    <w:unhideWhenUsed/>
    <w:rsid w:val="00EF38F5"/>
    <w:rPr>
      <w:color w:val="0563C1" w:themeColor="hyperlink"/>
      <w:u w:val="single"/>
    </w:rPr>
  </w:style>
  <w:style w:type="character" w:styleId="Forte">
    <w:name w:val="Strong"/>
    <w:basedOn w:val="Fontepargpadro"/>
    <w:uiPriority w:val="22"/>
    <w:qFormat/>
    <w:rsid w:val="009F5E77"/>
    <w:rPr>
      <w:b/>
      <w:bCs/>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yperlink" Target="https://www.gov.br/compras/pt-br/acesso-a-informacao/legislacao/instrucoes-normativas/instrucao-normativa-seges-no-58-de-8-de-agosto-de-2022"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https://www.planalto.gov.br/ccivil_03/_Ato2019-2022/2021/Lei/L14133.htm"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hyperlink" Target="https://www.gov.br/agu/pt-br/composicao/cgu/cgu/guias/guia-de-contratacoes-sustentaveis-set-2023.pdf" TargetMode="External" Id="rId6" /><Relationship Type="http://schemas.openxmlformats.org/officeDocument/2006/relationships/hyperlink" Target="https://www.gov.br/casacivil/pt-br/novopac/baixe-aqui-o-manual-de-uso-da-marca-do-novo-pac" TargetMode="Externa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hyperlink" Target="https://bnc.org.br/blog/instrucao-normativa-58-2022-regulamenta-a-elaboracao-dos-estudos-tecnicos-preliminares-na-nova-lei-de-licitacoes/" TargetMode="External" Id="rId9" /><Relationship Type="http://schemas.openxmlformats.org/officeDocument/2006/relationships/customXml" Target="../customXml/item2.xml" Id="rId14" /><Relationship Type="http://schemas.openxmlformats.org/officeDocument/2006/relationships/comments" Target="comments.xml" Id="R14a430a92e7f44ac" /><Relationship Type="http://schemas.microsoft.com/office/2011/relationships/people" Target="people.xml" Id="Re045d186e8ad4d25" /><Relationship Type="http://schemas.microsoft.com/office/2011/relationships/commentsExtended" Target="commentsExtended.xml" Id="R6d3b1b0156f84959" /><Relationship Type="http://schemas.microsoft.com/office/2016/09/relationships/commentsIds" Target="commentsIds.xml" Id="R6bc60e41f8314e38" /><Relationship Type="http://schemas.microsoft.com/office/2018/08/relationships/commentsExtensible" Target="commentsExtensible.xml" Id="R414ef3c5861f4416" /><Relationship Type="http://schemas.openxmlformats.org/officeDocument/2006/relationships/hyperlink" Target="https://portalfns.saude.gov.br/" TargetMode="External" Id="R4b878dd6c4464d48"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Jfb2M82Jhn0E7K6//r7JiVuoQ==">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BB596AC-96B8-4449-8CAE-AA9498036F75}"/>
</file>

<file path=customXml/itemProps3.xml><?xml version="1.0" encoding="utf-8"?>
<ds:datastoreItem xmlns:ds="http://schemas.openxmlformats.org/officeDocument/2006/customXml" ds:itemID="{2F2E4FBB-58E8-44D3-A086-0B16CD7564BB}"/>
</file>

<file path=customXml/itemProps4.xml><?xml version="1.0" encoding="utf-8"?>
<ds:datastoreItem xmlns:ds="http://schemas.openxmlformats.org/officeDocument/2006/customXml" ds:itemID="{F1AF2F32-1D8E-48B8-BAA1-3FDDDBC41DA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Soares Jambeiro de Oliveira</dc:creator>
  <cp:lastModifiedBy>Camila Girão de Moraes Barcelos</cp:lastModifiedBy>
  <cp:revision>9</cp:revision>
  <dcterms:created xsi:type="dcterms:W3CDTF">2024-10-25T19:04:00Z</dcterms:created>
  <dcterms:modified xsi:type="dcterms:W3CDTF">2025-01-09T18:41:48Z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