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Reunião Extraordinária Câmara Técnica de Assessoramento de Imunização (CTAI) e Comitê Interinstitucional de Farmacovigilância de Vacinas e Outros Imunobiológicos (CIFAVI)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EXECUTIVO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Reunião de 07/03/24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Tema: </w:t>
      </w:r>
      <w:r w:rsidDel="00000000" w:rsidR="00000000" w:rsidRPr="00000000">
        <w:rPr>
          <w:b w:val="1"/>
          <w:rtl w:val="0"/>
        </w:rPr>
        <w:t xml:space="preserve">Atualização da vacinação contra a dengue pelo PNI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Introdução: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 relação à vacina dengue tetravalente (atenuada), não houve registro de reações anafiláticas ou eventos de choque anafilático relacionados ao seu uso relatados durante os estudos clínicos (fases I, II e III) realizados no desenvolvimento do imunobiológico. Contudo, a partir da farmacovigilância (fase IV) da vacinação contra a dengue no Brasil, identificou-se um sinal de segurança para reações de hipersensibilidade e anafilaxia.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Dentre as notificações, 16 casos de anafilaxia (4,38/100.000 DA) foram identificados. Nenhum dos casos evoluiu ao óbito.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Todos os casos aqui descritos foram investigados, avaliados e encerrados pelo SNV-ESAVI, conforme as atribuições administrativas das esferas de gestão do SUS, com o apoio do Comitê Interinstitucional de Farmacovigilância de Vacinas e outros Imunobiológicos (CIFAVI).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Encaminhamentos: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Recomendar observação de 30 minutos após a vacinação para quem tem histórico de alergia e 15 minutos para os demais vacinados, independentemente do tipo de dose;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reações de hipersensibilidade não grave após a primeira dose, realizar avaliação clínica caso a caso para possibilidade de administração assistida da segunda dose;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Administração concomitante com outras vacinas: vacinas de vírus inativado podem ser feitas 24 horas depois e para vacinas de vírus </w:t>
      </w:r>
      <w:r w:rsidDel="00000000" w:rsidR="00000000" w:rsidRPr="00000000">
        <w:rPr>
          <w:rtl w:val="0"/>
        </w:rPr>
        <w:t xml:space="preserve">atenuado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aguardar quatro semanas;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Reforçar o cumprimento do protocolo de manejo de casos de hipersensibilidade e anafilaxia nos estabelecimentos de saúde que realizam vacinação;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a comunicação sobre a Nota Técnica, simultaneamente, entre os órgãos e instituições relacionados: ANVISA, CONASS, CONASEMS.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Compõem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Câmara Técnica de Assessoramento em Imunização (CTAI) </w:t>
      </w: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regulamentad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pela Portaria GM/MS nº 470, de 13 de abril de 2023)</w:t>
      </w:r>
      <w:r w:rsidDel="00000000" w:rsidR="00000000" w:rsidRPr="00000000">
        <w:rPr>
          <w:sz w:val="22"/>
          <w:szCs w:val="22"/>
          <w:rtl w:val="0"/>
        </w:rPr>
        <w:t xml:space="preserve"> os seguintes órgãos: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Conselho Nacional de Secretários de Saúde (Conass)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Conselho Nacional de Secretarias Municipais de Saúde (Conasems)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Organização Pan-Americana da Saúde – OPAS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Fundação Oswaldo Cruz (Fiocruz)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Associação Brasileira de Alergia e Imunologia – ASBAI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Sociedade Brasileira de Imunizações – SBIM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Sociedade Brasileira de Pediatria – SBP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Sociedade Brasileira de Infectologia - SBI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Sociedade Brasileira de Reumatologia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Sociedade Brasileira de Geriatria e Gerontologia – SBGG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Federação Brasileira das Associações de Ginecologia e Obstetrícia – FEBRASGO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Associação Brasileira de Saúde Coletiva – ABRASCO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Comitê Interinstitucional de Farmacovigilância de Vacinas e outros Imunobiológicos (CIFAVI) </w:t>
      </w:r>
      <w:r w:rsidDel="00000000" w:rsidR="00000000" w:rsidRPr="00000000">
        <w:rPr>
          <w:sz w:val="22"/>
          <w:szCs w:val="22"/>
          <w:rtl w:val="0"/>
        </w:rPr>
        <w:t xml:space="preserve">(Portaria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GM/MS nº 1.143, de 4 de junho de 202</w:t>
      </w:r>
      <w:r w:rsidDel="00000000" w:rsidR="00000000" w:rsidRPr="00000000">
        <w:rPr>
          <w:sz w:val="22"/>
          <w:szCs w:val="22"/>
          <w:rtl w:val="0"/>
        </w:rPr>
        <w:t xml:space="preserve">1) é composto por: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Agência Nacional de Vigilância Sanitária (ANVISA);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Fundação Oswaldo Cruz (FIOCRUZ), por meio do Instituto Nacional de Controle de Qualidade em Saúde (INCQS/FIOCRUZ);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Ministério da Saúde.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2.7pt;height:838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2.7pt;height:838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2.7pt;height:838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F50E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0E6"/>
  </w:style>
  <w:style w:type="paragraph" w:styleId="Rodap">
    <w:name w:val="footer"/>
    <w:basedOn w:val="Normal"/>
    <w:link w:val="RodapChar"/>
    <w:uiPriority w:val="99"/>
    <w:unhideWhenUsed w:val="1"/>
    <w:rsid w:val="000F50E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0E6"/>
  </w:style>
  <w:style w:type="table" w:styleId="Tabelacomgrade">
    <w:name w:val="Table Grid"/>
    <w:basedOn w:val="Tabelanormal"/>
    <w:uiPriority w:val="39"/>
    <w:rsid w:val="00452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4-nfase6">
    <w:name w:val="Grid Table 4 Accent 6"/>
    <w:basedOn w:val="Tabelanormal"/>
    <w:uiPriority w:val="49"/>
    <w:rsid w:val="00452022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PargrafodaLista">
    <w:name w:val="List Paragraph"/>
    <w:basedOn w:val="Normal"/>
    <w:uiPriority w:val="34"/>
    <w:qFormat w:val="1"/>
    <w:rsid w:val="00F34E7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168BF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168BF"/>
    <w:rPr>
      <w:rFonts w:ascii="Segoe UI" w:cs="Segoe UI" w:hAnsi="Segoe UI"/>
      <w:sz w:val="18"/>
      <w:szCs w:val="18"/>
    </w:rPr>
  </w:style>
  <w:style w:type="character" w:styleId="normaltextrun" w:customStyle="1">
    <w:name w:val="normaltextrun"/>
    <w:basedOn w:val="Fontepargpadro"/>
    <w:rsid w:val="00047F96"/>
  </w:style>
  <w:style w:type="character" w:styleId="eop" w:customStyle="1">
    <w:name w:val="eop"/>
    <w:basedOn w:val="Fontepargpadro"/>
    <w:rsid w:val="00047F96"/>
  </w:style>
  <w:style w:type="paragraph" w:styleId="NormalWeb">
    <w:name w:val="Normal (Web)"/>
    <w:basedOn w:val="Normal"/>
    <w:uiPriority w:val="99"/>
    <w:semiHidden w:val="1"/>
    <w:unhideWhenUsed w:val="1"/>
    <w:rsid w:val="00C223B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cF4w5v5U3MfMAsk1zTCjzJTAA==">CgMxLjA4AHIhMUMzWjdpaE43LVd2Q1ZDRUhBWktrc3hrUk1RaUNvd3pp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2024-03-08T00:26:00Z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</Properties>
</file>