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09B8" w14:textId="48B5C15A" w:rsidR="008F71F1" w:rsidRPr="008F71F1" w:rsidRDefault="008F71F1" w:rsidP="008F71F1">
      <w:pPr>
        <w:jc w:val="center"/>
        <w:rPr>
          <w:sz w:val="24"/>
          <w:szCs w:val="24"/>
        </w:rPr>
      </w:pPr>
      <w:r w:rsidRPr="008F71F1">
        <w:rPr>
          <w:sz w:val="24"/>
          <w:szCs w:val="24"/>
        </w:rPr>
        <w:t>MODELO</w:t>
      </w:r>
    </w:p>
    <w:p w14:paraId="5CAAA4B8" w14:textId="7FC7776D" w:rsidR="008F71F1" w:rsidRPr="008F71F1" w:rsidRDefault="008F71F1" w:rsidP="008F71F1">
      <w:pPr>
        <w:jc w:val="center"/>
        <w:rPr>
          <w:sz w:val="24"/>
          <w:szCs w:val="24"/>
        </w:rPr>
      </w:pPr>
      <w:r w:rsidRPr="008F71F1">
        <w:rPr>
          <w:sz w:val="24"/>
          <w:szCs w:val="24"/>
        </w:rPr>
        <w:t>FORMULÁRIO PROPOSTA DE CONSENSUALIDADE</w:t>
      </w:r>
    </w:p>
    <w:p w14:paraId="712CDD98" w14:textId="46D76B55" w:rsidR="00296FFE" w:rsidRDefault="00296FFE">
      <w:pPr>
        <w:rPr>
          <w:sz w:val="24"/>
          <w:szCs w:val="24"/>
        </w:rPr>
      </w:pPr>
    </w:p>
    <w:p w14:paraId="55B8DE38" w14:textId="4A0F2E79" w:rsidR="008F71F1" w:rsidRPr="008F71F1" w:rsidRDefault="008F71F1">
      <w:pPr>
        <w:rPr>
          <w:b/>
          <w:bCs/>
          <w:sz w:val="24"/>
          <w:szCs w:val="24"/>
        </w:rPr>
      </w:pPr>
      <w:r w:rsidRPr="008F71F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4557F9" wp14:editId="4375CCD8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724525" cy="381000"/>
                <wp:effectExtent l="0" t="0" r="28575" b="19050"/>
                <wp:wrapNone/>
                <wp:docPr id="130262054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5B9F6" w14:textId="2F7755DC" w:rsidR="008F71F1" w:rsidRDefault="008F71F1" w:rsidP="008F71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4557F9" id="Retângulo 2" o:spid="_x0000_s1026" style="position:absolute;margin-left:0;margin-top:21.2pt;width:450.75pt;height:30pt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" fillcolor="white [3201]" strokecolor="#70ad47 [3209]" strokeweight="1pt">
                <v:textbox>
                  <w:txbxContent>
                    <w:p w14:paraId="6495B9F6" w14:textId="2F7755DC" w:rsidR="008F71F1" w:rsidRDefault="008F71F1" w:rsidP="008F71F1"/>
                  </w:txbxContent>
                </v:textbox>
                <w10:wrap anchorx="margin"/>
              </v:rect>
            </w:pict>
          </mc:Fallback>
        </mc:AlternateContent>
      </w:r>
      <w:r w:rsidRPr="008F71F1">
        <w:rPr>
          <w:b/>
          <w:bCs/>
          <w:sz w:val="24"/>
          <w:szCs w:val="24"/>
        </w:rPr>
        <w:t>NOME / RAZÃO SOCIAL DO INTERESSADO</w:t>
      </w:r>
    </w:p>
    <w:p w14:paraId="21DC1F28" w14:textId="1BBFE178" w:rsidR="008F71F1" w:rsidRDefault="008F71F1">
      <w:pPr>
        <w:rPr>
          <w:sz w:val="24"/>
          <w:szCs w:val="24"/>
        </w:rPr>
      </w:pPr>
    </w:p>
    <w:p w14:paraId="3A5AC3DB" w14:textId="4376B6E4" w:rsidR="008F71F1" w:rsidRDefault="008F71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98222" wp14:editId="3E902E3F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334000" cy="381000"/>
                <wp:effectExtent l="0" t="0" r="19050" b="19050"/>
                <wp:wrapNone/>
                <wp:docPr id="89168769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811C4" w14:textId="77777777" w:rsidR="008F71F1" w:rsidRDefault="008F71F1" w:rsidP="008F71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B98222" id="_x0000_s1027" style="position:absolute;margin-left:368.8pt;margin-top:17.8pt;width:420pt;height:30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" fillcolor="white [3201]" strokecolor="#70ad47 [3209]" strokeweight="1pt">
                <v:textbox>
                  <w:txbxContent>
                    <w:p w14:paraId="7BA811C4" w14:textId="77777777" w:rsidR="008F71F1" w:rsidRDefault="008F71F1" w:rsidP="008F71F1"/>
                  </w:txbxContent>
                </v:textbox>
                <w10:wrap anchorx="margin"/>
              </v:rect>
            </w:pict>
          </mc:Fallback>
        </mc:AlternateContent>
      </w:r>
    </w:p>
    <w:p w14:paraId="07C99E2F" w14:textId="4FC10146" w:rsidR="008F71F1" w:rsidRPr="008F71F1" w:rsidRDefault="008F71F1">
      <w:pPr>
        <w:rPr>
          <w:b/>
          <w:bCs/>
          <w:sz w:val="24"/>
          <w:szCs w:val="24"/>
        </w:rPr>
      </w:pPr>
      <w:r w:rsidRPr="008F71F1">
        <w:rPr>
          <w:b/>
          <w:bCs/>
          <w:sz w:val="24"/>
          <w:szCs w:val="24"/>
        </w:rPr>
        <w:t>CNPJ</w:t>
      </w:r>
    </w:p>
    <w:p w14:paraId="09336972" w14:textId="68B8131F" w:rsidR="00BF42D2" w:rsidRPr="00BF42D2" w:rsidRDefault="00BF42D2" w:rsidP="00BF42D2">
      <w:pPr>
        <w:spacing w:before="360"/>
        <w:rPr>
          <w:b/>
          <w:bCs/>
          <w:sz w:val="24"/>
          <w:szCs w:val="24"/>
        </w:rPr>
      </w:pPr>
      <w:bookmarkStart w:id="0" w:name="_Hlk181350542"/>
      <w:r w:rsidRPr="008F71F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97B41" wp14:editId="13D04550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5724525" cy="828675"/>
                <wp:effectExtent l="0" t="0" r="28575" b="28575"/>
                <wp:wrapNone/>
                <wp:docPr id="38178287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18106" w14:textId="77777777" w:rsidR="00BF42D2" w:rsidRDefault="00BF42D2" w:rsidP="00BF42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97B41" id="_x0000_s1028" style="position:absolute;margin-left:399.55pt;margin-top:26.65pt;width:450.75pt;height:65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" fillcolor="white [3201]" strokecolor="#70ad47 [3209]" strokeweight="1pt">
                <v:textbox>
                  <w:txbxContent>
                    <w:p w14:paraId="06A18106" w14:textId="77777777" w:rsidR="00BF42D2" w:rsidRDefault="00BF42D2" w:rsidP="00BF42D2"/>
                  </w:txbxContent>
                </v:textbox>
                <w10:wrap anchorx="margin"/>
              </v:rect>
            </w:pict>
          </mc:Fallback>
        </mc:AlternateContent>
      </w:r>
      <w:r w:rsidRPr="00BF42D2">
        <w:rPr>
          <w:b/>
          <w:bCs/>
          <w:sz w:val="24"/>
          <w:szCs w:val="24"/>
        </w:rPr>
        <w:t>NÚMERO</w:t>
      </w:r>
      <w:r>
        <w:rPr>
          <w:b/>
          <w:bCs/>
          <w:sz w:val="24"/>
          <w:szCs w:val="24"/>
        </w:rPr>
        <w:t xml:space="preserve">(S) </w:t>
      </w:r>
      <w:r w:rsidRPr="00BF42D2">
        <w:rPr>
          <w:b/>
          <w:bCs/>
          <w:sz w:val="24"/>
          <w:szCs w:val="24"/>
        </w:rPr>
        <w:t>PROCESSO</w:t>
      </w:r>
      <w:r>
        <w:rPr>
          <w:b/>
          <w:bCs/>
          <w:sz w:val="24"/>
          <w:szCs w:val="24"/>
        </w:rPr>
        <w:t>(S)</w:t>
      </w:r>
      <w:r w:rsidRPr="00BF42D2">
        <w:rPr>
          <w:b/>
          <w:bCs/>
          <w:sz w:val="24"/>
          <w:szCs w:val="24"/>
        </w:rPr>
        <w:t xml:space="preserve"> ADMINISTRATIVO</w:t>
      </w:r>
      <w:r w:rsidRPr="00BF42D2">
        <w:rPr>
          <w:b/>
          <w:bCs/>
          <w:sz w:val="24"/>
          <w:szCs w:val="24"/>
        </w:rPr>
        <w:t xml:space="preserve"> OU JUDICIAL </w:t>
      </w:r>
      <w:r w:rsidRPr="00BF42D2">
        <w:rPr>
          <w:b/>
          <w:bCs/>
          <w:sz w:val="24"/>
          <w:szCs w:val="24"/>
        </w:rPr>
        <w:t>(SE HOUVER</w:t>
      </w:r>
      <w:bookmarkEnd w:id="0"/>
      <w:r w:rsidRPr="00BF42D2">
        <w:rPr>
          <w:b/>
          <w:bCs/>
          <w:sz w:val="24"/>
          <w:szCs w:val="24"/>
        </w:rPr>
        <w:t>)</w:t>
      </w:r>
    </w:p>
    <w:p w14:paraId="34D44FD8" w14:textId="714939F8" w:rsidR="00BF42D2" w:rsidRDefault="00BF42D2">
      <w:pPr>
        <w:rPr>
          <w:sz w:val="24"/>
          <w:szCs w:val="24"/>
        </w:rPr>
      </w:pPr>
    </w:p>
    <w:p w14:paraId="567FB98C" w14:textId="77777777" w:rsidR="00BF42D2" w:rsidRDefault="00BF42D2">
      <w:pPr>
        <w:rPr>
          <w:sz w:val="24"/>
          <w:szCs w:val="24"/>
        </w:rPr>
      </w:pPr>
    </w:p>
    <w:p w14:paraId="3C9DFD78" w14:textId="77777777" w:rsidR="00BF42D2" w:rsidRDefault="00BF42D2">
      <w:pPr>
        <w:rPr>
          <w:sz w:val="24"/>
          <w:szCs w:val="24"/>
        </w:rPr>
      </w:pPr>
    </w:p>
    <w:p w14:paraId="0396A7C4" w14:textId="77777777" w:rsidR="008F71F1" w:rsidRPr="00BF42D2" w:rsidRDefault="008F71F1" w:rsidP="008F71F1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BF42D2">
        <w:rPr>
          <w:rFonts w:cs="Calibri"/>
          <w:b/>
          <w:bCs/>
          <w:sz w:val="24"/>
          <w:szCs w:val="24"/>
        </w:rPr>
        <w:t>I - DESCRIÇÃO DO CONFLITO</w:t>
      </w:r>
    </w:p>
    <w:p w14:paraId="1A6F1B7F" w14:textId="3B523C76" w:rsidR="00BF42D2" w:rsidRPr="00BF42D2" w:rsidRDefault="00BF42D2" w:rsidP="00BF42D2">
      <w:pPr>
        <w:spacing w:after="120"/>
        <w:jc w:val="both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  <w:sz w:val="24"/>
          <w:szCs w:val="24"/>
        </w:rPr>
        <w:t>Orientações</w:t>
      </w:r>
      <w:r w:rsidRPr="00BF42D2">
        <w:rPr>
          <w:rFonts w:cs="Calibri"/>
          <w:color w:val="A6A6A6" w:themeColor="background1" w:themeShade="A6"/>
        </w:rPr>
        <w:t xml:space="preserve">: </w:t>
      </w:r>
    </w:p>
    <w:p w14:paraId="337E9255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Descreva de forma sumária e precisa a situação a ser tratada no procedimento de Consensualidade Fiscal - Receita de Consenso - no âmbito da Secretaria Especial da Receita Federal do Brasil – RFB</w:t>
      </w:r>
    </w:p>
    <w:p w14:paraId="19C08D64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O Consenso busca evitar, por intermédio de técnicas de consensualidade, conflitos ou prováveis conflitos tributários.</w:t>
      </w:r>
    </w:p>
    <w:p w14:paraId="0AFCE5E3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 xml:space="preserve">Seja preciso e objetivo na descrição dos fatos que resultam no conflito ou provável conflito, inclusive com indicação de números de declarações, processos, escrituração etc. </w:t>
      </w:r>
    </w:p>
    <w:p w14:paraId="5135B4DE" w14:textId="77777777" w:rsidR="008F71F1" w:rsidRDefault="008F71F1">
      <w:pPr>
        <w:rPr>
          <w:sz w:val="24"/>
          <w:szCs w:val="24"/>
        </w:rPr>
      </w:pPr>
    </w:p>
    <w:p w14:paraId="22F2DFCC" w14:textId="77777777" w:rsidR="00BF42D2" w:rsidRDefault="00BF42D2">
      <w:pPr>
        <w:rPr>
          <w:sz w:val="24"/>
          <w:szCs w:val="24"/>
        </w:rPr>
      </w:pPr>
    </w:p>
    <w:p w14:paraId="10652718" w14:textId="3FD229A3" w:rsidR="008F71F1" w:rsidRPr="00BF42D2" w:rsidRDefault="008F71F1">
      <w:pPr>
        <w:rPr>
          <w:b/>
          <w:bCs/>
          <w:sz w:val="24"/>
          <w:szCs w:val="24"/>
        </w:rPr>
      </w:pPr>
      <w:r w:rsidRPr="00BF42D2">
        <w:rPr>
          <w:b/>
          <w:bCs/>
          <w:sz w:val="24"/>
          <w:szCs w:val="24"/>
        </w:rPr>
        <w:t>II - FUNDAMENTAÇÃO</w:t>
      </w:r>
    </w:p>
    <w:p w14:paraId="119A6E8F" w14:textId="77777777" w:rsidR="00BF42D2" w:rsidRDefault="00BF42D2" w:rsidP="00BF42D2">
      <w:pPr>
        <w:spacing w:after="120"/>
        <w:jc w:val="both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  <w:sz w:val="24"/>
          <w:szCs w:val="24"/>
        </w:rPr>
        <w:t>Orientações</w:t>
      </w:r>
      <w:r w:rsidRPr="00BF42D2">
        <w:rPr>
          <w:rFonts w:cs="Calibri"/>
          <w:color w:val="A6A6A6" w:themeColor="background1" w:themeShade="A6"/>
        </w:rPr>
        <w:t xml:space="preserve">: </w:t>
      </w:r>
    </w:p>
    <w:p w14:paraId="56ED97B2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O interessado deve fundamentar seu entendimento acerca da qualificação do fato tributário ou aduaneiro.</w:t>
      </w:r>
    </w:p>
    <w:p w14:paraId="73E15E0E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 xml:space="preserve">O Consenso não pode contrariar entendimentos normativos ou interpretativos vinculantes. </w:t>
      </w:r>
    </w:p>
    <w:p w14:paraId="27E2297C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Caso a divergência seja que o fato se aplica ou não a algum entendimento vinculante, indicar precisamente tal divergência, de preferência em um tópico específico;</w:t>
      </w:r>
    </w:p>
    <w:p w14:paraId="2A5E5131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Seja o mais objetivo e conciso possível, pois maiores detalhamentos serão solicitados e debatidos durante o procedimento de consensualidade, não havendo preclusão.</w:t>
      </w:r>
    </w:p>
    <w:p w14:paraId="334F8D8F" w14:textId="77777777" w:rsidR="00BF42D2" w:rsidRPr="00BF42D2" w:rsidRDefault="00BF42D2" w:rsidP="00BF42D2">
      <w:pPr>
        <w:pStyle w:val="PargrafodaLista"/>
        <w:suppressAutoHyphens w:val="0"/>
        <w:autoSpaceDN/>
        <w:spacing w:after="120" w:line="240" w:lineRule="auto"/>
        <w:ind w:left="284"/>
        <w:jc w:val="both"/>
        <w:textAlignment w:val="auto"/>
        <w:rPr>
          <w:rFonts w:cs="Calibri"/>
          <w:color w:val="A6A6A6" w:themeColor="background1" w:themeShade="A6"/>
        </w:rPr>
      </w:pPr>
    </w:p>
    <w:p w14:paraId="049FD043" w14:textId="77777777" w:rsidR="008F71F1" w:rsidRDefault="008F71F1">
      <w:pPr>
        <w:rPr>
          <w:sz w:val="24"/>
          <w:szCs w:val="24"/>
        </w:rPr>
      </w:pPr>
    </w:p>
    <w:p w14:paraId="6F4CBD5A" w14:textId="77777777" w:rsidR="00BF42D2" w:rsidRDefault="00BF42D2">
      <w:pPr>
        <w:rPr>
          <w:sz w:val="24"/>
          <w:szCs w:val="24"/>
        </w:rPr>
      </w:pPr>
    </w:p>
    <w:p w14:paraId="6F75C082" w14:textId="77777777" w:rsidR="00BF42D2" w:rsidRDefault="00BF42D2">
      <w:pPr>
        <w:rPr>
          <w:sz w:val="24"/>
          <w:szCs w:val="24"/>
        </w:rPr>
      </w:pPr>
    </w:p>
    <w:p w14:paraId="7682E931" w14:textId="77777777" w:rsidR="00BF42D2" w:rsidRDefault="00BF42D2">
      <w:pPr>
        <w:rPr>
          <w:sz w:val="24"/>
          <w:szCs w:val="24"/>
        </w:rPr>
      </w:pPr>
    </w:p>
    <w:p w14:paraId="0103F90B" w14:textId="77777777" w:rsidR="00BF42D2" w:rsidRPr="00BF42D2" w:rsidRDefault="00BF42D2" w:rsidP="00BF42D2">
      <w:pPr>
        <w:rPr>
          <w:b/>
          <w:bCs/>
          <w:sz w:val="24"/>
          <w:szCs w:val="24"/>
        </w:rPr>
      </w:pPr>
      <w:r w:rsidRPr="00BF42D2">
        <w:rPr>
          <w:b/>
          <w:bCs/>
          <w:sz w:val="24"/>
          <w:szCs w:val="24"/>
        </w:rPr>
        <w:t>III - RAZÕES PARA ADMISSIBILIDADE</w:t>
      </w:r>
    </w:p>
    <w:p w14:paraId="29D11EBB" w14:textId="77777777" w:rsidR="00BF42D2" w:rsidRDefault="00BF42D2" w:rsidP="00BF42D2">
      <w:pPr>
        <w:spacing w:after="120"/>
        <w:jc w:val="both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  <w:sz w:val="24"/>
          <w:szCs w:val="24"/>
        </w:rPr>
        <w:t>Orientações</w:t>
      </w:r>
      <w:r w:rsidRPr="00BF42D2">
        <w:rPr>
          <w:rFonts w:cs="Calibri"/>
          <w:color w:val="A6A6A6" w:themeColor="background1" w:themeShade="A6"/>
        </w:rPr>
        <w:t xml:space="preserve">: </w:t>
      </w:r>
    </w:p>
    <w:p w14:paraId="730FFDA8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 xml:space="preserve">A equipe de ingresso avaliará a matéria controvertida, o grau de incerteza sobre a qualificação dos fatos, a existência de conduta com repercussão em lançamentos semelhantes para períodos de apuração posteriores, e a existência de jurisprudência administrativa ou judicial sobre situações idênticas ou similares aos fatos do caso concreto. </w:t>
      </w:r>
    </w:p>
    <w:p w14:paraId="47831A21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 xml:space="preserve">A matéria controvertida será avaliada pela possibilidade de mais de uma interpretação razoável sobre norma legal ou infralegal tributária incidente sobre o ato ou fato jurídico e que não tenha sido objeto de entendimento vinculante. </w:t>
      </w:r>
    </w:p>
    <w:p w14:paraId="0B8E46D2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O grau de incerteza sobre os fatos tributários ou aduaneiros resulta de razoável divergência sobre a realidade dos atos ou fatos ocorridos e/ou a aplicação de norma legal ou de ato interpretativo sobre tais fatos.</w:t>
      </w:r>
    </w:p>
    <w:p w14:paraId="6C3FB02A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A existência de conduta com repercussão em lançamentos semelhantes para períodos de apuração posteriores será avaliada pelo risco de o fato controvertido resultar em litígios em anos-calendário posteriores.</w:t>
      </w:r>
    </w:p>
    <w:p w14:paraId="62563F34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A existência de jurisprudência administrativa sobre situações idênticas ou similares aos fatos do caso concreto demanda a demonstração de que há ao menos três julgados de ao menos três Delegacias da Receita Federal do Brasil de Julgamento, ou três julgados do Conselho Administrativo de Recursos Fiscais, com o mesmo objeto da controvérsia.</w:t>
      </w:r>
    </w:p>
    <w:p w14:paraId="21C3A926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A existência de jurisprudência judicial sobre situações idênticas ou similares aos fatos do caso concreto demanda a demonstração de que há ao menos três julgados de ao menos dois Tribunais Regionais Federais, ou um julgado do Superior Tribunal de Justiça ou do Supremo Tribunal Federal, com o mesmo objeto da controvérsia.</w:t>
      </w:r>
    </w:p>
    <w:p w14:paraId="2E64F459" w14:textId="77777777" w:rsidR="00BF42D2" w:rsidRDefault="00BF42D2" w:rsidP="00BF42D2">
      <w:pPr>
        <w:spacing w:after="120"/>
        <w:jc w:val="both"/>
        <w:rPr>
          <w:rFonts w:cs="Calibri"/>
          <w:sz w:val="24"/>
          <w:szCs w:val="24"/>
        </w:rPr>
      </w:pPr>
    </w:p>
    <w:p w14:paraId="6BB1FE10" w14:textId="77777777" w:rsidR="00BF42D2" w:rsidRPr="00BF42D2" w:rsidRDefault="00BF42D2" w:rsidP="00BF42D2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BF42D2">
        <w:rPr>
          <w:rFonts w:cs="Calibri"/>
          <w:b/>
          <w:bCs/>
          <w:sz w:val="24"/>
          <w:szCs w:val="24"/>
        </w:rPr>
        <w:t>IV - PROPOSTA DE SOLUÇÃO</w:t>
      </w:r>
    </w:p>
    <w:p w14:paraId="5694BB6E" w14:textId="77777777" w:rsidR="00BF42D2" w:rsidRDefault="00BF42D2" w:rsidP="00BF42D2">
      <w:pPr>
        <w:spacing w:after="120"/>
        <w:jc w:val="both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  <w:sz w:val="24"/>
          <w:szCs w:val="24"/>
        </w:rPr>
        <w:t>Orientações</w:t>
      </w:r>
      <w:r w:rsidRPr="00BF42D2">
        <w:rPr>
          <w:rFonts w:cs="Calibri"/>
          <w:color w:val="A6A6A6" w:themeColor="background1" w:themeShade="A6"/>
        </w:rPr>
        <w:t xml:space="preserve">: </w:t>
      </w:r>
    </w:p>
    <w:p w14:paraId="193FE7D4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Indique a proposta de solução ao seu caso.</w:t>
      </w:r>
    </w:p>
    <w:p w14:paraId="43AD745A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>Caso entenda poder existir mais de uma solução, poderá apresentar soluções alternativas.</w:t>
      </w:r>
    </w:p>
    <w:p w14:paraId="5E441673" w14:textId="77777777" w:rsidR="00BF42D2" w:rsidRDefault="00BF42D2" w:rsidP="00BF42D2">
      <w:pPr>
        <w:spacing w:after="120"/>
        <w:jc w:val="both"/>
        <w:rPr>
          <w:rFonts w:cs="Calibri"/>
          <w:sz w:val="24"/>
          <w:szCs w:val="24"/>
        </w:rPr>
      </w:pPr>
    </w:p>
    <w:p w14:paraId="2044CAA8" w14:textId="77777777" w:rsidR="00BF42D2" w:rsidRDefault="00BF42D2" w:rsidP="00BF42D2">
      <w:pPr>
        <w:spacing w:after="120"/>
        <w:jc w:val="both"/>
        <w:rPr>
          <w:rFonts w:cs="Calibri"/>
          <w:sz w:val="24"/>
          <w:szCs w:val="24"/>
        </w:rPr>
      </w:pPr>
    </w:p>
    <w:p w14:paraId="4F482EEC" w14:textId="77777777" w:rsidR="00BF42D2" w:rsidRPr="00BF42D2" w:rsidRDefault="00BF42D2" w:rsidP="00BF42D2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BF42D2">
        <w:rPr>
          <w:rFonts w:cs="Calibri"/>
          <w:b/>
          <w:bCs/>
          <w:sz w:val="24"/>
          <w:szCs w:val="24"/>
        </w:rPr>
        <w:t>V - REQUISITOS ESPECÍFICOS</w:t>
      </w:r>
    </w:p>
    <w:p w14:paraId="22E76073" w14:textId="77777777" w:rsidR="00BF42D2" w:rsidRDefault="00BF42D2" w:rsidP="00BF42D2">
      <w:pPr>
        <w:spacing w:after="120"/>
        <w:jc w:val="both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  <w:sz w:val="24"/>
          <w:szCs w:val="24"/>
        </w:rPr>
        <w:t>Orientações</w:t>
      </w:r>
      <w:r w:rsidRPr="00BF42D2">
        <w:rPr>
          <w:rFonts w:cs="Calibri"/>
          <w:color w:val="A6A6A6" w:themeColor="background1" w:themeShade="A6"/>
        </w:rPr>
        <w:t xml:space="preserve">: </w:t>
      </w:r>
    </w:p>
    <w:p w14:paraId="3156A82B" w14:textId="77777777" w:rsidR="00BF42D2" w:rsidRPr="00BF42D2" w:rsidRDefault="00BF42D2" w:rsidP="00BF42D2">
      <w:pPr>
        <w:pStyle w:val="PargrafodaLista"/>
        <w:numPr>
          <w:ilvl w:val="0"/>
          <w:numId w:val="1"/>
        </w:numPr>
        <w:suppressAutoHyphens w:val="0"/>
        <w:autoSpaceDN/>
        <w:spacing w:after="120" w:line="240" w:lineRule="auto"/>
        <w:ind w:left="284" w:hanging="284"/>
        <w:jc w:val="both"/>
        <w:textAlignment w:val="auto"/>
        <w:rPr>
          <w:rFonts w:cs="Calibri"/>
          <w:color w:val="A6A6A6" w:themeColor="background1" w:themeShade="A6"/>
        </w:rPr>
      </w:pPr>
      <w:r w:rsidRPr="00BF42D2">
        <w:rPr>
          <w:rFonts w:cs="Calibri"/>
          <w:color w:val="A6A6A6" w:themeColor="background1" w:themeShade="A6"/>
        </w:rPr>
        <w:t xml:space="preserve">No caso de o procedimento consensual se referir à consequência tributária de determinado negócio jurídico (planejamento tributário), acrescentar quadro cronológico dos atos jurídicos que envolveram o negócio e fluxograma comparativo das situações fáticas prévias e posteriores.  </w:t>
      </w:r>
    </w:p>
    <w:p w14:paraId="2B7B01DF" w14:textId="77777777" w:rsidR="00BF42D2" w:rsidRDefault="00BF42D2" w:rsidP="00BF42D2">
      <w:pPr>
        <w:spacing w:after="120"/>
        <w:jc w:val="both"/>
        <w:rPr>
          <w:rFonts w:cs="Calibri"/>
          <w:color w:val="A6A6A6" w:themeColor="background1" w:themeShade="A6"/>
        </w:rPr>
      </w:pPr>
    </w:p>
    <w:p w14:paraId="1928BF6B" w14:textId="77777777" w:rsidR="00BF42D2" w:rsidRDefault="00BF42D2" w:rsidP="00BF42D2">
      <w:pPr>
        <w:spacing w:after="120"/>
        <w:jc w:val="both"/>
        <w:rPr>
          <w:rFonts w:cs="Calibri"/>
          <w:sz w:val="24"/>
          <w:szCs w:val="24"/>
        </w:rPr>
      </w:pPr>
    </w:p>
    <w:p w14:paraId="133EFF4B" w14:textId="77777777" w:rsidR="00BF42D2" w:rsidRDefault="00BF42D2" w:rsidP="00BF42D2">
      <w:pPr>
        <w:spacing w:after="120"/>
        <w:jc w:val="both"/>
        <w:rPr>
          <w:rFonts w:cs="Calibri"/>
          <w:sz w:val="24"/>
          <w:szCs w:val="24"/>
        </w:rPr>
      </w:pPr>
    </w:p>
    <w:p w14:paraId="34A62D45" w14:textId="1134069C" w:rsidR="00BF42D2" w:rsidRDefault="00BF42D2" w:rsidP="00BF42D2">
      <w:pPr>
        <w:spacing w:after="12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Assinatura Digital do Responsável</w:t>
      </w:r>
    </w:p>
    <w:p w14:paraId="747E5383" w14:textId="3EF9E341" w:rsidR="008F71F1" w:rsidRPr="008F71F1" w:rsidRDefault="00BF42D2" w:rsidP="003C0188">
      <w:pPr>
        <w:spacing w:after="120"/>
        <w:jc w:val="center"/>
        <w:rPr>
          <w:sz w:val="24"/>
          <w:szCs w:val="24"/>
        </w:rPr>
      </w:pPr>
      <w:r>
        <w:rPr>
          <w:rFonts w:cs="Calibri"/>
          <w:sz w:val="24"/>
          <w:szCs w:val="24"/>
        </w:rPr>
        <w:t>ou Procurador</w:t>
      </w:r>
    </w:p>
    <w:sectPr w:rsidR="008F71F1" w:rsidRPr="008F71F1" w:rsidSect="008F71F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0A4"/>
    <w:multiLevelType w:val="hybridMultilevel"/>
    <w:tmpl w:val="459AA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8067B"/>
    <w:multiLevelType w:val="hybridMultilevel"/>
    <w:tmpl w:val="ACB4E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B0351"/>
    <w:multiLevelType w:val="hybridMultilevel"/>
    <w:tmpl w:val="C496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2304">
    <w:abstractNumId w:val="0"/>
  </w:num>
  <w:num w:numId="2" w16cid:durableId="306935824">
    <w:abstractNumId w:val="1"/>
  </w:num>
  <w:num w:numId="3" w16cid:durableId="109104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F1"/>
    <w:rsid w:val="00296FFE"/>
    <w:rsid w:val="003C0188"/>
    <w:rsid w:val="008F71F1"/>
    <w:rsid w:val="00B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708A"/>
  <w15:chartTrackingRefBased/>
  <w15:docId w15:val="{F462EBEE-0196-4FB9-8E93-9FA571BE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42D2"/>
    <w:pPr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Receita Federal do Brasil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Coutinho Aguiar</dc:creator>
  <cp:keywords/>
  <dc:description/>
  <cp:lastModifiedBy>Denis Coutinho Aguiar</cp:lastModifiedBy>
  <cp:revision>2</cp:revision>
  <dcterms:created xsi:type="dcterms:W3CDTF">2024-11-01T14:32:00Z</dcterms:created>
  <dcterms:modified xsi:type="dcterms:W3CDTF">2024-11-01T14:32:00Z</dcterms:modified>
</cp:coreProperties>
</file>