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E7557">
      <w:pPr>
        <w:pStyle w:val="TIT-QUADROSNEG"/>
        <w:rPr>
          <w:color w:val="auto"/>
        </w:rPr>
      </w:pPr>
      <w:r>
        <w:rPr>
          <w:color w:val="auto"/>
        </w:rPr>
        <w:t>Quadro VI.2 - Tipo de Atividade (Empresas com mat</w:t>
      </w:r>
      <w:r>
        <w:rPr>
          <w:color w:val="auto"/>
        </w:rPr>
        <w:t>rícula CEI)</w:t>
      </w:r>
    </w:p>
    <w:p w:rsidR="00000000" w:rsidRDefault="007E7557">
      <w:pPr>
        <w:pStyle w:val="TIT-QUADROSNEG"/>
        <w:rPr>
          <w:color w:val="auto"/>
        </w:rPr>
      </w:pPr>
    </w:p>
    <w:tbl>
      <w:tblPr>
        <w:tblW w:w="0" w:type="auto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7910"/>
      </w:tblGrid>
      <w:tr w:rsidR="00000000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7E755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CÓDIGO 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E7557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DESCRIÇÃO </w:t>
            </w:r>
          </w:p>
        </w:tc>
      </w:tr>
      <w:tr w:rsidR="00000000">
        <w:trPr>
          <w:trHeight w:val="29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E755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E7557">
            <w:pPr>
              <w:jc w:val="both"/>
            </w:pPr>
            <w:r>
              <w:rPr>
                <w:sz w:val="18"/>
                <w:szCs w:val="18"/>
              </w:rPr>
              <w:t>Obra de construção civil particular realizada sob a administração direta de pessoa física.</w:t>
            </w:r>
          </w:p>
        </w:tc>
      </w:tr>
      <w:tr w:rsidR="00000000">
        <w:trPr>
          <w:trHeight w:val="109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E755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E7557">
            <w:pPr>
              <w:jc w:val="both"/>
              <w:rPr>
                <w:sz w:val="6"/>
                <w:szCs w:val="18"/>
              </w:rPr>
            </w:pPr>
            <w:r>
              <w:rPr>
                <w:sz w:val="18"/>
                <w:szCs w:val="18"/>
              </w:rPr>
              <w:t>Obra executada, no todo ou em parte, por empresa de construção civil (construtora), de sua propriedade ou de terceiros;</w:t>
            </w:r>
          </w:p>
          <w:p w:rsidR="00000000" w:rsidRDefault="007E7557">
            <w:pPr>
              <w:jc w:val="both"/>
              <w:rPr>
                <w:sz w:val="6"/>
                <w:szCs w:val="18"/>
              </w:rPr>
            </w:pPr>
          </w:p>
          <w:p w:rsidR="00000000" w:rsidRDefault="007E7557">
            <w:pPr>
              <w:jc w:val="both"/>
              <w:rPr>
                <w:sz w:val="6"/>
                <w:szCs w:val="18"/>
              </w:rPr>
            </w:pPr>
            <w:r>
              <w:rPr>
                <w:sz w:val="18"/>
                <w:szCs w:val="18"/>
              </w:rPr>
              <w:t>Obra d</w:t>
            </w:r>
            <w:r>
              <w:rPr>
                <w:sz w:val="18"/>
                <w:szCs w:val="18"/>
              </w:rPr>
              <w:t xml:space="preserve">e propriedade de pessoa jurídica não construtora ou condomínio, executada sob sua responsabilidade;   </w:t>
            </w:r>
          </w:p>
          <w:p w:rsidR="00000000" w:rsidRDefault="007E7557">
            <w:pPr>
              <w:jc w:val="both"/>
              <w:rPr>
                <w:sz w:val="6"/>
                <w:szCs w:val="18"/>
              </w:rPr>
            </w:pPr>
          </w:p>
          <w:p w:rsidR="00000000" w:rsidRDefault="007E7557">
            <w:pPr>
              <w:jc w:val="both"/>
            </w:pPr>
            <w:r>
              <w:rPr>
                <w:sz w:val="18"/>
                <w:szCs w:val="18"/>
              </w:rPr>
              <w:t>Obra de propriedade de pessoa jurídica, incorporada na forma da Lei no 4.591/64, e construção em nome coletivo que tenha apenas pessoa jurídica ou que t</w:t>
            </w:r>
            <w:r>
              <w:rPr>
                <w:sz w:val="18"/>
                <w:szCs w:val="18"/>
              </w:rPr>
              <w:t>enha pessoa jurídica junto com pessoa física.</w:t>
            </w:r>
          </w:p>
        </w:tc>
      </w:tr>
      <w:tr w:rsidR="00000000">
        <w:trPr>
          <w:trHeight w:val="167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E755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E7557">
            <w:pPr>
              <w:jc w:val="both"/>
              <w:rPr>
                <w:sz w:val="6"/>
                <w:szCs w:val="18"/>
              </w:rPr>
            </w:pPr>
            <w:r>
              <w:rPr>
                <w:sz w:val="18"/>
                <w:szCs w:val="18"/>
              </w:rPr>
              <w:t>Produtor rural pessoa física, proprietário ou não, que explora atividade agropecuária ou pesqueira, em caráter permanente ou temporário, diretamente ou por intermédio de prepostos e com auxílio de empregados</w:t>
            </w:r>
            <w:r>
              <w:rPr>
                <w:sz w:val="18"/>
                <w:szCs w:val="18"/>
              </w:rPr>
              <w:t>, utilizados a qualquer título, ainda que de forma não contínua;</w:t>
            </w:r>
          </w:p>
          <w:p w:rsidR="00000000" w:rsidRDefault="007E7557">
            <w:pPr>
              <w:jc w:val="both"/>
              <w:rPr>
                <w:sz w:val="6"/>
                <w:szCs w:val="18"/>
              </w:rPr>
            </w:pPr>
          </w:p>
          <w:p w:rsidR="00000000" w:rsidRDefault="007E7557">
            <w:pPr>
              <w:pStyle w:val="Corpodetexto"/>
              <w:jc w:val="both"/>
              <w:rPr>
                <w:sz w:val="6"/>
              </w:rPr>
            </w:pPr>
            <w:r>
              <w:t>Segurado especial que vender os seus produtos no varejo, diretamente a consumidor, a outro produtor rural pessoa física ou adquirente no exterior;</w:t>
            </w:r>
          </w:p>
          <w:p w:rsidR="00000000" w:rsidRDefault="007E7557">
            <w:pPr>
              <w:jc w:val="both"/>
              <w:rPr>
                <w:sz w:val="6"/>
                <w:szCs w:val="18"/>
              </w:rPr>
            </w:pPr>
          </w:p>
          <w:p w:rsidR="00000000" w:rsidRDefault="007E7557">
            <w:pPr>
              <w:jc w:val="both"/>
            </w:pPr>
            <w:r>
              <w:rPr>
                <w:sz w:val="18"/>
                <w:szCs w:val="18"/>
              </w:rPr>
              <w:t>Empregador doméstico situado em área rural</w:t>
            </w:r>
            <w:r>
              <w:rPr>
                <w:sz w:val="18"/>
                <w:szCs w:val="18"/>
              </w:rPr>
              <w:t xml:space="preserve"> (para fins de recolhimento do FGTS – GFIP), desde que não possua outra matrícula com o mesmo código. </w:t>
            </w:r>
          </w:p>
        </w:tc>
      </w:tr>
      <w:tr w:rsidR="00000000">
        <w:trPr>
          <w:trHeight w:val="127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E755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E7557">
            <w:pPr>
              <w:jc w:val="both"/>
              <w:rPr>
                <w:sz w:val="6"/>
                <w:szCs w:val="18"/>
              </w:rPr>
            </w:pPr>
            <w:r>
              <w:rPr>
                <w:sz w:val="18"/>
                <w:szCs w:val="18"/>
              </w:rPr>
              <w:t>Contribuinte isento do CNPJ ou aquele que, embora sujeito ao registro, não regularizou sua situação perante o Ministério da Fazenda;</w:t>
            </w:r>
          </w:p>
          <w:p w:rsidR="00000000" w:rsidRDefault="007E7557">
            <w:pPr>
              <w:jc w:val="both"/>
              <w:rPr>
                <w:sz w:val="6"/>
                <w:szCs w:val="18"/>
              </w:rPr>
            </w:pPr>
          </w:p>
          <w:p w:rsidR="00000000" w:rsidRDefault="007E7557">
            <w:pPr>
              <w:jc w:val="both"/>
              <w:rPr>
                <w:sz w:val="6"/>
                <w:szCs w:val="18"/>
              </w:rPr>
            </w:pPr>
            <w:r>
              <w:rPr>
                <w:sz w:val="18"/>
                <w:szCs w:val="18"/>
              </w:rPr>
              <w:t>Empregador domés</w:t>
            </w:r>
            <w:r>
              <w:rPr>
                <w:sz w:val="18"/>
                <w:szCs w:val="18"/>
              </w:rPr>
              <w:t xml:space="preserve">tico situado em área urbana (para fins de recolhimento do FGTS – GFIP), desde que não possua outra matrícula com o mesmo código; </w:t>
            </w:r>
          </w:p>
          <w:p w:rsidR="00000000" w:rsidRDefault="007E7557">
            <w:pPr>
              <w:jc w:val="both"/>
              <w:rPr>
                <w:sz w:val="6"/>
                <w:szCs w:val="18"/>
              </w:rPr>
            </w:pPr>
          </w:p>
          <w:p w:rsidR="00000000" w:rsidRDefault="007E7557">
            <w:pPr>
              <w:jc w:val="both"/>
              <w:rPr>
                <w:sz w:val="6"/>
                <w:szCs w:val="18"/>
              </w:rPr>
            </w:pPr>
            <w:r>
              <w:rPr>
                <w:sz w:val="18"/>
                <w:szCs w:val="18"/>
              </w:rPr>
              <w:t>Contribuinte Individual, quando equiparado a empresa em relação aos segurados que lhe prestem serviços;</w:t>
            </w:r>
          </w:p>
          <w:p w:rsidR="00000000" w:rsidRDefault="007E7557">
            <w:pPr>
              <w:jc w:val="both"/>
              <w:rPr>
                <w:sz w:val="6"/>
                <w:szCs w:val="18"/>
              </w:rPr>
            </w:pPr>
          </w:p>
          <w:p w:rsidR="00000000" w:rsidRDefault="007E7557">
            <w:pPr>
              <w:jc w:val="both"/>
              <w:rPr>
                <w:sz w:val="6"/>
                <w:szCs w:val="18"/>
              </w:rPr>
            </w:pPr>
            <w:r>
              <w:rPr>
                <w:sz w:val="18"/>
                <w:szCs w:val="18"/>
              </w:rPr>
              <w:t>Para cadastramento d</w:t>
            </w:r>
            <w:r>
              <w:rPr>
                <w:sz w:val="18"/>
                <w:szCs w:val="18"/>
              </w:rPr>
              <w:t>e débito de natureza não previdenciária;</w:t>
            </w:r>
          </w:p>
          <w:p w:rsidR="00000000" w:rsidRDefault="007E7557">
            <w:pPr>
              <w:jc w:val="both"/>
              <w:rPr>
                <w:sz w:val="6"/>
                <w:szCs w:val="18"/>
              </w:rPr>
            </w:pPr>
          </w:p>
          <w:p w:rsidR="00000000" w:rsidRDefault="007E7557">
            <w:pPr>
              <w:jc w:val="both"/>
            </w:pPr>
            <w:r>
              <w:rPr>
                <w:sz w:val="18"/>
                <w:szCs w:val="18"/>
              </w:rPr>
              <w:t xml:space="preserve">Para cadastramento de débito de devedor sem identificação no CNPJ ou no CEI. </w:t>
            </w:r>
          </w:p>
        </w:tc>
      </w:tr>
    </w:tbl>
    <w:p w:rsidR="007E7557" w:rsidRDefault="007E7557">
      <w:pPr>
        <w:pStyle w:val="TIT-QUADROSNEG"/>
        <w:rPr>
          <w:color w:val="auto"/>
        </w:rPr>
      </w:pPr>
      <w:bookmarkStart w:id="0" w:name="_GoBack"/>
      <w:bookmarkEnd w:id="0"/>
    </w:p>
    <w:sectPr w:rsidR="007E755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DF0"/>
    <w:rsid w:val="00342DF0"/>
    <w:rsid w:val="007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E7374FE-2BDF-4E39-9574-DC648543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Pr>
      <w:sz w:val="18"/>
      <w:szCs w:val="1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SUBSEOentrada">
    <w:name w:val="SUBSEÇÃO entrada"/>
    <w:pPr>
      <w:pBdr>
        <w:bottom w:val="single" w:sz="2" w:space="0" w:color="000000"/>
      </w:pBdr>
      <w:suppressAutoHyphens/>
      <w:autoSpaceDE w:val="0"/>
      <w:jc w:val="right"/>
    </w:pPr>
    <w:rPr>
      <w:b/>
      <w:bCs/>
      <w:color w:val="000000"/>
      <w:sz w:val="36"/>
      <w:szCs w:val="36"/>
      <w:lang w:eastAsia="zh-CN"/>
    </w:rPr>
  </w:style>
  <w:style w:type="paragraph" w:customStyle="1" w:styleId="TEXTOAeps2008INI">
    <w:name w:val="TEXTOAeps2008INI"/>
    <w:pPr>
      <w:tabs>
        <w:tab w:val="left" w:pos="850"/>
      </w:tabs>
      <w:suppressAutoHyphens/>
      <w:autoSpaceDE w:val="0"/>
      <w:spacing w:after="170"/>
      <w:ind w:left="351" w:right="351" w:hanging="351"/>
      <w:jc w:val="both"/>
    </w:pPr>
    <w:rPr>
      <w:color w:val="000000"/>
      <w:lang w:eastAsia="zh-CN"/>
    </w:rPr>
  </w:style>
  <w:style w:type="paragraph" w:customStyle="1" w:styleId="TIT-QUADROSNEG">
    <w:name w:val="TIT - QUADROS NEG"/>
    <w:pPr>
      <w:suppressAutoHyphens/>
      <w:autoSpaceDE w:val="0"/>
      <w:spacing w:line="280" w:lineRule="atLeast"/>
      <w:jc w:val="center"/>
    </w:pPr>
    <w:rPr>
      <w:b/>
      <w:bCs/>
      <w:caps/>
      <w:color w:val="000000"/>
      <w:spacing w:val="15"/>
      <w:sz w:val="22"/>
      <w:szCs w:val="22"/>
      <w:lang w:eastAsia="zh-CN"/>
    </w:rPr>
  </w:style>
  <w:style w:type="paragraph" w:customStyle="1" w:styleId="TEXTOAeps2008INI1">
    <w:name w:val="TEXTOAeps2008INI 1)"/>
    <w:basedOn w:val="TEXTOAeps2008INI"/>
    <w:next w:val="TEXTOAeps2008INI"/>
    <w:pPr>
      <w:tabs>
        <w:tab w:val="clear" w:pos="850"/>
        <w:tab w:val="left" w:pos="1247"/>
      </w:tabs>
      <w:spacing w:after="80"/>
      <w:ind w:left="1247" w:hanging="397"/>
    </w:pPr>
    <w:rPr>
      <w:color w:val="auto"/>
    </w:rPr>
  </w:style>
  <w:style w:type="paragraph" w:customStyle="1" w:styleId="QDV1Portaria">
    <w:name w:val="QD V.1 Portaria"/>
    <w:basedOn w:val="Normal"/>
    <w:next w:val="Normal"/>
    <w:pPr>
      <w:autoSpaceDE w:val="0"/>
      <w:spacing w:line="234" w:lineRule="atLeast"/>
      <w:ind w:left="113" w:right="113"/>
      <w:jc w:val="both"/>
    </w:pPr>
    <w:rPr>
      <w:sz w:val="16"/>
      <w:szCs w:val="16"/>
    </w:rPr>
  </w:style>
  <w:style w:type="paragraph" w:customStyle="1" w:styleId="QDV1deat">
    <w:name w:val="QD V.1 de até"/>
    <w:pPr>
      <w:tabs>
        <w:tab w:val="right" w:pos="595"/>
        <w:tab w:val="left" w:pos="709"/>
        <w:tab w:val="left" w:pos="992"/>
        <w:tab w:val="decimal" w:pos="1587"/>
        <w:tab w:val="left" w:pos="1899"/>
        <w:tab w:val="left" w:pos="2183"/>
        <w:tab w:val="decimal" w:pos="2778"/>
      </w:tabs>
      <w:suppressAutoHyphens/>
      <w:autoSpaceDE w:val="0"/>
      <w:spacing w:line="234" w:lineRule="atLeast"/>
      <w:ind w:left="113"/>
    </w:pPr>
    <w:rPr>
      <w:color w:val="000000"/>
      <w:sz w:val="16"/>
      <w:szCs w:val="16"/>
      <w:lang w:eastAsia="zh-CN"/>
    </w:rPr>
  </w:style>
  <w:style w:type="paragraph" w:customStyle="1" w:styleId="QDV1Valores">
    <w:name w:val="QD V.1 Valores"/>
    <w:pPr>
      <w:tabs>
        <w:tab w:val="left" w:pos="283"/>
      </w:tabs>
      <w:suppressAutoHyphens/>
      <w:autoSpaceDE w:val="0"/>
      <w:spacing w:line="234" w:lineRule="atLeast"/>
      <w:ind w:left="283" w:right="113" w:hanging="170"/>
      <w:jc w:val="both"/>
    </w:pPr>
    <w:rPr>
      <w:color w:val="000000"/>
      <w:sz w:val="16"/>
      <w:szCs w:val="16"/>
      <w:lang w:eastAsia="zh-CN"/>
    </w:rPr>
  </w:style>
  <w:style w:type="paragraph" w:customStyle="1" w:styleId="QDV1Obs">
    <w:name w:val="QD V.1 Obs"/>
    <w:basedOn w:val="QDV1Valores"/>
    <w:next w:val="QDV1Valores"/>
    <w:pPr>
      <w:tabs>
        <w:tab w:val="clear" w:pos="283"/>
      </w:tabs>
      <w:ind w:firstLine="0"/>
    </w:pPr>
    <w:rPr>
      <w:color w:val="auto"/>
    </w:rPr>
  </w:style>
  <w:style w:type="paragraph" w:customStyle="1" w:styleId="NOTAQDR">
    <w:name w:val="NOTA QDR"/>
    <w:pPr>
      <w:tabs>
        <w:tab w:val="left" w:pos="2331"/>
        <w:tab w:val="left" w:pos="4926"/>
        <w:tab w:val="left" w:pos="12982"/>
      </w:tabs>
      <w:suppressAutoHyphens/>
      <w:autoSpaceDE w:val="0"/>
      <w:spacing w:line="180" w:lineRule="atLeast"/>
      <w:ind w:left="113" w:right="113"/>
      <w:jc w:val="both"/>
    </w:pPr>
    <w:rPr>
      <w:color w:val="000000"/>
      <w:sz w:val="14"/>
      <w:szCs w:val="14"/>
      <w:lang w:eastAsia="zh-CN"/>
    </w:rPr>
  </w:style>
  <w:style w:type="paragraph" w:customStyle="1" w:styleId="TITsubtituloC11CA">
    <w:name w:val="TITsubtitulo C11 CA"/>
    <w:pPr>
      <w:tabs>
        <w:tab w:val="left" w:pos="700"/>
        <w:tab w:val="left" w:pos="1400"/>
        <w:tab w:val="left" w:pos="2120"/>
        <w:tab w:val="left" w:pos="2820"/>
        <w:tab w:val="left" w:pos="3540"/>
        <w:tab w:val="left" w:pos="4240"/>
        <w:tab w:val="left" w:pos="4940"/>
        <w:tab w:val="left" w:pos="5660"/>
        <w:tab w:val="left" w:pos="6360"/>
        <w:tab w:val="left" w:pos="7080"/>
        <w:tab w:val="left" w:pos="7780"/>
        <w:tab w:val="left" w:pos="8480"/>
        <w:tab w:val="left" w:pos="9200"/>
        <w:tab w:val="left" w:pos="9900"/>
        <w:tab w:val="left" w:pos="10620"/>
        <w:tab w:val="left" w:pos="11320"/>
        <w:tab w:val="left" w:pos="12020"/>
        <w:tab w:val="left" w:pos="12740"/>
        <w:tab w:val="left" w:pos="13440"/>
        <w:tab w:val="left" w:pos="14160"/>
        <w:tab w:val="left" w:pos="14860"/>
        <w:tab w:val="left" w:pos="15560"/>
        <w:tab w:val="left" w:pos="16280"/>
        <w:tab w:val="left" w:pos="16980"/>
        <w:tab w:val="left" w:pos="17700"/>
        <w:tab w:val="left" w:pos="18400"/>
        <w:tab w:val="left" w:pos="19100"/>
        <w:tab w:val="left" w:pos="19820"/>
        <w:tab w:val="left" w:pos="20520"/>
        <w:tab w:val="left" w:pos="21240"/>
        <w:tab w:val="left" w:pos="21940"/>
        <w:tab w:val="left" w:pos="22640"/>
        <w:tab w:val="left" w:pos="23360"/>
        <w:tab w:val="left" w:pos="24060"/>
        <w:tab w:val="left" w:pos="24780"/>
        <w:tab w:val="left" w:pos="25480"/>
        <w:tab w:val="left" w:pos="26180"/>
        <w:tab w:val="left" w:pos="26900"/>
        <w:tab w:val="left" w:pos="27600"/>
        <w:tab w:val="left" w:pos="28320"/>
      </w:tabs>
      <w:suppressAutoHyphens/>
      <w:autoSpaceDE w:val="0"/>
      <w:spacing w:before="560" w:after="280" w:line="280" w:lineRule="atLeast"/>
      <w:jc w:val="both"/>
    </w:pPr>
    <w:rPr>
      <w:b/>
      <w:bCs/>
      <w:caps/>
      <w:sz w:val="22"/>
      <w:szCs w:val="22"/>
      <w:lang w:eastAsia="zh-CN"/>
    </w:rPr>
  </w:style>
  <w:style w:type="paragraph" w:customStyle="1" w:styleId="0QDV22C">
    <w:name w:val="0_QD V.2 2ªC"/>
    <w:pPr>
      <w:suppressAutoHyphens/>
      <w:autoSpaceDE w:val="0"/>
      <w:spacing w:before="80" w:line="200" w:lineRule="atLeast"/>
      <w:ind w:left="113" w:right="113"/>
      <w:jc w:val="both"/>
    </w:pPr>
    <w:rPr>
      <w:color w:val="000000"/>
      <w:sz w:val="16"/>
      <w:szCs w:val="16"/>
      <w:lang w:eastAsia="zh-CN"/>
    </w:rPr>
  </w:style>
  <w:style w:type="paragraph" w:customStyle="1" w:styleId="0QDV23C">
    <w:name w:val="0_QD V.2 3ªC"/>
    <w:pPr>
      <w:tabs>
        <w:tab w:val="left" w:pos="283"/>
      </w:tabs>
      <w:suppressAutoHyphens/>
      <w:autoSpaceDE w:val="0"/>
      <w:spacing w:before="40" w:line="200" w:lineRule="atLeast"/>
      <w:ind w:left="283" w:right="113" w:hanging="170"/>
      <w:jc w:val="both"/>
    </w:pPr>
    <w:rPr>
      <w:color w:val="000000"/>
      <w:sz w:val="16"/>
      <w:szCs w:val="16"/>
      <w:lang w:eastAsia="zh-CN"/>
    </w:rPr>
  </w:style>
  <w:style w:type="paragraph" w:customStyle="1" w:styleId="0QDV21C">
    <w:name w:val="0_QD V.2 1ªC"/>
    <w:pPr>
      <w:suppressAutoHyphens/>
      <w:autoSpaceDE w:val="0"/>
      <w:spacing w:line="200" w:lineRule="atLeast"/>
      <w:ind w:left="113" w:right="113"/>
      <w:jc w:val="both"/>
    </w:pPr>
    <w:rPr>
      <w:color w:val="000000"/>
      <w:sz w:val="16"/>
      <w:szCs w:val="16"/>
      <w:lang w:eastAsia="zh-CN"/>
    </w:rPr>
  </w:style>
  <w:style w:type="paragraph" w:customStyle="1" w:styleId="0QDV31C">
    <w:name w:val="0 QD V.3 1ªC"/>
    <w:pPr>
      <w:tabs>
        <w:tab w:val="left" w:pos="2488"/>
      </w:tabs>
      <w:suppressAutoHyphens/>
      <w:autoSpaceDE w:val="0"/>
      <w:spacing w:line="200" w:lineRule="atLeast"/>
      <w:ind w:left="85" w:right="85"/>
      <w:jc w:val="both"/>
    </w:pPr>
    <w:rPr>
      <w:color w:val="000000"/>
      <w:sz w:val="16"/>
      <w:szCs w:val="16"/>
      <w:lang w:eastAsia="zh-CN"/>
    </w:rPr>
  </w:style>
  <w:style w:type="paragraph" w:customStyle="1" w:styleId="0QDV3NOTA">
    <w:name w:val="0 QD V.3 NOTA"/>
    <w:pPr>
      <w:suppressAutoHyphens/>
      <w:autoSpaceDE w:val="0"/>
      <w:spacing w:line="196" w:lineRule="atLeast"/>
      <w:jc w:val="both"/>
    </w:pPr>
    <w:rPr>
      <w:color w:val="000000"/>
      <w:sz w:val="16"/>
      <w:szCs w:val="16"/>
      <w:lang w:eastAsia="zh-CN"/>
    </w:rPr>
  </w:style>
  <w:style w:type="paragraph" w:customStyle="1" w:styleId="TEXTO">
    <w:name w:val="TEXTO"/>
    <w:pPr>
      <w:tabs>
        <w:tab w:val="left" w:pos="840"/>
      </w:tabs>
      <w:suppressAutoHyphens/>
      <w:autoSpaceDE w:val="0"/>
      <w:spacing w:after="160"/>
      <w:ind w:left="340" w:right="340" w:hanging="340"/>
      <w:jc w:val="both"/>
    </w:pPr>
    <w:rPr>
      <w:lang w:eastAsia="zh-CN"/>
    </w:rPr>
  </w:style>
  <w:style w:type="paragraph" w:customStyle="1" w:styleId="TEXTOAeps2007INI">
    <w:name w:val="TEXTOAeps2007INI"/>
    <w:pPr>
      <w:tabs>
        <w:tab w:val="left" w:pos="840"/>
      </w:tabs>
      <w:suppressAutoHyphens/>
      <w:autoSpaceDE w:val="0"/>
      <w:spacing w:after="160"/>
      <w:ind w:left="340" w:right="340" w:hanging="340"/>
      <w:jc w:val="both"/>
    </w:pPr>
    <w:rPr>
      <w:lang w:eastAsia="zh-CN"/>
    </w:rPr>
  </w:style>
  <w:style w:type="paragraph" w:customStyle="1" w:styleId="TEXTOAeps2008INIa">
    <w:name w:val="TEXTOAeps2008INI a)"/>
    <w:basedOn w:val="TEXTOAeps2008INI"/>
    <w:next w:val="TEXTOAeps2008INI"/>
    <w:pPr>
      <w:spacing w:after="120"/>
      <w:ind w:left="850" w:hanging="499"/>
    </w:pPr>
    <w:rPr>
      <w:color w:val="auto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ITSubSeo">
    <w:name w:val="TIT SubSeção"/>
    <w:pPr>
      <w:pBdr>
        <w:bottom w:val="single" w:sz="2" w:space="0" w:color="000000"/>
      </w:pBdr>
      <w:suppressAutoHyphens/>
      <w:autoSpaceDE w:val="0"/>
      <w:jc w:val="right"/>
    </w:pPr>
    <w:rPr>
      <w:b/>
      <w:bCs/>
      <w:caps/>
      <w:color w:val="000000"/>
      <w:sz w:val="36"/>
      <w:szCs w:val="36"/>
      <w:lang w:eastAsia="zh-CN"/>
    </w:rPr>
  </w:style>
  <w:style w:type="paragraph" w:customStyle="1" w:styleId="font5">
    <w:name w:val="font5"/>
    <w:basedOn w:val="Normal"/>
    <w:pPr>
      <w:spacing w:before="280" w:after="280"/>
    </w:pPr>
    <w:rPr>
      <w:rFonts w:eastAsia="Arial Unicode MS"/>
      <w:sz w:val="16"/>
      <w:szCs w:val="16"/>
    </w:rPr>
  </w:style>
  <w:style w:type="paragraph" w:customStyle="1" w:styleId="font6">
    <w:name w:val="font6"/>
    <w:basedOn w:val="Normal"/>
    <w:pPr>
      <w:spacing w:before="280" w:after="280"/>
    </w:pPr>
    <w:rPr>
      <w:rFonts w:eastAsia="Arial Unicode MS"/>
      <w:b/>
      <w:bCs/>
      <w:sz w:val="16"/>
      <w:szCs w:val="16"/>
    </w:rPr>
  </w:style>
  <w:style w:type="paragraph" w:customStyle="1" w:styleId="font7">
    <w:name w:val="font7"/>
    <w:basedOn w:val="Normal"/>
    <w:pPr>
      <w:spacing w:before="280" w:after="280"/>
    </w:pPr>
    <w:rPr>
      <w:rFonts w:eastAsia="Arial Unicode MS"/>
      <w:b/>
      <w:bCs/>
      <w:sz w:val="16"/>
      <w:szCs w:val="16"/>
      <w:u w:val="single"/>
    </w:rPr>
  </w:style>
  <w:style w:type="paragraph" w:customStyle="1" w:styleId="font8">
    <w:name w:val="font8"/>
    <w:basedOn w:val="Normal"/>
    <w:pPr>
      <w:spacing w:before="280" w:after="280"/>
    </w:pPr>
    <w:rPr>
      <w:rFonts w:eastAsia="Arial Unicode MS"/>
      <w:color w:val="000000"/>
      <w:sz w:val="16"/>
      <w:szCs w:val="16"/>
    </w:rPr>
  </w:style>
  <w:style w:type="paragraph" w:customStyle="1" w:styleId="xl24">
    <w:name w:val="xl24"/>
    <w:basedOn w:val="Normal"/>
    <w:pPr>
      <w:pBdr>
        <w:left w:val="single" w:sz="4" w:space="0" w:color="000000"/>
        <w:right w:val="single" w:sz="4" w:space="0" w:color="000000"/>
      </w:pBdr>
      <w:spacing w:before="280" w:after="280"/>
      <w:jc w:val="both"/>
      <w:textAlignment w:val="top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pPr>
      <w:pBdr>
        <w:left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top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both"/>
      <w:textAlignment w:val="top"/>
    </w:pPr>
    <w:rPr>
      <w:rFonts w:eastAsia="Arial Unicode MS"/>
      <w:sz w:val="16"/>
      <w:szCs w:val="16"/>
    </w:rPr>
  </w:style>
  <w:style w:type="paragraph" w:customStyle="1" w:styleId="xl28">
    <w:name w:val="xl28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both"/>
      <w:textAlignment w:val="top"/>
    </w:pPr>
    <w:rPr>
      <w:rFonts w:eastAsia="Arial Unicode MS"/>
      <w:b/>
      <w:bCs/>
      <w:sz w:val="16"/>
      <w:szCs w:val="16"/>
    </w:rPr>
  </w:style>
  <w:style w:type="paragraph" w:customStyle="1" w:styleId="xl29">
    <w:name w:val="xl2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top"/>
    </w:pPr>
    <w:rPr>
      <w:rFonts w:eastAsia="Arial Unicode MS"/>
      <w:b/>
      <w:bCs/>
      <w:sz w:val="16"/>
      <w:szCs w:val="16"/>
    </w:rPr>
  </w:style>
  <w:style w:type="paragraph" w:customStyle="1" w:styleId="xl30">
    <w:name w:val="xl30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top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top"/>
    </w:pPr>
    <w:rPr>
      <w:rFonts w:eastAsia="Arial Unicode MS"/>
      <w:b/>
      <w:bCs/>
      <w:sz w:val="16"/>
      <w:szCs w:val="16"/>
    </w:rPr>
  </w:style>
  <w:style w:type="paragraph" w:customStyle="1" w:styleId="xl32">
    <w:name w:val="xl32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top"/>
    </w:pPr>
    <w:rPr>
      <w:rFonts w:eastAsia="Arial Unicode MS"/>
      <w:sz w:val="16"/>
      <w:szCs w:val="16"/>
    </w:rPr>
  </w:style>
  <w:style w:type="paragraph" w:customStyle="1" w:styleId="xl33">
    <w:name w:val="xl33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top"/>
    </w:pPr>
    <w:rPr>
      <w:rFonts w:eastAsia="Arial Unicode MS"/>
      <w:b/>
      <w:bCs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SEÇÃO V  –  CONTRIBUINTES DA PREVIDÊNCIA SOCIAL</vt:lpstr>
    </vt:vector>
  </TitlesOfParts>
  <Company>Microsoft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SEÇÃO V  –  CONTRIBUINTES DA PREVIDÊNCIA SOCIAL</dc:title>
  <dc:subject/>
  <dc:creator>Francisco Lopes</dc:creator>
  <cp:keywords/>
  <dc:description/>
  <cp:lastModifiedBy>Sergio Luiz Maximino - MPS</cp:lastModifiedBy>
  <cp:revision>2</cp:revision>
  <cp:lastPrinted>2013-07-01T18:05:00Z</cp:lastPrinted>
  <dcterms:created xsi:type="dcterms:W3CDTF">2014-09-17T19:29:00Z</dcterms:created>
  <dcterms:modified xsi:type="dcterms:W3CDTF">2014-09-17T19:29:00Z</dcterms:modified>
</cp:coreProperties>
</file>