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D2" w:rsidRPr="003F7A35" w:rsidRDefault="003F7A35" w:rsidP="003F7A35">
      <w:pPr>
        <w:jc w:val="center"/>
        <w:rPr>
          <w:b/>
        </w:rPr>
      </w:pPr>
      <w:r w:rsidRPr="003F7A35">
        <w:rPr>
          <w:b/>
        </w:rPr>
        <w:t>FORMULÁRIO DE SUGESTÕES EM CONSULTA PÚBLICA</w:t>
      </w:r>
    </w:p>
    <w:p w:rsidR="003F7A35" w:rsidRDefault="003F7A35" w:rsidP="003F7A35">
      <w:pPr>
        <w:jc w:val="both"/>
      </w:pPr>
      <w:r>
        <w:tab/>
      </w:r>
    </w:p>
    <w:p w:rsidR="003F7A35" w:rsidRDefault="003F7A35" w:rsidP="003F7A35">
      <w:pPr>
        <w:ind w:firstLine="708"/>
        <w:jc w:val="both"/>
      </w:pPr>
      <w:r>
        <w:t>Sugestões para m</w:t>
      </w:r>
      <w:r>
        <w:t>inuta de portaria que substituirá a Portaria MPS nº 402, de 2008, dispondo sobre os parâmetros e as diretrizes gerais para organização e funcionamento dos regimes próprios de previdência social dos servidores públicos ocupantes de cargos efetivos da União, dos Estados, do Distrito Federal e dos Municípios, em cumprimento à Lei nº 9.717, de 1998, adequados à Emenda Constitucional nº 103, de 2</w:t>
      </w:r>
      <w:bookmarkStart w:id="0" w:name="_GoBack"/>
      <w:bookmarkEnd w:id="0"/>
      <w:r>
        <w:t>019</w:t>
      </w:r>
      <w:r>
        <w:t>.</w:t>
      </w:r>
    </w:p>
    <w:p w:rsidR="003F7A35" w:rsidRDefault="004D3752" w:rsidP="004D3752">
      <w:pPr>
        <w:spacing w:after="0" w:line="240" w:lineRule="auto"/>
        <w:ind w:right="-852"/>
        <w:jc w:val="right"/>
      </w:pPr>
      <w:r>
        <w:t>(** Todos os campos são obrigatórios)</w:t>
      </w:r>
    </w:p>
    <w:tbl>
      <w:tblPr>
        <w:tblStyle w:val="Tabelacomgrad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253"/>
        <w:gridCol w:w="992"/>
        <w:gridCol w:w="3402"/>
      </w:tblGrid>
      <w:tr w:rsid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b/>
                <w:sz w:val="20"/>
                <w:szCs w:val="20"/>
              </w:rPr>
            </w:pPr>
            <w:r w:rsidRPr="003F7A35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8647" w:type="dxa"/>
            <w:gridSpan w:val="3"/>
          </w:tcPr>
          <w:p w:rsidR="003F7A35" w:rsidRDefault="003F7A35" w:rsidP="003F7A35">
            <w:pPr>
              <w:jc w:val="both"/>
            </w:pPr>
          </w:p>
        </w:tc>
      </w:tr>
      <w:tr w:rsid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b/>
                <w:sz w:val="20"/>
                <w:szCs w:val="20"/>
              </w:rPr>
            </w:pPr>
            <w:r w:rsidRPr="003F7A35">
              <w:rPr>
                <w:b/>
                <w:sz w:val="20"/>
                <w:szCs w:val="20"/>
              </w:rPr>
              <w:t>RG</w:t>
            </w:r>
          </w:p>
        </w:tc>
        <w:tc>
          <w:tcPr>
            <w:tcW w:w="4253" w:type="dxa"/>
          </w:tcPr>
          <w:p w:rsidR="003F7A35" w:rsidRDefault="003F7A35" w:rsidP="003F7A35">
            <w:pPr>
              <w:jc w:val="both"/>
            </w:pPr>
          </w:p>
        </w:tc>
        <w:tc>
          <w:tcPr>
            <w:tcW w:w="992" w:type="dxa"/>
          </w:tcPr>
          <w:p w:rsidR="003F7A35" w:rsidRPr="003F7A35" w:rsidRDefault="003F7A35" w:rsidP="003F7A35">
            <w:pPr>
              <w:jc w:val="both"/>
              <w:rPr>
                <w:b/>
                <w:sz w:val="20"/>
                <w:szCs w:val="20"/>
              </w:rPr>
            </w:pPr>
            <w:r w:rsidRPr="003F7A35">
              <w:rPr>
                <w:b/>
                <w:sz w:val="20"/>
                <w:szCs w:val="20"/>
              </w:rPr>
              <w:t>CPF</w:t>
            </w:r>
          </w:p>
        </w:tc>
        <w:tc>
          <w:tcPr>
            <w:tcW w:w="3402" w:type="dxa"/>
          </w:tcPr>
          <w:p w:rsidR="003F7A35" w:rsidRDefault="003F7A35" w:rsidP="003F7A35">
            <w:pPr>
              <w:jc w:val="both"/>
            </w:pPr>
          </w:p>
        </w:tc>
      </w:tr>
      <w:tr w:rsid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b/>
                <w:sz w:val="20"/>
                <w:szCs w:val="20"/>
              </w:rPr>
            </w:pPr>
            <w:r w:rsidRPr="003F7A35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</w:tcPr>
          <w:p w:rsidR="003F7A35" w:rsidRDefault="003F7A35" w:rsidP="003F7A35">
            <w:pPr>
              <w:jc w:val="both"/>
            </w:pPr>
          </w:p>
        </w:tc>
        <w:tc>
          <w:tcPr>
            <w:tcW w:w="992" w:type="dxa"/>
          </w:tcPr>
          <w:p w:rsidR="003F7A35" w:rsidRPr="003F7A35" w:rsidRDefault="003F7A35" w:rsidP="003F7A35">
            <w:pPr>
              <w:jc w:val="both"/>
              <w:rPr>
                <w:b/>
                <w:sz w:val="20"/>
                <w:szCs w:val="20"/>
              </w:rPr>
            </w:pPr>
            <w:r w:rsidRPr="003F7A35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2" w:type="dxa"/>
          </w:tcPr>
          <w:p w:rsidR="003F7A35" w:rsidRDefault="003F7A35" w:rsidP="003F7A35">
            <w:pPr>
              <w:jc w:val="both"/>
            </w:pPr>
          </w:p>
        </w:tc>
      </w:tr>
      <w:tr w:rsid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b/>
                <w:sz w:val="20"/>
                <w:szCs w:val="20"/>
              </w:rPr>
            </w:pPr>
            <w:r w:rsidRPr="003F7A35">
              <w:rPr>
                <w:b/>
                <w:sz w:val="20"/>
                <w:szCs w:val="20"/>
              </w:rPr>
              <w:t>Instituição</w:t>
            </w:r>
          </w:p>
        </w:tc>
        <w:tc>
          <w:tcPr>
            <w:tcW w:w="4253" w:type="dxa"/>
          </w:tcPr>
          <w:p w:rsidR="003F7A35" w:rsidRDefault="003F7A35" w:rsidP="003F7A35">
            <w:pPr>
              <w:jc w:val="both"/>
            </w:pPr>
          </w:p>
        </w:tc>
        <w:tc>
          <w:tcPr>
            <w:tcW w:w="992" w:type="dxa"/>
          </w:tcPr>
          <w:p w:rsidR="003F7A35" w:rsidRPr="003F7A35" w:rsidRDefault="003F7A35" w:rsidP="003F7A35">
            <w:pPr>
              <w:jc w:val="both"/>
              <w:rPr>
                <w:b/>
                <w:sz w:val="20"/>
                <w:szCs w:val="20"/>
              </w:rPr>
            </w:pPr>
            <w:r w:rsidRPr="003F7A35">
              <w:rPr>
                <w:b/>
                <w:sz w:val="20"/>
                <w:szCs w:val="20"/>
              </w:rPr>
              <w:t>Vínculo</w:t>
            </w:r>
          </w:p>
        </w:tc>
        <w:tc>
          <w:tcPr>
            <w:tcW w:w="3402" w:type="dxa"/>
          </w:tcPr>
          <w:p w:rsidR="003F7A35" w:rsidRDefault="003F7A35" w:rsidP="003F7A35">
            <w:pPr>
              <w:jc w:val="both"/>
            </w:pPr>
          </w:p>
        </w:tc>
      </w:tr>
      <w:tr w:rsidR="003F7A35" w:rsidTr="00C37322">
        <w:tc>
          <w:tcPr>
            <w:tcW w:w="9782" w:type="dxa"/>
            <w:gridSpan w:val="4"/>
          </w:tcPr>
          <w:p w:rsidR="003F7A35" w:rsidRPr="003F7A35" w:rsidRDefault="003F7A35" w:rsidP="003F7A35">
            <w:pPr>
              <w:jc w:val="center"/>
              <w:rPr>
                <w:b/>
                <w:u w:val="single"/>
              </w:rPr>
            </w:pPr>
            <w:r w:rsidRPr="003F7A35">
              <w:rPr>
                <w:b/>
                <w:u w:val="single"/>
              </w:rPr>
              <w:t>Sugestões:</w:t>
            </w:r>
          </w:p>
        </w:tc>
      </w:tr>
      <w:tr w:rsidR="003F7A35" w:rsidRP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  <w:r w:rsidRPr="003F7A35">
              <w:rPr>
                <w:lang w:val="en-US"/>
              </w:rPr>
              <w:t xml:space="preserve">Art. </w:t>
            </w:r>
            <w:r>
              <w:rPr>
                <w:lang w:val="en-US"/>
              </w:rPr>
              <w:t>xx</w:t>
            </w:r>
          </w:p>
        </w:tc>
        <w:tc>
          <w:tcPr>
            <w:tcW w:w="8647" w:type="dxa"/>
            <w:gridSpan w:val="3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</w:p>
        </w:tc>
      </w:tr>
      <w:tr w:rsidR="003F7A35" w:rsidRP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Art. xx</w:t>
            </w:r>
          </w:p>
        </w:tc>
        <w:tc>
          <w:tcPr>
            <w:tcW w:w="8647" w:type="dxa"/>
            <w:gridSpan w:val="3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</w:p>
        </w:tc>
      </w:tr>
      <w:tr w:rsidR="003F7A35" w:rsidRP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Art. xx</w:t>
            </w:r>
          </w:p>
        </w:tc>
        <w:tc>
          <w:tcPr>
            <w:tcW w:w="8647" w:type="dxa"/>
            <w:gridSpan w:val="3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</w:p>
        </w:tc>
      </w:tr>
      <w:tr w:rsidR="003F7A35" w:rsidRP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Art. xx</w:t>
            </w:r>
          </w:p>
        </w:tc>
        <w:tc>
          <w:tcPr>
            <w:tcW w:w="8647" w:type="dxa"/>
            <w:gridSpan w:val="3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</w:p>
        </w:tc>
      </w:tr>
      <w:tr w:rsidR="003F7A35" w:rsidRPr="003F7A35" w:rsidTr="003F7A35">
        <w:tc>
          <w:tcPr>
            <w:tcW w:w="1135" w:type="dxa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Art. xx</w:t>
            </w:r>
          </w:p>
        </w:tc>
        <w:tc>
          <w:tcPr>
            <w:tcW w:w="8647" w:type="dxa"/>
            <w:gridSpan w:val="3"/>
          </w:tcPr>
          <w:p w:rsidR="003F7A35" w:rsidRPr="003F7A35" w:rsidRDefault="003F7A35" w:rsidP="003F7A35">
            <w:pPr>
              <w:jc w:val="both"/>
              <w:rPr>
                <w:lang w:val="en-US"/>
              </w:rPr>
            </w:pPr>
          </w:p>
        </w:tc>
      </w:tr>
    </w:tbl>
    <w:p w:rsidR="003F7A35" w:rsidRDefault="003F7A35" w:rsidP="003F7A35">
      <w:pPr>
        <w:jc w:val="both"/>
        <w:rPr>
          <w:lang w:val="en-US"/>
        </w:rPr>
      </w:pPr>
    </w:p>
    <w:p w:rsidR="003F7A35" w:rsidRDefault="003F7A35" w:rsidP="003F7A35">
      <w:pPr>
        <w:jc w:val="both"/>
        <w:rPr>
          <w:lang w:val="en-US"/>
        </w:rPr>
      </w:pPr>
    </w:p>
    <w:p w:rsidR="003F7A35" w:rsidRPr="003F7A35" w:rsidRDefault="004D3752" w:rsidP="003F7A35">
      <w:pPr>
        <w:jc w:val="both"/>
      </w:pPr>
      <w:r w:rsidRPr="004D3752">
        <w:rPr>
          <w:b/>
        </w:rPr>
        <w:t>Atenção:</w:t>
      </w:r>
      <w:r>
        <w:t xml:space="preserve"> </w:t>
      </w:r>
      <w:r w:rsidR="003F7A35" w:rsidRPr="003F7A35">
        <w:t xml:space="preserve">Este formulário </w:t>
      </w:r>
      <w:r w:rsidRPr="003F7A35">
        <w:t>deverá</w:t>
      </w:r>
      <w:r w:rsidR="003F7A35" w:rsidRPr="003F7A35">
        <w:t xml:space="preserve"> ser encaminhado </w:t>
      </w:r>
      <w:r w:rsidR="003F7A35">
        <w:t>para o e</w:t>
      </w:r>
      <w:r w:rsidR="003F7A35">
        <w:t>-</w:t>
      </w:r>
      <w:r w:rsidR="003F7A35">
        <w:t xml:space="preserve">mail </w:t>
      </w:r>
      <w:hyperlink r:id="rId4" w:history="1">
        <w:r w:rsidR="003F7A35" w:rsidRPr="000A097E">
          <w:rPr>
            <w:rStyle w:val="Hyperlink"/>
          </w:rPr>
          <w:t>atendimento.rpps@previdencia.gov.br</w:t>
        </w:r>
      </w:hyperlink>
      <w:r w:rsidR="003F7A35">
        <w:t>, contendo o título "CONSULTA PÚBLICA - SUBSTITUIÇÃO DA PORTARIA MPS 402"</w:t>
      </w:r>
      <w:r>
        <w:t xml:space="preserve"> até o dia 30 de abril de 2020. </w:t>
      </w:r>
    </w:p>
    <w:sectPr w:rsidR="003F7A35" w:rsidRPr="003F7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35"/>
    <w:rsid w:val="003F7A35"/>
    <w:rsid w:val="004D2599"/>
    <w:rsid w:val="004D3752"/>
    <w:rsid w:val="007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0920D-2332-4D13-B028-3CFAA9D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F7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tendimento.rpps@previdenci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Motta</dc:creator>
  <cp:keywords/>
  <dc:description/>
  <cp:lastModifiedBy>Leonardo Motta</cp:lastModifiedBy>
  <cp:revision>1</cp:revision>
  <dcterms:created xsi:type="dcterms:W3CDTF">2020-03-25T20:34:00Z</dcterms:created>
  <dcterms:modified xsi:type="dcterms:W3CDTF">2020-03-25T20:47:00Z</dcterms:modified>
</cp:coreProperties>
</file>