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B529" w14:textId="77777777" w:rsidR="00705129" w:rsidRDefault="00705129">
      <w:pPr>
        <w:pStyle w:val="Standard"/>
        <w:jc w:val="both"/>
        <w:rPr>
          <w:rFonts w:ascii="Segoe UI" w:hAnsi="Segoe UI" w:cs="Segoe UI"/>
        </w:rPr>
      </w:pPr>
    </w:p>
    <w:p w14:paraId="001FB52A" w14:textId="77777777" w:rsidR="00705129" w:rsidRDefault="00587CA0">
      <w:pPr>
        <w:pStyle w:val="CabealhodoSumrio"/>
        <w:outlineLvl w:val="9"/>
      </w:pPr>
      <w:r>
        <w:t>Sumário</w:t>
      </w:r>
    </w:p>
    <w:p w14:paraId="001FB52B" w14:textId="77777777" w:rsidR="00705129" w:rsidRDefault="00587CA0">
      <w:pPr>
        <w:pStyle w:val="Sumrio1"/>
        <w:tabs>
          <w:tab w:val="right" w:leader="dot" w:pos="440"/>
        </w:tabs>
      </w:pPr>
      <w:r>
        <w:rPr>
          <w:rFonts w:ascii="Calibri Light" w:eastAsia="Times New Roman" w:hAnsi="Calibri Light" w:cs="Times New Roman"/>
          <w:b/>
          <w:kern w:val="0"/>
          <w:sz w:val="32"/>
          <w:szCs w:val="32"/>
          <w:lang w:eastAsia="pt-BR" w:bidi="ar-SA"/>
        </w:rPr>
        <w:fldChar w:fldCharType="begin"/>
      </w:r>
      <w:r>
        <w:instrText xml:space="preserve"> TOC \o "1-3" \u \h </w:instrText>
      </w:r>
      <w:r>
        <w:rPr>
          <w:rFonts w:ascii="Calibri Light" w:eastAsia="Times New Roman" w:hAnsi="Calibri Light" w:cs="Times New Roman"/>
          <w:b/>
          <w:kern w:val="0"/>
          <w:sz w:val="32"/>
          <w:szCs w:val="32"/>
          <w:lang w:eastAsia="pt-BR" w:bidi="ar-SA"/>
        </w:rPr>
        <w:fldChar w:fldCharType="separate"/>
      </w:r>
      <w:hyperlink w:anchor="_Toc75782285" w:history="1">
        <w:r>
          <w:rPr>
            <w:rStyle w:val="Hyperlink"/>
          </w:rPr>
          <w:t>1</w:t>
        </w:r>
        <w:r>
          <w:rPr>
            <w:rFonts w:ascii="Calibri" w:eastAsia="Times New Roman" w:hAnsi="Calibri" w:cs="Times New Roman"/>
            <w:kern w:val="0"/>
            <w:szCs w:val="22"/>
            <w:lang w:eastAsia="pt-BR" w:bidi="ar-SA"/>
          </w:rPr>
          <w:tab/>
        </w:r>
        <w:r>
          <w:rPr>
            <w:rStyle w:val="Hyperlink"/>
          </w:rPr>
          <w:t>Objeto da Contratação</w:t>
        </w:r>
        <w:r>
          <w:tab/>
          <w:t>2</w:t>
        </w:r>
      </w:hyperlink>
    </w:p>
    <w:p w14:paraId="001FB52C" w14:textId="77777777" w:rsidR="00705129" w:rsidRDefault="00397A04">
      <w:pPr>
        <w:pStyle w:val="Sumrio1"/>
        <w:tabs>
          <w:tab w:val="right" w:leader="dot" w:pos="440"/>
        </w:tabs>
      </w:pPr>
      <w:hyperlink w:anchor="_Toc75782286" w:history="1">
        <w:r w:rsidR="00587CA0">
          <w:rPr>
            <w:rStyle w:val="Hyperlink"/>
          </w:rPr>
          <w:t>2</w:t>
        </w:r>
        <w:r w:rsidR="00587CA0">
          <w:rPr>
            <w:rFonts w:ascii="Calibri" w:eastAsia="Times New Roman" w:hAnsi="Calibri" w:cs="Times New Roman"/>
            <w:kern w:val="0"/>
            <w:szCs w:val="22"/>
            <w:lang w:eastAsia="pt-BR" w:bidi="ar-SA"/>
          </w:rPr>
          <w:tab/>
        </w:r>
        <w:r w:rsidR="00587CA0">
          <w:rPr>
            <w:rStyle w:val="Hyperlink"/>
          </w:rPr>
          <w:t>Descrição da Solução de TIC</w:t>
        </w:r>
        <w:r w:rsidR="00587CA0">
          <w:tab/>
          <w:t>2</w:t>
        </w:r>
      </w:hyperlink>
    </w:p>
    <w:p w14:paraId="001FB52D" w14:textId="77777777" w:rsidR="00705129" w:rsidRDefault="00397A04">
      <w:pPr>
        <w:pStyle w:val="Sumrio1"/>
        <w:tabs>
          <w:tab w:val="right" w:leader="dot" w:pos="440"/>
        </w:tabs>
      </w:pPr>
      <w:hyperlink w:anchor="_Toc75782287" w:history="1">
        <w:r w:rsidR="00587CA0">
          <w:rPr>
            <w:rStyle w:val="Hyperlink"/>
          </w:rPr>
          <w:t>3</w:t>
        </w:r>
        <w:r w:rsidR="00587CA0">
          <w:rPr>
            <w:rFonts w:ascii="Calibri" w:eastAsia="Times New Roman" w:hAnsi="Calibri" w:cs="Times New Roman"/>
            <w:kern w:val="0"/>
            <w:szCs w:val="22"/>
            <w:lang w:eastAsia="pt-BR" w:bidi="ar-SA"/>
          </w:rPr>
          <w:tab/>
        </w:r>
        <w:r w:rsidR="00587CA0">
          <w:rPr>
            <w:rStyle w:val="Hyperlink"/>
          </w:rPr>
          <w:t>Justificativa da Contratação e Alinhamento Estratégico</w:t>
        </w:r>
        <w:r w:rsidR="00587CA0">
          <w:tab/>
          <w:t>2</w:t>
        </w:r>
      </w:hyperlink>
    </w:p>
    <w:p w14:paraId="001FB52E" w14:textId="77777777" w:rsidR="00705129" w:rsidRDefault="00397A04">
      <w:pPr>
        <w:pStyle w:val="Sumrio2"/>
        <w:tabs>
          <w:tab w:val="right" w:leader="dot" w:pos="880"/>
          <w:tab w:val="right" w:leader="dot" w:pos="9628"/>
        </w:tabs>
      </w:pPr>
      <w:hyperlink w:anchor="_Toc75782288" w:history="1">
        <w:r w:rsidR="00587CA0">
          <w:rPr>
            <w:rStyle w:val="Hyperlink"/>
          </w:rPr>
          <w:t>3.1</w:t>
        </w:r>
        <w:r w:rsidR="00587CA0">
          <w:rPr>
            <w:rFonts w:ascii="Calibri" w:eastAsia="Times New Roman" w:hAnsi="Calibri" w:cs="Times New Roman"/>
            <w:kern w:val="0"/>
            <w:sz w:val="22"/>
            <w:szCs w:val="22"/>
            <w:lang w:eastAsia="pt-BR" w:bidi="ar-SA"/>
          </w:rPr>
          <w:tab/>
        </w:r>
        <w:r w:rsidR="00587CA0">
          <w:rPr>
            <w:rStyle w:val="Hyperlink"/>
          </w:rPr>
          <w:t>Alinhamento Estratégico</w:t>
        </w:r>
        <w:r w:rsidR="00587CA0">
          <w:tab/>
          <w:t>7</w:t>
        </w:r>
      </w:hyperlink>
    </w:p>
    <w:p w14:paraId="001FB52F" w14:textId="77777777" w:rsidR="00705129" w:rsidRDefault="00397A04">
      <w:pPr>
        <w:pStyle w:val="Sumrio1"/>
        <w:tabs>
          <w:tab w:val="right" w:leader="dot" w:pos="440"/>
        </w:tabs>
      </w:pPr>
      <w:hyperlink w:anchor="_Toc75782289" w:history="1">
        <w:r w:rsidR="00587CA0">
          <w:rPr>
            <w:rStyle w:val="Hyperlink"/>
          </w:rPr>
          <w:t>4</w:t>
        </w:r>
        <w:r w:rsidR="00587CA0">
          <w:rPr>
            <w:rFonts w:ascii="Calibri" w:eastAsia="Times New Roman" w:hAnsi="Calibri" w:cs="Times New Roman"/>
            <w:kern w:val="0"/>
            <w:szCs w:val="22"/>
            <w:lang w:eastAsia="pt-BR" w:bidi="ar-SA"/>
          </w:rPr>
          <w:tab/>
        </w:r>
        <w:r w:rsidR="00587CA0">
          <w:rPr>
            <w:rStyle w:val="Hyperlink"/>
          </w:rPr>
          <w:t>Especificação dos Requisitos da Contratação</w:t>
        </w:r>
        <w:r w:rsidR="00587CA0">
          <w:tab/>
          <w:t>8</w:t>
        </w:r>
      </w:hyperlink>
    </w:p>
    <w:p w14:paraId="001FB530" w14:textId="77777777" w:rsidR="00705129" w:rsidRDefault="00397A04">
      <w:pPr>
        <w:pStyle w:val="Sumrio2"/>
        <w:tabs>
          <w:tab w:val="right" w:leader="dot" w:pos="880"/>
          <w:tab w:val="right" w:leader="dot" w:pos="9628"/>
        </w:tabs>
      </w:pPr>
      <w:hyperlink w:anchor="_Toc75782290" w:history="1">
        <w:r w:rsidR="00587CA0">
          <w:rPr>
            <w:rStyle w:val="Hyperlink"/>
          </w:rPr>
          <w:t>4.1</w:t>
        </w:r>
        <w:r w:rsidR="00587CA0">
          <w:rPr>
            <w:rFonts w:ascii="Calibri" w:eastAsia="Times New Roman" w:hAnsi="Calibri" w:cs="Times New Roman"/>
            <w:kern w:val="0"/>
            <w:sz w:val="22"/>
            <w:szCs w:val="22"/>
            <w:lang w:eastAsia="pt-BR" w:bidi="ar-SA"/>
          </w:rPr>
          <w:tab/>
        </w:r>
        <w:r w:rsidR="00587CA0">
          <w:rPr>
            <w:rStyle w:val="Hyperlink"/>
          </w:rPr>
          <w:t>Composição do Serviço</w:t>
        </w:r>
        <w:r w:rsidR="00587CA0">
          <w:tab/>
          <w:t>8</w:t>
        </w:r>
      </w:hyperlink>
    </w:p>
    <w:p w14:paraId="001FB531" w14:textId="77777777" w:rsidR="00705129" w:rsidRDefault="00397A04">
      <w:pPr>
        <w:pStyle w:val="Sumrio3"/>
        <w:tabs>
          <w:tab w:val="right" w:leader="dot" w:pos="1100"/>
          <w:tab w:val="right" w:leader="dot" w:pos="9628"/>
        </w:tabs>
      </w:pPr>
      <w:hyperlink w:anchor="_Toc75782291" w:history="1">
        <w:r w:rsidR="00587CA0">
          <w:rPr>
            <w:rStyle w:val="Hyperlink"/>
          </w:rPr>
          <w:t>4.1.1</w:t>
        </w:r>
        <w:r w:rsidR="00587CA0">
          <w:rPr>
            <w:rFonts w:ascii="Calibri" w:eastAsia="Times New Roman" w:hAnsi="Calibri" w:cs="Times New Roman"/>
            <w:kern w:val="0"/>
            <w:sz w:val="22"/>
            <w:szCs w:val="22"/>
            <w:lang w:eastAsia="pt-BR" w:bidi="ar-SA"/>
          </w:rPr>
          <w:tab/>
        </w:r>
        <w:r w:rsidR="00587CA0">
          <w:rPr>
            <w:rStyle w:val="Hyperlink"/>
          </w:rPr>
          <w:t>Tratamento do requerimento de compensação de aposentadoria e pensão</w:t>
        </w:r>
        <w:r w:rsidR="00587CA0">
          <w:tab/>
          <w:t>8</w:t>
        </w:r>
      </w:hyperlink>
    </w:p>
    <w:p w14:paraId="001FB532" w14:textId="77777777" w:rsidR="00705129" w:rsidRDefault="00397A04">
      <w:pPr>
        <w:pStyle w:val="Sumrio3"/>
        <w:tabs>
          <w:tab w:val="right" w:leader="dot" w:pos="1100"/>
          <w:tab w:val="right" w:leader="dot" w:pos="9628"/>
        </w:tabs>
      </w:pPr>
      <w:hyperlink w:anchor="_Toc75782292" w:history="1">
        <w:r w:rsidR="00587CA0">
          <w:rPr>
            <w:rStyle w:val="Hyperlink"/>
          </w:rPr>
          <w:t>4.1.2</w:t>
        </w:r>
        <w:r w:rsidR="00587CA0">
          <w:rPr>
            <w:rFonts w:ascii="Calibri" w:eastAsia="Times New Roman" w:hAnsi="Calibri" w:cs="Times New Roman"/>
            <w:kern w:val="0"/>
            <w:sz w:val="22"/>
            <w:szCs w:val="22"/>
            <w:lang w:eastAsia="pt-BR" w:bidi="ar-SA"/>
          </w:rPr>
          <w:tab/>
        </w:r>
        <w:r w:rsidR="00587CA0">
          <w:rPr>
            <w:rStyle w:val="Hyperlink"/>
          </w:rPr>
          <w:t>Cálculo da compensação</w:t>
        </w:r>
        <w:r w:rsidR="00587CA0">
          <w:tab/>
          <w:t>9</w:t>
        </w:r>
      </w:hyperlink>
    </w:p>
    <w:p w14:paraId="001FB533" w14:textId="77777777" w:rsidR="00705129" w:rsidRDefault="00397A04">
      <w:pPr>
        <w:pStyle w:val="Sumrio3"/>
        <w:tabs>
          <w:tab w:val="right" w:leader="dot" w:pos="1100"/>
          <w:tab w:val="right" w:leader="dot" w:pos="9628"/>
        </w:tabs>
      </w:pPr>
      <w:hyperlink w:anchor="_Toc75782293" w:history="1">
        <w:r w:rsidR="00587CA0">
          <w:rPr>
            <w:rStyle w:val="Hyperlink"/>
          </w:rPr>
          <w:t>4.1.3</w:t>
        </w:r>
        <w:r w:rsidR="00587CA0">
          <w:rPr>
            <w:rFonts w:ascii="Calibri" w:eastAsia="Times New Roman" w:hAnsi="Calibri" w:cs="Times New Roman"/>
            <w:kern w:val="0"/>
            <w:sz w:val="22"/>
            <w:szCs w:val="22"/>
            <w:lang w:eastAsia="pt-BR" w:bidi="ar-SA"/>
          </w:rPr>
          <w:tab/>
        </w:r>
        <w:r w:rsidR="00587CA0">
          <w:rPr>
            <w:rStyle w:val="Hyperlink"/>
          </w:rPr>
          <w:t>Pagamento</w:t>
        </w:r>
        <w:r w:rsidR="00587CA0">
          <w:tab/>
          <w:t>9</w:t>
        </w:r>
      </w:hyperlink>
    </w:p>
    <w:p w14:paraId="001FB534" w14:textId="77777777" w:rsidR="00705129" w:rsidRDefault="00397A04">
      <w:pPr>
        <w:pStyle w:val="Sumrio3"/>
        <w:tabs>
          <w:tab w:val="right" w:leader="dot" w:pos="1100"/>
          <w:tab w:val="right" w:leader="dot" w:pos="9628"/>
        </w:tabs>
      </w:pPr>
      <w:hyperlink w:anchor="_Toc75782294" w:history="1">
        <w:r w:rsidR="00587CA0">
          <w:rPr>
            <w:rStyle w:val="Hyperlink"/>
          </w:rPr>
          <w:t>4.1.4</w:t>
        </w:r>
        <w:r w:rsidR="00587CA0">
          <w:rPr>
            <w:rFonts w:ascii="Calibri" w:eastAsia="Times New Roman" w:hAnsi="Calibri" w:cs="Times New Roman"/>
            <w:kern w:val="0"/>
            <w:sz w:val="22"/>
            <w:szCs w:val="22"/>
            <w:lang w:eastAsia="pt-BR" w:bidi="ar-SA"/>
          </w:rPr>
          <w:tab/>
        </w:r>
        <w:r w:rsidR="00587CA0">
          <w:rPr>
            <w:rStyle w:val="Hyperlink"/>
          </w:rPr>
          <w:t>Relatórios de Gestão</w:t>
        </w:r>
        <w:r w:rsidR="00587CA0">
          <w:tab/>
          <w:t>9</w:t>
        </w:r>
      </w:hyperlink>
    </w:p>
    <w:p w14:paraId="001FB535" w14:textId="77777777" w:rsidR="00705129" w:rsidRDefault="00397A04">
      <w:pPr>
        <w:pStyle w:val="Sumrio3"/>
        <w:tabs>
          <w:tab w:val="right" w:leader="dot" w:pos="1100"/>
          <w:tab w:val="right" w:leader="dot" w:pos="9628"/>
        </w:tabs>
      </w:pPr>
      <w:hyperlink w:anchor="_Toc75782295" w:history="1">
        <w:r w:rsidR="00587CA0">
          <w:rPr>
            <w:rStyle w:val="Hyperlink"/>
          </w:rPr>
          <w:t>4.1.5</w:t>
        </w:r>
        <w:r w:rsidR="00587CA0">
          <w:rPr>
            <w:rFonts w:ascii="Calibri" w:eastAsia="Times New Roman" w:hAnsi="Calibri" w:cs="Times New Roman"/>
            <w:kern w:val="0"/>
            <w:sz w:val="22"/>
            <w:szCs w:val="22"/>
            <w:lang w:eastAsia="pt-BR" w:bidi="ar-SA"/>
          </w:rPr>
          <w:tab/>
        </w:r>
        <w:r w:rsidR="00587CA0">
          <w:rPr>
            <w:rStyle w:val="Hyperlink"/>
          </w:rPr>
          <w:t>Revisão</w:t>
        </w:r>
        <w:r w:rsidR="00587CA0">
          <w:tab/>
          <w:t>9</w:t>
        </w:r>
      </w:hyperlink>
    </w:p>
    <w:p w14:paraId="001FB536" w14:textId="77777777" w:rsidR="00705129" w:rsidRDefault="00397A04">
      <w:pPr>
        <w:pStyle w:val="Sumrio3"/>
        <w:tabs>
          <w:tab w:val="right" w:leader="dot" w:pos="1100"/>
          <w:tab w:val="right" w:leader="dot" w:pos="9628"/>
        </w:tabs>
      </w:pPr>
      <w:hyperlink w:anchor="_Toc75782296" w:history="1">
        <w:r w:rsidR="00587CA0">
          <w:rPr>
            <w:rStyle w:val="Hyperlink"/>
          </w:rPr>
          <w:t>4.1.6</w:t>
        </w:r>
        <w:r w:rsidR="00587CA0">
          <w:rPr>
            <w:rFonts w:ascii="Calibri" w:eastAsia="Times New Roman" w:hAnsi="Calibri" w:cs="Times New Roman"/>
            <w:kern w:val="0"/>
            <w:sz w:val="22"/>
            <w:szCs w:val="22"/>
            <w:lang w:eastAsia="pt-BR" w:bidi="ar-SA"/>
          </w:rPr>
          <w:tab/>
        </w:r>
        <w:r w:rsidR="00587CA0">
          <w:rPr>
            <w:rStyle w:val="Hyperlink"/>
          </w:rPr>
          <w:t>Reabertura do Requerimento</w:t>
        </w:r>
        <w:r w:rsidR="00587CA0">
          <w:tab/>
          <w:t>9</w:t>
        </w:r>
      </w:hyperlink>
    </w:p>
    <w:p w14:paraId="001FB537" w14:textId="77777777" w:rsidR="00705129" w:rsidRDefault="00397A04">
      <w:pPr>
        <w:pStyle w:val="Sumrio3"/>
        <w:tabs>
          <w:tab w:val="right" w:leader="dot" w:pos="1100"/>
          <w:tab w:val="right" w:leader="dot" w:pos="9628"/>
        </w:tabs>
      </w:pPr>
      <w:hyperlink w:anchor="_Toc75782297" w:history="1">
        <w:r w:rsidR="00587CA0">
          <w:rPr>
            <w:rStyle w:val="Hyperlink"/>
          </w:rPr>
          <w:t>4.1.7</w:t>
        </w:r>
        <w:r w:rsidR="00587CA0">
          <w:rPr>
            <w:rFonts w:ascii="Calibri" w:eastAsia="Times New Roman" w:hAnsi="Calibri" w:cs="Times New Roman"/>
            <w:kern w:val="0"/>
            <w:sz w:val="22"/>
            <w:szCs w:val="22"/>
            <w:lang w:eastAsia="pt-BR" w:bidi="ar-SA"/>
          </w:rPr>
          <w:tab/>
        </w:r>
        <w:r w:rsidR="00587CA0">
          <w:rPr>
            <w:rStyle w:val="Hyperlink"/>
          </w:rPr>
          <w:t>Análise Automática</w:t>
        </w:r>
        <w:r w:rsidR="00587CA0">
          <w:tab/>
          <w:t>9</w:t>
        </w:r>
      </w:hyperlink>
    </w:p>
    <w:p w14:paraId="001FB538" w14:textId="77777777" w:rsidR="00705129" w:rsidRDefault="00397A04">
      <w:pPr>
        <w:pStyle w:val="Sumrio1"/>
        <w:tabs>
          <w:tab w:val="right" w:leader="dot" w:pos="440"/>
        </w:tabs>
      </w:pPr>
      <w:hyperlink w:anchor="_Toc75782298" w:history="1">
        <w:r w:rsidR="00587CA0">
          <w:rPr>
            <w:rStyle w:val="Hyperlink"/>
          </w:rPr>
          <w:t xml:space="preserve">5 </w:t>
        </w:r>
        <w:r w:rsidR="00587CA0">
          <w:rPr>
            <w:rFonts w:ascii="Calibri" w:eastAsia="Times New Roman" w:hAnsi="Calibri" w:cs="Times New Roman"/>
            <w:kern w:val="0"/>
            <w:szCs w:val="22"/>
            <w:lang w:eastAsia="pt-BR" w:bidi="ar-SA"/>
          </w:rPr>
          <w:tab/>
        </w:r>
        <w:r w:rsidR="00587CA0">
          <w:rPr>
            <w:rStyle w:val="Hyperlink"/>
          </w:rPr>
          <w:t>Deveres e Responsabilidades</w:t>
        </w:r>
        <w:r w:rsidR="00587CA0">
          <w:tab/>
          <w:t>10</w:t>
        </w:r>
      </w:hyperlink>
    </w:p>
    <w:p w14:paraId="001FB539" w14:textId="77777777" w:rsidR="00705129" w:rsidRDefault="00397A04">
      <w:pPr>
        <w:pStyle w:val="Sumrio1"/>
        <w:tabs>
          <w:tab w:val="right" w:leader="dot" w:pos="440"/>
        </w:tabs>
      </w:pPr>
      <w:hyperlink w:anchor="_Toc75782299" w:history="1">
        <w:r w:rsidR="00587CA0">
          <w:rPr>
            <w:rStyle w:val="Hyperlink"/>
          </w:rPr>
          <w:t>6</w:t>
        </w:r>
        <w:r w:rsidR="00587CA0">
          <w:rPr>
            <w:rFonts w:ascii="Calibri" w:eastAsia="Times New Roman" w:hAnsi="Calibri" w:cs="Times New Roman"/>
            <w:kern w:val="0"/>
            <w:szCs w:val="22"/>
            <w:lang w:eastAsia="pt-BR" w:bidi="ar-SA"/>
          </w:rPr>
          <w:tab/>
        </w:r>
        <w:r w:rsidR="00587CA0">
          <w:rPr>
            <w:rStyle w:val="Hyperlink"/>
          </w:rPr>
          <w:t>Modelo de Execução e Gestão Contratual</w:t>
        </w:r>
        <w:r w:rsidR="00587CA0">
          <w:tab/>
          <w:t>10</w:t>
        </w:r>
      </w:hyperlink>
    </w:p>
    <w:p w14:paraId="001FB53A" w14:textId="77777777" w:rsidR="00705129" w:rsidRDefault="00397A04">
      <w:pPr>
        <w:pStyle w:val="Sumrio1"/>
        <w:tabs>
          <w:tab w:val="right" w:leader="dot" w:pos="440"/>
        </w:tabs>
      </w:pPr>
      <w:hyperlink w:anchor="_Toc75782300" w:history="1">
        <w:r w:rsidR="00587CA0">
          <w:rPr>
            <w:rStyle w:val="Hyperlink"/>
          </w:rPr>
          <w:t xml:space="preserve">7 </w:t>
        </w:r>
        <w:r w:rsidR="00587CA0">
          <w:rPr>
            <w:rFonts w:ascii="Calibri" w:eastAsia="Times New Roman" w:hAnsi="Calibri" w:cs="Times New Roman"/>
            <w:kern w:val="0"/>
            <w:szCs w:val="22"/>
            <w:lang w:eastAsia="pt-BR" w:bidi="ar-SA"/>
          </w:rPr>
          <w:tab/>
        </w:r>
        <w:r w:rsidR="00587CA0">
          <w:rPr>
            <w:rStyle w:val="Hyperlink"/>
          </w:rPr>
          <w:t>Estimativa de Valor e Dotação Orçamentária</w:t>
        </w:r>
        <w:r w:rsidR="00587CA0">
          <w:tab/>
          <w:t>11</w:t>
        </w:r>
      </w:hyperlink>
    </w:p>
    <w:p w14:paraId="001FB53B" w14:textId="77777777" w:rsidR="00705129" w:rsidRDefault="00397A04">
      <w:pPr>
        <w:pStyle w:val="Sumrio2"/>
        <w:tabs>
          <w:tab w:val="right" w:leader="dot" w:pos="880"/>
          <w:tab w:val="right" w:leader="dot" w:pos="9628"/>
        </w:tabs>
      </w:pPr>
      <w:hyperlink w:anchor="_Toc75782301" w:history="1">
        <w:r w:rsidR="00587CA0">
          <w:rPr>
            <w:rStyle w:val="Hyperlink"/>
          </w:rPr>
          <w:t>7.1</w:t>
        </w:r>
        <w:r w:rsidR="00587CA0">
          <w:rPr>
            <w:rFonts w:ascii="Calibri" w:eastAsia="Times New Roman" w:hAnsi="Calibri" w:cs="Times New Roman"/>
            <w:kern w:val="0"/>
            <w:sz w:val="22"/>
            <w:szCs w:val="22"/>
            <w:lang w:eastAsia="pt-BR" w:bidi="ar-SA"/>
          </w:rPr>
          <w:tab/>
        </w:r>
        <w:r w:rsidR="00587CA0">
          <w:rPr>
            <w:rStyle w:val="Hyperlink"/>
          </w:rPr>
          <w:t>Dotação Orçamentária e Cronograma Físico Financeiro</w:t>
        </w:r>
        <w:r w:rsidR="00587CA0">
          <w:tab/>
          <w:t>12</w:t>
        </w:r>
      </w:hyperlink>
    </w:p>
    <w:p w14:paraId="001FB53C" w14:textId="77777777" w:rsidR="00705129" w:rsidRDefault="00397A04">
      <w:pPr>
        <w:pStyle w:val="Sumrio2"/>
        <w:tabs>
          <w:tab w:val="right" w:leader="dot" w:pos="880"/>
          <w:tab w:val="right" w:leader="dot" w:pos="9628"/>
        </w:tabs>
      </w:pPr>
      <w:hyperlink w:anchor="_Toc75782302" w:history="1">
        <w:r w:rsidR="00587CA0">
          <w:rPr>
            <w:rStyle w:val="Hyperlink"/>
          </w:rPr>
          <w:t>7.2</w:t>
        </w:r>
        <w:r w:rsidR="00587CA0">
          <w:rPr>
            <w:rFonts w:ascii="Calibri" w:eastAsia="Times New Roman" w:hAnsi="Calibri" w:cs="Times New Roman"/>
            <w:kern w:val="0"/>
            <w:sz w:val="22"/>
            <w:szCs w:val="22"/>
            <w:lang w:eastAsia="pt-BR" w:bidi="ar-SA"/>
          </w:rPr>
          <w:tab/>
        </w:r>
        <w:r w:rsidR="00587CA0">
          <w:rPr>
            <w:rStyle w:val="Hyperlink"/>
          </w:rPr>
          <w:t>Forma de Pagamento</w:t>
        </w:r>
        <w:r w:rsidR="00587CA0">
          <w:tab/>
          <w:t>12</w:t>
        </w:r>
      </w:hyperlink>
    </w:p>
    <w:p w14:paraId="001FB53D" w14:textId="77777777" w:rsidR="00705129" w:rsidRDefault="00397A04">
      <w:pPr>
        <w:pStyle w:val="Sumrio1"/>
        <w:tabs>
          <w:tab w:val="right" w:leader="dot" w:pos="440"/>
        </w:tabs>
      </w:pPr>
      <w:hyperlink w:anchor="_Toc75782303" w:history="1">
        <w:r w:rsidR="00587CA0">
          <w:rPr>
            <w:rStyle w:val="Hyperlink"/>
          </w:rPr>
          <w:t>8</w:t>
        </w:r>
        <w:r w:rsidR="00587CA0">
          <w:rPr>
            <w:rFonts w:ascii="Calibri" w:eastAsia="Times New Roman" w:hAnsi="Calibri" w:cs="Times New Roman"/>
            <w:kern w:val="0"/>
            <w:szCs w:val="22"/>
            <w:lang w:eastAsia="pt-BR" w:bidi="ar-SA"/>
          </w:rPr>
          <w:tab/>
        </w:r>
        <w:r w:rsidR="00587CA0">
          <w:rPr>
            <w:rStyle w:val="Hyperlink"/>
          </w:rPr>
          <w:t>Regime de Execução do Contrato</w:t>
        </w:r>
        <w:r w:rsidR="00587CA0">
          <w:tab/>
          <w:t>12</w:t>
        </w:r>
      </w:hyperlink>
    </w:p>
    <w:p w14:paraId="001FB53E" w14:textId="77777777" w:rsidR="00705129" w:rsidRDefault="00397A04">
      <w:pPr>
        <w:pStyle w:val="Sumrio1"/>
        <w:tabs>
          <w:tab w:val="right" w:leader="dot" w:pos="440"/>
        </w:tabs>
      </w:pPr>
      <w:hyperlink w:anchor="_Toc75782304" w:history="1">
        <w:r w:rsidR="00587CA0">
          <w:rPr>
            <w:rStyle w:val="Hyperlink"/>
          </w:rPr>
          <w:t>9</w:t>
        </w:r>
        <w:r w:rsidR="00587CA0">
          <w:rPr>
            <w:rFonts w:ascii="Calibri" w:eastAsia="Times New Roman" w:hAnsi="Calibri" w:cs="Times New Roman"/>
            <w:kern w:val="0"/>
            <w:szCs w:val="22"/>
            <w:lang w:eastAsia="pt-BR" w:bidi="ar-SA"/>
          </w:rPr>
          <w:tab/>
        </w:r>
        <w:r w:rsidR="00587CA0">
          <w:rPr>
            <w:rStyle w:val="Hyperlink"/>
          </w:rPr>
          <w:t>Fundamentação e Seleção do Fornecedor</w:t>
        </w:r>
        <w:r w:rsidR="00587CA0">
          <w:tab/>
          <w:t>13</w:t>
        </w:r>
      </w:hyperlink>
    </w:p>
    <w:p w14:paraId="001FB53F" w14:textId="77777777" w:rsidR="00705129" w:rsidRDefault="00397A04">
      <w:pPr>
        <w:pStyle w:val="Sumrio2"/>
        <w:tabs>
          <w:tab w:val="right" w:leader="dot" w:pos="880"/>
          <w:tab w:val="right" w:leader="dot" w:pos="9628"/>
        </w:tabs>
      </w:pPr>
      <w:hyperlink w:anchor="_Toc75782305" w:history="1">
        <w:r w:rsidR="00587CA0">
          <w:rPr>
            <w:rStyle w:val="Hyperlink"/>
          </w:rPr>
          <w:t xml:space="preserve">9.1 </w:t>
        </w:r>
        <w:r w:rsidR="00587CA0">
          <w:rPr>
            <w:rFonts w:ascii="Calibri" w:eastAsia="Times New Roman" w:hAnsi="Calibri" w:cs="Times New Roman"/>
            <w:kern w:val="0"/>
            <w:sz w:val="22"/>
            <w:szCs w:val="22"/>
            <w:lang w:eastAsia="pt-BR" w:bidi="ar-SA"/>
          </w:rPr>
          <w:tab/>
        </w:r>
        <w:r w:rsidR="00587CA0">
          <w:rPr>
            <w:rStyle w:val="Hyperlink"/>
          </w:rPr>
          <w:t>Processo de Planejamento</w:t>
        </w:r>
        <w:r w:rsidR="00587CA0">
          <w:tab/>
          <w:t>13</w:t>
        </w:r>
      </w:hyperlink>
    </w:p>
    <w:p w14:paraId="001FB540" w14:textId="77777777" w:rsidR="00705129" w:rsidRDefault="00397A04">
      <w:pPr>
        <w:pStyle w:val="Sumrio2"/>
        <w:tabs>
          <w:tab w:val="right" w:leader="dot" w:pos="880"/>
          <w:tab w:val="right" w:leader="dot" w:pos="9628"/>
        </w:tabs>
      </w:pPr>
      <w:hyperlink w:anchor="_Toc75782306" w:history="1">
        <w:r w:rsidR="00587CA0">
          <w:rPr>
            <w:rStyle w:val="Hyperlink"/>
          </w:rPr>
          <w:t>9.2</w:t>
        </w:r>
        <w:r w:rsidR="00587CA0">
          <w:rPr>
            <w:rFonts w:ascii="Calibri" w:eastAsia="Times New Roman" w:hAnsi="Calibri" w:cs="Times New Roman"/>
            <w:kern w:val="0"/>
            <w:sz w:val="22"/>
            <w:szCs w:val="22"/>
            <w:lang w:eastAsia="pt-BR" w:bidi="ar-SA"/>
          </w:rPr>
          <w:tab/>
        </w:r>
        <w:r w:rsidR="00587CA0">
          <w:rPr>
            <w:rStyle w:val="Hyperlink"/>
          </w:rPr>
          <w:t>Seleção do Fornecedor</w:t>
        </w:r>
        <w:r w:rsidR="00587CA0">
          <w:tab/>
          <w:t>13</w:t>
        </w:r>
      </w:hyperlink>
    </w:p>
    <w:p w14:paraId="001FB541" w14:textId="77777777" w:rsidR="00705129" w:rsidRDefault="00397A04">
      <w:pPr>
        <w:pStyle w:val="Sumrio1"/>
        <w:tabs>
          <w:tab w:val="right" w:leader="dot" w:pos="440"/>
        </w:tabs>
      </w:pPr>
      <w:hyperlink w:anchor="_Toc75782307" w:history="1">
        <w:r w:rsidR="00587CA0">
          <w:rPr>
            <w:rStyle w:val="Hyperlink"/>
          </w:rPr>
          <w:t>10</w:t>
        </w:r>
        <w:r w:rsidR="00587CA0">
          <w:rPr>
            <w:rFonts w:ascii="Calibri" w:eastAsia="Times New Roman" w:hAnsi="Calibri" w:cs="Times New Roman"/>
            <w:kern w:val="0"/>
            <w:szCs w:val="22"/>
            <w:lang w:eastAsia="pt-BR" w:bidi="ar-SA"/>
          </w:rPr>
          <w:tab/>
        </w:r>
        <w:r w:rsidR="00587CA0">
          <w:rPr>
            <w:rStyle w:val="Hyperlink"/>
          </w:rPr>
          <w:t>Vigência do Contrato</w:t>
        </w:r>
        <w:r w:rsidR="00587CA0">
          <w:tab/>
          <w:t>14</w:t>
        </w:r>
      </w:hyperlink>
    </w:p>
    <w:p w14:paraId="001FB542" w14:textId="77777777" w:rsidR="00705129" w:rsidRDefault="00397A04">
      <w:pPr>
        <w:pStyle w:val="Sumrio1"/>
        <w:tabs>
          <w:tab w:val="right" w:leader="dot" w:pos="440"/>
        </w:tabs>
      </w:pPr>
      <w:hyperlink w:anchor="_Toc75782308" w:history="1">
        <w:r w:rsidR="00587CA0">
          <w:rPr>
            <w:rStyle w:val="Hyperlink"/>
          </w:rPr>
          <w:t>11</w:t>
        </w:r>
        <w:r w:rsidR="00587CA0">
          <w:rPr>
            <w:rFonts w:ascii="Calibri" w:eastAsia="Times New Roman" w:hAnsi="Calibri" w:cs="Times New Roman"/>
            <w:kern w:val="0"/>
            <w:szCs w:val="22"/>
            <w:lang w:eastAsia="pt-BR" w:bidi="ar-SA"/>
          </w:rPr>
          <w:tab/>
        </w:r>
        <w:r w:rsidR="00587CA0">
          <w:rPr>
            <w:rStyle w:val="Hyperlink"/>
          </w:rPr>
          <w:t>Reajuste de Preços</w:t>
        </w:r>
        <w:r w:rsidR="00587CA0">
          <w:tab/>
          <w:t>14</w:t>
        </w:r>
      </w:hyperlink>
    </w:p>
    <w:p w14:paraId="001FB543" w14:textId="77777777" w:rsidR="00705129" w:rsidRDefault="00397A04">
      <w:pPr>
        <w:pStyle w:val="Sumrio1"/>
        <w:tabs>
          <w:tab w:val="right" w:leader="dot" w:pos="440"/>
        </w:tabs>
      </w:pPr>
      <w:hyperlink w:anchor="_Toc75782309" w:history="1">
        <w:r w:rsidR="00587CA0">
          <w:rPr>
            <w:rStyle w:val="Hyperlink"/>
          </w:rPr>
          <w:t>12</w:t>
        </w:r>
        <w:r w:rsidR="00587CA0">
          <w:rPr>
            <w:rFonts w:ascii="Calibri" w:eastAsia="Times New Roman" w:hAnsi="Calibri" w:cs="Times New Roman"/>
            <w:kern w:val="0"/>
            <w:szCs w:val="22"/>
            <w:lang w:eastAsia="pt-BR" w:bidi="ar-SA"/>
          </w:rPr>
          <w:tab/>
        </w:r>
        <w:r w:rsidR="00587CA0">
          <w:rPr>
            <w:rStyle w:val="Hyperlink"/>
          </w:rPr>
          <w:t>Referência Legal</w:t>
        </w:r>
        <w:r w:rsidR="00587CA0">
          <w:tab/>
          <w:t>15</w:t>
        </w:r>
      </w:hyperlink>
    </w:p>
    <w:p w14:paraId="001FB544" w14:textId="77777777" w:rsidR="00705129" w:rsidRDefault="00587CA0">
      <w:r>
        <w:rPr>
          <w:rFonts w:ascii="Segoe UI" w:hAnsi="Segoe UI" w:cs="Mangal"/>
          <w:sz w:val="22"/>
          <w:szCs w:val="21"/>
        </w:rPr>
        <w:fldChar w:fldCharType="end"/>
      </w:r>
    </w:p>
    <w:p w14:paraId="001FB545" w14:textId="77777777" w:rsidR="00705129" w:rsidRDefault="00705129">
      <w:pPr>
        <w:rPr>
          <w:rFonts w:ascii="Segoe UI" w:hAnsi="Segoe UI" w:cs="Mangal"/>
          <w:sz w:val="22"/>
          <w:szCs w:val="21"/>
        </w:rPr>
      </w:pPr>
    </w:p>
    <w:p w14:paraId="001FB546" w14:textId="77777777" w:rsidR="00705129" w:rsidRDefault="00705129">
      <w:pPr>
        <w:pageBreakBefore/>
        <w:suppressAutoHyphens w:val="0"/>
      </w:pPr>
    </w:p>
    <w:p w14:paraId="001FB547" w14:textId="77777777" w:rsidR="00705129" w:rsidRDefault="00705129"/>
    <w:p w14:paraId="001FB548" w14:textId="77777777" w:rsidR="00705129" w:rsidRDefault="00587CA0">
      <w:pPr>
        <w:pStyle w:val="Ttulo1"/>
      </w:pPr>
      <w:bookmarkStart w:id="0" w:name="_Toc50587781"/>
      <w:bookmarkStart w:id="1" w:name="_Toc51807879"/>
      <w:bookmarkStart w:id="2" w:name="_Toc51923533"/>
      <w:bookmarkStart w:id="3" w:name="_Toc51926297"/>
      <w:bookmarkStart w:id="4" w:name="_Toc52535704"/>
      <w:bookmarkStart w:id="5" w:name="_Toc52541753"/>
      <w:bookmarkStart w:id="6" w:name="_Toc74213069"/>
      <w:bookmarkStart w:id="7" w:name="_Toc75718660"/>
      <w:bookmarkStart w:id="8" w:name="_Toc75782285"/>
      <w:r>
        <w:t>1</w:t>
      </w:r>
      <w:r>
        <w:tab/>
      </w:r>
      <w:bookmarkEnd w:id="0"/>
      <w:bookmarkEnd w:id="1"/>
      <w:bookmarkEnd w:id="2"/>
      <w:bookmarkEnd w:id="3"/>
      <w:bookmarkEnd w:id="4"/>
      <w:bookmarkEnd w:id="5"/>
      <w:r>
        <w:t>Objeto da Contratação</w:t>
      </w:r>
      <w:bookmarkEnd w:id="6"/>
      <w:bookmarkEnd w:id="7"/>
      <w:bookmarkEnd w:id="8"/>
    </w:p>
    <w:p w14:paraId="001FB549" w14:textId="77777777" w:rsidR="00705129" w:rsidRDefault="00587CA0">
      <w:pPr>
        <w:pStyle w:val="Standard"/>
        <w:spacing w:before="240"/>
        <w:jc w:val="both"/>
      </w:pPr>
      <w:r>
        <w:rPr>
          <w:rFonts w:ascii="Segoe UI" w:hAnsi="Segoe UI" w:cs="Segoe UI"/>
          <w:sz w:val="22"/>
          <w:szCs w:val="22"/>
        </w:rPr>
        <w:t xml:space="preserve">Contratação de serviço </w:t>
      </w:r>
      <w:r>
        <w:rPr>
          <w:rFonts w:ascii="Segoe UI" w:hAnsi="Segoe UI" w:cs="Segoe UI"/>
          <w:i/>
          <w:iCs/>
          <w:sz w:val="22"/>
          <w:szCs w:val="22"/>
        </w:rPr>
        <w:t>SaaS (Software as a Service)</w:t>
      </w:r>
      <w:r>
        <w:rPr>
          <w:rFonts w:ascii="Segoe UI" w:hAnsi="Segoe UI" w:cs="Segoe UI"/>
          <w:sz w:val="22"/>
          <w:szCs w:val="22"/>
        </w:rPr>
        <w:t xml:space="preserve"> para operacionalização da compensação financeira entre o Regime Geral de Previdência Social e os regimes próprios de previdência social dos servidores públicos da União, dos Estados, do Distrito Federal e dos Municípios, e entre os regimes próprios, na hipótese de contagem recíproca de tempo de contribuição para efeito de aposentadoria, em cumprimento ao estabelecido pelo Decreto nº 10.188 de 20 de dezembro de 2019 e Portaria/SEPTR/ME nº 15.829, de 2 de julho de 2020.</w:t>
      </w:r>
    </w:p>
    <w:p w14:paraId="001FB54A" w14:textId="77777777" w:rsidR="00705129" w:rsidRDefault="00705129">
      <w:pPr>
        <w:pStyle w:val="Standard"/>
        <w:spacing w:before="240"/>
        <w:jc w:val="both"/>
        <w:rPr>
          <w:rFonts w:ascii="Segoe UI" w:hAnsi="Segoe UI" w:cs="Segoe UI"/>
          <w:sz w:val="22"/>
          <w:szCs w:val="22"/>
        </w:rPr>
      </w:pPr>
    </w:p>
    <w:p w14:paraId="001FB54B" w14:textId="77777777" w:rsidR="00705129" w:rsidRDefault="00587CA0">
      <w:pPr>
        <w:pStyle w:val="Ttulo1"/>
      </w:pPr>
      <w:bookmarkStart w:id="9" w:name="_Toc75782286"/>
      <w:r>
        <w:t>2</w:t>
      </w:r>
      <w:r>
        <w:tab/>
        <w:t>Descrição da Solução de TIC</w:t>
      </w:r>
      <w:bookmarkEnd w:id="9"/>
    </w:p>
    <w:p w14:paraId="001FB54C"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O serviço em tela visa atender aos Regimes Próprios de Previdência Social (RPPS) que necessitem realizar compensação previdenciária com outros entes, sejam regimes próprios ou o regime geral (INSS).</w:t>
      </w:r>
    </w:p>
    <w:p w14:paraId="001FB54D" w14:textId="77777777" w:rsidR="00705129" w:rsidRDefault="00587CA0">
      <w:pPr>
        <w:pStyle w:val="Standard"/>
        <w:spacing w:before="240"/>
        <w:jc w:val="both"/>
      </w:pPr>
      <w:r>
        <w:rPr>
          <w:rFonts w:ascii="Segoe UI" w:hAnsi="Segoe UI" w:cs="Segoe UI"/>
          <w:sz w:val="22"/>
          <w:szCs w:val="22"/>
        </w:rPr>
        <w:t xml:space="preserve">Este serviço é prestado pela Empresa de Tecnologia e Informações da Previdências - </w:t>
      </w:r>
      <w:proofErr w:type="spellStart"/>
      <w:r>
        <w:rPr>
          <w:rFonts w:ascii="Segoe UI" w:hAnsi="Segoe UI" w:cs="Segoe UI"/>
          <w:sz w:val="22"/>
          <w:szCs w:val="22"/>
        </w:rPr>
        <w:t>Dataprev</w:t>
      </w:r>
      <w:proofErr w:type="spellEnd"/>
      <w:r>
        <w:rPr>
          <w:rFonts w:ascii="Segoe UI" w:hAnsi="Segoe UI" w:cs="Segoe UI"/>
          <w:sz w:val="22"/>
          <w:szCs w:val="22"/>
        </w:rPr>
        <w:t xml:space="preserve">, tendo como escopo de operação desde o tratamento de entrada do requerimento de compensação, cálculo da compensação e pagamento até os relatórios de gestão. O serviço é comercializado pela </w:t>
      </w:r>
      <w:proofErr w:type="spellStart"/>
      <w:r>
        <w:rPr>
          <w:rFonts w:ascii="Segoe UI" w:hAnsi="Segoe UI" w:cs="Segoe UI"/>
          <w:sz w:val="22"/>
          <w:szCs w:val="22"/>
        </w:rPr>
        <w:t>Dataprev</w:t>
      </w:r>
      <w:proofErr w:type="spellEnd"/>
      <w:r>
        <w:rPr>
          <w:rFonts w:ascii="Segoe UI" w:hAnsi="Segoe UI" w:cs="Segoe UI"/>
          <w:sz w:val="22"/>
          <w:szCs w:val="22"/>
        </w:rPr>
        <w:t xml:space="preserve"> na modalidade </w:t>
      </w:r>
      <w:r>
        <w:rPr>
          <w:rFonts w:ascii="Segoe UI" w:hAnsi="Segoe UI" w:cs="Segoe UI"/>
          <w:b/>
          <w:bCs/>
          <w:i/>
          <w:iCs/>
          <w:sz w:val="22"/>
          <w:szCs w:val="22"/>
        </w:rPr>
        <w:t>SaaS</w:t>
      </w:r>
      <w:r>
        <w:rPr>
          <w:rFonts w:ascii="Segoe UI" w:hAnsi="Segoe UI" w:cs="Segoe UI"/>
          <w:b/>
          <w:bCs/>
          <w:sz w:val="22"/>
          <w:szCs w:val="22"/>
        </w:rPr>
        <w:t xml:space="preserve"> (</w:t>
      </w:r>
      <w:r>
        <w:rPr>
          <w:rFonts w:ascii="Segoe UI" w:hAnsi="Segoe UI" w:cs="Segoe UI"/>
          <w:b/>
          <w:bCs/>
          <w:i/>
          <w:iCs/>
          <w:sz w:val="22"/>
          <w:szCs w:val="22"/>
        </w:rPr>
        <w:t>Software as a Service</w:t>
      </w:r>
      <w:r>
        <w:rPr>
          <w:rFonts w:ascii="Segoe UI" w:hAnsi="Segoe UI" w:cs="Segoe UI"/>
          <w:b/>
          <w:bCs/>
          <w:sz w:val="22"/>
          <w:szCs w:val="22"/>
        </w:rPr>
        <w:t>)</w:t>
      </w:r>
      <w:r>
        <w:rPr>
          <w:rFonts w:ascii="Segoe UI" w:hAnsi="Segoe UI" w:cs="Segoe UI"/>
          <w:sz w:val="22"/>
          <w:szCs w:val="22"/>
        </w:rPr>
        <w:t>.</w:t>
      </w:r>
    </w:p>
    <w:p w14:paraId="001FB54E" w14:textId="77777777" w:rsidR="00705129" w:rsidRDefault="00705129">
      <w:pPr>
        <w:pStyle w:val="Standard"/>
        <w:spacing w:before="240"/>
        <w:jc w:val="both"/>
        <w:rPr>
          <w:rFonts w:ascii="Segoe UI" w:hAnsi="Segoe UI" w:cs="Segoe UI"/>
          <w:sz w:val="22"/>
          <w:szCs w:val="22"/>
        </w:rPr>
      </w:pPr>
    </w:p>
    <w:p w14:paraId="001FB54F"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Os serviços a serem contratados se enquadram nos pressupostos do Decreto n° 9.507, de 21 de setembro de 2018, não se configurando em quaisquer das atividades previstas no Art. 3º do aludido decreto, cuja execução indireta é vedada.</w:t>
      </w:r>
    </w:p>
    <w:p w14:paraId="001FB550" w14:textId="77777777" w:rsidR="00705129" w:rsidRDefault="00705129">
      <w:pPr>
        <w:pStyle w:val="Standard"/>
        <w:spacing w:before="240"/>
        <w:jc w:val="both"/>
        <w:rPr>
          <w:rFonts w:ascii="Segoe UI" w:hAnsi="Segoe UI" w:cs="Segoe UI"/>
          <w:sz w:val="22"/>
          <w:szCs w:val="22"/>
        </w:rPr>
      </w:pPr>
    </w:p>
    <w:p w14:paraId="001FB551" w14:textId="77777777" w:rsidR="00705129" w:rsidRDefault="00587CA0">
      <w:pPr>
        <w:pStyle w:val="Ttulo1"/>
      </w:pPr>
      <w:bookmarkStart w:id="10" w:name="_Toc51807880"/>
      <w:bookmarkStart w:id="11" w:name="_Toc51923534"/>
      <w:bookmarkStart w:id="12" w:name="_Toc51926298"/>
      <w:bookmarkStart w:id="13" w:name="_Toc52535705"/>
      <w:bookmarkStart w:id="14" w:name="_Toc52541754"/>
      <w:bookmarkStart w:id="15" w:name="_Toc74213070"/>
      <w:bookmarkStart w:id="16" w:name="_Toc75718661"/>
      <w:bookmarkStart w:id="17" w:name="_Toc75782287"/>
      <w:r>
        <w:t>3</w:t>
      </w:r>
      <w:r>
        <w:tab/>
      </w:r>
      <w:bookmarkEnd w:id="10"/>
      <w:bookmarkEnd w:id="11"/>
      <w:bookmarkEnd w:id="12"/>
      <w:bookmarkEnd w:id="13"/>
      <w:bookmarkEnd w:id="14"/>
      <w:r>
        <w:t>Justificativa da Contratação</w:t>
      </w:r>
      <w:bookmarkEnd w:id="15"/>
      <w:bookmarkEnd w:id="16"/>
      <w:r>
        <w:t xml:space="preserve"> e Alinhamento Estratégico</w:t>
      </w:r>
      <w:bookmarkEnd w:id="17"/>
    </w:p>
    <w:p w14:paraId="001FB552"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A presente contratação tem arrimo no cumprimento à Lei 9.796, de 05 de maio de 1999, que dispõe sobre a compensação financeira entre o Regime Geral de Previdência Social e os regimes de previdência dos servidores da União, dos Estados, do Distrito Federal e dos Municípios, nos casos de contagem recíproca de tempo de contribuição para efeito de aposentadoria e pensões.</w:t>
      </w:r>
    </w:p>
    <w:p w14:paraId="001FB553"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lastRenderedPageBreak/>
        <w:t>Os artigos 3º e 4º da referida Lei definem a compensação financeira à que fazem jus o Regime Geral de Previdência Social, como regime instituidor, e cada Regime Próprio de Previdência de servidor público, quando na condição de regime instituidor frente ao RGPS enquanto regime de origem.</w:t>
      </w:r>
    </w:p>
    <w:p w14:paraId="001FB554"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Em 20 de dezembro de 2019 o Decreto nº 10.188 regulamentou a Lei nº 9.796 e estabeleceu o prazo de 31 de dezembro de 2021 para adesão à compensação financeira, conforme transcrito a seguir:</w:t>
      </w:r>
    </w:p>
    <w:p w14:paraId="001FB555" w14:textId="77777777" w:rsidR="00705129" w:rsidRDefault="00587CA0">
      <w:pPr>
        <w:pStyle w:val="Standard"/>
        <w:spacing w:before="240"/>
        <w:ind w:left="1701"/>
        <w:jc w:val="both"/>
        <w:rPr>
          <w:rFonts w:ascii="Segoe UI" w:hAnsi="Segoe UI" w:cs="Segoe UI"/>
          <w:i/>
          <w:iCs/>
          <w:sz w:val="22"/>
          <w:szCs w:val="22"/>
        </w:rPr>
      </w:pPr>
      <w:r>
        <w:rPr>
          <w:rFonts w:ascii="Segoe UI" w:hAnsi="Segoe UI" w:cs="Segoe UI"/>
          <w:i/>
          <w:iCs/>
          <w:sz w:val="22"/>
          <w:szCs w:val="22"/>
        </w:rPr>
        <w:t>Art. 25. Os Estados, o Distrito Federal e os Municípios deverão aderir à compensação financeira de que trata este Decreto até 31 de dezembro de 2021, sob pena de incidirem as sanções de que trata o art. 7º da Lei nº 9.717, de 27 de novembro de 1998, e a suspensão do pagamento da compensação financeira devida pelo RGPS.</w:t>
      </w:r>
    </w:p>
    <w:p w14:paraId="001FB556"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O Decreto atribuiu à Secretaria de Previdência da Secretaria Especial de Previdência e Trabalho (SEPTR) do Ministério da Economia a obrigação de disponibilizar sistema de compensação previdenciária destinado a manter atualizado o cadastro de todos os benefícios objeto de compensação financeira e apurar o montante devido pelos regimes. Estabeleceu ainda que, para o processamento do requerimento de compensação financeira pelo sistema, o INSS e os RPPS celebrarão termo de adesão com a Secretaria Especial de Previdência e Trabalho do Ministério da Economia e contrato com a empresa de tecnologia desenvolvedora do sistema de compensação previdenciária.</w:t>
      </w:r>
    </w:p>
    <w:p w14:paraId="001FB557"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Ademais, destaque-se a instituição, por meio Artigo 18º do Decreto 10.188, do Conselho Nacional dos Regimes Próprios de Previdência Social ao qual compete, dentre outras:</w:t>
      </w:r>
    </w:p>
    <w:p w14:paraId="001FB558"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t>estabelecer as diretrizes para as relações negociais do INSS e dos RPPS com a empresa de tecnologia responsável pelo desenvolvimento do sistema de compensação previdenciária. (Art. 10º, § 2º);</w:t>
      </w:r>
    </w:p>
    <w:p w14:paraId="001FB559"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t>participar da definição das políticas e das diretrizes gerais relativas aos RPPS. (Art. 18º, Inciso I);</w:t>
      </w:r>
    </w:p>
    <w:p w14:paraId="001FB55A"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t>propor a elaboração e a revisão de normas e procedimentos relativos aos RPPS e à compensação financeira entre o RGPS e os RPPS e destes entre si. (Art. 18º, Inciso II);</w:t>
      </w:r>
    </w:p>
    <w:p w14:paraId="001FB55B"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t>examinar proposições de normas e procedimentos relativos aos RPPS e à compensação financeira entre os regimes. (Art. 18º, Inciso III);</w:t>
      </w:r>
    </w:p>
    <w:p w14:paraId="001FB55C"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t>propor metas e ações que contribuam para o aprimoramento dos RPPS e da compensação financeira. (Art. 18º, Inciso V);</w:t>
      </w:r>
    </w:p>
    <w:p w14:paraId="001FB55D"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lastRenderedPageBreak/>
        <w:t>participar da definição e acompanhar o desenvolvimento de sistemas relativos aos RPPS e à compensação previdenciária. (Art. 18º, Inciso VI);</w:t>
      </w:r>
    </w:p>
    <w:p w14:paraId="001FB55E" w14:textId="77777777" w:rsidR="00705129" w:rsidRDefault="00587CA0">
      <w:pPr>
        <w:pStyle w:val="Standard"/>
        <w:numPr>
          <w:ilvl w:val="0"/>
          <w:numId w:val="1"/>
        </w:numPr>
        <w:spacing w:before="240"/>
        <w:jc w:val="both"/>
        <w:rPr>
          <w:rFonts w:ascii="Segoe UI" w:hAnsi="Segoe UI" w:cs="Segoe UI"/>
          <w:sz w:val="22"/>
          <w:szCs w:val="22"/>
        </w:rPr>
      </w:pPr>
      <w:r>
        <w:rPr>
          <w:rFonts w:ascii="Segoe UI" w:hAnsi="Segoe UI" w:cs="Segoe UI"/>
          <w:sz w:val="22"/>
          <w:szCs w:val="22"/>
        </w:rPr>
        <w:t>acompanhar e avaliar a implementação de políticas, diretrizes gerais, metas, ações e a aplicação das normas e dos procedimentos relativos aos RPPS e à compensação financeira pelos entes federativos. (Art. 18º, Inciso VIII);</w:t>
      </w:r>
    </w:p>
    <w:p w14:paraId="001FB55F"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Portanto, em atendimento ao Decreto nº 10.188, a Secretaria Especial de Previdência e Trabalho do Ministério da Economia disponibilizou, conforme informado por meio do Ofício Circular SEI nº 4114/2020/ME </w:t>
      </w:r>
      <w:proofErr w:type="gramStart"/>
      <w:r>
        <w:rPr>
          <w:rFonts w:ascii="Segoe UI" w:hAnsi="Segoe UI" w:cs="Segoe UI"/>
          <w:sz w:val="22"/>
          <w:szCs w:val="22"/>
        </w:rPr>
        <w:t>de</w:t>
      </w:r>
      <w:proofErr w:type="gramEnd"/>
      <w:r>
        <w:rPr>
          <w:rFonts w:ascii="Segoe UI" w:hAnsi="Segoe UI" w:cs="Segoe UI"/>
          <w:sz w:val="22"/>
          <w:szCs w:val="22"/>
        </w:rPr>
        <w:t xml:space="preserve"> 18 de novembro de 2020, o sistema de compensação previdenciária, denominado COMPREV, desenvolvido e operacionalizado pela Empresa de Tecnologia e Informações da Previdência – DATAPREV.</w:t>
      </w:r>
    </w:p>
    <w:p w14:paraId="001FB560"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A presente contratação justifica-se primordialmente do atendimento à Portaria nº 15.829 de 2 de julho de 2020 da Secretaria Especial de Previdência e Trabalho que dispôs sobre a operacionalização da compensação financeira entre o Regime Geral de Previdência Social e os regimes próprios de previdência social da União, dos Estados, do Distrito Federal e dos Municípios e destes entre si, e estabeleceu em seu Artigo 5º:</w:t>
      </w:r>
    </w:p>
    <w:p w14:paraId="001FB561" w14:textId="77777777" w:rsidR="00705129" w:rsidRDefault="00587CA0">
      <w:pPr>
        <w:pStyle w:val="Standard"/>
        <w:spacing w:before="240"/>
        <w:ind w:left="1701"/>
        <w:jc w:val="both"/>
      </w:pPr>
      <w:r>
        <w:rPr>
          <w:rFonts w:ascii="Segoe UI" w:hAnsi="Segoe UI" w:cs="Segoe UI"/>
          <w:b/>
          <w:bCs/>
          <w:sz w:val="22"/>
          <w:szCs w:val="22"/>
        </w:rPr>
        <w:t>Art</w:t>
      </w:r>
      <w:r>
        <w:rPr>
          <w:rFonts w:ascii="Segoe UI" w:hAnsi="Segoe UI" w:cs="Segoe UI"/>
          <w:b/>
          <w:bCs/>
          <w:i/>
          <w:iCs/>
          <w:sz w:val="22"/>
          <w:szCs w:val="22"/>
        </w:rPr>
        <w:t>. 5º Nos termos do Decreto nº 10.188, de 2019, para o processamento dos requerimentos de compensação financeira e a utilização do sistema COMPREV, o INSS, a União, os Estados, o Distrito Federal e os Municípios deverão, até 31 de dezembro de 2021, celebrar</w:t>
      </w:r>
      <w:r>
        <w:rPr>
          <w:rFonts w:ascii="Segoe UI" w:hAnsi="Segoe UI" w:cs="Segoe UI"/>
          <w:i/>
          <w:iCs/>
          <w:sz w:val="22"/>
          <w:szCs w:val="22"/>
        </w:rPr>
        <w:t xml:space="preserve"> termo de adesão com a Secretaria Especial de Previdência e Trabalho e </w:t>
      </w:r>
      <w:r>
        <w:rPr>
          <w:rFonts w:ascii="Segoe UI" w:hAnsi="Segoe UI" w:cs="Segoe UI"/>
          <w:b/>
          <w:bCs/>
          <w:i/>
          <w:iCs/>
          <w:sz w:val="22"/>
          <w:szCs w:val="22"/>
        </w:rPr>
        <w:t>contrato com a Empresa de Tecnologia e Informações da Previdência - DATAPREV.</w:t>
      </w:r>
    </w:p>
    <w:p w14:paraId="001FB562" w14:textId="77777777" w:rsidR="00705129" w:rsidRDefault="00587CA0">
      <w:pPr>
        <w:pStyle w:val="Standard"/>
        <w:spacing w:before="240"/>
        <w:ind w:left="1701"/>
        <w:jc w:val="both"/>
        <w:rPr>
          <w:rFonts w:ascii="Segoe UI" w:hAnsi="Segoe UI" w:cs="Segoe UI"/>
          <w:i/>
          <w:iCs/>
          <w:sz w:val="22"/>
          <w:szCs w:val="22"/>
        </w:rPr>
      </w:pPr>
      <w:r>
        <w:rPr>
          <w:rFonts w:ascii="Segoe UI" w:hAnsi="Segoe UI" w:cs="Segoe UI"/>
          <w:i/>
          <w:iCs/>
          <w:sz w:val="22"/>
          <w:szCs w:val="22"/>
        </w:rPr>
        <w:t>§ 1º As diretrizes das relações negociais para a utilização do COMPREV serão estabelecidas pelo Conselho Nacional dos Regimes Próprios de Previdência Social, de que trata o art. 18 do Decreto 10.188, de 2019, observando-se que:</w:t>
      </w:r>
    </w:p>
    <w:p w14:paraId="001FB563" w14:textId="77777777" w:rsidR="00705129" w:rsidRDefault="00587CA0">
      <w:pPr>
        <w:pStyle w:val="Standard"/>
        <w:spacing w:before="240"/>
        <w:ind w:left="1701"/>
        <w:jc w:val="both"/>
      </w:pPr>
      <w:r>
        <w:rPr>
          <w:rFonts w:ascii="Segoe UI" w:hAnsi="Segoe UI" w:cs="Segoe UI"/>
          <w:b/>
          <w:bCs/>
          <w:i/>
          <w:iCs/>
          <w:sz w:val="22"/>
          <w:szCs w:val="22"/>
        </w:rPr>
        <w:t xml:space="preserve">I - </w:t>
      </w:r>
      <w:proofErr w:type="gramStart"/>
      <w:r>
        <w:rPr>
          <w:rFonts w:ascii="Segoe UI" w:hAnsi="Segoe UI" w:cs="Segoe UI"/>
          <w:b/>
          <w:bCs/>
          <w:i/>
          <w:iCs/>
          <w:sz w:val="22"/>
          <w:szCs w:val="22"/>
        </w:rPr>
        <w:t>na</w:t>
      </w:r>
      <w:proofErr w:type="gramEnd"/>
      <w:r>
        <w:rPr>
          <w:rFonts w:ascii="Segoe UI" w:hAnsi="Segoe UI" w:cs="Segoe UI"/>
          <w:b/>
          <w:bCs/>
          <w:i/>
          <w:iCs/>
          <w:sz w:val="22"/>
          <w:szCs w:val="22"/>
        </w:rPr>
        <w:t xml:space="preserve"> compensação entre o RGPS e os RPPS, o custeio do sistema será de responsabilidade</w:t>
      </w:r>
      <w:r>
        <w:rPr>
          <w:rFonts w:ascii="Segoe UI" w:hAnsi="Segoe UI" w:cs="Segoe UI"/>
          <w:i/>
          <w:iCs/>
          <w:sz w:val="22"/>
          <w:szCs w:val="22"/>
        </w:rPr>
        <w:t xml:space="preserve"> do INSS até 31 de dezembro de 2021 e </w:t>
      </w:r>
      <w:r>
        <w:rPr>
          <w:rFonts w:ascii="Segoe UI" w:hAnsi="Segoe UI" w:cs="Segoe UI"/>
          <w:b/>
          <w:bCs/>
          <w:i/>
          <w:iCs/>
          <w:sz w:val="22"/>
          <w:szCs w:val="22"/>
        </w:rPr>
        <w:t>de cada regime instituidor a partir de 1º de janeiro de 2022;</w:t>
      </w:r>
    </w:p>
    <w:p w14:paraId="001FB564" w14:textId="77777777" w:rsidR="00705129" w:rsidRDefault="00587CA0">
      <w:pPr>
        <w:pStyle w:val="Standard"/>
        <w:spacing w:before="240"/>
        <w:ind w:left="1701"/>
        <w:jc w:val="both"/>
        <w:rPr>
          <w:rFonts w:ascii="Segoe UI" w:hAnsi="Segoe UI" w:cs="Segoe UI"/>
          <w:i/>
          <w:iCs/>
          <w:sz w:val="22"/>
          <w:szCs w:val="22"/>
        </w:rPr>
      </w:pPr>
      <w:r>
        <w:rPr>
          <w:rFonts w:ascii="Segoe UI" w:hAnsi="Segoe UI" w:cs="Segoe UI"/>
          <w:i/>
          <w:iCs/>
          <w:sz w:val="22"/>
          <w:szCs w:val="22"/>
        </w:rPr>
        <w:t xml:space="preserve">II - </w:t>
      </w:r>
      <w:proofErr w:type="gramStart"/>
      <w:r>
        <w:rPr>
          <w:rFonts w:ascii="Segoe UI" w:hAnsi="Segoe UI" w:cs="Segoe UI"/>
          <w:i/>
          <w:iCs/>
          <w:sz w:val="22"/>
          <w:szCs w:val="22"/>
        </w:rPr>
        <w:t>na</w:t>
      </w:r>
      <w:proofErr w:type="gramEnd"/>
      <w:r>
        <w:rPr>
          <w:rFonts w:ascii="Segoe UI" w:hAnsi="Segoe UI" w:cs="Segoe UI"/>
          <w:i/>
          <w:iCs/>
          <w:sz w:val="22"/>
          <w:szCs w:val="22"/>
        </w:rPr>
        <w:t xml:space="preserve"> compensação entre os RPPS, o custeio do sistema será de responsabilidade de cada regime instituidor, a partir de 1º de janeiro de 2021.</w:t>
      </w:r>
    </w:p>
    <w:p w14:paraId="001FB565" w14:textId="77777777" w:rsidR="00705129" w:rsidRDefault="00587CA0">
      <w:pPr>
        <w:pStyle w:val="Standard"/>
        <w:spacing w:before="240"/>
        <w:ind w:left="1701"/>
        <w:jc w:val="both"/>
        <w:rPr>
          <w:rFonts w:ascii="Segoe UI" w:hAnsi="Segoe UI" w:cs="Segoe UI"/>
          <w:i/>
          <w:iCs/>
          <w:sz w:val="22"/>
          <w:szCs w:val="22"/>
        </w:rPr>
      </w:pPr>
      <w:r>
        <w:rPr>
          <w:rFonts w:ascii="Segoe UI" w:hAnsi="Segoe UI" w:cs="Segoe UI"/>
          <w:i/>
          <w:iCs/>
          <w:sz w:val="22"/>
          <w:szCs w:val="22"/>
        </w:rPr>
        <w:t>§ 2º Os requerimentos da compensação financeira entre os RPPS serão apresentados a partir de 1º de janeiro de 2021, por meio do COMPREV, somente pelos entes federativos que celebrarem o termo de adesão e o contrato de que trata o caput.</w:t>
      </w:r>
    </w:p>
    <w:p w14:paraId="001FB566" w14:textId="77777777" w:rsidR="00705129" w:rsidRDefault="00587CA0">
      <w:pPr>
        <w:pStyle w:val="Standard"/>
        <w:spacing w:before="240"/>
        <w:ind w:left="1701"/>
        <w:jc w:val="both"/>
        <w:rPr>
          <w:rFonts w:ascii="Segoe UI" w:hAnsi="Segoe UI" w:cs="Segoe UI"/>
          <w:b/>
          <w:bCs/>
          <w:i/>
          <w:iCs/>
          <w:sz w:val="22"/>
          <w:szCs w:val="22"/>
        </w:rPr>
      </w:pPr>
      <w:r>
        <w:rPr>
          <w:rFonts w:ascii="Segoe UI" w:hAnsi="Segoe UI" w:cs="Segoe UI"/>
          <w:b/>
          <w:bCs/>
          <w:i/>
          <w:iCs/>
          <w:sz w:val="22"/>
          <w:szCs w:val="22"/>
        </w:rPr>
        <w:lastRenderedPageBreak/>
        <w:t>§ 3º O não atendimento ao previsto no caput constituirá causa impeditiva à emissão do Certificado de Regularidade Previdenciária, de que trata o inciso IV do art. 9º da Lei nº 9.717, de 27 de novembro de 1998, aplicando-se as sanções de que trata o art. 7º da referida Lei e a suspensão do pagamento da compensação financeira devida pelo RGPS.</w:t>
      </w:r>
    </w:p>
    <w:p w14:paraId="001FB567"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Anteriormente, o Decreto 10.188 de 2019 havia já imposto sanções para situações nas quais as compensações previdenciárias devidas não fossem tempestivamente realizadas:</w:t>
      </w:r>
    </w:p>
    <w:p w14:paraId="001FB568" w14:textId="77777777" w:rsidR="00705129" w:rsidRDefault="00587CA0">
      <w:pPr>
        <w:pStyle w:val="Standard"/>
        <w:spacing w:before="240"/>
        <w:ind w:left="1701"/>
        <w:jc w:val="both"/>
        <w:rPr>
          <w:rFonts w:ascii="Segoe UI" w:hAnsi="Segoe UI" w:cs="Segoe UI"/>
          <w:i/>
          <w:iCs/>
          <w:sz w:val="22"/>
          <w:szCs w:val="22"/>
        </w:rPr>
      </w:pPr>
      <w:r>
        <w:rPr>
          <w:rFonts w:ascii="Segoe UI" w:hAnsi="Segoe UI" w:cs="Segoe UI"/>
          <w:i/>
          <w:iCs/>
          <w:sz w:val="22"/>
          <w:szCs w:val="22"/>
        </w:rPr>
        <w:t>Art. 11. O sistema de compensação previdenciária disponibilizado pela Secretaria de Previdência da Secretaria Especial de Previdência e Trabalho do Ministério da Economia, na forma prevista no art. 10, conterá o cadastro atualizado de todos os benefícios objeto de compensação financeira entre o RGPS e os RPPS, e destes entre si, incluído o total que cada regime deve aos demais como compensação financeira.</w:t>
      </w:r>
    </w:p>
    <w:p w14:paraId="001FB569" w14:textId="77777777" w:rsidR="00705129" w:rsidRDefault="00587CA0">
      <w:pPr>
        <w:pStyle w:val="Standard"/>
        <w:spacing w:before="240"/>
        <w:ind w:left="1701"/>
        <w:jc w:val="both"/>
      </w:pPr>
      <w:r>
        <w:rPr>
          <w:rFonts w:ascii="Segoe UI" w:hAnsi="Segoe UI" w:cs="Segoe UI"/>
          <w:i/>
          <w:iCs/>
          <w:sz w:val="22"/>
          <w:szCs w:val="22"/>
        </w:rPr>
        <w:t xml:space="preserve">§ 1º Até o dia trinta de cada mês, será disponibilizado ao regime de origem o total a ser por ele desembolsado a cada regime instituidor referente a competência do mês anterior, que corresponderá ao somatório do fluxo mensal, do fluxo acumulado e do estoque RGPS ou estoque RPPS, </w:t>
      </w:r>
      <w:r>
        <w:rPr>
          <w:rFonts w:ascii="Segoe UI" w:hAnsi="Segoe UI" w:cs="Segoe UI"/>
          <w:b/>
          <w:bCs/>
          <w:i/>
          <w:iCs/>
          <w:sz w:val="22"/>
          <w:szCs w:val="22"/>
        </w:rPr>
        <w:t>cujo desembolso deverá ser feito até o quinto dia útil do mês subsequente.</w:t>
      </w:r>
    </w:p>
    <w:p w14:paraId="001FB56A" w14:textId="77777777" w:rsidR="00705129" w:rsidRDefault="00587CA0">
      <w:pPr>
        <w:pStyle w:val="Standard"/>
        <w:spacing w:before="240"/>
        <w:ind w:left="1701"/>
        <w:jc w:val="both"/>
        <w:rPr>
          <w:rFonts w:ascii="Segoe UI" w:hAnsi="Segoe UI" w:cs="Segoe UI"/>
          <w:i/>
          <w:iCs/>
          <w:sz w:val="22"/>
          <w:szCs w:val="22"/>
        </w:rPr>
      </w:pPr>
      <w:r>
        <w:rPr>
          <w:rFonts w:ascii="Segoe UI" w:hAnsi="Segoe UI" w:cs="Segoe UI"/>
          <w:i/>
          <w:iCs/>
          <w:sz w:val="22"/>
          <w:szCs w:val="22"/>
        </w:rPr>
        <w:t>(....)</w:t>
      </w:r>
    </w:p>
    <w:p w14:paraId="001FB56B" w14:textId="77777777" w:rsidR="00705129" w:rsidRDefault="00587CA0">
      <w:pPr>
        <w:pStyle w:val="Standard"/>
        <w:spacing w:before="240"/>
        <w:ind w:left="1701"/>
        <w:jc w:val="both"/>
        <w:rPr>
          <w:rFonts w:ascii="Segoe UI" w:hAnsi="Segoe UI" w:cs="Segoe UI"/>
          <w:b/>
          <w:bCs/>
          <w:i/>
          <w:iCs/>
          <w:sz w:val="22"/>
          <w:szCs w:val="22"/>
        </w:rPr>
      </w:pPr>
      <w:r>
        <w:rPr>
          <w:rFonts w:ascii="Segoe UI" w:hAnsi="Segoe UI" w:cs="Segoe UI"/>
          <w:b/>
          <w:bCs/>
          <w:i/>
          <w:iCs/>
          <w:sz w:val="22"/>
          <w:szCs w:val="22"/>
        </w:rPr>
        <w:t>§ 6º O não pagamento no prazo estabelecido no § 1º a qualquer regime resultará na suspensão do pagamento da compensação financeira devida pelo RGPS e poderá ensejar a inscrição do ente federativo do regime de origem em dívida ativa federal, estadual, distrital ou municipal.</w:t>
      </w:r>
    </w:p>
    <w:p w14:paraId="001FB56C"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Em relação ao custeio do sistema de compensação previdenciária, ratificou a SEPTR, em Ofício circular posterior de número SEI nº 146/2021/ME datado de 27 de janeiro de 2021, que:</w:t>
      </w:r>
    </w:p>
    <w:p w14:paraId="001FB56D" w14:textId="77777777" w:rsidR="00705129" w:rsidRDefault="00587CA0">
      <w:pPr>
        <w:pStyle w:val="Standard"/>
        <w:spacing w:before="240"/>
        <w:ind w:left="1701"/>
        <w:jc w:val="both"/>
      </w:pPr>
      <w:r>
        <w:rPr>
          <w:rFonts w:ascii="Segoe UI" w:hAnsi="Segoe UI" w:cs="Segoe UI"/>
          <w:i/>
          <w:iCs/>
          <w:sz w:val="22"/>
          <w:szCs w:val="22"/>
        </w:rPr>
        <w:t xml:space="preserve">7. Quanto ao custeio do sistema, a Portaria SEPRT nº 15.829, de 2 de julho de 2020, estabeleceu que até 31 de dezembro de 2021, o custeio do sistema será feito pelo INSS, e que </w:t>
      </w:r>
      <w:r>
        <w:rPr>
          <w:rFonts w:ascii="Segoe UI" w:hAnsi="Segoe UI" w:cs="Segoe UI"/>
          <w:b/>
          <w:bCs/>
          <w:i/>
          <w:iCs/>
          <w:sz w:val="22"/>
          <w:szCs w:val="22"/>
        </w:rPr>
        <w:t>a partir de 2022, os entes federativos passarão a custeá-lo</w:t>
      </w:r>
      <w:r>
        <w:rPr>
          <w:rFonts w:ascii="Segoe UI" w:hAnsi="Segoe UI" w:cs="Segoe UI"/>
          <w:i/>
          <w:iCs/>
          <w:sz w:val="22"/>
          <w:szCs w:val="22"/>
        </w:rPr>
        <w:t xml:space="preserve">. De acordo com o Decreto nº 10.188, de 2019, é competência do Conselho Nacional dos Regimes Próprios de Previdência Social - CNRPPS estabelecer as diretrizes negociais com a empresa desenvolvedora do sistema de compensação previdenciária. </w:t>
      </w:r>
      <w:r>
        <w:rPr>
          <w:rFonts w:ascii="Segoe UI" w:hAnsi="Segoe UI" w:cs="Segoe UI"/>
          <w:b/>
          <w:bCs/>
          <w:i/>
          <w:iCs/>
          <w:sz w:val="22"/>
          <w:szCs w:val="22"/>
        </w:rPr>
        <w:t xml:space="preserve">Portanto, para o processamento dos requerimentos de compensação previdenciária e a utilização do sistema COMPREV, o INSS, a União, os Estados, o Distrito Federal e os Municípios deverão, até 31 de dezembro de 2021, </w:t>
      </w:r>
      <w:r>
        <w:rPr>
          <w:rFonts w:ascii="Segoe UI" w:hAnsi="Segoe UI" w:cs="Segoe UI"/>
          <w:b/>
          <w:bCs/>
          <w:i/>
          <w:iCs/>
          <w:sz w:val="22"/>
          <w:szCs w:val="22"/>
        </w:rPr>
        <w:lastRenderedPageBreak/>
        <w:t>celebrar</w:t>
      </w:r>
      <w:r>
        <w:rPr>
          <w:rFonts w:ascii="Segoe UI" w:hAnsi="Segoe UI" w:cs="Segoe UI"/>
          <w:i/>
          <w:iCs/>
          <w:sz w:val="22"/>
          <w:szCs w:val="22"/>
        </w:rPr>
        <w:t xml:space="preserve"> termo de adesão com a Secretaria Especial de Previdência e Trabalho -SEPRT e </w:t>
      </w:r>
      <w:r>
        <w:rPr>
          <w:rFonts w:ascii="Segoe UI" w:hAnsi="Segoe UI" w:cs="Segoe UI"/>
          <w:b/>
          <w:bCs/>
          <w:i/>
          <w:iCs/>
          <w:sz w:val="22"/>
          <w:szCs w:val="22"/>
        </w:rPr>
        <w:t xml:space="preserve">contrato com a </w:t>
      </w:r>
      <w:proofErr w:type="spellStart"/>
      <w:r>
        <w:rPr>
          <w:rFonts w:ascii="Segoe UI" w:hAnsi="Segoe UI" w:cs="Segoe UI"/>
          <w:b/>
          <w:bCs/>
          <w:i/>
          <w:iCs/>
          <w:sz w:val="22"/>
          <w:szCs w:val="22"/>
        </w:rPr>
        <w:t>Dataprev</w:t>
      </w:r>
      <w:proofErr w:type="spellEnd"/>
      <w:r>
        <w:rPr>
          <w:rFonts w:ascii="Segoe UI" w:hAnsi="Segoe UI" w:cs="Segoe UI"/>
          <w:i/>
          <w:iCs/>
          <w:sz w:val="22"/>
          <w:szCs w:val="22"/>
        </w:rPr>
        <w:t>.</w:t>
      </w:r>
    </w:p>
    <w:p w14:paraId="001FB56E" w14:textId="77777777" w:rsidR="00705129" w:rsidRDefault="00587CA0">
      <w:pPr>
        <w:pStyle w:val="Standard"/>
        <w:spacing w:before="240"/>
        <w:ind w:left="1560"/>
        <w:jc w:val="right"/>
      </w:pPr>
      <w:r>
        <w:rPr>
          <w:rFonts w:ascii="Segoe UI" w:hAnsi="Segoe UI" w:cs="Segoe UI"/>
          <w:i/>
          <w:iCs/>
          <w:sz w:val="18"/>
          <w:szCs w:val="18"/>
        </w:rPr>
        <w:t xml:space="preserve">(BRASIL. Secretaria de Previdência. Secretaria Especial de Previdência e Trabalho. Ministério da Economia. Ofício Circular SEI 146/2021/ME. Brasília, DF: Ministério da Economia, 27 jan. 2021. Disponível em: </w:t>
      </w:r>
      <w:hyperlink r:id="rId7" w:history="1">
        <w:r>
          <w:rPr>
            <w:rStyle w:val="Hyperlink"/>
            <w:rFonts w:ascii="Segoe UI" w:hAnsi="Segoe UI" w:cs="Segoe UI"/>
            <w:i/>
            <w:iCs/>
            <w:sz w:val="18"/>
            <w:szCs w:val="18"/>
          </w:rPr>
          <w:t>https://www.gov.br/previdencia/pt-br/assuntos/previdencia-no-servico-publico/compensacao-previdenciaria/arquivos/2020/OfcioCircular146.pdf</w:t>
        </w:r>
      </w:hyperlink>
      <w:r>
        <w:rPr>
          <w:rFonts w:ascii="Segoe UI" w:hAnsi="Segoe UI" w:cs="Segoe UI"/>
          <w:i/>
          <w:iCs/>
          <w:sz w:val="18"/>
          <w:szCs w:val="18"/>
        </w:rPr>
        <w:t>. Grifos nossos)</w:t>
      </w:r>
    </w:p>
    <w:p w14:paraId="001FB56F"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Complementarmente, o Conselho Nacional dos Regimes Próprios de Previdência Social – CNRPPS manifestou-se, por meio da Recomendação CNRPPS/ME nº 1, de 15 de março de 2021, contrariamente à contratação de consultorias para a operacionalização da compensação previdenciária entre os regimes, por entender que tal prática é nociva aos RPPS por resultar em transferência desnecessária de recursos públicos para entidades privadas, afrontando o princípio da economicidade. A aludida manifestação embasou-se nas seguintes razões:</w:t>
      </w:r>
    </w:p>
    <w:p w14:paraId="001FB570" w14:textId="77777777" w:rsidR="00705129" w:rsidRDefault="00587CA0">
      <w:pPr>
        <w:pStyle w:val="Standard"/>
        <w:numPr>
          <w:ilvl w:val="0"/>
          <w:numId w:val="2"/>
        </w:numPr>
        <w:spacing w:before="240"/>
        <w:ind w:left="1701" w:firstLine="0"/>
        <w:jc w:val="both"/>
        <w:rPr>
          <w:rFonts w:ascii="Segoe UI" w:hAnsi="Segoe UI" w:cs="Segoe UI"/>
          <w:i/>
          <w:iCs/>
          <w:sz w:val="22"/>
          <w:szCs w:val="22"/>
        </w:rPr>
      </w:pPr>
      <w:r>
        <w:rPr>
          <w:rFonts w:ascii="Segoe UI" w:hAnsi="Segoe UI" w:cs="Segoe UI"/>
          <w:i/>
          <w:iCs/>
          <w:sz w:val="22"/>
          <w:szCs w:val="22"/>
        </w:rPr>
        <w:t>considerando que a compensação previdenciária, disciplinada pela Lei nº 9.796, de 5 de maio de 1999, e pelo Decreto nº 10.188, de 2019, é uma importante fonte de receita dos regimes previdenciários, contribuindo para a promoção do seu equilíbrio financeiro e atuarial;</w:t>
      </w:r>
    </w:p>
    <w:p w14:paraId="001FB571" w14:textId="77777777" w:rsidR="00705129" w:rsidRDefault="00587CA0">
      <w:pPr>
        <w:pStyle w:val="Standard"/>
        <w:numPr>
          <w:ilvl w:val="0"/>
          <w:numId w:val="2"/>
        </w:numPr>
        <w:spacing w:before="240"/>
        <w:ind w:left="1701" w:firstLine="0"/>
        <w:jc w:val="both"/>
        <w:rPr>
          <w:rFonts w:ascii="Segoe UI" w:hAnsi="Segoe UI" w:cs="Segoe UI"/>
          <w:i/>
          <w:iCs/>
          <w:sz w:val="22"/>
          <w:szCs w:val="22"/>
        </w:rPr>
      </w:pPr>
      <w:r>
        <w:rPr>
          <w:rFonts w:ascii="Segoe UI" w:hAnsi="Segoe UI" w:cs="Segoe UI"/>
          <w:i/>
          <w:iCs/>
          <w:sz w:val="22"/>
          <w:szCs w:val="22"/>
        </w:rPr>
        <w:t>considerando que a atividade de compensação previdenciária não se trata de um serviço com alto grau de complexidade e especialização, mas de atividade finalística e rotineira dos regimes próprios de previdência social, assim como a concessão dos benefícios;</w:t>
      </w:r>
    </w:p>
    <w:p w14:paraId="001FB572" w14:textId="77777777" w:rsidR="00705129" w:rsidRDefault="00587CA0">
      <w:pPr>
        <w:pStyle w:val="Standard"/>
        <w:numPr>
          <w:ilvl w:val="0"/>
          <w:numId w:val="2"/>
        </w:numPr>
        <w:spacing w:before="240"/>
        <w:ind w:left="1701" w:firstLine="0"/>
        <w:jc w:val="both"/>
        <w:rPr>
          <w:rFonts w:ascii="Segoe UI" w:hAnsi="Segoe UI" w:cs="Segoe UI"/>
          <w:b/>
          <w:bCs/>
          <w:i/>
          <w:iCs/>
          <w:sz w:val="22"/>
          <w:szCs w:val="22"/>
        </w:rPr>
      </w:pPr>
      <w:r>
        <w:rPr>
          <w:rFonts w:ascii="Segoe UI" w:hAnsi="Segoe UI" w:cs="Segoe UI"/>
          <w:b/>
          <w:bCs/>
          <w:i/>
          <w:iCs/>
          <w:sz w:val="22"/>
          <w:szCs w:val="22"/>
        </w:rPr>
        <w:t>considerando que foi disponibilizado pela Secretaria de Previdência, nos termos do artigo 11 do Decreto º 10.188, de 2019, o novo sistema COMPREV, desenvolvido pela Empresa de Tecnologia e Informações da Previdência -DATAPREV, que tornará o processo de formalização e análise dos requerimentos de compensação previdenciária mais amigável, transparente e célere;</w:t>
      </w:r>
    </w:p>
    <w:p w14:paraId="001FB573" w14:textId="77777777" w:rsidR="00705129" w:rsidRDefault="00587CA0">
      <w:pPr>
        <w:pStyle w:val="Standard"/>
        <w:numPr>
          <w:ilvl w:val="0"/>
          <w:numId w:val="2"/>
        </w:numPr>
        <w:spacing w:before="240"/>
        <w:ind w:left="1701" w:firstLine="0"/>
        <w:jc w:val="both"/>
        <w:rPr>
          <w:rFonts w:ascii="Segoe UI" w:hAnsi="Segoe UI" w:cs="Segoe UI"/>
          <w:b/>
          <w:bCs/>
          <w:i/>
          <w:iCs/>
          <w:sz w:val="22"/>
          <w:szCs w:val="22"/>
        </w:rPr>
      </w:pPr>
      <w:r>
        <w:rPr>
          <w:rFonts w:ascii="Segoe UI" w:hAnsi="Segoe UI" w:cs="Segoe UI"/>
          <w:b/>
          <w:bCs/>
          <w:i/>
          <w:iCs/>
          <w:sz w:val="22"/>
          <w:szCs w:val="22"/>
        </w:rPr>
        <w:t>considerando que o sistema de compensação previdenciária adota procedimentos padronizados previstos no Decreto nº 10.188, de 2019, para análise de todos os requerimentos formalizados, como a adoção das análises por ordem cronológica, não sendo possível a análise de requerimentos fora desta ordem;</w:t>
      </w:r>
    </w:p>
    <w:p w14:paraId="001FB574" w14:textId="77777777" w:rsidR="00705129" w:rsidRDefault="00587CA0">
      <w:pPr>
        <w:pStyle w:val="Standard"/>
        <w:numPr>
          <w:ilvl w:val="0"/>
          <w:numId w:val="2"/>
        </w:numPr>
        <w:spacing w:before="240"/>
        <w:ind w:left="1701" w:firstLine="0"/>
        <w:jc w:val="both"/>
        <w:rPr>
          <w:rFonts w:ascii="Segoe UI" w:hAnsi="Segoe UI" w:cs="Segoe UI"/>
          <w:i/>
          <w:iCs/>
          <w:sz w:val="22"/>
          <w:szCs w:val="22"/>
        </w:rPr>
      </w:pPr>
      <w:r>
        <w:rPr>
          <w:rFonts w:ascii="Segoe UI" w:hAnsi="Segoe UI" w:cs="Segoe UI"/>
          <w:i/>
          <w:iCs/>
          <w:sz w:val="22"/>
          <w:szCs w:val="22"/>
        </w:rPr>
        <w:t>considerando o estabelecimento de prazo para a análise dos requerimentos, sob pena de incidência de juros e multa, conforme art. 4º da Portaria SEPRT nº 15.829, de 2 de julho de 2020;</w:t>
      </w:r>
    </w:p>
    <w:p w14:paraId="001FB575" w14:textId="77777777" w:rsidR="00705129" w:rsidRDefault="00587CA0">
      <w:pPr>
        <w:pStyle w:val="Standard"/>
        <w:numPr>
          <w:ilvl w:val="0"/>
          <w:numId w:val="2"/>
        </w:numPr>
        <w:spacing w:before="240"/>
        <w:ind w:left="1701" w:firstLine="0"/>
        <w:jc w:val="both"/>
        <w:rPr>
          <w:rFonts w:ascii="Segoe UI" w:hAnsi="Segoe UI" w:cs="Segoe UI"/>
          <w:b/>
          <w:bCs/>
          <w:i/>
          <w:iCs/>
          <w:sz w:val="22"/>
          <w:szCs w:val="22"/>
        </w:rPr>
      </w:pPr>
      <w:r>
        <w:rPr>
          <w:rFonts w:ascii="Segoe UI" w:hAnsi="Segoe UI" w:cs="Segoe UI"/>
          <w:b/>
          <w:bCs/>
          <w:i/>
          <w:iCs/>
          <w:sz w:val="22"/>
          <w:szCs w:val="22"/>
        </w:rPr>
        <w:lastRenderedPageBreak/>
        <w:t>considerando que a Secretaria de Previdência, o Instituto Nacional do Seguro Social -INSS e a DATAPREV, em parceria com entidades representativas dos RPPS, têm realizado eventos de capacitação e treinamentos para os servidores dos entes federativos sobre o novo sistema COMPREV;</w:t>
      </w:r>
    </w:p>
    <w:p w14:paraId="001FB576" w14:textId="77777777" w:rsidR="00705129" w:rsidRDefault="00587CA0">
      <w:pPr>
        <w:pStyle w:val="Standard"/>
        <w:numPr>
          <w:ilvl w:val="0"/>
          <w:numId w:val="2"/>
        </w:numPr>
        <w:spacing w:before="240"/>
        <w:ind w:left="1701" w:firstLine="0"/>
        <w:jc w:val="both"/>
      </w:pPr>
      <w:r>
        <w:rPr>
          <w:rFonts w:ascii="Segoe UI" w:hAnsi="Segoe UI" w:cs="Segoe UI"/>
          <w:i/>
          <w:iCs/>
          <w:sz w:val="22"/>
          <w:szCs w:val="22"/>
        </w:rPr>
        <w:t xml:space="preserve">considerando que os Tribunais de Contas têm julgado irregulares as contratações de empresas de consultoria para a operacionalização da compensação previdenciária, sob o fundamento de burla ao dispositivo constitucional do concurso público (art. 37, II da Constituição Federal), orientando a utilização de servidores públicos e a </w:t>
      </w:r>
      <w:r>
        <w:rPr>
          <w:rFonts w:ascii="Segoe UI" w:hAnsi="Segoe UI" w:cs="Segoe UI"/>
          <w:b/>
          <w:bCs/>
          <w:i/>
          <w:iCs/>
          <w:sz w:val="22"/>
          <w:szCs w:val="22"/>
        </w:rPr>
        <w:t>observância das orientações disponíveis no site da Secretaria de Previdência para utilização do COMPREV;</w:t>
      </w:r>
      <w:r>
        <w:rPr>
          <w:rFonts w:ascii="Segoe UI" w:hAnsi="Segoe UI" w:cs="Segoe UI"/>
          <w:i/>
          <w:iCs/>
          <w:sz w:val="22"/>
          <w:szCs w:val="22"/>
        </w:rPr>
        <w:t xml:space="preserve"> e</w:t>
      </w:r>
    </w:p>
    <w:p w14:paraId="001FB577" w14:textId="77777777" w:rsidR="00705129" w:rsidRDefault="00587CA0">
      <w:pPr>
        <w:pStyle w:val="Standard"/>
        <w:numPr>
          <w:ilvl w:val="0"/>
          <w:numId w:val="2"/>
        </w:numPr>
        <w:spacing w:before="240"/>
        <w:ind w:left="1701" w:firstLine="0"/>
        <w:jc w:val="both"/>
        <w:rPr>
          <w:rFonts w:ascii="Segoe UI" w:hAnsi="Segoe UI" w:cs="Segoe UI"/>
          <w:i/>
          <w:iCs/>
          <w:sz w:val="22"/>
          <w:szCs w:val="22"/>
        </w:rPr>
      </w:pPr>
      <w:r>
        <w:rPr>
          <w:rFonts w:ascii="Segoe UI" w:hAnsi="Segoe UI" w:cs="Segoe UI"/>
          <w:i/>
          <w:iCs/>
          <w:sz w:val="22"/>
          <w:szCs w:val="22"/>
        </w:rPr>
        <w:t>considerando que o § 2º do art. 15 da Portaria MPS nº 402, de 10 de dezembro de 2008, veda a contratação de consultoria que, de forma direta ou indireta, tenha o valor contratual definido por parcela, fração ou percentual, situação verificada em especial na celebração de "contratos de resultado", cujo critério de remuneração é estabelecido em percentual do valor da compensação recebida;</w:t>
      </w:r>
    </w:p>
    <w:p w14:paraId="001FB578" w14:textId="77777777" w:rsidR="00705129" w:rsidRDefault="00587CA0">
      <w:pPr>
        <w:pStyle w:val="Standard"/>
        <w:spacing w:before="240"/>
        <w:ind w:left="1560"/>
        <w:jc w:val="right"/>
      </w:pPr>
      <w:r>
        <w:rPr>
          <w:rFonts w:ascii="Segoe UI" w:hAnsi="Segoe UI" w:cs="Segoe UI"/>
          <w:i/>
          <w:iCs/>
          <w:sz w:val="18"/>
          <w:szCs w:val="18"/>
        </w:rPr>
        <w:t>(BRASIL. Recomendação CNRPPS/ME nº 1, de 15 de março de 2021. Diário Oficial da União, Brasília, DF, n. 51, 17 março 2021. Seção I, p.60. Disponível em &lt;</w:t>
      </w:r>
      <w:r>
        <w:t xml:space="preserve"> </w:t>
      </w:r>
      <w:hyperlink r:id="rId8" w:history="1">
        <w:r>
          <w:rPr>
            <w:rStyle w:val="Hyperlink"/>
            <w:rFonts w:ascii="Segoe UI" w:hAnsi="Segoe UI" w:cs="Segoe UI"/>
            <w:i/>
            <w:iCs/>
            <w:sz w:val="18"/>
            <w:szCs w:val="18"/>
          </w:rPr>
          <w:t>https://in.gov.br/web/dou/-/recomendacao-cnrpps/me-n-1-de-15-de-marco-de-2021-308985174</w:t>
        </w:r>
      </w:hyperlink>
      <w:r>
        <w:rPr>
          <w:rFonts w:ascii="Segoe UI" w:hAnsi="Segoe UI" w:cs="Segoe UI"/>
          <w:i/>
          <w:iCs/>
          <w:sz w:val="18"/>
          <w:szCs w:val="18"/>
        </w:rPr>
        <w:t>&gt;. Grifos nossos)</w:t>
      </w:r>
      <w:r>
        <w:rPr>
          <w:rFonts w:ascii="Segoe UI" w:hAnsi="Segoe UI" w:cs="Segoe UI"/>
          <w:sz w:val="22"/>
          <w:szCs w:val="22"/>
        </w:rPr>
        <w:t xml:space="preserve"> </w:t>
      </w:r>
    </w:p>
    <w:p w14:paraId="001FB579" w14:textId="77777777" w:rsidR="00705129" w:rsidRDefault="00587CA0">
      <w:pPr>
        <w:pStyle w:val="Standard"/>
        <w:spacing w:before="240"/>
        <w:jc w:val="both"/>
      </w:pPr>
      <w:r>
        <w:rPr>
          <w:rFonts w:ascii="Segoe UI" w:hAnsi="Segoe UI" w:cs="Segoe UI"/>
          <w:sz w:val="22"/>
          <w:szCs w:val="22"/>
        </w:rPr>
        <w:t xml:space="preserve">Atualmente, conforme dados extraídos do Indicador de Situação Previdenciária – ISP publicado no exercício de </w:t>
      </w:r>
      <w:r>
        <w:rPr>
          <w:rFonts w:ascii="Segoe UI" w:hAnsi="Segoe UI" w:cs="Segoe UI"/>
          <w:sz w:val="22"/>
          <w:szCs w:val="22"/>
          <w:shd w:val="clear" w:color="auto" w:fill="FFFF00"/>
        </w:rPr>
        <w:t>&lt;0000&gt;</w:t>
      </w:r>
      <w:r>
        <w:rPr>
          <w:rFonts w:ascii="Segoe UI" w:hAnsi="Segoe UI" w:cs="Segoe UI"/>
          <w:sz w:val="22"/>
          <w:szCs w:val="22"/>
        </w:rPr>
        <w:t xml:space="preserve">, este </w:t>
      </w:r>
      <w:r>
        <w:rPr>
          <w:rFonts w:ascii="Segoe UI" w:hAnsi="Segoe UI" w:cs="Segoe UI"/>
          <w:sz w:val="22"/>
          <w:szCs w:val="22"/>
          <w:shd w:val="clear" w:color="auto" w:fill="FFFF00"/>
        </w:rPr>
        <w:t>&lt;Denominação do RPPS&gt;</w:t>
      </w:r>
      <w:r>
        <w:rPr>
          <w:rFonts w:ascii="Segoe UI" w:hAnsi="Segoe UI" w:cs="Segoe UI"/>
          <w:sz w:val="22"/>
          <w:szCs w:val="22"/>
        </w:rPr>
        <w:t xml:space="preserve"> possui </w:t>
      </w:r>
      <w:r>
        <w:rPr>
          <w:rFonts w:ascii="Segoe UI" w:hAnsi="Segoe UI" w:cs="Segoe UI"/>
          <w:sz w:val="22"/>
          <w:szCs w:val="22"/>
          <w:shd w:val="clear" w:color="auto" w:fill="FFFF00"/>
        </w:rPr>
        <w:t>&lt;00000&gt;</w:t>
      </w:r>
      <w:r>
        <w:rPr>
          <w:rFonts w:ascii="Segoe UI" w:hAnsi="Segoe UI" w:cs="Segoe UI"/>
          <w:sz w:val="22"/>
          <w:szCs w:val="22"/>
        </w:rPr>
        <w:t xml:space="preserve"> segurados e beneficiários vinculados ao Regime Próprio de Previdência Social – RPPS, se enquadrando, portanto, nas condições que o obrigam a realizar a compensação financeira prevista na Lei 9796/1999 e regulamentada pelo Decreto 10.188/2019.</w:t>
      </w:r>
    </w:p>
    <w:p w14:paraId="001FB57A" w14:textId="77777777" w:rsidR="00705129" w:rsidRDefault="00587CA0">
      <w:pPr>
        <w:pStyle w:val="Standard"/>
        <w:spacing w:before="240"/>
        <w:jc w:val="both"/>
      </w:pPr>
      <w:r>
        <w:rPr>
          <w:rFonts w:ascii="Segoe UI" w:hAnsi="Segoe UI" w:cs="Segoe UI"/>
          <w:sz w:val="22"/>
          <w:szCs w:val="22"/>
        </w:rPr>
        <w:t xml:space="preserve">Depreende-se pelo exposto que a contratação objeto deste Projeto Básico se configura como uma imprescindível necessidade para viabilizar o tempestivo cumprimento dos dispositivos legais e regulamentares aos quais se sujeita este </w:t>
      </w:r>
      <w:r>
        <w:rPr>
          <w:rFonts w:ascii="Segoe UI" w:hAnsi="Segoe UI" w:cs="Segoe UI"/>
          <w:sz w:val="22"/>
          <w:szCs w:val="22"/>
          <w:shd w:val="clear" w:color="auto" w:fill="FFFF00"/>
        </w:rPr>
        <w:t>&lt;Denominação do RPPS&gt;</w:t>
      </w:r>
      <w:r>
        <w:rPr>
          <w:rFonts w:ascii="Segoe UI" w:hAnsi="Segoe UI" w:cs="Segoe UI"/>
          <w:sz w:val="22"/>
          <w:szCs w:val="22"/>
        </w:rPr>
        <w:t xml:space="preserve"> e evitar as sanções impostas pelo seu descumprimento.</w:t>
      </w:r>
    </w:p>
    <w:p w14:paraId="001FB57B" w14:textId="77777777" w:rsidR="00705129" w:rsidRDefault="00705129">
      <w:pPr>
        <w:pStyle w:val="Standard"/>
        <w:spacing w:before="240"/>
        <w:jc w:val="both"/>
        <w:rPr>
          <w:rFonts w:ascii="Segoe UI" w:hAnsi="Segoe UI" w:cs="Segoe UI"/>
          <w:sz w:val="22"/>
          <w:szCs w:val="22"/>
        </w:rPr>
      </w:pPr>
    </w:p>
    <w:p w14:paraId="001FB57C" w14:textId="77777777" w:rsidR="00705129" w:rsidRDefault="00587CA0">
      <w:pPr>
        <w:pStyle w:val="Ttulo2"/>
      </w:pPr>
      <w:bookmarkStart w:id="18" w:name="_Toc75782288"/>
      <w:r>
        <w:t>3.1</w:t>
      </w:r>
      <w:r>
        <w:tab/>
        <w:t>Alinhamento Estratégico</w:t>
      </w:r>
      <w:bookmarkEnd w:id="18"/>
    </w:p>
    <w:p w14:paraId="001FB57D" w14:textId="77777777" w:rsidR="00705129" w:rsidRDefault="00587CA0">
      <w:pPr>
        <w:pStyle w:val="Standard"/>
        <w:spacing w:before="240"/>
        <w:jc w:val="both"/>
      </w:pPr>
      <w:r>
        <w:rPr>
          <w:rFonts w:ascii="Segoe UI" w:hAnsi="Segoe UI" w:cs="Segoe UI"/>
          <w:sz w:val="22"/>
          <w:szCs w:val="22"/>
        </w:rPr>
        <w:t xml:space="preserve">A contratação está alinhada ao Planejamento Estratégico do </w:t>
      </w:r>
      <w:r>
        <w:rPr>
          <w:rFonts w:ascii="Segoe UI" w:hAnsi="Segoe UI" w:cs="Segoe UI"/>
          <w:sz w:val="22"/>
          <w:szCs w:val="22"/>
          <w:shd w:val="clear" w:color="auto" w:fill="FFFF00"/>
        </w:rPr>
        <w:t>&lt;Denominação do RPPS&gt;</w:t>
      </w:r>
      <w:r>
        <w:rPr>
          <w:rFonts w:ascii="Segoe UI" w:hAnsi="Segoe UI" w:cs="Segoe UI"/>
          <w:sz w:val="22"/>
          <w:szCs w:val="22"/>
        </w:rPr>
        <w:t xml:space="preserve">, para o ano de 202X. </w:t>
      </w:r>
      <w:r>
        <w:rPr>
          <w:rFonts w:ascii="Segoe UI" w:hAnsi="Segoe UI" w:cs="Segoe UI"/>
          <w:sz w:val="22"/>
          <w:szCs w:val="22"/>
          <w:shd w:val="clear" w:color="auto" w:fill="FFFF00"/>
        </w:rPr>
        <w:t>&lt;Inserir os instrumentos de alinhamento estratégico do RPPS&gt;</w:t>
      </w:r>
    </w:p>
    <w:p w14:paraId="001FB57E" w14:textId="77777777" w:rsidR="00705129" w:rsidRDefault="00705129">
      <w:pPr>
        <w:pStyle w:val="Standard"/>
        <w:spacing w:before="240"/>
        <w:jc w:val="both"/>
        <w:rPr>
          <w:rFonts w:ascii="Segoe UI" w:hAnsi="Segoe UI" w:cs="Segoe UI"/>
          <w:sz w:val="22"/>
          <w:szCs w:val="22"/>
        </w:rPr>
      </w:pPr>
    </w:p>
    <w:p w14:paraId="001FB57F" w14:textId="77777777" w:rsidR="00705129" w:rsidRDefault="00587CA0">
      <w:pPr>
        <w:pStyle w:val="Ttulo1"/>
      </w:pPr>
      <w:bookmarkStart w:id="19" w:name="_Toc75782289"/>
      <w:r>
        <w:lastRenderedPageBreak/>
        <w:t>4</w:t>
      </w:r>
      <w:r>
        <w:tab/>
        <w:t>Especificação dos Requisitos da Contratação</w:t>
      </w:r>
      <w:bookmarkEnd w:id="19"/>
    </w:p>
    <w:p w14:paraId="001FB580"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Em consonância com o Art. 10º do Decreto 10.188/2019, a Secretaria Especial de Previdência e Trabalho do Ministério da Economia atuou para disponibilizar sistema de compensação previdenciária destinado a manter atualizado o cadastro de todos os benefícios objeto de compensação financeira e a apurar o montante devido pelos regimes. Complementarmente, conforme disposto no Inciso VI do Art. 18º do Decreto 10.188/2019, compete ao Conselho Nacional dos Regimes Próprios de Previdência Social participar da definição e acompanhar o desenvolvimento de sistemas relativos aos RPPS e à compensação previdenciária.</w:t>
      </w:r>
    </w:p>
    <w:p w14:paraId="001FB581"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Neste sentido, conforme citado no Ofício Circular SEI nº 4114/2020/ME </w:t>
      </w:r>
      <w:proofErr w:type="spellStart"/>
      <w:r>
        <w:rPr>
          <w:rFonts w:ascii="Segoe UI" w:hAnsi="Segoe UI" w:cs="Segoe UI"/>
          <w:sz w:val="22"/>
          <w:szCs w:val="22"/>
        </w:rPr>
        <w:t>da</w:t>
      </w:r>
      <w:proofErr w:type="spellEnd"/>
      <w:r>
        <w:rPr>
          <w:rFonts w:ascii="Segoe UI" w:hAnsi="Segoe UI" w:cs="Segoe UI"/>
          <w:sz w:val="22"/>
          <w:szCs w:val="22"/>
        </w:rPr>
        <w:t xml:space="preserve"> SEPTR/ME, já em final de 2020 a Secretaria de Previdência informou que vinha atuando junto com o INSS e representantes de entes federativos na especificação, desenvolvimento e homologação de um novo sistema para compensação previdenciária prevista no § 9º do art. 201, da Constituição Federal e na Lei nº 9.796, de 05 de maio de 1999. Reforçou ainda que este novo sistema possibilitaria dar continuidade à melhoria dos processos e procedimentos da compensação previdenciária, iniciada com a edição do Decreto nº 10.188, de 20 de dezembro de 2019.</w:t>
      </w:r>
    </w:p>
    <w:p w14:paraId="001FB582"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Neste sentido, os requisitos do serviço objeto da presente contratação seguem as definições estabelecidas conforme exposto acima, sendo possível contudo indicar algumas funcionalidades essenciais já apresentadas pelos envolvidos, transcritas a seguir:</w:t>
      </w:r>
    </w:p>
    <w:p w14:paraId="001FB583" w14:textId="77777777" w:rsidR="00705129" w:rsidRDefault="00705129">
      <w:pPr>
        <w:pStyle w:val="Standard"/>
        <w:spacing w:before="240"/>
        <w:jc w:val="both"/>
        <w:rPr>
          <w:rFonts w:ascii="Segoe UI" w:hAnsi="Segoe UI" w:cs="Segoe UI"/>
          <w:sz w:val="22"/>
          <w:szCs w:val="22"/>
        </w:rPr>
      </w:pPr>
    </w:p>
    <w:p w14:paraId="001FB584" w14:textId="77777777" w:rsidR="00705129" w:rsidRDefault="00587CA0">
      <w:pPr>
        <w:pStyle w:val="Ttulo2"/>
      </w:pPr>
      <w:bookmarkStart w:id="20" w:name="_Toc75782290"/>
      <w:r>
        <w:t>4.1</w:t>
      </w:r>
      <w:r>
        <w:tab/>
        <w:t>Composição do Serviço</w:t>
      </w:r>
      <w:bookmarkEnd w:id="20"/>
      <w:r>
        <w:t xml:space="preserve"> </w:t>
      </w:r>
    </w:p>
    <w:p w14:paraId="001FB585"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Dentre as funcionalidades do COMPREV, é possível destacar as mais relevantes, descritas abaixo:</w:t>
      </w:r>
    </w:p>
    <w:p w14:paraId="001FB586" w14:textId="77777777" w:rsidR="00705129" w:rsidRDefault="00705129">
      <w:pPr>
        <w:pStyle w:val="Standard"/>
        <w:spacing w:before="240"/>
        <w:jc w:val="both"/>
        <w:rPr>
          <w:rFonts w:ascii="Segoe UI" w:hAnsi="Segoe UI" w:cs="Segoe UI"/>
          <w:sz w:val="22"/>
          <w:szCs w:val="22"/>
        </w:rPr>
      </w:pPr>
    </w:p>
    <w:p w14:paraId="001FB587" w14:textId="77777777" w:rsidR="00705129" w:rsidRDefault="00587CA0">
      <w:pPr>
        <w:pStyle w:val="Ttulo3"/>
      </w:pPr>
      <w:bookmarkStart w:id="21" w:name="_Toc75782291"/>
      <w:r>
        <w:t>4.1.1</w:t>
      </w:r>
      <w:r>
        <w:tab/>
        <w:t>Tratamento do requerimento de compensação de aposentadoria e pensão</w:t>
      </w:r>
      <w:bookmarkEnd w:id="21"/>
      <w:r>
        <w:t xml:space="preserve">  </w:t>
      </w:r>
    </w:p>
    <w:p w14:paraId="001FB588"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Permite ao participante da compensação (RGPS ou RPPS) realizar todas as ações para entrada de dados do requerimento e sua análise.  </w:t>
      </w:r>
    </w:p>
    <w:p w14:paraId="001FB589"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Além de tela online disponibilizada na Internet para a abertura manual do requerimento, também estará disponível uma API para que os participantes da compensação possam fazer integração por meio de seus sistemas. </w:t>
      </w:r>
    </w:p>
    <w:p w14:paraId="001FB58A" w14:textId="77777777" w:rsidR="00705129" w:rsidRDefault="00705129">
      <w:pPr>
        <w:pStyle w:val="Standard"/>
        <w:spacing w:before="240"/>
        <w:jc w:val="both"/>
        <w:rPr>
          <w:rFonts w:ascii="Segoe UI" w:hAnsi="Segoe UI" w:cs="Segoe UI"/>
          <w:sz w:val="22"/>
          <w:szCs w:val="22"/>
        </w:rPr>
      </w:pPr>
    </w:p>
    <w:p w14:paraId="001FB58B" w14:textId="77777777" w:rsidR="00705129" w:rsidRDefault="00587CA0">
      <w:pPr>
        <w:pStyle w:val="Ttulo3"/>
      </w:pPr>
      <w:bookmarkStart w:id="22" w:name="_Toc75782292"/>
      <w:r>
        <w:lastRenderedPageBreak/>
        <w:t>4.1.2</w:t>
      </w:r>
      <w:r>
        <w:tab/>
        <w:t>Cálculo da compensação</w:t>
      </w:r>
      <w:bookmarkEnd w:id="22"/>
    </w:p>
    <w:p w14:paraId="001FB58C"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Realização do cálculo da compensação entre os participantes, a partir da simulação das rendas: mensal inicial de RGPS anterior a 88  para requerimento aposentadoria, mensal inicial de RGPS posterior a 88  para requerimento aposentadoria, mensal inicial de RGPS para requerimento de pensão, mensal inicial de RPPS anterior a 2004  para requerimento aposentadoria, mensal inicial de RPPS posterior a 2004  para requerimento aposentadoria, mensal inicial de RPPS para requerimento de pensão e o cálculo do </w:t>
      </w:r>
      <w:proofErr w:type="spellStart"/>
      <w:r>
        <w:rPr>
          <w:rFonts w:ascii="Segoe UI" w:hAnsi="Segoe UI" w:cs="Segoe UI"/>
          <w:sz w:val="22"/>
          <w:szCs w:val="22"/>
        </w:rPr>
        <w:t>pró-rata</w:t>
      </w:r>
      <w:proofErr w:type="spellEnd"/>
      <w:r>
        <w:rPr>
          <w:rFonts w:ascii="Segoe UI" w:hAnsi="Segoe UI" w:cs="Segoe UI"/>
          <w:sz w:val="22"/>
          <w:szCs w:val="22"/>
        </w:rPr>
        <w:t xml:space="preserve"> inicial. </w:t>
      </w:r>
    </w:p>
    <w:p w14:paraId="001FB58D" w14:textId="77777777" w:rsidR="00705129" w:rsidRDefault="00705129">
      <w:pPr>
        <w:pStyle w:val="Standard"/>
        <w:spacing w:before="240"/>
        <w:jc w:val="both"/>
        <w:rPr>
          <w:rFonts w:ascii="Segoe UI" w:hAnsi="Segoe UI" w:cs="Segoe UI"/>
          <w:sz w:val="22"/>
          <w:szCs w:val="22"/>
        </w:rPr>
      </w:pPr>
    </w:p>
    <w:p w14:paraId="001FB58E" w14:textId="77777777" w:rsidR="00705129" w:rsidRDefault="00587CA0">
      <w:pPr>
        <w:pStyle w:val="Ttulo3"/>
      </w:pPr>
      <w:bookmarkStart w:id="23" w:name="_Toc75782293"/>
      <w:r>
        <w:t>4.1.3</w:t>
      </w:r>
      <w:r>
        <w:tab/>
        <w:t>Pagamento</w:t>
      </w:r>
      <w:bookmarkEnd w:id="23"/>
    </w:p>
    <w:p w14:paraId="001FB58F"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Realização do pagamento e controle da compensação, acompanhando e verificando os pagamentos realizados entre as partes. </w:t>
      </w:r>
    </w:p>
    <w:p w14:paraId="001FB590" w14:textId="77777777" w:rsidR="00705129" w:rsidRDefault="00705129">
      <w:pPr>
        <w:pStyle w:val="Standard"/>
        <w:spacing w:before="240"/>
        <w:jc w:val="both"/>
        <w:rPr>
          <w:rFonts w:ascii="Segoe UI" w:hAnsi="Segoe UI" w:cs="Segoe UI"/>
          <w:sz w:val="22"/>
          <w:szCs w:val="22"/>
        </w:rPr>
      </w:pPr>
    </w:p>
    <w:p w14:paraId="001FB591" w14:textId="77777777" w:rsidR="00705129" w:rsidRDefault="00587CA0">
      <w:pPr>
        <w:pStyle w:val="Ttulo3"/>
      </w:pPr>
      <w:bookmarkStart w:id="24" w:name="_Toc75782294"/>
      <w:r>
        <w:t>4.1.4</w:t>
      </w:r>
      <w:r>
        <w:tab/>
        <w:t>Relatórios de Gestão</w:t>
      </w:r>
      <w:bookmarkEnd w:id="24"/>
    </w:p>
    <w:p w14:paraId="001FB592"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Realização de consultas dinâmicas, pré-definidas e exibição de gráficos que auxiliam na gestão da compensação pelos regimes.</w:t>
      </w:r>
    </w:p>
    <w:p w14:paraId="001FB593" w14:textId="77777777" w:rsidR="00705129" w:rsidRDefault="00705129">
      <w:pPr>
        <w:pStyle w:val="Standard"/>
        <w:spacing w:before="240"/>
        <w:jc w:val="both"/>
        <w:rPr>
          <w:rFonts w:ascii="Segoe UI" w:hAnsi="Segoe UI" w:cs="Segoe UI"/>
          <w:sz w:val="22"/>
          <w:szCs w:val="22"/>
        </w:rPr>
      </w:pPr>
    </w:p>
    <w:p w14:paraId="001FB594" w14:textId="77777777" w:rsidR="00705129" w:rsidRDefault="00587CA0">
      <w:pPr>
        <w:pStyle w:val="Ttulo3"/>
      </w:pPr>
      <w:bookmarkStart w:id="25" w:name="_Toc75782295"/>
      <w:r>
        <w:t>4.1.5</w:t>
      </w:r>
      <w:r>
        <w:tab/>
        <w:t>Revisão</w:t>
      </w:r>
      <w:bookmarkEnd w:id="25"/>
    </w:p>
    <w:p w14:paraId="001FB595"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Revisão de uma compensação e dos valores pagos pela mesma ocasionada por alterações no benefício que possam alterar o valor utilizado no cálculo.</w:t>
      </w:r>
    </w:p>
    <w:p w14:paraId="001FB596" w14:textId="77777777" w:rsidR="00705129" w:rsidRDefault="00705129">
      <w:pPr>
        <w:pStyle w:val="Standard"/>
        <w:spacing w:before="240"/>
        <w:jc w:val="both"/>
        <w:rPr>
          <w:rFonts w:ascii="Segoe UI" w:hAnsi="Segoe UI" w:cs="Segoe UI"/>
          <w:sz w:val="22"/>
          <w:szCs w:val="22"/>
        </w:rPr>
      </w:pPr>
    </w:p>
    <w:p w14:paraId="001FB597" w14:textId="77777777" w:rsidR="00705129" w:rsidRDefault="00587CA0">
      <w:pPr>
        <w:pStyle w:val="Ttulo3"/>
      </w:pPr>
      <w:bookmarkStart w:id="26" w:name="_Toc75782296"/>
      <w:r>
        <w:t>4.1.6</w:t>
      </w:r>
      <w:r>
        <w:tab/>
        <w:t>Reabertura do Requerimento</w:t>
      </w:r>
      <w:bookmarkEnd w:id="26"/>
    </w:p>
    <w:p w14:paraId="001FB598"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Possibilita reabrir um requerimento de compensação anteriormente indeferido na análise.</w:t>
      </w:r>
    </w:p>
    <w:p w14:paraId="001FB599" w14:textId="77777777" w:rsidR="00705129" w:rsidRDefault="00705129">
      <w:pPr>
        <w:pStyle w:val="Standard"/>
        <w:spacing w:before="240"/>
        <w:jc w:val="both"/>
        <w:rPr>
          <w:rFonts w:ascii="Segoe UI" w:hAnsi="Segoe UI" w:cs="Segoe UI"/>
          <w:sz w:val="22"/>
          <w:szCs w:val="22"/>
        </w:rPr>
      </w:pPr>
    </w:p>
    <w:p w14:paraId="001FB59A" w14:textId="77777777" w:rsidR="00705129" w:rsidRDefault="00587CA0">
      <w:pPr>
        <w:pStyle w:val="Ttulo3"/>
      </w:pPr>
      <w:bookmarkStart w:id="27" w:name="_Toc75782297"/>
      <w:r>
        <w:t>4.1.7</w:t>
      </w:r>
      <w:r>
        <w:tab/>
        <w:t>Análise Automática</w:t>
      </w:r>
      <w:bookmarkEnd w:id="27"/>
    </w:p>
    <w:p w14:paraId="001FB59B"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 xml:space="preserve">Idealmente, o COMPREV terá acesso aos dados da CTC (Certidão de Tempo de Contribuição) e HTC (Homologação do Tribunal de Contas) de forma eletrônica e confiável. A partir desse momento, será possível que o próprio sistema valide as informações necessárias à compensação realizando de forma automática a análise do requerimento. </w:t>
      </w:r>
    </w:p>
    <w:p w14:paraId="001FB59C"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lastRenderedPageBreak/>
        <w:t xml:space="preserve">As funcionalidades descritas são exemplificativas pois encontram-se </w:t>
      </w:r>
      <w:proofErr w:type="gramStart"/>
      <w:r>
        <w:rPr>
          <w:rFonts w:ascii="Segoe UI" w:hAnsi="Segoe UI" w:cs="Segoe UI"/>
          <w:sz w:val="22"/>
          <w:szCs w:val="22"/>
        </w:rPr>
        <w:t>melhor</w:t>
      </w:r>
      <w:proofErr w:type="gramEnd"/>
      <w:r>
        <w:rPr>
          <w:rFonts w:ascii="Segoe UI" w:hAnsi="Segoe UI" w:cs="Segoe UI"/>
          <w:sz w:val="22"/>
          <w:szCs w:val="22"/>
        </w:rPr>
        <w:t xml:space="preserve"> detalhadas e atualizadas no Modelo de Negócio do COMPREV disponibilizado pela empresa de tecnologia responsável pelo desenvolvimento do sistema de compensação previdenciária, conforme requisitos definidos pela Secretaria de Previdência em conjunto com o CNRPPS.</w:t>
      </w:r>
    </w:p>
    <w:p w14:paraId="001FB59D" w14:textId="77777777" w:rsidR="00705129" w:rsidRDefault="00705129">
      <w:pPr>
        <w:pStyle w:val="Standard"/>
        <w:spacing w:before="240"/>
        <w:jc w:val="both"/>
        <w:rPr>
          <w:rFonts w:ascii="Segoe UI" w:hAnsi="Segoe UI" w:cs="Segoe UI"/>
          <w:sz w:val="22"/>
          <w:szCs w:val="22"/>
        </w:rPr>
      </w:pPr>
    </w:p>
    <w:p w14:paraId="001FB59E" w14:textId="77777777" w:rsidR="00705129" w:rsidRDefault="00587CA0">
      <w:pPr>
        <w:pStyle w:val="Ttulo1"/>
      </w:pPr>
      <w:bookmarkStart w:id="28" w:name="_Toc75718663"/>
      <w:bookmarkStart w:id="29" w:name="_Toc75782298"/>
      <w:r>
        <w:t xml:space="preserve">5 </w:t>
      </w:r>
      <w:r>
        <w:tab/>
        <w:t>Deveres e Responsabilidades</w:t>
      </w:r>
      <w:bookmarkEnd w:id="28"/>
      <w:bookmarkEnd w:id="29"/>
    </w:p>
    <w:p w14:paraId="001FB59F" w14:textId="77777777" w:rsidR="00705129" w:rsidRDefault="00587CA0">
      <w:pPr>
        <w:pStyle w:val="Standard"/>
        <w:spacing w:before="240"/>
        <w:jc w:val="both"/>
      </w:pPr>
      <w:r>
        <w:rPr>
          <w:rFonts w:ascii="Segoe UI" w:hAnsi="Segoe UI" w:cs="Segoe UI"/>
          <w:sz w:val="22"/>
          <w:szCs w:val="22"/>
        </w:rPr>
        <w:t xml:space="preserve">Os deveres e responsabilidades das partes são aqueles previstos no Contrato de Adesão ao Sistema COMPREV, padronizado pela </w:t>
      </w:r>
      <w:proofErr w:type="spellStart"/>
      <w:r>
        <w:rPr>
          <w:rFonts w:ascii="Segoe UI" w:hAnsi="Segoe UI" w:cs="Segoe UI"/>
          <w:sz w:val="22"/>
          <w:szCs w:val="22"/>
        </w:rPr>
        <w:t>Dataprev</w:t>
      </w:r>
      <w:proofErr w:type="spellEnd"/>
      <w:r>
        <w:rPr>
          <w:rFonts w:ascii="Segoe UI" w:hAnsi="Segoe UI" w:cs="Segoe UI"/>
          <w:sz w:val="22"/>
          <w:szCs w:val="22"/>
        </w:rPr>
        <w:t xml:space="preserve"> em virtude do expressivo volume de contratações e aprovado pelo Conselho Nacional dos Regimes Próprios de Previdência Social, por meio de deliberação dos Conselheiros do CNRPPS publicada na </w:t>
      </w:r>
      <w:r>
        <w:rPr>
          <w:rFonts w:ascii="Segoe UI" w:hAnsi="Segoe UI" w:cs="Segoe UI"/>
          <w:sz w:val="22"/>
          <w:szCs w:val="22"/>
          <w:shd w:val="clear" w:color="auto" w:fill="FFFF00"/>
        </w:rPr>
        <w:t xml:space="preserve">Resolução CNRPPS/ME nº 00, de 00 de </w:t>
      </w:r>
      <w:proofErr w:type="spellStart"/>
      <w:r>
        <w:rPr>
          <w:rFonts w:ascii="Segoe UI" w:hAnsi="Segoe UI" w:cs="Segoe UI"/>
          <w:sz w:val="22"/>
          <w:szCs w:val="22"/>
          <w:shd w:val="clear" w:color="auto" w:fill="FFFF00"/>
        </w:rPr>
        <w:t>xxxxxx</w:t>
      </w:r>
      <w:proofErr w:type="spellEnd"/>
      <w:r>
        <w:rPr>
          <w:rFonts w:ascii="Segoe UI" w:hAnsi="Segoe UI" w:cs="Segoe UI"/>
          <w:sz w:val="22"/>
          <w:szCs w:val="22"/>
          <w:shd w:val="clear" w:color="auto" w:fill="FFFF00"/>
        </w:rPr>
        <w:t xml:space="preserve"> de 2021.</w:t>
      </w:r>
    </w:p>
    <w:p w14:paraId="001FB5A0" w14:textId="77777777" w:rsidR="00705129" w:rsidRDefault="00705129">
      <w:pPr>
        <w:pStyle w:val="Standard"/>
        <w:spacing w:before="240"/>
        <w:jc w:val="both"/>
        <w:rPr>
          <w:rFonts w:ascii="Segoe UI" w:hAnsi="Segoe UI" w:cs="Segoe UI"/>
          <w:sz w:val="22"/>
          <w:szCs w:val="22"/>
        </w:rPr>
      </w:pPr>
    </w:p>
    <w:p w14:paraId="001FB5A1" w14:textId="77777777" w:rsidR="00705129" w:rsidRDefault="00587CA0">
      <w:pPr>
        <w:pStyle w:val="Ttulo1"/>
      </w:pPr>
      <w:bookmarkStart w:id="30" w:name="_Toc75782299"/>
      <w:r>
        <w:t>6</w:t>
      </w:r>
      <w:r>
        <w:tab/>
        <w:t>Modelo de Execução e Gestão Contratual</w:t>
      </w:r>
      <w:bookmarkEnd w:id="30"/>
    </w:p>
    <w:p w14:paraId="001FB5A2" w14:textId="77777777" w:rsidR="00705129" w:rsidRDefault="00587CA0">
      <w:pPr>
        <w:pStyle w:val="Standard"/>
        <w:spacing w:before="240"/>
        <w:jc w:val="both"/>
      </w:pPr>
      <w:r>
        <w:rPr>
          <w:rFonts w:ascii="Segoe UI" w:hAnsi="Segoe UI" w:cs="Segoe UI"/>
          <w:sz w:val="22"/>
          <w:szCs w:val="22"/>
        </w:rPr>
        <w:t xml:space="preserve">Os serviços se encontram especificados no Modelo de Negócio constante no Anexo I do Contrato de Adesão ao Sistema </w:t>
      </w:r>
      <w:proofErr w:type="spellStart"/>
      <w:r>
        <w:rPr>
          <w:rFonts w:ascii="Segoe UI" w:hAnsi="Segoe UI" w:cs="Segoe UI"/>
          <w:sz w:val="22"/>
          <w:szCs w:val="22"/>
        </w:rPr>
        <w:t>Comprev</w:t>
      </w:r>
      <w:proofErr w:type="spellEnd"/>
      <w:r>
        <w:rPr>
          <w:rFonts w:ascii="Segoe UI" w:hAnsi="Segoe UI" w:cs="Segoe UI"/>
          <w:sz w:val="22"/>
          <w:szCs w:val="22"/>
        </w:rPr>
        <w:t xml:space="preserve">, padronizado pela </w:t>
      </w:r>
      <w:proofErr w:type="spellStart"/>
      <w:r>
        <w:rPr>
          <w:rFonts w:ascii="Segoe UI" w:hAnsi="Segoe UI" w:cs="Segoe UI"/>
          <w:sz w:val="22"/>
          <w:szCs w:val="22"/>
        </w:rPr>
        <w:t>Dataprev</w:t>
      </w:r>
      <w:proofErr w:type="spellEnd"/>
      <w:r>
        <w:rPr>
          <w:rFonts w:ascii="Segoe UI" w:hAnsi="Segoe UI" w:cs="Segoe UI"/>
          <w:sz w:val="22"/>
          <w:szCs w:val="22"/>
        </w:rPr>
        <w:t xml:space="preserve"> em virtude do expressivo volume de contratações e aprovado pelo Conselho Nacional dos Regimes Próprios de Previdência Social, por meio de deliberação dos Conselheiros do CNRPPS publicada na </w:t>
      </w:r>
      <w:r>
        <w:rPr>
          <w:rFonts w:ascii="Segoe UI" w:hAnsi="Segoe UI" w:cs="Segoe UI"/>
          <w:sz w:val="22"/>
          <w:szCs w:val="22"/>
          <w:shd w:val="clear" w:color="auto" w:fill="FFFF00"/>
        </w:rPr>
        <w:t xml:space="preserve">Resolução CNRPPS/ME nº 00, de 00 de </w:t>
      </w:r>
      <w:proofErr w:type="spellStart"/>
      <w:r>
        <w:rPr>
          <w:rFonts w:ascii="Segoe UI" w:hAnsi="Segoe UI" w:cs="Segoe UI"/>
          <w:sz w:val="22"/>
          <w:szCs w:val="22"/>
          <w:shd w:val="clear" w:color="auto" w:fill="FFFF00"/>
        </w:rPr>
        <w:t>xxxxxx</w:t>
      </w:r>
      <w:proofErr w:type="spellEnd"/>
      <w:r>
        <w:rPr>
          <w:rFonts w:ascii="Segoe UI" w:hAnsi="Segoe UI" w:cs="Segoe UI"/>
          <w:sz w:val="22"/>
          <w:szCs w:val="22"/>
          <w:shd w:val="clear" w:color="auto" w:fill="FFFF00"/>
        </w:rPr>
        <w:t xml:space="preserve"> de 2021.</w:t>
      </w:r>
    </w:p>
    <w:p w14:paraId="001FB5A3"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O Modelo de Negócio prevê as condições necessárias ao fornecimento da solução de TIC, incluindo:</w:t>
      </w:r>
    </w:p>
    <w:p w14:paraId="001FB5A4" w14:textId="77777777" w:rsidR="00705129" w:rsidRDefault="00587CA0">
      <w:pPr>
        <w:pStyle w:val="Standard"/>
        <w:numPr>
          <w:ilvl w:val="0"/>
          <w:numId w:val="3"/>
        </w:numPr>
        <w:spacing w:before="240"/>
        <w:jc w:val="both"/>
        <w:rPr>
          <w:rFonts w:ascii="Segoe UI" w:hAnsi="Segoe UI" w:cs="Segoe UI"/>
          <w:sz w:val="22"/>
          <w:szCs w:val="22"/>
        </w:rPr>
      </w:pPr>
      <w:r>
        <w:rPr>
          <w:rFonts w:ascii="Segoe UI" w:hAnsi="Segoe UI" w:cs="Segoe UI"/>
          <w:sz w:val="22"/>
          <w:szCs w:val="22"/>
        </w:rPr>
        <w:t>Suporte Operacional do Serviço e procedimentos para comunicação e acompanhamento de incidentes ou indisponibilidades por meio de plataforma eletrônica;</w:t>
      </w:r>
    </w:p>
    <w:p w14:paraId="001FB5A5" w14:textId="77777777" w:rsidR="00705129" w:rsidRDefault="00587CA0">
      <w:pPr>
        <w:pStyle w:val="Standard"/>
        <w:numPr>
          <w:ilvl w:val="0"/>
          <w:numId w:val="3"/>
        </w:numPr>
        <w:spacing w:before="240"/>
        <w:jc w:val="both"/>
        <w:rPr>
          <w:rFonts w:ascii="Segoe UI" w:hAnsi="Segoe UI" w:cs="Segoe UI"/>
          <w:sz w:val="22"/>
          <w:szCs w:val="22"/>
        </w:rPr>
      </w:pPr>
      <w:r>
        <w:rPr>
          <w:rFonts w:ascii="Segoe UI" w:hAnsi="Segoe UI" w:cs="Segoe UI"/>
          <w:sz w:val="22"/>
          <w:szCs w:val="22"/>
        </w:rPr>
        <w:t>Níveis do Serviço ofertado incluindo os regimes de operações conforme horários e dias de semana, considerando registros de incidentes e metas de disponibilidade;</w:t>
      </w:r>
    </w:p>
    <w:p w14:paraId="001FB5A6" w14:textId="77777777" w:rsidR="00705129" w:rsidRDefault="00587CA0">
      <w:pPr>
        <w:pStyle w:val="Standard"/>
        <w:numPr>
          <w:ilvl w:val="0"/>
          <w:numId w:val="3"/>
        </w:numPr>
        <w:spacing w:before="240"/>
        <w:jc w:val="both"/>
        <w:rPr>
          <w:rFonts w:ascii="Segoe UI" w:hAnsi="Segoe UI" w:cs="Segoe UI"/>
          <w:sz w:val="22"/>
          <w:szCs w:val="22"/>
        </w:rPr>
      </w:pPr>
      <w:r>
        <w:rPr>
          <w:rFonts w:ascii="Segoe UI" w:hAnsi="Segoe UI" w:cs="Segoe UI"/>
          <w:sz w:val="22"/>
          <w:szCs w:val="22"/>
        </w:rPr>
        <w:t>Cálculo do Índice de Disponibilidade e outras medidas de qualidade de serviço;</w:t>
      </w:r>
    </w:p>
    <w:p w14:paraId="001FB5A7" w14:textId="77777777" w:rsidR="00705129" w:rsidRDefault="00587CA0">
      <w:pPr>
        <w:pStyle w:val="Standard"/>
        <w:numPr>
          <w:ilvl w:val="0"/>
          <w:numId w:val="3"/>
        </w:numPr>
        <w:spacing w:before="240"/>
        <w:jc w:val="both"/>
        <w:rPr>
          <w:rFonts w:ascii="Segoe UI" w:hAnsi="Segoe UI" w:cs="Segoe UI"/>
          <w:sz w:val="22"/>
          <w:szCs w:val="22"/>
        </w:rPr>
      </w:pPr>
      <w:r>
        <w:rPr>
          <w:rFonts w:ascii="Segoe UI" w:hAnsi="Segoe UI" w:cs="Segoe UI"/>
          <w:sz w:val="22"/>
          <w:szCs w:val="22"/>
        </w:rPr>
        <w:t>Prazos para atendimento;</w:t>
      </w:r>
    </w:p>
    <w:p w14:paraId="001FB5A8" w14:textId="77777777" w:rsidR="00705129" w:rsidRDefault="00587CA0">
      <w:pPr>
        <w:pStyle w:val="Standard"/>
        <w:numPr>
          <w:ilvl w:val="0"/>
          <w:numId w:val="3"/>
        </w:numPr>
        <w:spacing w:before="240"/>
        <w:jc w:val="both"/>
        <w:rPr>
          <w:rFonts w:ascii="Segoe UI" w:hAnsi="Segoe UI" w:cs="Segoe UI"/>
          <w:sz w:val="22"/>
          <w:szCs w:val="22"/>
        </w:rPr>
      </w:pPr>
      <w:r>
        <w:rPr>
          <w:rFonts w:ascii="Segoe UI" w:hAnsi="Segoe UI" w:cs="Segoe UI"/>
          <w:sz w:val="22"/>
          <w:szCs w:val="22"/>
        </w:rPr>
        <w:t>Meios de comunicação</w:t>
      </w:r>
    </w:p>
    <w:p w14:paraId="001FB5A9" w14:textId="77777777" w:rsidR="00705129" w:rsidRDefault="00587CA0">
      <w:pPr>
        <w:pStyle w:val="Standard"/>
        <w:numPr>
          <w:ilvl w:val="0"/>
          <w:numId w:val="3"/>
        </w:numPr>
        <w:spacing w:before="240"/>
        <w:jc w:val="both"/>
        <w:rPr>
          <w:rFonts w:ascii="Segoe UI" w:hAnsi="Segoe UI" w:cs="Segoe UI"/>
          <w:sz w:val="22"/>
          <w:szCs w:val="22"/>
        </w:rPr>
      </w:pPr>
      <w:r>
        <w:rPr>
          <w:rFonts w:ascii="Segoe UI" w:hAnsi="Segoe UI" w:cs="Segoe UI"/>
          <w:sz w:val="22"/>
          <w:szCs w:val="22"/>
        </w:rPr>
        <w:t>Requisitos de Segurança;</w:t>
      </w:r>
    </w:p>
    <w:p w14:paraId="001FB5AA"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lastRenderedPageBreak/>
        <w:t>O Contrato de Adesão ao Sistema COMPREV apresentado pela empresa de tecnologia responsável pelo desenvolvimento do sistema de compensação previdenciária e aprovado pelo CNRPPS apresenta o modelo de gestão contratual, incluindo:</w:t>
      </w:r>
    </w:p>
    <w:p w14:paraId="001FB5AB" w14:textId="77777777" w:rsidR="00705129" w:rsidRDefault="00587CA0">
      <w:pPr>
        <w:pStyle w:val="Standard"/>
        <w:numPr>
          <w:ilvl w:val="0"/>
          <w:numId w:val="4"/>
        </w:numPr>
        <w:spacing w:before="240"/>
        <w:jc w:val="both"/>
        <w:rPr>
          <w:rFonts w:ascii="Segoe UI" w:hAnsi="Segoe UI" w:cs="Segoe UI"/>
          <w:sz w:val="22"/>
          <w:szCs w:val="22"/>
        </w:rPr>
      </w:pPr>
      <w:r>
        <w:rPr>
          <w:rFonts w:ascii="Segoe UI" w:hAnsi="Segoe UI" w:cs="Segoe UI"/>
          <w:sz w:val="22"/>
          <w:szCs w:val="22"/>
        </w:rPr>
        <w:t>Procedimentos para apuração dos serviços;</w:t>
      </w:r>
    </w:p>
    <w:p w14:paraId="001FB5AC" w14:textId="77777777" w:rsidR="00705129" w:rsidRDefault="00587CA0">
      <w:pPr>
        <w:pStyle w:val="Standard"/>
        <w:numPr>
          <w:ilvl w:val="0"/>
          <w:numId w:val="4"/>
        </w:numPr>
        <w:spacing w:before="240"/>
        <w:jc w:val="both"/>
        <w:rPr>
          <w:rFonts w:ascii="Segoe UI" w:hAnsi="Segoe UI" w:cs="Segoe UI"/>
          <w:sz w:val="22"/>
          <w:szCs w:val="22"/>
        </w:rPr>
      </w:pPr>
      <w:r>
        <w:rPr>
          <w:rFonts w:ascii="Segoe UI" w:hAnsi="Segoe UI" w:cs="Segoe UI"/>
          <w:sz w:val="22"/>
          <w:szCs w:val="22"/>
        </w:rPr>
        <w:t>Prazos e procedimentos para o recebimento dos serviços;</w:t>
      </w:r>
    </w:p>
    <w:p w14:paraId="001FB5AD" w14:textId="77777777" w:rsidR="00705129" w:rsidRDefault="00587CA0">
      <w:pPr>
        <w:pStyle w:val="Standard"/>
        <w:numPr>
          <w:ilvl w:val="0"/>
          <w:numId w:val="4"/>
        </w:numPr>
        <w:spacing w:before="240"/>
        <w:jc w:val="both"/>
        <w:rPr>
          <w:rFonts w:ascii="Segoe UI" w:hAnsi="Segoe UI" w:cs="Segoe UI"/>
          <w:sz w:val="22"/>
          <w:szCs w:val="22"/>
        </w:rPr>
      </w:pPr>
      <w:r>
        <w:rPr>
          <w:rFonts w:ascii="Segoe UI" w:hAnsi="Segoe UI" w:cs="Segoe UI"/>
          <w:sz w:val="22"/>
          <w:szCs w:val="22"/>
        </w:rPr>
        <w:t>Prazos e procedimentos para pagamento dos serviços;</w:t>
      </w:r>
    </w:p>
    <w:p w14:paraId="001FB5AE" w14:textId="77777777" w:rsidR="00705129" w:rsidRDefault="00587CA0">
      <w:pPr>
        <w:pStyle w:val="Standard"/>
        <w:numPr>
          <w:ilvl w:val="0"/>
          <w:numId w:val="4"/>
        </w:numPr>
        <w:spacing w:before="240"/>
        <w:jc w:val="both"/>
        <w:rPr>
          <w:rFonts w:ascii="Segoe UI" w:hAnsi="Segoe UI" w:cs="Segoe UI"/>
          <w:sz w:val="22"/>
          <w:szCs w:val="22"/>
        </w:rPr>
      </w:pPr>
      <w:r>
        <w:rPr>
          <w:rFonts w:ascii="Segoe UI" w:hAnsi="Segoe UI" w:cs="Segoe UI"/>
          <w:sz w:val="22"/>
          <w:szCs w:val="22"/>
        </w:rPr>
        <w:t>Sanções Administrativas;</w:t>
      </w:r>
    </w:p>
    <w:p w14:paraId="001FB5AF" w14:textId="77777777" w:rsidR="00705129" w:rsidRDefault="00705129">
      <w:pPr>
        <w:pStyle w:val="Standard"/>
        <w:spacing w:before="240"/>
        <w:jc w:val="both"/>
        <w:rPr>
          <w:rFonts w:ascii="Segoe UI" w:hAnsi="Segoe UI" w:cs="Segoe UI"/>
          <w:sz w:val="22"/>
          <w:szCs w:val="22"/>
        </w:rPr>
      </w:pPr>
    </w:p>
    <w:p w14:paraId="001FB5B0" w14:textId="77777777" w:rsidR="00705129" w:rsidRDefault="00587CA0">
      <w:pPr>
        <w:pStyle w:val="Ttulo1"/>
      </w:pPr>
      <w:bookmarkStart w:id="31" w:name="_Toc74213072"/>
      <w:bookmarkStart w:id="32" w:name="_Toc75718664"/>
      <w:bookmarkStart w:id="33" w:name="_Toc75782300"/>
      <w:r>
        <w:t xml:space="preserve">7 </w:t>
      </w:r>
      <w:r>
        <w:tab/>
        <w:t>Estimativa de Valor e Dotação Orçamentária</w:t>
      </w:r>
      <w:bookmarkEnd w:id="31"/>
      <w:bookmarkEnd w:id="32"/>
      <w:bookmarkEnd w:id="33"/>
    </w:p>
    <w:p w14:paraId="001FB5B1"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O Conselho Nacional dos Regimes Próprios de Previdência Social, tendo em vista o disposto no § 2º Art. 10 e do Art. 18 do Decreto 10.188, definiu por meio da Resolução CNRPPS/ME nº 2, de 14 de maio de 2021 os valores das taxas mensais de custeio para utilização do sistema COMPREV a ser paga por cada regime instituidor de acordo com a quantidade de segurados e beneficiários vinculados ao Regime Próprio de Previdência Social - RPPS do respectivo ente federativo. A tabela de valores, transcrita a seguir, será calculada conforme dados extraídos do Indicador de Situação Previdenciária - ISP publicado no exercício anterior, previsto no inciso V do art. 30 da Portaria MPS nº 402, de 10 de dezembro de 2008, e calculado conforme disposto na Portaria SPREV/ME nº 14.762, de 19 de junho de 2020:</w:t>
      </w:r>
    </w:p>
    <w:p w14:paraId="001FB5B2" w14:textId="77777777" w:rsidR="00705129" w:rsidRDefault="00587CA0">
      <w:pPr>
        <w:pStyle w:val="Standard"/>
        <w:spacing w:before="240"/>
        <w:jc w:val="both"/>
      </w:pPr>
      <w:r>
        <w:rPr>
          <w:noProof/>
        </w:rPr>
        <w:drawing>
          <wp:inline distT="0" distB="0" distL="0" distR="0" wp14:anchorId="001FB529" wp14:editId="001FB52A">
            <wp:extent cx="6120134" cy="2273298"/>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134" cy="2273298"/>
                    </a:xfrm>
                    <a:prstGeom prst="rect">
                      <a:avLst/>
                    </a:prstGeom>
                    <a:noFill/>
                    <a:ln>
                      <a:noFill/>
                      <a:prstDash/>
                    </a:ln>
                  </pic:spPr>
                </pic:pic>
              </a:graphicData>
            </a:graphic>
          </wp:inline>
        </w:drawing>
      </w:r>
    </w:p>
    <w:p w14:paraId="001FB5B3" w14:textId="77777777" w:rsidR="00705129" w:rsidRDefault="00587CA0">
      <w:pPr>
        <w:pStyle w:val="Standard"/>
        <w:spacing w:before="240"/>
        <w:jc w:val="both"/>
      </w:pPr>
      <w:r>
        <w:rPr>
          <w:rFonts w:ascii="Segoe UI" w:hAnsi="Segoe UI" w:cs="Segoe UI"/>
          <w:sz w:val="22"/>
          <w:szCs w:val="22"/>
        </w:rPr>
        <w:lastRenderedPageBreak/>
        <w:t xml:space="preserve">Conforme o ISP do ano de </w:t>
      </w:r>
      <w:r>
        <w:rPr>
          <w:rFonts w:ascii="Segoe UI" w:hAnsi="Segoe UI" w:cs="Segoe UI"/>
          <w:sz w:val="22"/>
          <w:szCs w:val="22"/>
          <w:shd w:val="clear" w:color="auto" w:fill="FFFF00"/>
        </w:rPr>
        <w:t>202X</w:t>
      </w:r>
      <w:r>
        <w:rPr>
          <w:rFonts w:ascii="Segoe UI" w:hAnsi="Segoe UI" w:cs="Segoe UI"/>
          <w:sz w:val="22"/>
          <w:szCs w:val="22"/>
        </w:rPr>
        <w:t xml:space="preserve">, atualmente este </w:t>
      </w:r>
      <w:r>
        <w:rPr>
          <w:rFonts w:ascii="Segoe UI" w:hAnsi="Segoe UI" w:cs="Segoe UI"/>
          <w:sz w:val="22"/>
          <w:szCs w:val="22"/>
          <w:shd w:val="clear" w:color="auto" w:fill="FFFF00"/>
        </w:rPr>
        <w:t>&lt;Denominação do RPPS&gt;</w:t>
      </w:r>
      <w:r>
        <w:rPr>
          <w:rFonts w:ascii="Segoe UI" w:hAnsi="Segoe UI" w:cs="Segoe UI"/>
          <w:sz w:val="22"/>
          <w:szCs w:val="22"/>
        </w:rPr>
        <w:t xml:space="preserve"> possui </w:t>
      </w:r>
      <w:r>
        <w:rPr>
          <w:rFonts w:ascii="Segoe UI" w:hAnsi="Segoe UI" w:cs="Segoe UI"/>
          <w:sz w:val="22"/>
          <w:szCs w:val="22"/>
          <w:shd w:val="clear" w:color="auto" w:fill="FFFF00"/>
        </w:rPr>
        <w:t>00000</w:t>
      </w:r>
      <w:r>
        <w:rPr>
          <w:rFonts w:ascii="Segoe UI" w:hAnsi="Segoe UI" w:cs="Segoe UI"/>
          <w:sz w:val="22"/>
          <w:szCs w:val="22"/>
        </w:rPr>
        <w:t xml:space="preserve"> segurados e beneficiários vinculados ao RPPS, se enquadrando, portanto, no GRUPO </w:t>
      </w:r>
      <w:r>
        <w:rPr>
          <w:rFonts w:ascii="Segoe UI" w:hAnsi="Segoe UI" w:cs="Segoe UI"/>
          <w:sz w:val="22"/>
          <w:szCs w:val="22"/>
          <w:shd w:val="clear" w:color="auto" w:fill="FFFF00"/>
        </w:rPr>
        <w:t>XXXXXX</w:t>
      </w:r>
      <w:r>
        <w:rPr>
          <w:rFonts w:ascii="Segoe UI" w:hAnsi="Segoe UI" w:cs="Segoe UI"/>
          <w:sz w:val="22"/>
          <w:szCs w:val="22"/>
        </w:rPr>
        <w:t xml:space="preserve"> que corresponde ao Valor Mensal de Utilização do COMPREV de </w:t>
      </w:r>
      <w:r>
        <w:rPr>
          <w:rFonts w:ascii="Segoe UI" w:hAnsi="Segoe UI" w:cs="Segoe UI"/>
          <w:sz w:val="22"/>
          <w:szCs w:val="22"/>
          <w:shd w:val="clear" w:color="auto" w:fill="FFFF00"/>
        </w:rPr>
        <w:t>R$ 0,00</w:t>
      </w:r>
      <w:r>
        <w:rPr>
          <w:rFonts w:ascii="Segoe UI" w:hAnsi="Segoe UI" w:cs="Segoe UI"/>
          <w:sz w:val="22"/>
          <w:szCs w:val="22"/>
        </w:rPr>
        <w:t>.</w:t>
      </w:r>
    </w:p>
    <w:p w14:paraId="001FB5B4" w14:textId="77777777" w:rsidR="00705129" w:rsidRDefault="00587CA0">
      <w:pPr>
        <w:pStyle w:val="Standard"/>
        <w:spacing w:before="240"/>
        <w:jc w:val="both"/>
      </w:pPr>
      <w:r>
        <w:rPr>
          <w:rFonts w:ascii="Segoe UI" w:hAnsi="Segoe UI" w:cs="Segoe UI"/>
          <w:sz w:val="22"/>
          <w:szCs w:val="22"/>
        </w:rPr>
        <w:t xml:space="preserve">Por conseguinte, o valor estimado inicial </w:t>
      </w:r>
      <w:r>
        <w:rPr>
          <w:rFonts w:ascii="Segoe UI" w:hAnsi="Segoe UI" w:cs="Segoe UI"/>
          <w:b/>
          <w:bCs/>
          <w:sz w:val="22"/>
          <w:szCs w:val="22"/>
        </w:rPr>
        <w:t>total</w:t>
      </w:r>
      <w:r>
        <w:rPr>
          <w:rFonts w:ascii="Segoe UI" w:hAnsi="Segoe UI" w:cs="Segoe UI"/>
          <w:sz w:val="22"/>
          <w:szCs w:val="22"/>
        </w:rPr>
        <w:t xml:space="preserve"> da presente contratação é </w:t>
      </w:r>
      <w:r>
        <w:rPr>
          <w:rFonts w:ascii="Segoe UI" w:hAnsi="Segoe UI" w:cs="Segoe UI"/>
          <w:sz w:val="22"/>
          <w:szCs w:val="22"/>
          <w:shd w:val="clear" w:color="auto" w:fill="FFFF00"/>
        </w:rPr>
        <w:t>R$ 000,00 (mil reais)</w:t>
      </w:r>
      <w:r>
        <w:rPr>
          <w:rFonts w:ascii="Segoe UI" w:hAnsi="Segoe UI" w:cs="Segoe UI"/>
          <w:sz w:val="22"/>
          <w:szCs w:val="22"/>
        </w:rPr>
        <w:t xml:space="preserve"> o qual pode ser atualizado no decorrer da vigência contratual considerando eventuais alterações na quantidade de segurados e beneficiários vinculados ao RPPS conforme publicações do ISP.</w:t>
      </w:r>
    </w:p>
    <w:p w14:paraId="001FB5B5" w14:textId="77777777" w:rsidR="00705129" w:rsidRDefault="00705129">
      <w:pPr>
        <w:pStyle w:val="Standard"/>
        <w:spacing w:before="240"/>
        <w:jc w:val="both"/>
        <w:rPr>
          <w:rFonts w:ascii="Segoe UI" w:hAnsi="Segoe UI" w:cs="Segoe UI"/>
          <w:sz w:val="22"/>
          <w:szCs w:val="22"/>
        </w:rPr>
      </w:pPr>
    </w:p>
    <w:p w14:paraId="001FB5B6" w14:textId="77777777" w:rsidR="00705129" w:rsidRDefault="00587CA0">
      <w:pPr>
        <w:pStyle w:val="Ttulo2"/>
      </w:pPr>
      <w:bookmarkStart w:id="34" w:name="_Toc75782301"/>
      <w:r>
        <w:t>7.1</w:t>
      </w:r>
      <w:r>
        <w:tab/>
        <w:t>Dotação Orçamentária e Cronograma Físico Financeiro</w:t>
      </w:r>
      <w:bookmarkEnd w:id="34"/>
    </w:p>
    <w:p w14:paraId="001FB5B7" w14:textId="77777777" w:rsidR="00705129" w:rsidRDefault="00587CA0">
      <w:pPr>
        <w:pStyle w:val="Standard"/>
        <w:spacing w:before="240"/>
        <w:jc w:val="both"/>
      </w:pPr>
      <w:r>
        <w:rPr>
          <w:rFonts w:ascii="Segoe UI" w:hAnsi="Segoe UI" w:cs="Segoe UI"/>
          <w:sz w:val="22"/>
          <w:szCs w:val="22"/>
        </w:rPr>
        <w:t xml:space="preserve">Os recursos financeiros para fazer face às despesas da contratação do objeto deste Projeto Básico serão atendidos com dotações do </w:t>
      </w:r>
      <w:r>
        <w:rPr>
          <w:rFonts w:ascii="Segoe UI" w:hAnsi="Segoe UI" w:cs="Segoe UI"/>
          <w:sz w:val="22"/>
          <w:szCs w:val="22"/>
          <w:shd w:val="clear" w:color="auto" w:fill="FFFF00"/>
        </w:rPr>
        <w:t>Orçamento Estadual/Municipal para 20XX</w:t>
      </w:r>
      <w:r>
        <w:rPr>
          <w:rFonts w:ascii="Segoe UI" w:hAnsi="Segoe UI" w:cs="Segoe UI"/>
          <w:sz w:val="22"/>
          <w:szCs w:val="22"/>
        </w:rPr>
        <w:t xml:space="preserve">, alocadas ao </w:t>
      </w:r>
      <w:r>
        <w:rPr>
          <w:rFonts w:ascii="Segoe UI" w:hAnsi="Segoe UI" w:cs="Segoe UI"/>
          <w:sz w:val="22"/>
          <w:szCs w:val="22"/>
          <w:shd w:val="clear" w:color="auto" w:fill="FFFF00"/>
        </w:rPr>
        <w:t>&lt;Denominação do RPPS&gt;</w:t>
      </w:r>
      <w:r>
        <w:rPr>
          <w:rFonts w:ascii="Segoe UI" w:hAnsi="Segoe UI" w:cs="Segoe UI"/>
          <w:sz w:val="22"/>
          <w:szCs w:val="22"/>
        </w:rPr>
        <w:t xml:space="preserve">, por meio das Ações </w:t>
      </w:r>
      <w:r>
        <w:rPr>
          <w:rFonts w:ascii="Segoe UI" w:hAnsi="Segoe UI" w:cs="Segoe UI"/>
          <w:sz w:val="22"/>
          <w:szCs w:val="22"/>
          <w:shd w:val="clear" w:color="auto" w:fill="FFFF00"/>
        </w:rPr>
        <w:t>0000- XXXXXXXXXXXXXXX</w:t>
      </w:r>
      <w:r>
        <w:rPr>
          <w:rFonts w:ascii="Segoe UI" w:hAnsi="Segoe UI" w:cs="Segoe UI"/>
          <w:sz w:val="22"/>
          <w:szCs w:val="22"/>
        </w:rPr>
        <w:t>, conforme planejamento estratégico deste RPPS.</w:t>
      </w:r>
    </w:p>
    <w:p w14:paraId="001FB5B8"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A Notas de Empenho para os anos seguintes ao primeiro serão registradas no respectivo processo administrativo por meio de Termo de Apostilamento.</w:t>
      </w:r>
    </w:p>
    <w:p w14:paraId="001FB5B9" w14:textId="77777777" w:rsidR="00705129" w:rsidRDefault="00587CA0">
      <w:pPr>
        <w:pStyle w:val="Standard"/>
        <w:spacing w:before="240"/>
        <w:jc w:val="both"/>
      </w:pPr>
      <w:r>
        <w:rPr>
          <w:rFonts w:ascii="Segoe UI" w:hAnsi="Segoe UI" w:cs="Segoe UI"/>
          <w:sz w:val="22"/>
          <w:szCs w:val="22"/>
        </w:rPr>
        <w:t xml:space="preserve">A previsão da execução física da presente contratação acompanha a periodicidade </w:t>
      </w:r>
      <w:r>
        <w:rPr>
          <w:rFonts w:ascii="Segoe UI" w:hAnsi="Segoe UI" w:cs="Segoe UI"/>
          <w:b/>
          <w:bCs/>
          <w:sz w:val="22"/>
          <w:szCs w:val="22"/>
        </w:rPr>
        <w:t>mensal</w:t>
      </w:r>
      <w:r>
        <w:rPr>
          <w:rFonts w:ascii="Segoe UI" w:hAnsi="Segoe UI" w:cs="Segoe UI"/>
          <w:sz w:val="22"/>
          <w:szCs w:val="22"/>
        </w:rPr>
        <w:t xml:space="preserve"> definida na tabela de custeio da Resolução CNRPPS/ME nº 2, de 14 de maio de 2021, ou seja, dispêndio mensal de </w:t>
      </w:r>
      <w:r>
        <w:rPr>
          <w:rFonts w:ascii="Segoe UI" w:hAnsi="Segoe UI" w:cs="Segoe UI"/>
          <w:sz w:val="22"/>
          <w:szCs w:val="22"/>
          <w:shd w:val="clear" w:color="auto" w:fill="FFFF00"/>
        </w:rPr>
        <w:t>R$ 0,00 (mil reais)</w:t>
      </w:r>
      <w:r>
        <w:rPr>
          <w:rFonts w:ascii="Segoe UI" w:hAnsi="Segoe UI" w:cs="Segoe UI"/>
          <w:sz w:val="22"/>
          <w:szCs w:val="22"/>
        </w:rPr>
        <w:t xml:space="preserve"> face ao enquadramento deste RPPS no GRUPO </w:t>
      </w:r>
      <w:r>
        <w:rPr>
          <w:rFonts w:ascii="Segoe UI" w:hAnsi="Segoe UI" w:cs="Segoe UI"/>
          <w:sz w:val="22"/>
          <w:szCs w:val="22"/>
          <w:shd w:val="clear" w:color="auto" w:fill="FFFF00"/>
        </w:rPr>
        <w:t>XXXXX</w:t>
      </w:r>
      <w:r>
        <w:rPr>
          <w:rFonts w:ascii="Segoe UI" w:hAnsi="Segoe UI" w:cs="Segoe UI"/>
          <w:sz w:val="22"/>
          <w:szCs w:val="22"/>
        </w:rPr>
        <w:t xml:space="preserve"> da tabela.</w:t>
      </w:r>
    </w:p>
    <w:p w14:paraId="001FB5BA" w14:textId="77777777" w:rsidR="00705129" w:rsidRDefault="00705129">
      <w:pPr>
        <w:pStyle w:val="Standard"/>
        <w:spacing w:before="240"/>
        <w:jc w:val="both"/>
        <w:rPr>
          <w:rFonts w:ascii="Segoe UI" w:hAnsi="Segoe UI" w:cs="Segoe UI"/>
          <w:sz w:val="22"/>
          <w:szCs w:val="22"/>
        </w:rPr>
      </w:pPr>
    </w:p>
    <w:p w14:paraId="001FB5BB" w14:textId="77777777" w:rsidR="00705129" w:rsidRDefault="00587CA0">
      <w:pPr>
        <w:pStyle w:val="Ttulo2"/>
      </w:pPr>
      <w:bookmarkStart w:id="35" w:name="_Toc74213073"/>
      <w:bookmarkStart w:id="36" w:name="_Toc75718665"/>
      <w:bookmarkStart w:id="37" w:name="_Toc75782302"/>
      <w:r>
        <w:t>7.2</w:t>
      </w:r>
      <w:r>
        <w:tab/>
        <w:t>Forma de Pagamento</w:t>
      </w:r>
      <w:bookmarkEnd w:id="35"/>
      <w:bookmarkEnd w:id="36"/>
      <w:bookmarkEnd w:id="37"/>
    </w:p>
    <w:p w14:paraId="001FB5BC" w14:textId="77777777" w:rsidR="00705129" w:rsidRDefault="00587CA0">
      <w:pPr>
        <w:pStyle w:val="Standard"/>
        <w:spacing w:before="240"/>
        <w:jc w:val="both"/>
      </w:pPr>
      <w:r>
        <w:rPr>
          <w:rFonts w:ascii="Segoe UI" w:hAnsi="Segoe UI" w:cs="Segoe UI"/>
          <w:sz w:val="22"/>
          <w:szCs w:val="22"/>
        </w:rPr>
        <w:t xml:space="preserve">A forma de pagamentos pelos serviços prestados é aquela definida no Contrato de Adesão ao Sistema </w:t>
      </w:r>
      <w:proofErr w:type="spellStart"/>
      <w:r>
        <w:rPr>
          <w:rFonts w:ascii="Segoe UI" w:hAnsi="Segoe UI" w:cs="Segoe UI"/>
          <w:sz w:val="22"/>
          <w:szCs w:val="22"/>
        </w:rPr>
        <w:t>Comprev</w:t>
      </w:r>
      <w:proofErr w:type="spellEnd"/>
      <w:r>
        <w:rPr>
          <w:rFonts w:ascii="Segoe UI" w:hAnsi="Segoe UI" w:cs="Segoe UI"/>
          <w:sz w:val="22"/>
          <w:szCs w:val="22"/>
        </w:rPr>
        <w:t xml:space="preserve">, padronizado pela </w:t>
      </w:r>
      <w:proofErr w:type="spellStart"/>
      <w:r>
        <w:rPr>
          <w:rFonts w:ascii="Segoe UI" w:hAnsi="Segoe UI" w:cs="Segoe UI"/>
          <w:sz w:val="22"/>
          <w:szCs w:val="22"/>
        </w:rPr>
        <w:t>Dataprev</w:t>
      </w:r>
      <w:proofErr w:type="spellEnd"/>
      <w:r>
        <w:rPr>
          <w:rFonts w:ascii="Segoe UI" w:hAnsi="Segoe UI" w:cs="Segoe UI"/>
          <w:sz w:val="22"/>
          <w:szCs w:val="22"/>
        </w:rPr>
        <w:t xml:space="preserve"> em virtude do expressivo volume de contratações e aprovado pelo Conselho Nacional dos Regimes Próprios de Previdência Social, por meio de deliberação dos Conselheiros do CNRPPS publicada na </w:t>
      </w:r>
      <w:r>
        <w:rPr>
          <w:rFonts w:ascii="Segoe UI" w:hAnsi="Segoe UI" w:cs="Segoe UI"/>
          <w:sz w:val="22"/>
          <w:szCs w:val="22"/>
          <w:shd w:val="clear" w:color="auto" w:fill="FFFF00"/>
        </w:rPr>
        <w:t xml:space="preserve">Resolução CNRPPS/ME nº 00, de 00 de </w:t>
      </w:r>
      <w:proofErr w:type="spellStart"/>
      <w:r>
        <w:rPr>
          <w:rFonts w:ascii="Segoe UI" w:hAnsi="Segoe UI" w:cs="Segoe UI"/>
          <w:sz w:val="22"/>
          <w:szCs w:val="22"/>
          <w:shd w:val="clear" w:color="auto" w:fill="FFFF00"/>
        </w:rPr>
        <w:t>xxxxxx</w:t>
      </w:r>
      <w:proofErr w:type="spellEnd"/>
      <w:r>
        <w:rPr>
          <w:rFonts w:ascii="Segoe UI" w:hAnsi="Segoe UI" w:cs="Segoe UI"/>
          <w:sz w:val="22"/>
          <w:szCs w:val="22"/>
          <w:shd w:val="clear" w:color="auto" w:fill="FFFF00"/>
        </w:rPr>
        <w:t xml:space="preserve"> de 2021.</w:t>
      </w:r>
    </w:p>
    <w:p w14:paraId="001FB5BD" w14:textId="77777777" w:rsidR="00705129" w:rsidRDefault="00705129">
      <w:pPr>
        <w:pStyle w:val="Standard"/>
        <w:spacing w:before="240"/>
        <w:jc w:val="both"/>
        <w:rPr>
          <w:rFonts w:ascii="Segoe UI" w:hAnsi="Segoe UI" w:cs="Segoe UI"/>
          <w:sz w:val="22"/>
          <w:szCs w:val="22"/>
        </w:rPr>
      </w:pPr>
    </w:p>
    <w:p w14:paraId="001FB5BE" w14:textId="77777777" w:rsidR="00705129" w:rsidRDefault="00587CA0">
      <w:pPr>
        <w:pStyle w:val="Ttulo1"/>
      </w:pPr>
      <w:bookmarkStart w:id="38" w:name="_Toc75782303"/>
      <w:r>
        <w:t>8</w:t>
      </w:r>
      <w:r>
        <w:tab/>
        <w:t>Regime de Execução do Contrato</w:t>
      </w:r>
      <w:bookmarkEnd w:id="38"/>
    </w:p>
    <w:p w14:paraId="001FB5BF" w14:textId="77777777" w:rsidR="00705129" w:rsidRDefault="00587CA0">
      <w:pPr>
        <w:pStyle w:val="Standard"/>
        <w:spacing w:before="240"/>
        <w:jc w:val="both"/>
      </w:pPr>
      <w:r>
        <w:rPr>
          <w:rFonts w:ascii="Segoe UI" w:hAnsi="Segoe UI" w:cs="Segoe UI"/>
          <w:sz w:val="22"/>
          <w:szCs w:val="22"/>
        </w:rPr>
        <w:t xml:space="preserve">A presente contratação se enquadra no regime de execução </w:t>
      </w:r>
      <w:r>
        <w:rPr>
          <w:rFonts w:ascii="Segoe UI" w:hAnsi="Segoe UI" w:cs="Segoe UI"/>
          <w:b/>
          <w:bCs/>
          <w:sz w:val="22"/>
          <w:szCs w:val="22"/>
        </w:rPr>
        <w:t>Empreitada por Preço Unitário</w:t>
      </w:r>
      <w:r>
        <w:rPr>
          <w:rFonts w:ascii="Segoe UI" w:hAnsi="Segoe UI" w:cs="Segoe UI"/>
          <w:sz w:val="22"/>
          <w:szCs w:val="22"/>
        </w:rPr>
        <w:t>, pois segue o formato de precificação apresentado no §1º do Art. 2º da Resolução CNRPPS/ME nº 2, de 14 de maio de 2021.</w:t>
      </w:r>
    </w:p>
    <w:p w14:paraId="001FB5C0" w14:textId="77777777" w:rsidR="00705129" w:rsidRDefault="00705129">
      <w:pPr>
        <w:pStyle w:val="Standard"/>
        <w:spacing w:before="240"/>
        <w:jc w:val="both"/>
        <w:rPr>
          <w:rFonts w:ascii="Segoe UI" w:hAnsi="Segoe UI" w:cs="Segoe UI"/>
          <w:sz w:val="22"/>
          <w:szCs w:val="22"/>
        </w:rPr>
      </w:pPr>
    </w:p>
    <w:p w14:paraId="001FB5C1" w14:textId="77777777" w:rsidR="00705129" w:rsidRDefault="00587CA0">
      <w:pPr>
        <w:pStyle w:val="Ttulo1"/>
      </w:pPr>
      <w:bookmarkStart w:id="39" w:name="_Toc51926299"/>
      <w:bookmarkStart w:id="40" w:name="_Toc52535706"/>
      <w:bookmarkStart w:id="41" w:name="_Toc52541755"/>
      <w:bookmarkStart w:id="42" w:name="_Toc74213071"/>
      <w:bookmarkStart w:id="43" w:name="_Toc75718662"/>
      <w:bookmarkStart w:id="44" w:name="_Toc75782304"/>
      <w:r>
        <w:lastRenderedPageBreak/>
        <w:t>9</w:t>
      </w:r>
      <w:r>
        <w:tab/>
      </w:r>
      <w:bookmarkEnd w:id="39"/>
      <w:bookmarkEnd w:id="40"/>
      <w:bookmarkEnd w:id="41"/>
      <w:r>
        <w:t xml:space="preserve">Fundamentação e </w:t>
      </w:r>
      <w:bookmarkEnd w:id="42"/>
      <w:bookmarkEnd w:id="43"/>
      <w:r>
        <w:t>Seleção do Fornecedor</w:t>
      </w:r>
      <w:bookmarkEnd w:id="44"/>
    </w:p>
    <w:p w14:paraId="001FB5C2" w14:textId="77777777" w:rsidR="00705129" w:rsidRDefault="00705129">
      <w:pPr>
        <w:pStyle w:val="Standard"/>
        <w:spacing w:before="240"/>
        <w:jc w:val="both"/>
        <w:rPr>
          <w:rFonts w:ascii="Segoe UI" w:hAnsi="Segoe UI" w:cs="Segoe UI"/>
          <w:sz w:val="22"/>
          <w:szCs w:val="22"/>
        </w:rPr>
      </w:pPr>
    </w:p>
    <w:p w14:paraId="001FB5C3" w14:textId="77777777" w:rsidR="00705129" w:rsidRDefault="00587CA0">
      <w:pPr>
        <w:pStyle w:val="Ttulo2"/>
      </w:pPr>
      <w:bookmarkStart w:id="45" w:name="_Toc75782305"/>
      <w:r>
        <w:t xml:space="preserve">9.1 </w:t>
      </w:r>
      <w:r>
        <w:tab/>
        <w:t>Processo de Planejamento</w:t>
      </w:r>
      <w:bookmarkEnd w:id="45"/>
    </w:p>
    <w:p w14:paraId="001FB5C4"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Essa contratação possuirá natureza estimativa e considera que os gestores de TI dos regimes de previdência devem planejar suas contratações de modo que os pagamentos pelos serviços prestados se encontrem aderentes ao quantitativo de segurados e beneficiários vinculados ao RPPS do respectivo ente federativo, às taxas mensais constantes na Resolução CNRPPS/ME nº 2, de 14 de maio de 2021, em função de resultados verificáveis apresentados pelo fornecedor, mensurados, sempre que possível, por unidades quantitativas.</w:t>
      </w:r>
    </w:p>
    <w:p w14:paraId="001FB5C5" w14:textId="77777777" w:rsidR="00705129" w:rsidRDefault="00705129">
      <w:pPr>
        <w:pStyle w:val="Standard"/>
        <w:spacing w:before="240"/>
        <w:jc w:val="both"/>
        <w:rPr>
          <w:rFonts w:ascii="Segoe UI" w:hAnsi="Segoe UI" w:cs="Segoe UI"/>
          <w:sz w:val="22"/>
          <w:szCs w:val="22"/>
        </w:rPr>
      </w:pPr>
    </w:p>
    <w:p w14:paraId="001FB5C6" w14:textId="77777777" w:rsidR="00705129" w:rsidRDefault="00587CA0">
      <w:pPr>
        <w:pStyle w:val="Ttulo2"/>
      </w:pPr>
      <w:bookmarkStart w:id="46" w:name="_Toc75782306"/>
      <w:r>
        <w:t>9.2</w:t>
      </w:r>
      <w:r>
        <w:tab/>
        <w:t>Seleção do Fornecedor</w:t>
      </w:r>
      <w:bookmarkEnd w:id="46"/>
    </w:p>
    <w:p w14:paraId="001FB5C7"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Considerando a natureza altamente específica do objeto;</w:t>
      </w:r>
    </w:p>
    <w:p w14:paraId="001FB5C8"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Considerando a singularidade circunstancial na oferta do objeto por uma única empresa desenvolvedora e operacionalizadora, conforme anteriormente demonstrado neste Projeto Básico;</w:t>
      </w:r>
    </w:p>
    <w:p w14:paraId="001FB5C9"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Considerando não existir atualmente pluralidade de opções que ofereçam sistema de compensação previdenciária que atenda e intercomunique todos os entes sujeitos à obrigação legal de realizar a compensação financeira, adotando os procedimentos padronizados previstos no Decreto nº 10.188/2019 para análise de todos os requerimentos formalizados, conforme expresso pela Recomendação CNRPPS/ME nº 1, de 15 de março de 2021.</w:t>
      </w:r>
    </w:p>
    <w:p w14:paraId="001FB5CA"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Considerando que o rol de hipóteses previsto na legislação aplicável não é exaustivo e considera, portanto, a possibilidade de existirem situações além daquelas relacionadas nas quais a competição é inviável.</w:t>
      </w:r>
    </w:p>
    <w:p w14:paraId="001FB5CB" w14:textId="77777777" w:rsidR="00705129" w:rsidRDefault="00587CA0">
      <w:pPr>
        <w:pStyle w:val="Standard"/>
        <w:spacing w:before="240"/>
        <w:jc w:val="both"/>
      </w:pPr>
      <w:r>
        <w:rPr>
          <w:rFonts w:ascii="Segoe UI" w:hAnsi="Segoe UI" w:cs="Segoe UI"/>
          <w:sz w:val="22"/>
          <w:szCs w:val="22"/>
        </w:rPr>
        <w:t xml:space="preserve">Entendemos existir situação regulamentar e fática que inviabiliza a competição neste momento, configurando-se a hipótese de </w:t>
      </w:r>
      <w:r>
        <w:rPr>
          <w:rFonts w:ascii="Segoe UI" w:hAnsi="Segoe UI" w:cs="Segoe UI"/>
          <w:b/>
          <w:bCs/>
          <w:sz w:val="22"/>
          <w:szCs w:val="22"/>
        </w:rPr>
        <w:t>Inexigibilidade de Licitação</w:t>
      </w:r>
      <w:r>
        <w:rPr>
          <w:rFonts w:ascii="Segoe UI" w:hAnsi="Segoe UI" w:cs="Segoe UI"/>
          <w:sz w:val="22"/>
          <w:szCs w:val="22"/>
        </w:rPr>
        <w:t>.</w:t>
      </w:r>
    </w:p>
    <w:p w14:paraId="001FB5CC"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Nesta esteira, não há que se falar em escolha do fornecedor. Firma-se, portanto, situação de contratação direta da Empresa de Tecnologia e Informações da Previdência – DATAPREV, em atendimento ao;</w:t>
      </w:r>
    </w:p>
    <w:p w14:paraId="001FB5CD" w14:textId="77777777" w:rsidR="00705129" w:rsidRDefault="00587CA0">
      <w:pPr>
        <w:pStyle w:val="Standard"/>
        <w:numPr>
          <w:ilvl w:val="0"/>
          <w:numId w:val="5"/>
        </w:numPr>
        <w:spacing w:before="240"/>
        <w:jc w:val="both"/>
        <w:rPr>
          <w:rFonts w:ascii="Segoe UI" w:hAnsi="Segoe UI" w:cs="Segoe UI"/>
          <w:sz w:val="22"/>
          <w:szCs w:val="22"/>
        </w:rPr>
      </w:pPr>
      <w:r>
        <w:rPr>
          <w:rFonts w:ascii="Segoe UI" w:hAnsi="Segoe UI" w:cs="Segoe UI"/>
          <w:sz w:val="22"/>
          <w:szCs w:val="22"/>
        </w:rPr>
        <w:t>§1º do Art. 10º do Decreto 10.188 de 20 de dezembro de 2019.</w:t>
      </w:r>
    </w:p>
    <w:p w14:paraId="001FB5CE" w14:textId="77777777" w:rsidR="00705129" w:rsidRDefault="00587CA0">
      <w:pPr>
        <w:pStyle w:val="Standard"/>
        <w:numPr>
          <w:ilvl w:val="0"/>
          <w:numId w:val="5"/>
        </w:numPr>
        <w:spacing w:before="240"/>
        <w:jc w:val="both"/>
        <w:rPr>
          <w:rFonts w:ascii="Segoe UI" w:hAnsi="Segoe UI" w:cs="Segoe UI"/>
          <w:sz w:val="22"/>
          <w:szCs w:val="22"/>
        </w:rPr>
      </w:pPr>
      <w:r>
        <w:rPr>
          <w:rFonts w:ascii="Segoe UI" w:hAnsi="Segoe UI" w:cs="Segoe UI"/>
          <w:sz w:val="22"/>
          <w:szCs w:val="22"/>
        </w:rPr>
        <w:t>Art. 5º da Portaria nº 15.829 de 2 de julho de 2020 da Secretaria Especial de Previdência e Trabalho do Ministério da Economia;</w:t>
      </w:r>
    </w:p>
    <w:p w14:paraId="001FB5CF" w14:textId="77777777" w:rsidR="00705129" w:rsidRDefault="00705129">
      <w:pPr>
        <w:pStyle w:val="Standard"/>
        <w:spacing w:before="240"/>
        <w:jc w:val="both"/>
        <w:rPr>
          <w:rFonts w:ascii="Segoe UI" w:hAnsi="Segoe UI" w:cs="Segoe UI"/>
          <w:sz w:val="22"/>
          <w:szCs w:val="22"/>
        </w:rPr>
      </w:pPr>
    </w:p>
    <w:p w14:paraId="001FB5D0" w14:textId="77777777" w:rsidR="00705129" w:rsidRDefault="00587CA0">
      <w:pPr>
        <w:pStyle w:val="Ttulo1"/>
      </w:pPr>
      <w:bookmarkStart w:id="47" w:name="_Toc75718666"/>
      <w:bookmarkStart w:id="48" w:name="_Toc75782307"/>
      <w:r>
        <w:t>10</w:t>
      </w:r>
      <w:r>
        <w:tab/>
        <w:t>Vigência</w:t>
      </w:r>
      <w:bookmarkEnd w:id="47"/>
      <w:r>
        <w:t xml:space="preserve"> do Contrato</w:t>
      </w:r>
      <w:bookmarkEnd w:id="48"/>
    </w:p>
    <w:p w14:paraId="001FB5D1" w14:textId="77777777" w:rsidR="00705129" w:rsidRDefault="00587CA0">
      <w:pPr>
        <w:pStyle w:val="Standard"/>
        <w:spacing w:before="240"/>
        <w:jc w:val="both"/>
      </w:pPr>
      <w:r>
        <w:rPr>
          <w:rFonts w:ascii="Segoe UI" w:hAnsi="Segoe UI" w:cs="Segoe UI"/>
          <w:sz w:val="22"/>
          <w:szCs w:val="22"/>
        </w:rPr>
        <w:t xml:space="preserve">Considerando que a presente contratação decorre de obrigação legal e regulamentar e o serviço a ser prestado possui caráter contínuo se considera mais adequado administrativamente acompanhar a vigência do Termo de Adesão e do Contrato de Adesão aprovado pelo CNRPPS conforme </w:t>
      </w:r>
      <w:r>
        <w:rPr>
          <w:rFonts w:ascii="Segoe UI" w:hAnsi="Segoe UI" w:cs="Segoe UI"/>
          <w:sz w:val="22"/>
          <w:szCs w:val="22"/>
          <w:shd w:val="clear" w:color="auto" w:fill="FFFF00"/>
        </w:rPr>
        <w:t>Resolução nº</w:t>
      </w:r>
      <w:r>
        <w:rPr>
          <w:rFonts w:ascii="Segoe UI" w:hAnsi="Segoe UI" w:cs="Segoe UI"/>
          <w:sz w:val="22"/>
          <w:szCs w:val="22"/>
        </w:rPr>
        <w:t xml:space="preserve">. Portanto a </w:t>
      </w:r>
      <w:r w:rsidRPr="00587CA0">
        <w:rPr>
          <w:rFonts w:ascii="Segoe UI" w:hAnsi="Segoe UI" w:cs="Segoe UI"/>
          <w:sz w:val="22"/>
          <w:szCs w:val="22"/>
        </w:rPr>
        <w:t>vigência prevista é de 5 (cinco) anos.</w:t>
      </w:r>
    </w:p>
    <w:p w14:paraId="001FB5D2" w14:textId="77777777" w:rsidR="00705129" w:rsidRDefault="00705129">
      <w:pPr>
        <w:pStyle w:val="Standard"/>
        <w:spacing w:before="240"/>
        <w:jc w:val="both"/>
        <w:rPr>
          <w:rFonts w:ascii="Segoe UI" w:hAnsi="Segoe UI" w:cs="Segoe UI"/>
          <w:sz w:val="22"/>
          <w:szCs w:val="22"/>
        </w:rPr>
      </w:pPr>
    </w:p>
    <w:p w14:paraId="001FB5D3" w14:textId="77777777" w:rsidR="00705129" w:rsidRDefault="00587CA0">
      <w:pPr>
        <w:pStyle w:val="Ttulo1"/>
      </w:pPr>
      <w:bookmarkStart w:id="49" w:name="_Toc75782308"/>
      <w:r>
        <w:t>11</w:t>
      </w:r>
      <w:r>
        <w:tab/>
        <w:t>Reajuste de Preços</w:t>
      </w:r>
      <w:bookmarkEnd w:id="49"/>
    </w:p>
    <w:p w14:paraId="001FB5D4"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No Modelo de Negócio e o Contrato de Adesão disponibilizados pela empresa de tecnologia responsável pelo desenvolvimento do sistema de compensação previdenciária há previsão de reajuste de preços.</w:t>
      </w:r>
    </w:p>
    <w:p w14:paraId="001FB5D5" w14:textId="56F6DAAA" w:rsidR="00705129" w:rsidRDefault="00587CA0">
      <w:pPr>
        <w:pStyle w:val="Standard"/>
        <w:spacing w:before="240"/>
        <w:jc w:val="both"/>
        <w:rPr>
          <w:rFonts w:ascii="Segoe UI" w:hAnsi="Segoe UI" w:cs="Segoe UI"/>
          <w:sz w:val="22"/>
          <w:szCs w:val="22"/>
        </w:rPr>
      </w:pPr>
      <w:r>
        <w:rPr>
          <w:rFonts w:ascii="Segoe UI" w:hAnsi="Segoe UI" w:cs="Segoe UI"/>
          <w:sz w:val="22"/>
          <w:szCs w:val="22"/>
        </w:rPr>
        <w:t>O reajuste do valor pactuado será formalizado pelo CONTRATANTE por meio de apostilamento</w:t>
      </w:r>
      <w:r w:rsidR="00A20382">
        <w:rPr>
          <w:rFonts w:ascii="Segoe UI" w:hAnsi="Segoe UI" w:cs="Segoe UI"/>
          <w:sz w:val="22"/>
          <w:szCs w:val="22"/>
        </w:rPr>
        <w:t xml:space="preserve"> </w:t>
      </w:r>
      <w:r>
        <w:rPr>
          <w:rFonts w:ascii="Segoe UI" w:hAnsi="Segoe UI" w:cs="Segoe UI"/>
          <w:sz w:val="22"/>
          <w:szCs w:val="22"/>
        </w:rPr>
        <w:t xml:space="preserve">e a anualidade é aferida a partir da data da última atualização da tabela de preços proposta pela DATAPREV e ao CNRPPS e publicada </w:t>
      </w:r>
      <w:r w:rsidR="003118EF">
        <w:rPr>
          <w:rFonts w:ascii="Segoe UI" w:hAnsi="Segoe UI" w:cs="Segoe UI"/>
          <w:sz w:val="22"/>
          <w:szCs w:val="22"/>
        </w:rPr>
        <w:t>pelo CNRPPS</w:t>
      </w:r>
      <w:r>
        <w:rPr>
          <w:rFonts w:ascii="Segoe UI" w:hAnsi="Segoe UI" w:cs="Segoe UI"/>
          <w:sz w:val="22"/>
          <w:szCs w:val="22"/>
        </w:rPr>
        <w:t>.</w:t>
      </w:r>
    </w:p>
    <w:p w14:paraId="572F9C60" w14:textId="77777777" w:rsidR="00287070" w:rsidRDefault="00287070">
      <w:pPr>
        <w:pStyle w:val="Standard"/>
        <w:spacing w:before="240"/>
        <w:jc w:val="both"/>
      </w:pPr>
    </w:p>
    <w:p w14:paraId="001FB5D6" w14:textId="77777777" w:rsidR="00705129" w:rsidRDefault="00587CA0">
      <w:pPr>
        <w:pStyle w:val="Ttulo1"/>
      </w:pPr>
      <w:bookmarkStart w:id="50" w:name="_Toc75718667"/>
      <w:bookmarkStart w:id="51" w:name="_Toc75782309"/>
      <w:r>
        <w:t>12</w:t>
      </w:r>
      <w:r>
        <w:tab/>
        <w:t>Referência Legal</w:t>
      </w:r>
      <w:bookmarkEnd w:id="50"/>
      <w:bookmarkEnd w:id="51"/>
    </w:p>
    <w:p w14:paraId="001FB5D7"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LEI Nº 9.717, DE 27 DE NOVEMBRO DE 1998.</w:t>
      </w:r>
    </w:p>
    <w:p w14:paraId="001FB5D8" w14:textId="77777777" w:rsidR="00705129" w:rsidRDefault="00587CA0">
      <w:pPr>
        <w:pStyle w:val="Standard"/>
        <w:jc w:val="both"/>
        <w:rPr>
          <w:rFonts w:ascii="Segoe UI" w:hAnsi="Segoe UI" w:cs="Segoe UI"/>
          <w:sz w:val="18"/>
          <w:szCs w:val="18"/>
        </w:rPr>
      </w:pPr>
      <w:r>
        <w:rPr>
          <w:rFonts w:ascii="Segoe UI" w:hAnsi="Segoe UI" w:cs="Segoe UI"/>
          <w:sz w:val="18"/>
          <w:szCs w:val="18"/>
        </w:rPr>
        <w:t>Dispõe sobre regras gerais para a organização e o funcionamento dos regimes próprios de previdência social dos servidores públicos da União, dos Estados, do Distrito Federal e dos Municípios, dos militares dos Estados e do Distrito Federal e dá outras providências.</w:t>
      </w:r>
    </w:p>
    <w:p w14:paraId="001FB5D9"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LEI Nº 9.796, DE 5 DE MAIO DE 1999.</w:t>
      </w:r>
    </w:p>
    <w:p w14:paraId="001FB5DA" w14:textId="77777777" w:rsidR="00705129" w:rsidRDefault="00587CA0">
      <w:pPr>
        <w:pStyle w:val="Standard"/>
        <w:jc w:val="both"/>
        <w:rPr>
          <w:rFonts w:ascii="Segoe UI" w:hAnsi="Segoe UI" w:cs="Segoe UI"/>
          <w:sz w:val="18"/>
          <w:szCs w:val="18"/>
        </w:rPr>
      </w:pPr>
      <w:r>
        <w:rPr>
          <w:rFonts w:ascii="Segoe UI" w:hAnsi="Segoe UI" w:cs="Segoe UI"/>
          <w:sz w:val="18"/>
          <w:szCs w:val="18"/>
        </w:rPr>
        <w:t>Dispõe sobre a compensação financeira entre o Regime Geral de Previdência Social e os regimes de previdência dos servidores da União, dos Estados, do Distrito Federal e dos Municípios, nos casos de contagem recíproca de tempo de contribuição para efeito de aposentadoria, e dá outras providências.</w:t>
      </w:r>
    </w:p>
    <w:p w14:paraId="001FB5DB" w14:textId="77777777" w:rsidR="00705129" w:rsidRPr="001D3AF7" w:rsidRDefault="00587CA0">
      <w:pPr>
        <w:pStyle w:val="Standard"/>
        <w:spacing w:before="240"/>
        <w:jc w:val="both"/>
        <w:rPr>
          <w:rFonts w:ascii="Segoe UI" w:hAnsi="Segoe UI" w:cs="Segoe UI"/>
          <w:sz w:val="22"/>
          <w:szCs w:val="22"/>
          <w:highlight w:val="yellow"/>
        </w:rPr>
      </w:pPr>
      <w:r w:rsidRPr="001D3AF7">
        <w:rPr>
          <w:rFonts w:ascii="Segoe UI" w:hAnsi="Segoe UI" w:cs="Segoe UI"/>
          <w:sz w:val="22"/>
          <w:szCs w:val="22"/>
          <w:highlight w:val="yellow"/>
        </w:rPr>
        <w:t>LEI Nº 14.133, DE 1º DE ABRIL DE 2021</w:t>
      </w:r>
    </w:p>
    <w:p w14:paraId="001FB5DC" w14:textId="77777777" w:rsidR="00705129" w:rsidRPr="001D3AF7" w:rsidRDefault="00587CA0">
      <w:pPr>
        <w:pStyle w:val="Standard"/>
        <w:jc w:val="both"/>
        <w:rPr>
          <w:rFonts w:ascii="Segoe UI" w:hAnsi="Segoe UI" w:cs="Segoe UI"/>
          <w:sz w:val="18"/>
          <w:szCs w:val="18"/>
          <w:highlight w:val="yellow"/>
        </w:rPr>
      </w:pPr>
      <w:r w:rsidRPr="001D3AF7">
        <w:rPr>
          <w:rFonts w:ascii="Segoe UI" w:hAnsi="Segoe UI" w:cs="Segoe UI"/>
          <w:sz w:val="18"/>
          <w:szCs w:val="18"/>
          <w:highlight w:val="yellow"/>
        </w:rPr>
        <w:t>Lei de Licitações e Contratos Administrativos.</w:t>
      </w:r>
    </w:p>
    <w:p w14:paraId="001FB5DD" w14:textId="77777777" w:rsidR="00705129" w:rsidRPr="001D3AF7" w:rsidRDefault="00705129">
      <w:pPr>
        <w:pStyle w:val="Standard"/>
        <w:jc w:val="both"/>
        <w:rPr>
          <w:rFonts w:ascii="Segoe UI" w:hAnsi="Segoe UI" w:cs="Segoe UI"/>
          <w:sz w:val="18"/>
          <w:szCs w:val="18"/>
          <w:highlight w:val="yellow"/>
        </w:rPr>
      </w:pPr>
    </w:p>
    <w:p w14:paraId="001FB5DE" w14:textId="77777777" w:rsidR="00705129" w:rsidRPr="001D3AF7" w:rsidRDefault="00587CA0">
      <w:pPr>
        <w:pStyle w:val="Standard"/>
        <w:spacing w:before="240"/>
        <w:jc w:val="both"/>
        <w:rPr>
          <w:rFonts w:ascii="Segoe UI" w:hAnsi="Segoe UI" w:cs="Segoe UI"/>
          <w:sz w:val="22"/>
          <w:szCs w:val="22"/>
          <w:highlight w:val="yellow"/>
        </w:rPr>
      </w:pPr>
      <w:r w:rsidRPr="001D3AF7">
        <w:rPr>
          <w:rFonts w:ascii="Segoe UI" w:hAnsi="Segoe UI" w:cs="Segoe UI"/>
          <w:sz w:val="22"/>
          <w:szCs w:val="22"/>
          <w:highlight w:val="yellow"/>
        </w:rPr>
        <w:t xml:space="preserve">LEI nº. 8.666, DE 21 DE JUNHO DE 1993 </w:t>
      </w:r>
    </w:p>
    <w:p w14:paraId="001FB5DF" w14:textId="77777777" w:rsidR="00705129" w:rsidRDefault="00587CA0">
      <w:pPr>
        <w:pStyle w:val="Standard"/>
        <w:jc w:val="both"/>
        <w:rPr>
          <w:rFonts w:ascii="Segoe UI" w:hAnsi="Segoe UI" w:cs="Segoe UI"/>
          <w:sz w:val="18"/>
          <w:szCs w:val="18"/>
        </w:rPr>
      </w:pPr>
      <w:r w:rsidRPr="001D3AF7">
        <w:rPr>
          <w:rFonts w:ascii="Segoe UI" w:hAnsi="Segoe UI" w:cs="Segoe UI"/>
          <w:sz w:val="18"/>
          <w:szCs w:val="18"/>
          <w:highlight w:val="yellow"/>
        </w:rPr>
        <w:t>Lei de Licitações e Contratos da Administração Pública</w:t>
      </w:r>
    </w:p>
    <w:p w14:paraId="001FB5E0" w14:textId="77777777" w:rsidR="00705129" w:rsidRDefault="00705129">
      <w:pPr>
        <w:pStyle w:val="Standard"/>
        <w:spacing w:before="240"/>
        <w:jc w:val="both"/>
        <w:rPr>
          <w:rFonts w:ascii="Segoe UI" w:hAnsi="Segoe UI" w:cs="Segoe UI"/>
          <w:sz w:val="22"/>
          <w:szCs w:val="22"/>
        </w:rPr>
      </w:pPr>
    </w:p>
    <w:p w14:paraId="001FB5E1" w14:textId="77777777" w:rsidR="00705129" w:rsidRPr="001D3AF7" w:rsidRDefault="00587CA0">
      <w:pPr>
        <w:pStyle w:val="Standard"/>
        <w:spacing w:before="240"/>
        <w:jc w:val="both"/>
        <w:rPr>
          <w:rFonts w:ascii="Segoe UI" w:hAnsi="Segoe UI" w:cs="Segoe UI"/>
          <w:sz w:val="18"/>
          <w:szCs w:val="18"/>
        </w:rPr>
      </w:pPr>
      <w:r w:rsidRPr="001D3AF7">
        <w:rPr>
          <w:rFonts w:ascii="Segoe UI" w:hAnsi="Segoe UI" w:cs="Segoe UI"/>
          <w:sz w:val="18"/>
          <w:szCs w:val="18"/>
        </w:rPr>
        <w:lastRenderedPageBreak/>
        <w:t>Legislação Estadual ou Municipal, em matéria de licitações e contratos administrativos, eventualmente aplicável.</w:t>
      </w:r>
    </w:p>
    <w:p w14:paraId="001FB5E2"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DECRETO Nº 10.188, DE 20 DE DEZEMBRO DE 2019</w:t>
      </w:r>
    </w:p>
    <w:p w14:paraId="001FB5E3" w14:textId="77777777" w:rsidR="00705129" w:rsidRDefault="00587CA0">
      <w:pPr>
        <w:pStyle w:val="Standard"/>
        <w:jc w:val="both"/>
        <w:rPr>
          <w:rFonts w:ascii="Segoe UI" w:hAnsi="Segoe UI" w:cs="Segoe UI"/>
          <w:sz w:val="18"/>
          <w:szCs w:val="18"/>
        </w:rPr>
      </w:pPr>
      <w:r>
        <w:rPr>
          <w:rFonts w:ascii="Segoe UI" w:hAnsi="Segoe UI" w:cs="Segoe UI"/>
          <w:sz w:val="18"/>
          <w:szCs w:val="18"/>
        </w:rPr>
        <w:t>Regulamenta a Lei nº 9.796, de 5 de maio de 1999, para dispor sobre a compensação financeira entre o Regime Geral de Previdência Social e os regimes próprios de previdência social dos servidores públicos da União, dos Estados, do Distrito Federal e dos Municípios, e entre os regimes próprios, na hipótese de contagem recíproca de tempo de contribuição para efeito de aposentadoria, e dá outras providências.</w:t>
      </w:r>
    </w:p>
    <w:p w14:paraId="001FB5E4" w14:textId="77777777" w:rsidR="00705129" w:rsidRDefault="00587CA0">
      <w:pPr>
        <w:pStyle w:val="Standard"/>
        <w:spacing w:before="240"/>
        <w:jc w:val="both"/>
        <w:rPr>
          <w:rFonts w:ascii="Segoe UI" w:hAnsi="Segoe UI" w:cs="Segoe UI"/>
          <w:sz w:val="22"/>
          <w:szCs w:val="22"/>
        </w:rPr>
      </w:pPr>
      <w:r>
        <w:rPr>
          <w:rFonts w:ascii="Segoe UI" w:hAnsi="Segoe UI" w:cs="Segoe UI"/>
          <w:sz w:val="22"/>
          <w:szCs w:val="22"/>
        </w:rPr>
        <w:t>PORTARIA/SEPTR/ME Nº 15.829, DE 2 DE JULHO DE 2020</w:t>
      </w:r>
    </w:p>
    <w:p w14:paraId="001FB5E5" w14:textId="77777777" w:rsidR="00705129" w:rsidRDefault="00587CA0">
      <w:pPr>
        <w:pStyle w:val="Standard"/>
        <w:jc w:val="both"/>
      </w:pPr>
      <w:r>
        <w:rPr>
          <w:rFonts w:ascii="Segoe UI" w:hAnsi="Segoe UI" w:cs="Segoe UI"/>
          <w:sz w:val="18"/>
          <w:szCs w:val="18"/>
        </w:rPr>
        <w:t>Dispõe sobre a operacionalização da compensação financeira entre o Regime Geral de Previdência Social e os regimes próprios de previdência social da União, dos Estados, do Distrito Federal e dos Municípios e destes entre si, de que tratam a Lei nº 9.796, de 5 de maio de 1999, e o Decreto nº 10.188, de 20 de dezembro de 2019. (Processo nº 10133.100215/2020-20).</w:t>
      </w:r>
    </w:p>
    <w:sectPr w:rsidR="00705129">
      <w:headerReference w:type="default" r:id="rId10"/>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714B" w14:textId="77777777" w:rsidR="00CC36C9" w:rsidRDefault="00CC36C9">
      <w:r>
        <w:separator/>
      </w:r>
    </w:p>
  </w:endnote>
  <w:endnote w:type="continuationSeparator" w:id="0">
    <w:p w14:paraId="105C57E4" w14:textId="77777777" w:rsidR="00CC36C9" w:rsidRDefault="00CC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B53A" w14:textId="77777777" w:rsidR="00EF12E7" w:rsidRDefault="00587CA0">
    <w:pPr>
      <w:pStyle w:val="Rodap"/>
      <w:jc w:val="right"/>
    </w:pPr>
    <w:r>
      <w:rPr>
        <w:rFonts w:ascii="Segoe UI" w:hAnsi="Segoe UI" w:cs="Segoe UI"/>
        <w:sz w:val="18"/>
        <w:szCs w:val="18"/>
      </w:rPr>
      <w:t xml:space="preserve">Página </w:t>
    </w:r>
    <w:r>
      <w:rPr>
        <w:rFonts w:ascii="Segoe UI" w:hAnsi="Segoe UI" w:cs="Segoe UI"/>
        <w:b/>
        <w:bCs/>
        <w:sz w:val="18"/>
        <w:szCs w:val="18"/>
      </w:rPr>
      <w:fldChar w:fldCharType="begin"/>
    </w:r>
    <w:r>
      <w:rPr>
        <w:rFonts w:ascii="Segoe UI" w:hAnsi="Segoe UI" w:cs="Segoe UI"/>
        <w:b/>
        <w:bCs/>
        <w:sz w:val="18"/>
        <w:szCs w:val="18"/>
      </w:rPr>
      <w:instrText xml:space="preserve"> PAGE </w:instrText>
    </w:r>
    <w:r>
      <w:rPr>
        <w:rFonts w:ascii="Segoe UI" w:hAnsi="Segoe UI" w:cs="Segoe UI"/>
        <w:b/>
        <w:bCs/>
        <w:sz w:val="18"/>
        <w:szCs w:val="18"/>
      </w:rPr>
      <w:fldChar w:fldCharType="separate"/>
    </w:r>
    <w:r>
      <w:rPr>
        <w:rFonts w:ascii="Segoe UI" w:hAnsi="Segoe UI" w:cs="Segoe UI"/>
        <w:b/>
        <w:bCs/>
        <w:sz w:val="18"/>
        <w:szCs w:val="18"/>
      </w:rPr>
      <w:t>2</w:t>
    </w:r>
    <w:r>
      <w:rPr>
        <w:rFonts w:ascii="Segoe UI" w:hAnsi="Segoe UI" w:cs="Segoe UI"/>
        <w:b/>
        <w:bCs/>
        <w:sz w:val="18"/>
        <w:szCs w:val="18"/>
      </w:rPr>
      <w:fldChar w:fldCharType="end"/>
    </w:r>
    <w:r>
      <w:rPr>
        <w:rFonts w:ascii="Segoe UI" w:hAnsi="Segoe UI" w:cs="Segoe UI"/>
        <w:sz w:val="18"/>
        <w:szCs w:val="18"/>
      </w:rPr>
      <w:t xml:space="preserve"> de </w:t>
    </w:r>
    <w:r>
      <w:rPr>
        <w:rFonts w:ascii="Segoe UI" w:hAnsi="Segoe UI" w:cs="Segoe UI"/>
        <w:b/>
        <w:bCs/>
        <w:sz w:val="18"/>
        <w:szCs w:val="18"/>
      </w:rPr>
      <w:fldChar w:fldCharType="begin"/>
    </w:r>
    <w:r>
      <w:rPr>
        <w:rFonts w:ascii="Segoe UI" w:hAnsi="Segoe UI" w:cs="Segoe UI"/>
        <w:b/>
        <w:bCs/>
        <w:sz w:val="18"/>
        <w:szCs w:val="18"/>
      </w:rPr>
      <w:instrText xml:space="preserve"> NUMPAGES </w:instrText>
    </w:r>
    <w:r>
      <w:rPr>
        <w:rFonts w:ascii="Segoe UI" w:hAnsi="Segoe UI" w:cs="Segoe UI"/>
        <w:b/>
        <w:bCs/>
        <w:sz w:val="18"/>
        <w:szCs w:val="18"/>
      </w:rPr>
      <w:fldChar w:fldCharType="separate"/>
    </w:r>
    <w:r>
      <w:rPr>
        <w:rFonts w:ascii="Segoe UI" w:hAnsi="Segoe UI" w:cs="Segoe UI"/>
        <w:b/>
        <w:bCs/>
        <w:sz w:val="18"/>
        <w:szCs w:val="18"/>
      </w:rPr>
      <w:t>2</w:t>
    </w:r>
    <w:r>
      <w:rPr>
        <w:rFonts w:ascii="Segoe UI" w:hAnsi="Segoe UI" w:cs="Segoe UI"/>
        <w:b/>
        <w:bCs/>
        <w:sz w:val="18"/>
        <w:szCs w:val="18"/>
      </w:rPr>
      <w:fldChar w:fldCharType="end"/>
    </w:r>
  </w:p>
  <w:p w14:paraId="001FB53B" w14:textId="77777777" w:rsidR="00EF12E7" w:rsidRDefault="00397A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6553" w14:textId="77777777" w:rsidR="00CC36C9" w:rsidRDefault="00CC36C9">
      <w:r>
        <w:rPr>
          <w:color w:val="000000"/>
        </w:rPr>
        <w:separator/>
      </w:r>
    </w:p>
  </w:footnote>
  <w:footnote w:type="continuationSeparator" w:id="0">
    <w:p w14:paraId="46B2335F" w14:textId="77777777" w:rsidR="00CC36C9" w:rsidRDefault="00CC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B533" w14:textId="77777777" w:rsidR="00EF12E7" w:rsidRDefault="00587CA0">
    <w:pPr>
      <w:pStyle w:val="Cabealho"/>
      <w:jc w:val="center"/>
      <w:rPr>
        <w:rFonts w:ascii="Segoe UI" w:hAnsi="Segoe UI" w:cs="Segoe UI"/>
        <w:b/>
        <w:bCs/>
        <w:sz w:val="22"/>
        <w:szCs w:val="22"/>
      </w:rPr>
    </w:pPr>
    <w:r>
      <w:rPr>
        <w:rFonts w:ascii="Segoe UI" w:hAnsi="Segoe UI" w:cs="Segoe UI"/>
        <w:b/>
        <w:bCs/>
        <w:sz w:val="22"/>
        <w:szCs w:val="22"/>
      </w:rPr>
      <w:t>PROJETO BÁSICO</w:t>
    </w:r>
  </w:p>
  <w:p w14:paraId="001FB534" w14:textId="77777777" w:rsidR="00EF12E7" w:rsidRDefault="00397A04">
    <w:pPr>
      <w:pStyle w:val="Cabealho"/>
    </w:pPr>
  </w:p>
  <w:p w14:paraId="001FB535" w14:textId="77777777" w:rsidR="00EF12E7" w:rsidRDefault="00587CA0">
    <w:pPr>
      <w:pStyle w:val="Cabealho"/>
      <w:ind w:left="1701"/>
      <w:jc w:val="right"/>
      <w:rPr>
        <w:rFonts w:ascii="Segoe UI" w:hAnsi="Segoe UI" w:cs="Segoe UI"/>
        <w:i/>
        <w:iCs/>
        <w:sz w:val="22"/>
        <w:szCs w:val="22"/>
      </w:rPr>
    </w:pPr>
    <w:r>
      <w:rPr>
        <w:rFonts w:ascii="Segoe UI" w:hAnsi="Segoe UI" w:cs="Segoe UI"/>
        <w:i/>
        <w:iCs/>
        <w:sz w:val="22"/>
        <w:szCs w:val="22"/>
      </w:rPr>
      <w:t>Contratação de serviço SaaS (Software as a Service) para operacionalização da compensação financeira entre o Regime Geral de Previdência Social e os regimes próprios de previdência social dos servidores públicos da União, dos Estados, do Distrito Federal e dos Municípios, e entre os regimes próprios, na hipótese de contagem recíproca de tempo de contribuição para efeito de aposentadoria, em cumprimento ao estabelecido pelo Decreto 10.188 de 20 de dezembro de 2019.</w:t>
    </w:r>
  </w:p>
  <w:p w14:paraId="001FB536" w14:textId="77777777" w:rsidR="00EF12E7" w:rsidRDefault="00397A04">
    <w:pPr>
      <w:pStyle w:val="Cabealho"/>
      <w:jc w:val="center"/>
    </w:pPr>
  </w:p>
  <w:p w14:paraId="001FB537" w14:textId="77777777" w:rsidR="00EF12E7" w:rsidRDefault="00587CA0">
    <w:pPr>
      <w:pStyle w:val="Cabealho"/>
      <w:jc w:val="right"/>
      <w:rPr>
        <w:rFonts w:ascii="Segoe UI" w:hAnsi="Segoe UI" w:cs="Segoe UI"/>
        <w:sz w:val="22"/>
        <w:szCs w:val="22"/>
      </w:rPr>
    </w:pPr>
    <w:r>
      <w:rPr>
        <w:rFonts w:ascii="Segoe UI" w:hAnsi="Segoe UI" w:cs="Segoe UI"/>
        <w:sz w:val="22"/>
        <w:szCs w:val="22"/>
      </w:rPr>
      <w:t>_________________________________________________________________________________________________________</w:t>
    </w:r>
  </w:p>
  <w:p w14:paraId="001FB538" w14:textId="77777777" w:rsidR="00EF12E7" w:rsidRDefault="00397A04">
    <w:pPr>
      <w:pStyle w:val="Cabealho"/>
      <w:jc w:val="right"/>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73F9"/>
    <w:multiLevelType w:val="multilevel"/>
    <w:tmpl w:val="C55E2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272524D"/>
    <w:multiLevelType w:val="multilevel"/>
    <w:tmpl w:val="1774FC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BB226B7"/>
    <w:multiLevelType w:val="multilevel"/>
    <w:tmpl w:val="E198098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F447AE"/>
    <w:multiLevelType w:val="multilevel"/>
    <w:tmpl w:val="27229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76C474A"/>
    <w:multiLevelType w:val="multilevel"/>
    <w:tmpl w:val="6F5C839C"/>
    <w:lvl w:ilvl="0">
      <w:numFmt w:val="bullet"/>
      <w:lvlText w:val=""/>
      <w:lvlJc w:val="left"/>
      <w:pPr>
        <w:ind w:left="2421" w:hanging="360"/>
      </w:pPr>
      <w:rPr>
        <w:rFonts w:ascii="Symbol" w:hAnsi="Symbol"/>
      </w:rPr>
    </w:lvl>
    <w:lvl w:ilvl="1">
      <w:numFmt w:val="bullet"/>
      <w:lvlText w:val="o"/>
      <w:lvlJc w:val="left"/>
      <w:pPr>
        <w:ind w:left="3141" w:hanging="360"/>
      </w:pPr>
      <w:rPr>
        <w:rFonts w:ascii="Courier New" w:hAnsi="Courier New" w:cs="Courier New"/>
      </w:rPr>
    </w:lvl>
    <w:lvl w:ilvl="2">
      <w:numFmt w:val="bullet"/>
      <w:lvlText w:val=""/>
      <w:lvlJc w:val="left"/>
      <w:pPr>
        <w:ind w:left="3861" w:hanging="360"/>
      </w:pPr>
      <w:rPr>
        <w:rFonts w:ascii="Wingdings" w:hAnsi="Wingdings"/>
      </w:rPr>
    </w:lvl>
    <w:lvl w:ilvl="3">
      <w:numFmt w:val="bullet"/>
      <w:lvlText w:val=""/>
      <w:lvlJc w:val="left"/>
      <w:pPr>
        <w:ind w:left="4581" w:hanging="360"/>
      </w:pPr>
      <w:rPr>
        <w:rFonts w:ascii="Symbol" w:hAnsi="Symbol"/>
      </w:rPr>
    </w:lvl>
    <w:lvl w:ilvl="4">
      <w:numFmt w:val="bullet"/>
      <w:lvlText w:val="o"/>
      <w:lvlJc w:val="left"/>
      <w:pPr>
        <w:ind w:left="5301" w:hanging="360"/>
      </w:pPr>
      <w:rPr>
        <w:rFonts w:ascii="Courier New" w:hAnsi="Courier New" w:cs="Courier New"/>
      </w:rPr>
    </w:lvl>
    <w:lvl w:ilvl="5">
      <w:numFmt w:val="bullet"/>
      <w:lvlText w:val=""/>
      <w:lvlJc w:val="left"/>
      <w:pPr>
        <w:ind w:left="6021" w:hanging="360"/>
      </w:pPr>
      <w:rPr>
        <w:rFonts w:ascii="Wingdings" w:hAnsi="Wingdings"/>
      </w:rPr>
    </w:lvl>
    <w:lvl w:ilvl="6">
      <w:numFmt w:val="bullet"/>
      <w:lvlText w:val=""/>
      <w:lvlJc w:val="left"/>
      <w:pPr>
        <w:ind w:left="6741" w:hanging="360"/>
      </w:pPr>
      <w:rPr>
        <w:rFonts w:ascii="Symbol" w:hAnsi="Symbol"/>
      </w:rPr>
    </w:lvl>
    <w:lvl w:ilvl="7">
      <w:numFmt w:val="bullet"/>
      <w:lvlText w:val="o"/>
      <w:lvlJc w:val="left"/>
      <w:pPr>
        <w:ind w:left="7461" w:hanging="360"/>
      </w:pPr>
      <w:rPr>
        <w:rFonts w:ascii="Courier New" w:hAnsi="Courier New" w:cs="Courier New"/>
      </w:rPr>
    </w:lvl>
    <w:lvl w:ilvl="8">
      <w:numFmt w:val="bullet"/>
      <w:lvlText w:val=""/>
      <w:lvlJc w:val="left"/>
      <w:pPr>
        <w:ind w:left="8181" w:hanging="360"/>
      </w:pPr>
      <w:rPr>
        <w:rFonts w:ascii="Wingdings" w:hAnsi="Wingding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29"/>
    <w:rsid w:val="001D3AF7"/>
    <w:rsid w:val="00287070"/>
    <w:rsid w:val="003118EF"/>
    <w:rsid w:val="00546F26"/>
    <w:rsid w:val="00587CA0"/>
    <w:rsid w:val="00705129"/>
    <w:rsid w:val="00A20382"/>
    <w:rsid w:val="00BA42C4"/>
    <w:rsid w:val="00C26485"/>
    <w:rsid w:val="00CC36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B529"/>
  <w15:docId w15:val="{F4447601-1B2A-4758-A93F-9FC4DC7B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pt-B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240"/>
      <w:outlineLvl w:val="0"/>
    </w:pPr>
    <w:rPr>
      <w:rFonts w:ascii="Calibri Light" w:eastAsia="Times New Roman" w:hAnsi="Calibri Light" w:cs="Mangal"/>
      <w:b/>
      <w:sz w:val="32"/>
      <w:szCs w:val="29"/>
    </w:rPr>
  </w:style>
  <w:style w:type="paragraph" w:styleId="Ttulo2">
    <w:name w:val="heading 2"/>
    <w:basedOn w:val="Normal"/>
    <w:next w:val="Normal"/>
    <w:uiPriority w:val="9"/>
    <w:unhideWhenUsed/>
    <w:qFormat/>
    <w:pPr>
      <w:keepNext/>
      <w:keepLines/>
      <w:spacing w:before="40"/>
      <w:outlineLvl w:val="1"/>
    </w:pPr>
    <w:rPr>
      <w:rFonts w:ascii="Calibri Light" w:eastAsia="Times New Roman" w:hAnsi="Calibri Light" w:cs="Mangal"/>
      <w:b/>
      <w:sz w:val="26"/>
      <w:szCs w:val="23"/>
    </w:rPr>
  </w:style>
  <w:style w:type="paragraph" w:styleId="Ttulo3">
    <w:name w:val="heading 3"/>
    <w:basedOn w:val="Normal"/>
    <w:next w:val="Normal"/>
    <w:uiPriority w:val="9"/>
    <w:unhideWhenUsed/>
    <w:qFormat/>
    <w:pPr>
      <w:keepNext/>
      <w:keepLines/>
      <w:spacing w:before="40"/>
      <w:outlineLvl w:val="2"/>
    </w:pPr>
    <w:rPr>
      <w:rFonts w:ascii="Calibri Light" w:eastAsia="Times New Roman" w:hAnsi="Calibri Light" w:cs="Mangal"/>
      <w:color w:val="1F3763"/>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Ttulo1Char">
    <w:name w:val="Título 1 Char"/>
    <w:basedOn w:val="Fontepargpadro"/>
    <w:rPr>
      <w:rFonts w:ascii="Calibri Light" w:eastAsia="Times New Roman" w:hAnsi="Calibri Light" w:cs="Mangal"/>
      <w:b/>
      <w:sz w:val="32"/>
      <w:szCs w:val="29"/>
    </w:rPr>
  </w:style>
  <w:style w:type="paragraph" w:styleId="Ttulo">
    <w:name w:val="Title"/>
    <w:basedOn w:val="Normal"/>
    <w:next w:val="Normal"/>
    <w:uiPriority w:val="10"/>
    <w:qFormat/>
    <w:rPr>
      <w:rFonts w:ascii="Calibri Light" w:eastAsia="Times New Roman" w:hAnsi="Calibri Light" w:cs="Mangal"/>
      <w:spacing w:val="-10"/>
      <w:sz w:val="56"/>
      <w:szCs w:val="50"/>
    </w:rPr>
  </w:style>
  <w:style w:type="character" w:customStyle="1" w:styleId="TtuloChar">
    <w:name w:val="Título Char"/>
    <w:basedOn w:val="Fontepargpadro"/>
    <w:rPr>
      <w:rFonts w:ascii="Calibri Light" w:eastAsia="Times New Roman" w:hAnsi="Calibri Light" w:cs="Mangal"/>
      <w:spacing w:val="-10"/>
      <w:kern w:val="3"/>
      <w:sz w:val="56"/>
      <w:szCs w:val="50"/>
    </w:rPr>
  </w:style>
  <w:style w:type="character" w:customStyle="1" w:styleId="Ttulo2Char">
    <w:name w:val="Título 2 Char"/>
    <w:basedOn w:val="Fontepargpadro"/>
    <w:rPr>
      <w:rFonts w:ascii="Calibri Light" w:eastAsia="Times New Roman" w:hAnsi="Calibri Light" w:cs="Mangal"/>
      <w:b/>
      <w:sz w:val="26"/>
      <w:szCs w:val="23"/>
    </w:rPr>
  </w:style>
  <w:style w:type="paragraph" w:styleId="Cabealho">
    <w:name w:val="header"/>
    <w:basedOn w:val="Normal"/>
    <w:pPr>
      <w:tabs>
        <w:tab w:val="center" w:pos="4252"/>
        <w:tab w:val="right" w:pos="8504"/>
      </w:tabs>
    </w:pPr>
    <w:rPr>
      <w:rFonts w:cs="Mangal"/>
      <w:szCs w:val="21"/>
    </w:rPr>
  </w:style>
  <w:style w:type="character" w:customStyle="1" w:styleId="CabealhoChar">
    <w:name w:val="Cabeçalho Char"/>
    <w:basedOn w:val="Fontepargpadro"/>
    <w:rPr>
      <w:rFonts w:cs="Mangal"/>
      <w:szCs w:val="21"/>
    </w:rPr>
  </w:style>
  <w:style w:type="paragraph" w:styleId="Rodap">
    <w:name w:val="footer"/>
    <w:basedOn w:val="Normal"/>
    <w:pPr>
      <w:tabs>
        <w:tab w:val="center" w:pos="4252"/>
        <w:tab w:val="right" w:pos="8504"/>
      </w:tabs>
    </w:pPr>
    <w:rPr>
      <w:rFonts w:cs="Mangal"/>
      <w:szCs w:val="21"/>
    </w:rPr>
  </w:style>
  <w:style w:type="character" w:customStyle="1" w:styleId="RodapChar">
    <w:name w:val="Rodapé Char"/>
    <w:basedOn w:val="Fontepargpadro"/>
    <w:rPr>
      <w:rFonts w:cs="Mangal"/>
      <w:szCs w:val="21"/>
    </w:rPr>
  </w:style>
  <w:style w:type="paragraph" w:styleId="CabealhodoSumrio">
    <w:name w:val="TOC Heading"/>
    <w:basedOn w:val="Ttulo1"/>
    <w:next w:val="Normal"/>
    <w:pPr>
      <w:suppressAutoHyphens w:val="0"/>
      <w:textAlignment w:val="auto"/>
    </w:pPr>
    <w:rPr>
      <w:rFonts w:cs="Times New Roman"/>
      <w:kern w:val="0"/>
      <w:szCs w:val="32"/>
      <w:lang w:eastAsia="pt-BR" w:bidi="ar-SA"/>
    </w:rPr>
  </w:style>
  <w:style w:type="paragraph" w:styleId="Sumrio1">
    <w:name w:val="toc 1"/>
    <w:basedOn w:val="Normal"/>
    <w:next w:val="Normal"/>
    <w:autoRedefine/>
    <w:pPr>
      <w:tabs>
        <w:tab w:val="left" w:pos="440"/>
        <w:tab w:val="right" w:leader="dot" w:pos="9628"/>
      </w:tabs>
      <w:spacing w:after="100"/>
    </w:pPr>
    <w:rPr>
      <w:rFonts w:ascii="Segoe UI" w:hAnsi="Segoe UI" w:cs="Mangal"/>
      <w:sz w:val="22"/>
      <w:szCs w:val="21"/>
    </w:rPr>
  </w:style>
  <w:style w:type="paragraph" w:styleId="Sumrio2">
    <w:name w:val="toc 2"/>
    <w:basedOn w:val="Normal"/>
    <w:next w:val="Normal"/>
    <w:autoRedefine/>
    <w:pPr>
      <w:spacing w:after="100"/>
      <w:ind w:left="240"/>
    </w:pPr>
    <w:rPr>
      <w:rFonts w:ascii="Segoe UI" w:hAnsi="Segoe UI" w:cs="Mangal"/>
      <w:sz w:val="20"/>
      <w:szCs w:val="21"/>
    </w:rPr>
  </w:style>
  <w:style w:type="character" w:styleId="Hyperlink">
    <w:name w:val="Hyperlink"/>
    <w:basedOn w:val="Fontepargpadro"/>
    <w:rPr>
      <w:color w:val="auto"/>
      <w:u w:val="single"/>
    </w:rPr>
  </w:style>
  <w:style w:type="paragraph" w:styleId="Sumrio3">
    <w:name w:val="toc 3"/>
    <w:basedOn w:val="Normal"/>
    <w:next w:val="Normal"/>
    <w:autoRedefine/>
    <w:pPr>
      <w:spacing w:after="100"/>
      <w:ind w:left="480"/>
    </w:pPr>
    <w:rPr>
      <w:rFonts w:ascii="Segoe UI" w:hAnsi="Segoe UI" w:cs="Mangal"/>
      <w:sz w:val="16"/>
      <w:szCs w:val="21"/>
    </w:rPr>
  </w:style>
  <w:style w:type="character" w:styleId="MenoPendente">
    <w:name w:val="Unresolved Mention"/>
    <w:basedOn w:val="Fontepargpadro"/>
    <w:rPr>
      <w:color w:val="605E5C"/>
      <w:shd w:val="clear" w:color="auto" w:fill="E1DFDD"/>
    </w:rPr>
  </w:style>
  <w:style w:type="paragraph" w:styleId="Subttulo">
    <w:name w:val="Subtitle"/>
    <w:basedOn w:val="Normal"/>
    <w:next w:val="Normal"/>
    <w:uiPriority w:val="11"/>
    <w:qFormat/>
    <w:pPr>
      <w:spacing w:after="160"/>
    </w:pPr>
    <w:rPr>
      <w:rFonts w:ascii="Calibri" w:eastAsia="Times New Roman" w:hAnsi="Calibri" w:cs="Mangal"/>
      <w:color w:val="5A5A5A"/>
      <w:spacing w:val="15"/>
      <w:sz w:val="22"/>
      <w:szCs w:val="20"/>
    </w:rPr>
  </w:style>
  <w:style w:type="character" w:customStyle="1" w:styleId="SubttuloChar">
    <w:name w:val="Subtítulo Char"/>
    <w:basedOn w:val="Fontepargpadro"/>
    <w:rPr>
      <w:rFonts w:ascii="Calibri" w:eastAsia="Times New Roman" w:hAnsi="Calibri" w:cs="Mangal"/>
      <w:color w:val="5A5A5A"/>
      <w:spacing w:val="15"/>
      <w:sz w:val="22"/>
      <w:szCs w:val="20"/>
    </w:rPr>
  </w:style>
  <w:style w:type="character" w:customStyle="1" w:styleId="Ttulo3Char">
    <w:name w:val="Título 3 Char"/>
    <w:basedOn w:val="Fontepargpadro"/>
    <w:rPr>
      <w:rFonts w:ascii="Calibri Light" w:eastAsia="Times New Roman" w:hAnsi="Calibri Light" w:cs="Mangal"/>
      <w:color w:val="1F3763"/>
      <w:szCs w:val="21"/>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cs="Mangal"/>
      <w:sz w:val="20"/>
      <w:szCs w:val="18"/>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gov.br/web/dou/-/recomendacao-cnrpps/me-n-1-de-15-de-marco-de-2021-3089851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br/previdencia/pt-br/assuntos/previdencia-no-servico-publico/compensacao-previdenciaria/arquivos/2020/OfcioCircular14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15</Pages>
  <Words>4480</Words>
  <Characters>24197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Grifante Kmita - DATAPREVDF</dc:creator>
  <cp:lastModifiedBy>Jaqueline Grifante Kmita - DATAPREVDF</cp:lastModifiedBy>
  <cp:revision>5</cp:revision>
  <cp:lastPrinted>2021-11-10T12:31:00Z</cp:lastPrinted>
  <dcterms:created xsi:type="dcterms:W3CDTF">2021-11-09T18:27:00Z</dcterms:created>
  <dcterms:modified xsi:type="dcterms:W3CDTF">2021-11-10T16:16:00Z</dcterms:modified>
</cp:coreProperties>
</file>