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F3DD" w14:textId="77777777" w:rsidR="00562C1B" w:rsidRPr="00EC1E7E" w:rsidRDefault="00562C1B" w:rsidP="00562C1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4"/>
          <w:szCs w:val="24"/>
        </w:rPr>
      </w:pPr>
      <w:r w:rsidRPr="00EC1E7E">
        <w:rPr>
          <w:rFonts w:asciiTheme="minorHAnsi" w:hAnsiTheme="minorHAnsi" w:cs="Helvetica"/>
          <w:sz w:val="24"/>
          <w:szCs w:val="24"/>
        </w:rPr>
        <w:t>Alteração de Convênio de Adesão</w:t>
      </w:r>
    </w:p>
    <w:p w14:paraId="672A6659" w14:textId="77777777" w:rsidR="00562C1B" w:rsidRPr="00EC1E7E" w:rsidRDefault="00562C1B" w:rsidP="00562C1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4"/>
          <w:szCs w:val="24"/>
        </w:rPr>
      </w:pPr>
    </w:p>
    <w:p w14:paraId="26E4CF61" w14:textId="77777777" w:rsidR="00562C1B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dr w:val="none" w:sz="0" w:space="0" w:color="auto" w:frame="1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O que é?</w:t>
      </w:r>
    </w:p>
    <w:p w14:paraId="0A37501D" w14:textId="77777777" w:rsidR="00962ED9" w:rsidRPr="00EC1E7E" w:rsidRDefault="00962ED9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</w:rPr>
      </w:pPr>
    </w:p>
    <w:p w14:paraId="64892A6C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Style w:val="normaltextrun"/>
          <w:rFonts w:asciiTheme="minorHAnsi" w:hAnsiTheme="minorHAnsi"/>
          <w:shd w:val="clear" w:color="auto" w:fill="FFFFFF"/>
        </w:rPr>
      </w:pPr>
      <w:r w:rsidRPr="00EC1E7E">
        <w:rPr>
          <w:rFonts w:asciiTheme="minorHAnsi" w:hAnsiTheme="minorHAnsi" w:cs="Helvetica"/>
        </w:rPr>
        <w:t xml:space="preserve">Requerimento pelo qual se propõe efetuar ajustes de quaisquer cláusulas do convênio de adesão celebrado entre o patrocinador ou instituidor e a entidade fechada de previdência complementar em relação ao plano de benefícios, </w:t>
      </w:r>
      <w:r w:rsidRPr="00EC1E7E">
        <w:rPr>
          <w:rStyle w:val="normaltextrun"/>
          <w:rFonts w:asciiTheme="minorHAnsi" w:hAnsiTheme="minorHAnsi"/>
          <w:shd w:val="clear" w:color="auto" w:fill="FFFFFF"/>
        </w:rPr>
        <w:t>envolvendo desde alterações simples como, por exemplo, adesão de patrocinador ou instituidor ao plano de benefícios, restringindo-se à inclusão da identificação e qualificação do convenente, mudança na razão social ou no endereço da EFPC, de patrocinador, de instituidor  ou de anuente, mudança no nome do plano de benefícios e correções de remissões ou ajustes ortográficos</w:t>
      </w:r>
      <w:r>
        <w:rPr>
          <w:rStyle w:val="normaltextrun"/>
          <w:rFonts w:asciiTheme="minorHAnsi" w:hAnsiTheme="minorHAnsi"/>
          <w:shd w:val="clear" w:color="auto" w:fill="FFFFFF"/>
        </w:rPr>
        <w:t>, até alterações nas cláusulas do pactuadas</w:t>
      </w:r>
      <w:r w:rsidRPr="00EC1E7E">
        <w:rPr>
          <w:rStyle w:val="normaltextrun"/>
          <w:rFonts w:asciiTheme="minorHAnsi" w:hAnsiTheme="minorHAnsi"/>
          <w:shd w:val="clear" w:color="auto" w:fill="FFFFFF"/>
        </w:rPr>
        <w:t>.</w:t>
      </w:r>
    </w:p>
    <w:p w14:paraId="049EE86E" w14:textId="77777777" w:rsidR="00562C1B" w:rsidRPr="00EC1E7E" w:rsidRDefault="00562C1B" w:rsidP="00562C1B">
      <w:pPr>
        <w:shd w:val="clear" w:color="auto" w:fill="FFFFFF"/>
        <w:spacing w:after="0" w:line="240" w:lineRule="auto"/>
        <w:jc w:val="both"/>
        <w:textAlignment w:val="baseline"/>
        <w:rPr>
          <w:rStyle w:val="normaltextrun"/>
          <w:i/>
          <w:iCs/>
          <w:sz w:val="24"/>
          <w:szCs w:val="24"/>
          <w:bdr w:val="none" w:sz="0" w:space="0" w:color="auto" w:frame="1"/>
        </w:rPr>
      </w:pPr>
      <w:r w:rsidRPr="00EC1E7E">
        <w:rPr>
          <w:rStyle w:val="normaltextrun"/>
          <w:i/>
          <w:iCs/>
          <w:sz w:val="24"/>
          <w:szCs w:val="24"/>
          <w:bdr w:val="none" w:sz="0" w:space="0" w:color="auto" w:frame="1"/>
        </w:rPr>
        <w:t>Resolução CNPC nº 40/2021, art. 3º</w:t>
      </w:r>
    </w:p>
    <w:p w14:paraId="500AE50E" w14:textId="77777777" w:rsidR="00562C1B" w:rsidRPr="00EC1E7E" w:rsidRDefault="00562C1B" w:rsidP="00562C1B">
      <w:pPr>
        <w:shd w:val="clear" w:color="auto" w:fill="FFFFFF"/>
        <w:spacing w:after="0" w:line="240" w:lineRule="auto"/>
        <w:jc w:val="both"/>
        <w:textAlignment w:val="baseline"/>
        <w:rPr>
          <w:rStyle w:val="normaltextrun"/>
          <w:i/>
          <w:iCs/>
          <w:sz w:val="24"/>
          <w:szCs w:val="24"/>
          <w:bdr w:val="none" w:sz="0" w:space="0" w:color="auto" w:frame="1"/>
        </w:rPr>
      </w:pPr>
      <w:r w:rsidRPr="00EC1E7E">
        <w:rPr>
          <w:rStyle w:val="normaltextrun"/>
          <w:i/>
          <w:iCs/>
          <w:sz w:val="24"/>
          <w:szCs w:val="24"/>
          <w:bdr w:val="none" w:sz="0" w:space="0" w:color="auto" w:frame="1"/>
        </w:rPr>
        <w:t>Resolução Previc nº 23/2023, Inciso III do art. 151.</w:t>
      </w:r>
    </w:p>
    <w:p w14:paraId="05CB6EF8" w14:textId="77777777" w:rsidR="00562C1B" w:rsidRDefault="00562C1B" w:rsidP="00562C1B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Helvetica"/>
          <w:b/>
          <w:bdr w:val="none" w:sz="0" w:space="0" w:color="auto" w:frame="1"/>
        </w:rPr>
      </w:pPr>
      <w:r w:rsidRPr="00E91F15">
        <w:rPr>
          <w:rFonts w:asciiTheme="minorHAnsi" w:hAnsiTheme="minorHAnsi" w:cs="Helvetica"/>
          <w:bdr w:val="none" w:sz="0" w:space="0" w:color="auto" w:frame="1"/>
        </w:rPr>
        <w:br/>
      </w:r>
      <w:r w:rsidRPr="00EC1E7E">
        <w:rPr>
          <w:rFonts w:asciiTheme="minorHAnsi" w:hAnsiTheme="minorHAnsi" w:cs="Helvetica"/>
          <w:b/>
          <w:bdr w:val="none" w:sz="0" w:space="0" w:color="auto" w:frame="1"/>
        </w:rPr>
        <w:t>Pode ser classificado como:</w:t>
      </w:r>
    </w:p>
    <w:p w14:paraId="77A441BB" w14:textId="77777777" w:rsidR="00562C1B" w:rsidRPr="00EC1E7E" w:rsidRDefault="00562C1B" w:rsidP="00562C1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cs="Helvetica"/>
          <w:sz w:val="24"/>
          <w:szCs w:val="24"/>
          <w:bdr w:val="none" w:sz="0" w:space="0" w:color="auto" w:frame="1"/>
        </w:rPr>
      </w:pPr>
      <w:r w:rsidRPr="00EC1E7E">
        <w:rPr>
          <w:rFonts w:cs="Helvetica"/>
          <w:b/>
          <w:sz w:val="24"/>
          <w:szCs w:val="24"/>
          <w:bdr w:val="none" w:sz="0" w:space="0" w:color="auto" w:frame="1"/>
        </w:rPr>
        <w:t>Licenciamento automático: </w:t>
      </w:r>
      <w:r w:rsidRPr="00EC1E7E">
        <w:rPr>
          <w:rFonts w:cs="Helvetica"/>
          <w:sz w:val="24"/>
          <w:szCs w:val="24"/>
          <w:bdr w:val="none" w:sz="0" w:space="0" w:color="auto" w:frame="1"/>
        </w:rPr>
        <w:t>quando envolver exclusivamente os eventos previstos no inciso  IV do art. 105 da Resolução Previc nº 23/2020; no licenciamento automático as alterações passam a valer a partir da data de emissão do protocolo de instrução do requerimento no sistema de Cadastro de Planos de Benefícios da Previc (C</w:t>
      </w:r>
      <w:r>
        <w:rPr>
          <w:rFonts w:cs="Helvetica"/>
          <w:sz w:val="24"/>
          <w:szCs w:val="24"/>
          <w:bdr w:val="none" w:sz="0" w:space="0" w:color="auto" w:frame="1"/>
        </w:rPr>
        <w:t>AD</w:t>
      </w:r>
      <w:r w:rsidRPr="00EC1E7E">
        <w:rPr>
          <w:rFonts w:cs="Helvetica"/>
          <w:sz w:val="24"/>
          <w:szCs w:val="24"/>
          <w:bdr w:val="none" w:sz="0" w:space="0" w:color="auto" w:frame="1"/>
        </w:rPr>
        <w:t>P</w:t>
      </w:r>
      <w:r>
        <w:rPr>
          <w:rFonts w:cs="Helvetica"/>
          <w:sz w:val="24"/>
          <w:szCs w:val="24"/>
          <w:bdr w:val="none" w:sz="0" w:space="0" w:color="auto" w:frame="1"/>
        </w:rPr>
        <w:t>REVIC</w:t>
      </w:r>
      <w:r w:rsidRPr="00EC1E7E">
        <w:rPr>
          <w:rFonts w:cs="Helvetica"/>
          <w:sz w:val="24"/>
          <w:szCs w:val="24"/>
          <w:bdr w:val="none" w:sz="0" w:space="0" w:color="auto" w:frame="1"/>
        </w:rPr>
        <w:t>), desde que satisfeitas todas as exigências de conteúdo e de documentação para o licenciamento; e</w:t>
      </w:r>
    </w:p>
    <w:p w14:paraId="29131DFA" w14:textId="77777777" w:rsidR="00562C1B" w:rsidRPr="00EC1E7E" w:rsidRDefault="00562C1B" w:rsidP="00562C1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cs="Helvetica"/>
          <w:sz w:val="24"/>
          <w:szCs w:val="24"/>
        </w:rPr>
      </w:pPr>
      <w:r w:rsidRPr="00EC1E7E">
        <w:rPr>
          <w:rFonts w:cs="Helvetica"/>
          <w:b/>
          <w:sz w:val="24"/>
          <w:szCs w:val="24"/>
          <w:bdr w:val="none" w:sz="0" w:space="0" w:color="auto" w:frame="1"/>
        </w:rPr>
        <w:t>Licenciamento não automático:</w:t>
      </w:r>
      <w:r w:rsidRPr="00EC1E7E">
        <w:rPr>
          <w:rFonts w:cs="Helvetica"/>
          <w:sz w:val="24"/>
          <w:szCs w:val="24"/>
        </w:rPr>
        <w:t> quando envolver pelo menos uma situação diferente das elencadas no dispositivo acima mencionado.</w:t>
      </w:r>
    </w:p>
    <w:p w14:paraId="6E7BEAA2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dr w:val="none" w:sz="0" w:space="0" w:color="auto" w:frame="1"/>
        </w:rPr>
        <w:t> </w:t>
      </w:r>
    </w:p>
    <w:p w14:paraId="05397922" w14:textId="77777777" w:rsidR="00562C1B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dr w:val="none" w:sz="0" w:space="0" w:color="auto" w:frame="1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Etapas do Processo</w:t>
      </w:r>
    </w:p>
    <w:p w14:paraId="5DAB6C7B" w14:textId="77777777" w:rsidR="00962ED9" w:rsidRPr="00EC1E7E" w:rsidRDefault="00962ED9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</w:rPr>
      </w:pPr>
    </w:p>
    <w:p w14:paraId="0B262783" w14:textId="77777777" w:rsidR="00562C1B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dr w:val="none" w:sz="0" w:space="0" w:color="auto" w:frame="1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1.       Iniciativa</w:t>
      </w:r>
    </w:p>
    <w:p w14:paraId="06366F0F" w14:textId="77777777" w:rsidR="00562C1B" w:rsidRDefault="00562C1B" w:rsidP="00962ED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/>
          <w:shd w:val="clear" w:color="auto" w:fill="FFFFFF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Quem?</w:t>
      </w:r>
      <w:r w:rsidRPr="00EC1E7E">
        <w:rPr>
          <w:rFonts w:asciiTheme="minorHAnsi" w:hAnsiTheme="minorHAnsi" w:cs="Helvetica"/>
          <w:bdr w:val="none" w:sz="0" w:space="0" w:color="auto" w:frame="1"/>
        </w:rPr>
        <w:t> </w:t>
      </w:r>
      <w:r w:rsidRPr="00EC1E7E">
        <w:rPr>
          <w:rFonts w:asciiTheme="minorHAnsi" w:hAnsiTheme="minorHAnsi" w:cs="Helvetica"/>
        </w:rPr>
        <w:t xml:space="preserve">Entidade, </w:t>
      </w:r>
      <w:r w:rsidRPr="00EC1E7E">
        <w:rPr>
          <w:rStyle w:val="normaltextrun"/>
          <w:rFonts w:asciiTheme="minorHAnsi" w:hAnsiTheme="minorHAnsi"/>
          <w:shd w:val="clear" w:color="auto" w:fill="FFFFFF"/>
        </w:rPr>
        <w:t>por iniciativa própria ou por demanda do</w:t>
      </w:r>
      <w:r w:rsidRPr="00EC1E7E">
        <w:rPr>
          <w:rStyle w:val="normaltextrun"/>
          <w:rFonts w:asciiTheme="minorHAnsi" w:hAnsiTheme="minorHAnsi" w:cs="Segoe UI"/>
          <w:shd w:val="clear" w:color="auto" w:fill="FFFFFF"/>
        </w:rPr>
        <w:t>s</w:t>
      </w:r>
      <w:r w:rsidRPr="00EC1E7E">
        <w:rPr>
          <w:rStyle w:val="normaltextrun"/>
          <w:rFonts w:asciiTheme="minorHAnsi" w:hAnsiTheme="minorHAnsi"/>
          <w:shd w:val="clear" w:color="auto" w:fill="FFFFFF"/>
        </w:rPr>
        <w:t xml:space="preserve"> patrocinador</w:t>
      </w:r>
      <w:r w:rsidRPr="00EC1E7E">
        <w:rPr>
          <w:rStyle w:val="normaltextrun"/>
          <w:rFonts w:asciiTheme="minorHAnsi" w:hAnsiTheme="minorHAnsi" w:cs="Segoe UI"/>
          <w:shd w:val="clear" w:color="auto" w:fill="FFFFFF"/>
        </w:rPr>
        <w:t>es</w:t>
      </w:r>
      <w:r w:rsidRPr="00EC1E7E">
        <w:rPr>
          <w:rStyle w:val="normaltextrun"/>
          <w:rFonts w:asciiTheme="minorHAnsi" w:hAnsiTheme="minorHAnsi"/>
          <w:shd w:val="clear" w:color="auto" w:fill="FFFFFF"/>
        </w:rPr>
        <w:t>/instituidor</w:t>
      </w:r>
      <w:r w:rsidRPr="00EC1E7E">
        <w:rPr>
          <w:rStyle w:val="normaltextrun"/>
          <w:rFonts w:asciiTheme="minorHAnsi" w:hAnsiTheme="minorHAnsi" w:cs="Segoe UI"/>
          <w:shd w:val="clear" w:color="auto" w:fill="FFFFFF"/>
        </w:rPr>
        <w:t>es</w:t>
      </w:r>
      <w:r w:rsidRPr="00EC1E7E">
        <w:rPr>
          <w:rStyle w:val="normaltextrun"/>
          <w:rFonts w:asciiTheme="minorHAnsi" w:hAnsiTheme="minorHAnsi"/>
          <w:shd w:val="clear" w:color="auto" w:fill="FFFFFF"/>
        </w:rPr>
        <w:t>.</w:t>
      </w:r>
      <w:r w:rsidRPr="00EC1E7E">
        <w:rPr>
          <w:rStyle w:val="eop"/>
          <w:rFonts w:asciiTheme="minorHAnsi" w:hAnsiTheme="minorHAnsi"/>
          <w:shd w:val="clear" w:color="auto" w:fill="FFFFFF"/>
        </w:rPr>
        <w:t> </w:t>
      </w:r>
    </w:p>
    <w:p w14:paraId="601D83B6" w14:textId="77777777" w:rsidR="00983E0D" w:rsidRDefault="00983E0D" w:rsidP="00962E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i/>
          <w:iCs/>
          <w:sz w:val="20"/>
          <w:szCs w:val="20"/>
        </w:rPr>
      </w:pPr>
    </w:p>
    <w:p w14:paraId="167EF1BF" w14:textId="1C180250" w:rsidR="00962ED9" w:rsidRPr="000C5E4F" w:rsidRDefault="00962ED9" w:rsidP="00962E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0C5E4F">
        <w:rPr>
          <w:rStyle w:val="normaltextrun"/>
          <w:rFonts w:ascii="Calibri" w:hAnsi="Calibri" w:cs="Segoe UI"/>
          <w:i/>
          <w:iCs/>
          <w:sz w:val="20"/>
          <w:szCs w:val="20"/>
        </w:rPr>
        <w:t>Resolução CNPC nº 40/2020</w:t>
      </w:r>
      <w:r>
        <w:rPr>
          <w:rStyle w:val="normaltextrun"/>
          <w:rFonts w:ascii="Calibri" w:hAnsi="Calibri" w:cs="Segoe UI"/>
          <w:i/>
          <w:iCs/>
          <w:sz w:val="20"/>
          <w:szCs w:val="20"/>
        </w:rPr>
        <w:t>, art. 6</w:t>
      </w:r>
      <w:r w:rsidRPr="000C5E4F">
        <w:rPr>
          <w:rStyle w:val="normaltextrun"/>
          <w:rFonts w:ascii="Calibri" w:hAnsi="Calibri" w:cs="Segoe UI"/>
          <w:i/>
          <w:iCs/>
          <w:sz w:val="20"/>
          <w:szCs w:val="20"/>
        </w:rPr>
        <w:t>; e</w:t>
      </w:r>
      <w:r w:rsidRPr="000C5E4F">
        <w:rPr>
          <w:rStyle w:val="eop"/>
          <w:rFonts w:ascii="Calibri" w:hAnsi="Calibri" w:cs="Segoe UI"/>
          <w:color w:val="D13438"/>
          <w:sz w:val="20"/>
          <w:szCs w:val="20"/>
        </w:rPr>
        <w:t> </w:t>
      </w:r>
    </w:p>
    <w:p w14:paraId="1DAA972A" w14:textId="77777777" w:rsidR="00962ED9" w:rsidRPr="000C5E4F" w:rsidRDefault="00962ED9" w:rsidP="00962ED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C5E4F">
        <w:rPr>
          <w:rStyle w:val="normaltextrun"/>
          <w:rFonts w:ascii="Calibri" w:hAnsi="Calibri"/>
          <w:i/>
          <w:iCs/>
          <w:sz w:val="20"/>
          <w:szCs w:val="20"/>
        </w:rPr>
        <w:t>Resolução Previc nº 23/2023, art. 151, inciso</w:t>
      </w:r>
      <w:r>
        <w:rPr>
          <w:rStyle w:val="normaltextrun"/>
          <w:rFonts w:ascii="Calibri" w:hAnsi="Calibri"/>
          <w:i/>
          <w:iCs/>
          <w:sz w:val="20"/>
          <w:szCs w:val="20"/>
        </w:rPr>
        <w:t xml:space="preserve"> II</w:t>
      </w:r>
      <w:r w:rsidRPr="000C5E4F">
        <w:rPr>
          <w:rStyle w:val="normaltextrun"/>
          <w:rFonts w:ascii="Calibri" w:hAnsi="Calibri"/>
          <w:i/>
          <w:iCs/>
          <w:sz w:val="20"/>
          <w:szCs w:val="20"/>
        </w:rPr>
        <w:t>I.</w:t>
      </w:r>
    </w:p>
    <w:p w14:paraId="5A39BBE3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/>
          <w:shd w:val="clear" w:color="auto" w:fill="FFFFFF"/>
        </w:rPr>
      </w:pPr>
    </w:p>
    <w:p w14:paraId="11685E12" w14:textId="77777777" w:rsidR="00562C1B" w:rsidRPr="00EC1E7E" w:rsidRDefault="00562C1B" w:rsidP="00562C1B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sz w:val="24"/>
          <w:szCs w:val="24"/>
          <w:lang w:eastAsia="pt-BR"/>
        </w:rPr>
      </w:pPr>
      <w:r w:rsidRPr="00EC1E7E">
        <w:rPr>
          <w:rFonts w:eastAsia="Times New Roman" w:cs="Helvetica"/>
          <w:b/>
          <w:sz w:val="24"/>
          <w:szCs w:val="24"/>
          <w:lang w:eastAsia="pt-BR"/>
        </w:rPr>
        <w:t>2.</w:t>
      </w:r>
      <w:r w:rsidRPr="00EC1E7E">
        <w:rPr>
          <w:rFonts w:eastAsia="Times New Roman" w:cs="Helvetica"/>
          <w:b/>
          <w:sz w:val="24"/>
          <w:szCs w:val="24"/>
          <w:lang w:eastAsia="pt-BR"/>
        </w:rPr>
        <w:tab/>
        <w:t xml:space="preserve">Obrigações Preliminares </w:t>
      </w:r>
    </w:p>
    <w:p w14:paraId="53D87933" w14:textId="77777777" w:rsidR="00562C1B" w:rsidRPr="00EC1E7E" w:rsidRDefault="00562C1B" w:rsidP="00562C1B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sz w:val="24"/>
          <w:szCs w:val="24"/>
          <w:lang w:eastAsia="pt-BR"/>
        </w:rPr>
      </w:pPr>
      <w:r w:rsidRPr="00EC1E7E">
        <w:rPr>
          <w:rFonts w:eastAsia="Times New Roman" w:cs="Helvetica"/>
          <w:b/>
          <w:sz w:val="24"/>
          <w:szCs w:val="24"/>
          <w:lang w:eastAsia="pt-BR"/>
        </w:rPr>
        <w:t>Quem?</w:t>
      </w:r>
      <w:r w:rsidRPr="00EC1E7E">
        <w:rPr>
          <w:rFonts w:eastAsia="Times New Roman" w:cs="Helvetica"/>
          <w:sz w:val="24"/>
          <w:szCs w:val="24"/>
          <w:lang w:eastAsia="pt-BR"/>
        </w:rPr>
        <w:t xml:space="preserve"> Entidade.</w:t>
      </w:r>
    </w:p>
    <w:p w14:paraId="7DA4FB81" w14:textId="5A8C83A0" w:rsidR="00562C1B" w:rsidRPr="00EC1E7E" w:rsidRDefault="00962ED9" w:rsidP="3B6B5D4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Helvetica"/>
          <w:sz w:val="24"/>
          <w:szCs w:val="24"/>
          <w:lang w:eastAsia="pt-BR"/>
        </w:rPr>
      </w:pPr>
      <w:r w:rsidRPr="3B6B5D4D">
        <w:rPr>
          <w:rFonts w:eastAsia="Times New Roman" w:cs="Helvetica"/>
          <w:b/>
          <w:bCs/>
          <w:sz w:val="24"/>
          <w:szCs w:val="24"/>
          <w:lang w:eastAsia="pt-BR"/>
        </w:rPr>
        <w:t>O quê?</w:t>
      </w:r>
      <w:r w:rsidR="12F5B22A" w:rsidRPr="3B6B5D4D">
        <w:rPr>
          <w:rFonts w:eastAsia="Times New Roman" w:cs="Helvetica"/>
          <w:b/>
          <w:bCs/>
          <w:sz w:val="24"/>
          <w:szCs w:val="24"/>
          <w:lang w:eastAsia="pt-BR"/>
        </w:rPr>
        <w:t xml:space="preserve"> </w:t>
      </w:r>
      <w:r w:rsidR="00562C1B" w:rsidRPr="3B6B5D4D">
        <w:rPr>
          <w:rFonts w:eastAsia="Times New Roman" w:cs="Helvetica"/>
          <w:sz w:val="24"/>
          <w:szCs w:val="24"/>
          <w:lang w:eastAsia="pt-BR"/>
        </w:rPr>
        <w:t>Discussão e aprovação da proposta pelo órgão estatutário competente da entidade.</w:t>
      </w:r>
    </w:p>
    <w:p w14:paraId="63E4A9CD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dr w:val="none" w:sz="0" w:space="0" w:color="auto" w:frame="1"/>
        </w:rPr>
        <w:t> </w:t>
      </w:r>
    </w:p>
    <w:p w14:paraId="5B6A9EFB" w14:textId="6D22E580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3.       Protocolo do Requerimento na Previc</w:t>
      </w:r>
      <w:r w:rsidRPr="00EC1E7E">
        <w:rPr>
          <w:rFonts w:asciiTheme="minorHAnsi" w:hAnsiTheme="minorHAnsi" w:cs="Helvetica"/>
          <w:b/>
          <w:bdr w:val="none" w:sz="0" w:space="0" w:color="auto" w:frame="1"/>
        </w:rPr>
        <w:br/>
        <w:t>Quem?</w:t>
      </w:r>
      <w:r w:rsidRPr="00EC1E7E">
        <w:rPr>
          <w:rFonts w:asciiTheme="minorHAnsi" w:hAnsiTheme="minorHAnsi" w:cs="Helvetica"/>
          <w:bdr w:val="none" w:sz="0" w:space="0" w:color="auto" w:frame="1"/>
        </w:rPr>
        <w:t> </w:t>
      </w:r>
      <w:r w:rsidRPr="00EC1E7E">
        <w:rPr>
          <w:rFonts w:asciiTheme="minorHAnsi" w:hAnsiTheme="minorHAnsi" w:cs="Helvetica"/>
        </w:rPr>
        <w:t>Entidade</w:t>
      </w:r>
    </w:p>
    <w:p w14:paraId="1D45A8DE" w14:textId="77777777" w:rsidR="00562C1B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Onde</w:t>
      </w:r>
      <w:r w:rsidRPr="00AD66A3">
        <w:rPr>
          <w:rFonts w:asciiTheme="minorHAnsi" w:hAnsiTheme="minorHAnsi" w:cs="Helvetica"/>
          <w:b/>
          <w:bdr w:val="none" w:sz="0" w:space="0" w:color="auto" w:frame="1"/>
        </w:rPr>
        <w:t>?</w:t>
      </w:r>
      <w:r w:rsidRPr="00AD66A3">
        <w:rPr>
          <w:rFonts w:asciiTheme="minorHAnsi" w:hAnsiTheme="minorHAnsi" w:cs="Helvetica"/>
        </w:rPr>
        <w:t> </w:t>
      </w:r>
      <w:hyperlink r:id="rId5" w:tgtFrame="_blank" w:history="1">
        <w:r w:rsidRPr="00AD66A3">
          <w:rPr>
            <w:rStyle w:val="Hyperlink"/>
            <w:rFonts w:asciiTheme="minorHAnsi" w:hAnsiTheme="minorHAnsi" w:cs="Helvetica"/>
            <w:color w:val="auto"/>
            <w:u w:val="none"/>
            <w:bdr w:val="none" w:sz="0" w:space="0" w:color="auto" w:frame="1"/>
          </w:rPr>
          <w:t>Cadastro de Entidades e Planos</w:t>
        </w:r>
      </w:hyperlink>
      <w:r w:rsidRPr="00EC1E7E">
        <w:rPr>
          <w:rFonts w:asciiTheme="minorHAnsi" w:hAnsiTheme="minorHAnsi" w:cs="Helvetica"/>
        </w:rPr>
        <w:t xml:space="preserve"> </w:t>
      </w:r>
      <w:r w:rsidR="00962ED9">
        <w:rPr>
          <w:rFonts w:asciiTheme="minorHAnsi" w:hAnsiTheme="minorHAnsi" w:cs="Helvetica"/>
        </w:rPr>
        <w:t>–</w:t>
      </w:r>
      <w:r w:rsidRPr="00EC1E7E">
        <w:rPr>
          <w:rFonts w:asciiTheme="minorHAnsi" w:hAnsiTheme="minorHAnsi" w:cs="Helvetica"/>
        </w:rPr>
        <w:t xml:space="preserve"> CADPREVIC</w:t>
      </w:r>
    </w:p>
    <w:p w14:paraId="1DD9C504" w14:textId="77777777" w:rsidR="002913A4" w:rsidRDefault="002913A4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dr w:val="none" w:sz="0" w:space="0" w:color="auto" w:frame="1"/>
        </w:rPr>
      </w:pPr>
    </w:p>
    <w:p w14:paraId="1BC20DBA" w14:textId="77777777" w:rsidR="002913A4" w:rsidRDefault="002913A4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dr w:val="none" w:sz="0" w:space="0" w:color="auto" w:frame="1"/>
        </w:rPr>
      </w:pPr>
    </w:p>
    <w:p w14:paraId="0FA9CCC8" w14:textId="4667EB7E" w:rsidR="00562C1B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dr w:val="none" w:sz="0" w:space="0" w:color="auto" w:frame="1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Documentação:</w:t>
      </w:r>
    </w:p>
    <w:p w14:paraId="0D0B940D" w14:textId="77777777" w:rsidR="00962ED9" w:rsidRPr="00EC1E7E" w:rsidRDefault="00962ED9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</w:rPr>
      </w:pPr>
      <w:bookmarkStart w:id="0" w:name="_GoBack"/>
      <w:bookmarkEnd w:id="0"/>
    </w:p>
    <w:p w14:paraId="7A898272" w14:textId="77777777" w:rsidR="00562C1B" w:rsidRPr="00EC1E7E" w:rsidRDefault="00562C1B" w:rsidP="00562C1B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textAlignment w:val="baseline"/>
        <w:rPr>
          <w:rFonts w:cs="Helvetica"/>
          <w:sz w:val="24"/>
          <w:szCs w:val="24"/>
        </w:rPr>
      </w:pPr>
      <w:r w:rsidRPr="3B6B5D4D">
        <w:rPr>
          <w:rFonts w:cs="Helvetica"/>
          <w:sz w:val="24"/>
          <w:szCs w:val="24"/>
        </w:rPr>
        <w:t>Expediente Explicativo</w:t>
      </w:r>
    </w:p>
    <w:p w14:paraId="0E9309A2" w14:textId="3D8DB46E" w:rsidR="0B863948" w:rsidRDefault="00E721AF" w:rsidP="3B6B5D4D">
      <w:pPr>
        <w:numPr>
          <w:ilvl w:val="0"/>
          <w:numId w:val="2"/>
        </w:numPr>
        <w:shd w:val="clear" w:color="auto" w:fill="FFFFFF" w:themeFill="background1"/>
        <w:spacing w:after="60" w:line="360" w:lineRule="atLeast"/>
        <w:ind w:left="0"/>
        <w:rPr>
          <w:rFonts w:cs="Helvetica"/>
          <w:sz w:val="24"/>
          <w:szCs w:val="24"/>
        </w:rPr>
      </w:pPr>
      <w:hyperlink r:id="rId6">
        <w:r w:rsidR="0B863948" w:rsidRPr="3B6B5D4D">
          <w:rPr>
            <w:rStyle w:val="Hyperlink"/>
            <w:rFonts w:cs="Helvetica"/>
            <w:sz w:val="24"/>
            <w:szCs w:val="24"/>
          </w:rPr>
          <w:t>Termo de Responsabilidade - Alteração de convênio de adesão</w:t>
        </w:r>
      </w:hyperlink>
    </w:p>
    <w:p w14:paraId="27E8D073" w14:textId="77777777" w:rsidR="00562C1B" w:rsidRPr="00EC1E7E" w:rsidRDefault="00562C1B" w:rsidP="00562C1B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textAlignment w:val="baseline"/>
        <w:rPr>
          <w:rFonts w:cs="Helvetica"/>
          <w:sz w:val="24"/>
          <w:szCs w:val="24"/>
        </w:rPr>
      </w:pPr>
      <w:r w:rsidRPr="3B6B5D4D">
        <w:rPr>
          <w:rFonts w:cs="Helvetica"/>
          <w:sz w:val="24"/>
          <w:szCs w:val="24"/>
        </w:rPr>
        <w:t>Texto consolidado com as alterações propostas destacadas em negrito;</w:t>
      </w:r>
    </w:p>
    <w:p w14:paraId="4AC4246F" w14:textId="77777777" w:rsidR="00562C1B" w:rsidRPr="00EC1E7E" w:rsidRDefault="00562C1B" w:rsidP="00562C1B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cs="Helvetica"/>
          <w:sz w:val="24"/>
          <w:szCs w:val="24"/>
        </w:rPr>
      </w:pPr>
      <w:r w:rsidRPr="3B6B5D4D">
        <w:rPr>
          <w:rFonts w:cs="Helvetica"/>
          <w:sz w:val="24"/>
          <w:szCs w:val="24"/>
        </w:rPr>
        <w:t>Quadro comparativo com texto vigente e texto proposto com alterações propostas em destaque, contendo somente as disposições modificadas, acompanhadas das respectivas justificativas;</w:t>
      </w:r>
    </w:p>
    <w:p w14:paraId="251A20B7" w14:textId="77777777" w:rsidR="00562C1B" w:rsidRPr="00EC1E7E" w:rsidRDefault="00562C1B" w:rsidP="00562C1B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cs="Helvetica"/>
          <w:sz w:val="24"/>
          <w:szCs w:val="24"/>
        </w:rPr>
      </w:pPr>
      <w:r w:rsidRPr="3B6B5D4D">
        <w:rPr>
          <w:rFonts w:cs="Helvetica"/>
          <w:sz w:val="24"/>
          <w:szCs w:val="24"/>
        </w:rPr>
        <w:t>Parecer favorável do órgão responsável pela supervisão, coordenação e controle do patrocinador, no caso de patrocinador que seja sociedade de economia mista ou empresa controlada direta ou indiretamente pela União, pelos Estados, pelo Distrito Federal e pelos Municípios; e</w:t>
      </w:r>
    </w:p>
    <w:p w14:paraId="0336C700" w14:textId="77777777" w:rsidR="00562C1B" w:rsidRPr="00EC1E7E" w:rsidRDefault="00562C1B" w:rsidP="00562C1B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Style w:val="eop"/>
          <w:rFonts w:cs="Helvetica"/>
          <w:sz w:val="24"/>
          <w:szCs w:val="24"/>
        </w:rPr>
      </w:pPr>
      <w:r>
        <w:rPr>
          <w:rStyle w:val="normaltextrun"/>
          <w:sz w:val="24"/>
          <w:szCs w:val="24"/>
          <w:shd w:val="clear" w:color="auto" w:fill="FFFFFF"/>
        </w:rPr>
        <w:t xml:space="preserve">A documentação deve ser encaminhada no movimento do convênio que está sendo alterado. </w:t>
      </w:r>
      <w:r w:rsidRPr="00EC1E7E">
        <w:rPr>
          <w:rStyle w:val="normaltextrun"/>
          <w:sz w:val="24"/>
          <w:szCs w:val="24"/>
          <w:shd w:val="clear" w:color="auto" w:fill="FFFFFF"/>
        </w:rPr>
        <w:t>Após preencher os dados cadastrais do plano no sistema e incluir a documentação, selecionar a opção “enviar” para en</w:t>
      </w:r>
      <w:r>
        <w:rPr>
          <w:rStyle w:val="normaltextrun"/>
          <w:sz w:val="24"/>
          <w:szCs w:val="24"/>
          <w:shd w:val="clear" w:color="auto" w:fill="FFFFFF"/>
        </w:rPr>
        <w:t>caminhar</w:t>
      </w:r>
      <w:r w:rsidRPr="00EC1E7E">
        <w:rPr>
          <w:rStyle w:val="normaltextrun"/>
          <w:sz w:val="24"/>
          <w:szCs w:val="24"/>
          <w:shd w:val="clear" w:color="auto" w:fill="FFFFFF"/>
        </w:rPr>
        <w:t xml:space="preserve"> o requerimento à Previc</w:t>
      </w:r>
      <w:r w:rsidRPr="00EC1E7E">
        <w:rPr>
          <w:rStyle w:val="normaltextrun"/>
          <w:sz w:val="24"/>
          <w:szCs w:val="24"/>
          <w:u w:val="single"/>
          <w:shd w:val="clear" w:color="auto" w:fill="FFFFFF"/>
        </w:rPr>
        <w:t>.</w:t>
      </w:r>
      <w:r w:rsidRPr="00EC1E7E">
        <w:rPr>
          <w:rStyle w:val="eop"/>
          <w:sz w:val="24"/>
          <w:szCs w:val="24"/>
          <w:shd w:val="clear" w:color="auto" w:fill="FFFFFF"/>
        </w:rPr>
        <w:t> </w:t>
      </w:r>
    </w:p>
    <w:p w14:paraId="0E27B00A" w14:textId="77777777" w:rsidR="00562C1B" w:rsidRPr="00EC1E7E" w:rsidRDefault="00562C1B" w:rsidP="00562C1B">
      <w:pPr>
        <w:shd w:val="clear" w:color="auto" w:fill="FFFFFF"/>
        <w:spacing w:after="60" w:line="360" w:lineRule="atLeast"/>
        <w:textAlignment w:val="baseline"/>
        <w:rPr>
          <w:rFonts w:cs="Helvetica"/>
          <w:sz w:val="24"/>
          <w:szCs w:val="24"/>
        </w:rPr>
      </w:pPr>
    </w:p>
    <w:p w14:paraId="25F9BDFC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i/>
          <w:iCs/>
          <w:bdr w:val="none" w:sz="0" w:space="0" w:color="auto" w:frame="1"/>
        </w:rPr>
        <w:t>Resolução Previc nº 23/2023, art. 162, parágrafo único</w:t>
      </w:r>
    </w:p>
    <w:p w14:paraId="4F6584BE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dr w:val="none" w:sz="0" w:space="0" w:color="auto" w:frame="1"/>
        </w:rPr>
        <w:t> </w:t>
      </w:r>
    </w:p>
    <w:p w14:paraId="5F904345" w14:textId="31F59A50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 xml:space="preserve">4. Fase de Instrução </w:t>
      </w:r>
      <w:r w:rsidRPr="00EC1E7E">
        <w:rPr>
          <w:rFonts w:asciiTheme="minorHAnsi" w:hAnsiTheme="minorHAnsi" w:cs="Helvetica"/>
          <w:b/>
          <w:bdr w:val="none" w:sz="0" w:space="0" w:color="auto" w:frame="1"/>
        </w:rPr>
        <w:br/>
        <w:t>Quem?</w:t>
      </w:r>
      <w:r w:rsidRPr="00EC1E7E">
        <w:rPr>
          <w:rFonts w:asciiTheme="minorHAnsi" w:hAnsiTheme="minorHAnsi" w:cs="Helvetica"/>
        </w:rPr>
        <w:t> Previc</w:t>
      </w:r>
    </w:p>
    <w:p w14:paraId="74B91050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Prazo de análise:</w:t>
      </w:r>
      <w:r w:rsidRPr="00EC1E7E">
        <w:rPr>
          <w:rFonts w:asciiTheme="minorHAnsi" w:hAnsiTheme="minorHAnsi" w:cs="Helvetica"/>
        </w:rPr>
        <w:t> 25 dias úteis</w:t>
      </w:r>
    </w:p>
    <w:p w14:paraId="3D6B7D43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dr w:val="none" w:sz="0" w:space="0" w:color="auto" w:frame="1"/>
        </w:rPr>
        <w:t>OBS:</w:t>
      </w:r>
      <w:r w:rsidRPr="00EC1E7E">
        <w:rPr>
          <w:rFonts w:asciiTheme="minorHAnsi" w:hAnsiTheme="minorHAnsi" w:cs="Helvetica"/>
        </w:rPr>
        <w:t> Por ocasião da análise, caso seja identificada a necessidade de ajustes na documentação ou de envio de informações adicionais, a Previc emitirá exigências, as quais deverão ser atendidas pela Entidade no prazo de 10 (licenciamento automático) ou 60 (licenciamento não automático) dias úteis a contar da sua intimação.</w:t>
      </w:r>
    </w:p>
    <w:p w14:paraId="60061E4C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</w:p>
    <w:p w14:paraId="572AA9D2" w14:textId="77777777" w:rsidR="00562C1B" w:rsidRPr="00AD66A3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AD66A3">
        <w:rPr>
          <w:rStyle w:val="normaltextrun"/>
          <w:rFonts w:asciiTheme="minorHAnsi" w:hAnsiTheme="minorHAnsi" w:cs="Segoe UI"/>
          <w:i/>
          <w:iCs/>
          <w:shd w:val="clear" w:color="auto" w:fill="FFFFFF"/>
        </w:rPr>
        <w:t>Resolução Previc nº 23/2023, arts 163 e 165, §3º e Anexo III</w:t>
      </w:r>
      <w:r w:rsidRPr="00AD66A3">
        <w:rPr>
          <w:rStyle w:val="eop"/>
          <w:rFonts w:asciiTheme="minorHAnsi" w:hAnsiTheme="minorHAnsi"/>
          <w:shd w:val="clear" w:color="auto" w:fill="FFFFFF"/>
        </w:rPr>
        <w:t> </w:t>
      </w:r>
    </w:p>
    <w:p w14:paraId="09AF38FC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EC1E7E">
        <w:rPr>
          <w:rFonts w:asciiTheme="minorHAnsi" w:hAnsiTheme="minorHAnsi" w:cs="Helvetica"/>
          <w:bdr w:val="none" w:sz="0" w:space="0" w:color="auto" w:frame="1"/>
        </w:rPr>
        <w:t> </w:t>
      </w:r>
    </w:p>
    <w:p w14:paraId="412EE3CA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dr w:val="none" w:sz="0" w:space="0" w:color="auto" w:frame="1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5. Fase de Decisão</w:t>
      </w:r>
    </w:p>
    <w:p w14:paraId="46CD9F00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dr w:val="none" w:sz="0" w:space="0" w:color="auto" w:frame="1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Quem?</w:t>
      </w:r>
      <w:r w:rsidRPr="00EC1E7E">
        <w:rPr>
          <w:rFonts w:asciiTheme="minorHAnsi" w:hAnsiTheme="minorHAnsi" w:cs="Helvetica"/>
          <w:bdr w:val="none" w:sz="0" w:space="0" w:color="auto" w:frame="1"/>
        </w:rPr>
        <w:t xml:space="preserve"> Previc</w:t>
      </w:r>
    </w:p>
    <w:p w14:paraId="1D4B4265" w14:textId="77777777" w:rsidR="00562C1B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dr w:val="none" w:sz="0" w:space="0" w:color="auto" w:frame="1"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Prazo:</w:t>
      </w:r>
      <w:r w:rsidRPr="00EC1E7E">
        <w:rPr>
          <w:rFonts w:asciiTheme="minorHAnsi" w:hAnsiTheme="minorHAnsi" w:cs="Helvetica"/>
          <w:bdr w:val="none" w:sz="0" w:space="0" w:color="auto" w:frame="1"/>
        </w:rPr>
        <w:t xml:space="preserve"> 30 dias úteis</w:t>
      </w:r>
    </w:p>
    <w:p w14:paraId="4B94D5A5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dr w:val="none" w:sz="0" w:space="0" w:color="auto" w:frame="1"/>
        </w:rPr>
      </w:pPr>
    </w:p>
    <w:p w14:paraId="7E214208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i/>
          <w:bdr w:val="none" w:sz="0" w:space="0" w:color="auto" w:frame="1"/>
        </w:rPr>
      </w:pPr>
      <w:r w:rsidRPr="00EC1E7E">
        <w:rPr>
          <w:rFonts w:asciiTheme="minorHAnsi" w:hAnsiTheme="minorHAnsi" w:cs="Helvetica"/>
          <w:i/>
          <w:bdr w:val="none" w:sz="0" w:space="0" w:color="auto" w:frame="1"/>
        </w:rPr>
        <w:t>Resolução Previc nº 23/2023, art. 107 e Anexo III</w:t>
      </w:r>
    </w:p>
    <w:p w14:paraId="3DEEC669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dr w:val="none" w:sz="0" w:space="0" w:color="auto" w:frame="1"/>
        </w:rPr>
      </w:pPr>
    </w:p>
    <w:p w14:paraId="3C46D169" w14:textId="77777777" w:rsidR="00562C1B" w:rsidRPr="00EC1E7E" w:rsidRDefault="00562C1B" w:rsidP="00562C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</w:rPr>
      </w:pPr>
      <w:r w:rsidRPr="00EC1E7E">
        <w:rPr>
          <w:rFonts w:asciiTheme="minorHAnsi" w:hAnsiTheme="minorHAnsi" w:cs="Helvetica"/>
          <w:b/>
          <w:bdr w:val="none" w:sz="0" w:space="0" w:color="auto" w:frame="1"/>
        </w:rPr>
        <w:t>Legislação Aplicável</w:t>
      </w:r>
    </w:p>
    <w:p w14:paraId="28976CEE" w14:textId="77777777" w:rsidR="00562C1B" w:rsidRPr="00AD66A3" w:rsidRDefault="00E721AF" w:rsidP="00562C1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cs="Helvetica"/>
          <w:sz w:val="24"/>
          <w:szCs w:val="24"/>
        </w:rPr>
      </w:pPr>
      <w:hyperlink r:id="rId7" w:tgtFrame="_self" w:history="1">
        <w:r w:rsidR="00562C1B" w:rsidRPr="00AD66A3">
          <w:rPr>
            <w:rStyle w:val="Hyperlink"/>
            <w:rFonts w:cs="Helvetica"/>
            <w:color w:val="auto"/>
            <w:sz w:val="24"/>
            <w:szCs w:val="24"/>
            <w:u w:val="none"/>
            <w:bdr w:val="none" w:sz="0" w:space="0" w:color="auto" w:frame="1"/>
          </w:rPr>
          <w:t>Lei Complementar nº109/2001;</w:t>
        </w:r>
      </w:hyperlink>
    </w:p>
    <w:p w14:paraId="36958710" w14:textId="77777777" w:rsidR="00562C1B" w:rsidRPr="00AD66A3" w:rsidRDefault="00E721AF" w:rsidP="00562C1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cs="Helvetica"/>
          <w:sz w:val="24"/>
          <w:szCs w:val="24"/>
        </w:rPr>
      </w:pPr>
      <w:hyperlink r:id="rId8" w:tgtFrame="_blank" w:history="1">
        <w:r w:rsidR="00562C1B" w:rsidRPr="00AD66A3">
          <w:rPr>
            <w:rStyle w:val="Hyperlink"/>
            <w:rFonts w:cs="Helvetica"/>
            <w:color w:val="auto"/>
            <w:sz w:val="24"/>
            <w:szCs w:val="24"/>
            <w:u w:val="none"/>
            <w:bdr w:val="none" w:sz="0" w:space="0" w:color="auto" w:frame="1"/>
          </w:rPr>
          <w:t>Lei Complementar nº 108/2001</w:t>
        </w:r>
      </w:hyperlink>
    </w:p>
    <w:p w14:paraId="7A8EBA6E" w14:textId="77777777" w:rsidR="00562C1B" w:rsidRPr="00AD66A3" w:rsidRDefault="00E721AF" w:rsidP="00562C1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cs="Helvetica"/>
          <w:sz w:val="24"/>
          <w:szCs w:val="24"/>
        </w:rPr>
      </w:pPr>
      <w:hyperlink r:id="rId9" w:tgtFrame="_self" w:history="1">
        <w:r w:rsidR="00562C1B" w:rsidRPr="00AD66A3">
          <w:rPr>
            <w:rStyle w:val="Hyperlink"/>
            <w:rFonts w:cs="Helvetica"/>
            <w:color w:val="auto"/>
            <w:sz w:val="24"/>
            <w:szCs w:val="24"/>
            <w:u w:val="none"/>
            <w:bdr w:val="none" w:sz="0" w:space="0" w:color="auto" w:frame="1"/>
          </w:rPr>
          <w:t>Resolução CNPC nº 40/2021;</w:t>
        </w:r>
      </w:hyperlink>
      <w:r w:rsidR="00562C1B" w:rsidRPr="00AD66A3">
        <w:rPr>
          <w:rFonts w:cs="Helvetica"/>
          <w:sz w:val="24"/>
          <w:szCs w:val="24"/>
        </w:rPr>
        <w:t xml:space="preserve"> e</w:t>
      </w:r>
    </w:p>
    <w:p w14:paraId="3656B9AB" w14:textId="74FE948E" w:rsidR="009E4744" w:rsidRDefault="00562C1B" w:rsidP="00F05DC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</w:pPr>
      <w:r w:rsidRPr="00F05DC5">
        <w:rPr>
          <w:rFonts w:cs="Helvetica"/>
          <w:sz w:val="24"/>
          <w:szCs w:val="24"/>
        </w:rPr>
        <w:t xml:space="preserve">Resolução </w:t>
      </w:r>
      <w:hyperlink r:id="rId10" w:tgtFrame="_self" w:history="1">
        <w:r w:rsidRPr="00F05DC5">
          <w:rPr>
            <w:rStyle w:val="Hyperlink"/>
            <w:rFonts w:cs="Helvetica"/>
            <w:color w:val="auto"/>
            <w:sz w:val="24"/>
            <w:szCs w:val="24"/>
            <w:u w:val="none"/>
            <w:bdr w:val="none" w:sz="0" w:space="0" w:color="auto" w:frame="1"/>
          </w:rPr>
          <w:t xml:space="preserve"> Previc nº 23/2023</w:t>
        </w:r>
      </w:hyperlink>
      <w:r w:rsidRPr="00F05DC5">
        <w:rPr>
          <w:rFonts w:cs="Helvetica"/>
          <w:sz w:val="24"/>
          <w:szCs w:val="24"/>
        </w:rPr>
        <w:t>.</w:t>
      </w:r>
    </w:p>
    <w:sectPr w:rsidR="009E4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C4EFE"/>
    <w:multiLevelType w:val="multilevel"/>
    <w:tmpl w:val="5D18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9E121E"/>
    <w:multiLevelType w:val="multilevel"/>
    <w:tmpl w:val="90F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A10269"/>
    <w:multiLevelType w:val="multilevel"/>
    <w:tmpl w:val="5024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2004464">
    <w:abstractNumId w:val="0"/>
  </w:num>
  <w:num w:numId="2" w16cid:durableId="1083916100">
    <w:abstractNumId w:val="2"/>
  </w:num>
  <w:num w:numId="3" w16cid:durableId="214083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1B"/>
    <w:rsid w:val="002913A4"/>
    <w:rsid w:val="00562C1B"/>
    <w:rsid w:val="00753560"/>
    <w:rsid w:val="008778E1"/>
    <w:rsid w:val="00962ED9"/>
    <w:rsid w:val="00965DE9"/>
    <w:rsid w:val="00983E0D"/>
    <w:rsid w:val="009E4744"/>
    <w:rsid w:val="00D4038F"/>
    <w:rsid w:val="00E774F2"/>
    <w:rsid w:val="00F05DC5"/>
    <w:rsid w:val="00F352C0"/>
    <w:rsid w:val="0B863948"/>
    <w:rsid w:val="12F5B22A"/>
    <w:rsid w:val="3B6B5D4D"/>
    <w:rsid w:val="433E8114"/>
    <w:rsid w:val="7745D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45AC"/>
  <w15:chartTrackingRefBased/>
  <w15:docId w15:val="{88352670-A8D0-4C23-9058-1CAADE89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1B"/>
  </w:style>
  <w:style w:type="paragraph" w:styleId="Heading1">
    <w:name w:val="heading 1"/>
    <w:basedOn w:val="Normal"/>
    <w:link w:val="Heading1Char"/>
    <w:uiPriority w:val="9"/>
    <w:qFormat/>
    <w:rsid w:val="00562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C1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562C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562C1B"/>
  </w:style>
  <w:style w:type="character" w:customStyle="1" w:styleId="eop">
    <w:name w:val="eop"/>
    <w:basedOn w:val="DefaultParagraphFont"/>
    <w:rsid w:val="00562C1B"/>
  </w:style>
  <w:style w:type="paragraph" w:customStyle="1" w:styleId="paragraph">
    <w:name w:val="paragraph"/>
    <w:basedOn w:val="Normal"/>
    <w:rsid w:val="0096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0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CP/Lcp109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previc/pt-br/licenciamento-e-habilitacao/entidades-planos-e-patrocinadores/termos-de-responsabilidade/alteracao-de-convenio-de-adesao/vie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eridprevic.dataprev.gov.br/cas/login?service=https%3A%2F%2Fsistemas.previc.gov.br%2Fcadspc%2F%3Bjsessionid%3DFU9L5U1-3EpmFlE7BEwDiia7.4d0b047a-bc65-39d9-b6f5-0582ba54e8df" TargetMode="External"/><Relationship Id="rId10" Type="http://schemas.openxmlformats.org/officeDocument/2006/relationships/hyperlink" Target="https://www.gov.br/previc/pt-br/normas/instrucao/instrucoes-previc/2020/instrucao-previc-no-24-de-13-de-abril-de-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previc/pt-br/normas/resolucoes/resolucoes-cgpc/resolucao-cgpc-no-8-de-19-de-fevereiro-de-2004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639</Words>
  <Characters>3644</Characters>
  <Application>Microsoft Office Word</Application>
  <DocSecurity>4</DocSecurity>
  <Lines>30</Lines>
  <Paragraphs>8</Paragraphs>
  <ScaleCrop>false</ScaleCrop>
  <Company>PREVIC</Company>
  <LinksUpToDate>false</LinksUpToDate>
  <CharactersWithSpaces>4275</CharactersWithSpaces>
  <SharedDoc>false</SharedDoc>
  <HLinks>
    <vt:vector size="36" baseType="variant">
      <vt:variant>
        <vt:i4>393240</vt:i4>
      </vt:variant>
      <vt:variant>
        <vt:i4>15</vt:i4>
      </vt:variant>
      <vt:variant>
        <vt:i4>0</vt:i4>
      </vt:variant>
      <vt:variant>
        <vt:i4>5</vt:i4>
      </vt:variant>
      <vt:variant>
        <vt:lpwstr>https://www.gov.br/previc/pt-br/normas/instrucao/instrucoes-previc/2020/instrucao-previc-no-24-de-13-de-abril-de-2020.pdf</vt:lpwstr>
      </vt:variant>
      <vt:variant>
        <vt:lpwstr/>
      </vt:variant>
      <vt:variant>
        <vt:i4>65537</vt:i4>
      </vt:variant>
      <vt:variant>
        <vt:i4>12</vt:i4>
      </vt:variant>
      <vt:variant>
        <vt:i4>0</vt:i4>
      </vt:variant>
      <vt:variant>
        <vt:i4>5</vt:i4>
      </vt:variant>
      <vt:variant>
        <vt:lpwstr>https://www.gov.br/previc/pt-br/normas/resolucoes/resolucoes-cgpc/resolucao-cgpc-no-8-de-19-de-fevereiro-de-2004.pdf</vt:lpwstr>
      </vt:variant>
      <vt:variant>
        <vt:lpwstr/>
      </vt:variant>
      <vt:variant>
        <vt:i4>3407895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http://www.planalto.gov.br/ccivil_03/leis/LCP/Lcp108.htm</vt:lpwstr>
      </vt:variant>
      <vt:variant>
        <vt:lpwstr/>
      </vt:variant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http://www.planalto.gov.br/ccivil_03/leis/LCP/Lcp109.htm</vt:lpwstr>
      </vt:variant>
      <vt:variant>
        <vt:lpwstr/>
      </vt:variant>
      <vt:variant>
        <vt:i4>524314</vt:i4>
      </vt:variant>
      <vt:variant>
        <vt:i4>3</vt:i4>
      </vt:variant>
      <vt:variant>
        <vt:i4>0</vt:i4>
      </vt:variant>
      <vt:variant>
        <vt:i4>5</vt:i4>
      </vt:variant>
      <vt:variant>
        <vt:lpwstr>https://www.gov.br/previc/pt-br/licenciamento-e-habilitacao/entidades-planos-e-patrocinadores/termos-de-responsabilidade/alteracao-de-convenio-de-adesao/view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https://geridprevic.dataprev.gov.br/cas/login?service=https%3A%2F%2Fsistemas.previc.gov.br%2Fcadspc%2F%3Bjsessionid%3DFU9L5U1-3EpmFlE7BEwDiia7.4d0b047a-bc65-39d9-b6f5-0582ba54e8df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Araujo da Silva - PREVICDF</dc:creator>
  <cp:keywords/>
  <dc:description/>
  <cp:lastModifiedBy>Mariana da Costa Amorim - PREVICDF</cp:lastModifiedBy>
  <cp:revision>9</cp:revision>
  <dcterms:created xsi:type="dcterms:W3CDTF">2023-08-25T22:04:00Z</dcterms:created>
  <dcterms:modified xsi:type="dcterms:W3CDTF">2024-04-02T22:44:00Z</dcterms:modified>
</cp:coreProperties>
</file>