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3E1FCBB5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3E1FCBB5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3E1FCBB5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3E1FCBB5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575680DA" w14:paraId="6A2AF087" wp14:textId="72CAF38D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575680DA" w:rsidR="64A735C4">
              <w:rPr>
                <w:sz w:val="22"/>
                <w:szCs w:val="22"/>
              </w:rPr>
              <w:t>Coordenador-Geral de Autorizações Portuárias</w:t>
            </w:r>
          </w:p>
        </w:tc>
      </w:tr>
      <w:tr xmlns:wp14="http://schemas.microsoft.com/office/word/2010/wordml" w:rsidTr="3E1FCBB5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55818B30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1BD1A776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0CEEC35E">
              <w:rPr>
                <w:spacing w:val="-2"/>
                <w:sz w:val="22"/>
                <w:szCs w:val="22"/>
              </w:rPr>
              <w:t xml:space="preserve">1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</w:t>
            </w:r>
            <w:r w:rsidRPr="4E5F151B" w:rsidR="75AC9B44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3E1FCBB5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0A0364CF" w14:paraId="09751147" wp14:textId="010E2DD1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0A0364CF" w:rsidR="0CBCFE08">
              <w:rPr>
                <w:sz w:val="22"/>
                <w:szCs w:val="22"/>
              </w:rPr>
              <w:t xml:space="preserve">Coordenação-Geral de </w:t>
            </w:r>
            <w:r w:rsidRPr="575680DA" w:rsidR="5C05963E">
              <w:rPr>
                <w:sz w:val="22"/>
                <w:szCs w:val="22"/>
              </w:rPr>
              <w:t>Autorizações Portuárias</w:t>
            </w:r>
            <w:r w:rsidRPr="0A0364CF" w:rsidR="0CBCFE08">
              <w:rPr>
                <w:sz w:val="22"/>
                <w:szCs w:val="22"/>
              </w:rPr>
              <w:t xml:space="preserve">, do </w:t>
            </w:r>
            <w:r w:rsidRPr="0A0364CF" w:rsidR="52553C57">
              <w:rPr>
                <w:sz w:val="22"/>
                <w:szCs w:val="22"/>
              </w:rPr>
              <w:t xml:space="preserve">Departamento de Novas Outorgas e Políticas Regulatórias Portuárias, da Secretaria Nacional dos Portos,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3E1FCBB5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3E1FCBB5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57A80994" wp14:textId="77777777" w14:paraId="0AB5A4E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57A80994" w:rsidR="451CC59D">
              <w:rPr>
                <w:sz w:val="22"/>
                <w:szCs w:val="22"/>
              </w:rPr>
              <w:t>Principais Responsabilidades</w:t>
            </w:r>
          </w:p>
          <w:p w:rsidP="57A80994" w14:paraId="6A05A809" wp14:textId="55367361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3E1FCBB5" w14:paraId="5D0C0BC4" wp14:textId="19BA98E7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 - 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coordenar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as atividades inerentes à autorização portuária e à gestão dos contratos de adesão no âmbito do Ministério de Portos e Aeroportos;</w:t>
            </w:r>
          </w:p>
          <w:p w:rsidP="3E1FCBB5" w14:paraId="50DD7FFA" wp14:textId="0A0200E1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 - 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 e subsidiar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política de outorgas de autorizações do setor portuário;</w:t>
            </w:r>
          </w:p>
          <w:p w:rsidP="3E1FCBB5" w14:paraId="1B7BA785" wp14:textId="6E168EDA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III - subsidiar a elaboração e a atualização do Plano Geral de Outorgas, no que se refere às autorizações portuárias competentes ao poder concedente;</w:t>
            </w:r>
          </w:p>
          <w:p w:rsidP="3E1FCBB5" w14:paraId="6201C5B5" wp14:textId="4A6DD63F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IV - 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 e subsidiar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informações referentes aos planos, programas, projetos e estudos relativos às autorizações portuárias competentes ao poder concedente;</w:t>
            </w:r>
          </w:p>
          <w:p w:rsidP="3E1FCBB5" w14:paraId="5F1992B8" wp14:textId="6B707D2E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 – 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propor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, subsidiar e atuar na elaboração ou na atualização de atos normativos, no que se refere às autorizações portuárias competentes ao poder concedente;</w:t>
            </w:r>
          </w:p>
          <w:p w:rsidP="3E1FCBB5" w14:paraId="2EB4816D" wp14:textId="3AF75FF3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 - 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análise e à decisão acerca dos requerimentos relacionados às novas autorizações portuárias competentes ao poder concedente;</w:t>
            </w:r>
          </w:p>
          <w:p w:rsidP="3E1FCBB5" w14:paraId="0A2E3FAF" wp14:textId="37A656C5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VII - subsidiar a análise e à decisão acerca da celebração de contratos de adesão relacionados às novas autorizações portuárias competentes ao poder concedente;</w:t>
            </w:r>
          </w:p>
          <w:p w:rsidP="3E1FCBB5" w14:paraId="1DE22DBC" wp14:textId="63A9755A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VIII - subsidiar a gestão dos contratos de adesão das autorizações portuárias competentes ao poder concedente;</w:t>
            </w:r>
          </w:p>
          <w:p w:rsidP="3E1FCBB5" w14:paraId="1BFFA76D" wp14:textId="73709514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IX - 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análise e a decisão acerca dos processos de declaração de utilidade pública relativos às autorizações portuárias competentes ao poder concedente; </w:t>
            </w:r>
          </w:p>
          <w:p w:rsidP="3E1FCBB5" w14:paraId="2810530C" wp14:textId="4BC9278F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 - 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</w:t>
            </w: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produção, manutenção, atualização e disponibilização de dados e informações relativos aos contratos de autorizações de instalações portuárias;</w:t>
            </w:r>
          </w:p>
          <w:p w:rsidP="3E1FCBB5" w14:paraId="5B4F4BA7" wp14:textId="2408EAC3">
            <w:pPr>
              <w:pStyle w:val="NormalWeb"/>
              <w:shd w:val="clear" w:color="auto" w:fill="FFFFFF" w:themeFill="background1"/>
              <w:spacing w:before="150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XI – auxiliar, quando requisitada, o DGMP na elaboração das diretrizes relativas à autorização portuária nos instrumentos de planejamento portuário; e</w:t>
            </w:r>
          </w:p>
          <w:p w:rsidP="3E1FCBB5" w14:paraId="783DED15" wp14:textId="5A718AC6">
            <w:pPr>
              <w:pStyle w:val="NormalWeb"/>
              <w:shd w:val="clear" w:color="auto" w:fill="FFFFFF" w:themeFill="background1"/>
              <w:spacing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3E1FCBB5" w:rsidR="183E276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XII - subsidiar, no que competir, a análise de projetos qualificáveis do Fundo da Marinha Mercante, Debêntures, Regime Especial de Incentivos para o Desenvolvimento da Infraestrutura - REIDI e Regime Tributário para Incentivo à Modernização e à Ampliação da Estrutura Portuária – REPORTO.</w:t>
            </w:r>
          </w:p>
          <w:p w:rsidP="3E1FCBB5" w14:paraId="543B4D84" wp14:textId="6A1EAEBD">
            <w:pPr>
              <w:ind/>
              <w:rPr>
                <w:rFonts w:ascii="Raleway" w:hAnsi="Raleway" w:eastAsia="Raleway" w:cs="Raleway"/>
                <w:noProof w:val="0"/>
                <w:color w:val="333333"/>
                <w:sz w:val="21"/>
                <w:szCs w:val="21"/>
                <w:lang w:val="pt-PT"/>
              </w:rPr>
            </w:pPr>
          </w:p>
          <w:p w:rsidP="57A80994" w14:paraId="236267FB" wp14:textId="146C35B5">
            <w:pPr>
              <w:pStyle w:val="TableParagraph"/>
              <w:ind w:left="69"/>
            </w:pPr>
          </w:p>
        </w:tc>
      </w:tr>
      <w:tr xmlns:wp14="http://schemas.microsoft.com/office/word/2010/wordml" w:rsidTr="3E1FCBB5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497"/>
        <w:gridCol w:w="4920"/>
      </w:tblGrid>
      <w:tr xmlns:wp14="http://schemas.microsoft.com/office/word/2010/wordml" w:rsidTr="14F9CD23" w14:paraId="3FA63031" wp14:textId="77777777">
        <w:trPr>
          <w:trHeight w:val="758" w:hRule="atLeast"/>
        </w:trPr>
        <w:tc>
          <w:tcPr>
            <w:tcW w:w="2070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7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14F9CD23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418B00D7" wp14:textId="5D562508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332BEBC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4B337BF2" w:rsidR="599994C3">
              <w:rPr>
                <w:rFonts w:ascii="Arial MT" w:hAnsi="Arial MT" w:eastAsia="Arial MT" w:cs="Arial MT"/>
                <w:sz w:val="22"/>
                <w:szCs w:val="22"/>
              </w:rPr>
              <w:t>Coordenador-Geral</w:t>
            </w:r>
            <w:r w:rsidRPr="4B337BF2" w:rsidR="388FB1AD">
              <w:rPr>
                <w:rFonts w:ascii="Arial MT" w:hAnsi="Arial MT" w:eastAsia="Arial MT" w:cs="Arial MT"/>
                <w:sz w:val="22"/>
                <w:szCs w:val="22"/>
              </w:rPr>
              <w:t>;</w:t>
            </w:r>
            <w:r w:rsidRPr="4B337BF2" w:rsidR="3ADF699A">
              <w:rPr>
                <w:rFonts w:ascii="Arial MT" w:hAnsi="Arial MT" w:eastAsia="Arial MT" w:cs="Arial MT"/>
                <w:sz w:val="22"/>
                <w:szCs w:val="22"/>
              </w:rPr>
              <w:t xml:space="preserve"> e</w:t>
            </w:r>
          </w:p>
          <w:p w:rsidP="14F9CD23" w14:paraId="316F6234" wp14:textId="2D37FBDF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14F9CD23" w:rsidR="388FB1AD">
              <w:rPr>
                <w:rFonts w:ascii="Arial MT" w:hAnsi="Arial MT" w:eastAsia="Arial MT" w:cs="Arial MT"/>
                <w:sz w:val="22"/>
                <w:szCs w:val="22"/>
              </w:rPr>
              <w:t xml:space="preserve">1(um) Coordenador; </w:t>
            </w:r>
          </w:p>
        </w:tc>
      </w:tr>
      <w:tr xmlns:wp14="http://schemas.microsoft.com/office/word/2010/wordml" w:rsidTr="14F9CD23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14F9CD23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20" w:type="dxa"/>
            <w:tcMar/>
          </w:tcPr>
          <w:p w:rsidP="76174578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Atender aos critérios do </w:t>
            </w:r>
            <w:r w:rsidRPr="76174578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Art</w:t>
            </w:r>
            <w:r w:rsidRPr="76174578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. 15, do Decreto </w:t>
            </w:r>
            <w:r w:rsidRPr="76174578" w:rsidR="6689DF00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0.829, de 05 de outubro de 2021.</w:t>
            </w:r>
          </w:p>
          <w:p w:rsidP="76174578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76174578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idoneidade</w:t>
            </w:r>
            <w:r w:rsidRPr="76174578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moral e reputação ilibada;</w:t>
            </w:r>
          </w:p>
          <w:p w:rsidP="76174578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76174578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76174578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76174578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III - não enquadramento nas hipóteses de inelegibilidade previstas no </w:t>
            </w:r>
            <w:hyperlink r:id="R23217e8e9ca14e83">
              <w:r w:rsidRPr="76174578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2"/>
                  <w:szCs w:val="22"/>
                  <w:lang w:val="pt-PT"/>
                </w:rPr>
                <w:t xml:space="preserve">inciso I do </w:t>
              </w:r>
              <w:r w:rsidRPr="76174578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2"/>
                  <w:szCs w:val="22"/>
                  <w:lang w:val="pt-PT"/>
                </w:rPr>
                <w:t>caput</w:t>
              </w:r>
              <w:r w:rsidRPr="76174578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2"/>
                  <w:szCs w:val="22"/>
                  <w:lang w:val="pt-PT"/>
                </w:rPr>
                <w:t xml:space="preserve"> do art. 1º da Lei Complementar nº 64, de 18 de maio de 1990</w:t>
              </w:r>
            </w:hyperlink>
            <w:r w:rsidRPr="76174578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.</w:t>
            </w:r>
          </w:p>
          <w:p w:rsidP="76174578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14F9CD23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920" w:type="dxa"/>
            <w:tcMar/>
          </w:tcPr>
          <w:p w:rsidP="76174578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5568229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 </w:t>
            </w:r>
            <w:r w:rsidRPr="76174578" w:rsidR="74FFD253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Atender, no mínimo, a um dos seguintes critérios d</w:t>
            </w:r>
            <w:r w:rsidRPr="76174578" w:rsidR="0519308D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 xml:space="preserve">o </w:t>
            </w:r>
            <w:r w:rsidRPr="76174578" w:rsidR="0519308D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A</w:t>
            </w:r>
            <w:r w:rsidRPr="76174578" w:rsidR="5568229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rt</w:t>
            </w:r>
            <w:r w:rsidRPr="76174578" w:rsidR="5568229B"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  <w:t>. 19, do Decreto 10.829, de 05 de outubro de 2021.</w:t>
            </w:r>
          </w:p>
          <w:p w:rsidP="76174578" w14:paraId="64BF4BE7" wp14:textId="5C4CAE68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4F9CD23" w:rsidR="799CDD3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P</w:t>
            </w:r>
            <w:r w:rsidRPr="14F9CD23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ossuir experiência profissional de, no mínimo, </w:t>
            </w:r>
            <w:r w:rsidRPr="14F9CD23" w:rsidR="632EC1AA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quatro </w:t>
            </w:r>
            <w:r w:rsidRPr="14F9CD23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anos em atividades correlatas às áreas de atuação do órgão ou da entidade ou em áreas relacionadas às atribuições e às competências do cargo ou da função;</w:t>
            </w:r>
          </w:p>
          <w:p w:rsidP="76174578" w14:paraId="1EED2487" wp14:textId="396DA9F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4F9CD23" w:rsidR="328BF96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ter ocupado cargo em comissão ou função de confiança em qualquer Poder, inclusive na administração pública indireta, de qualquer ente federativo por, no mínimo, quatro anos</w:t>
            </w:r>
            <w:r w:rsidRPr="14F9CD23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; </w:t>
            </w:r>
          </w:p>
          <w:p w:rsidP="76174578" w14:paraId="07FCF099" wp14:textId="0E4A4EEF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4F9CD23" w:rsidR="229B70A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possuir título de especialista, mestre ou doutor em área correlata às áreas de atuação do órgão ou da entidade ou em áreas relacionadas às atribuições do cargo ou da função</w:t>
            </w:r>
            <w:r w:rsidRPr="14F9CD23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; ou</w:t>
            </w:r>
          </w:p>
          <w:p w:rsidP="76174578" w14:paraId="165EE04F" wp14:textId="178CFB81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4F9CD23" w:rsidR="23EFFBA5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ter realizado ações de desenvolvimento de liderança, estabelecidas pelo Ministério da Economia, com carga horária mínima de cento e vinte horas</w:t>
            </w:r>
            <w:r w:rsidRPr="14F9CD23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."</w:t>
            </w:r>
          </w:p>
          <w:p w:rsidP="76174578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14F9CD23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14F9CD23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2A65E1CB" w14:paraId="5639112A" wp14:textId="6491FEC8">
            <w:pPr>
              <w:pStyle w:val="TableParagraph"/>
              <w:numPr>
                <w:ilvl w:val="0"/>
                <w:numId w:val="22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2A65E1CB" w:rsidR="1F02476F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76174578" w14:paraId="2F87D9C4" wp14:textId="3C3D59FE">
            <w:pPr>
              <w:pStyle w:val="TableParagraph"/>
              <w:spacing w:before="4" w:line="234" w:lineRule="exact"/>
              <w:ind w:left="0" w:right="-15"/>
              <w:jc w:val="both"/>
            </w:pPr>
          </w:p>
        </w:tc>
      </w:tr>
      <w:tr xmlns:wp14="http://schemas.microsoft.com/office/word/2010/wordml" w:rsidTr="14F9CD23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R="378A500F" w:rsidP="76174578" w:rsidRDefault="378A500F" w14:paraId="24349026" w14:textId="04858E5D">
            <w:pPr>
              <w:pStyle w:val="Normal"/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</w:pPr>
          </w:p>
          <w:p w:rsidR="318A5143" w:rsidP="76174578" w:rsidRDefault="318A5143" w14:paraId="4671DD43" w14:textId="0431E704">
            <w:pPr>
              <w:pStyle w:val="ListParagraph"/>
              <w:numPr>
                <w:ilvl w:val="0"/>
                <w:numId w:val="20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Capacidade de coordenar técnicos e assessores no suporte à gestão de contratos de arrendamento, concessões e adesão de terminais privados.</w:t>
            </w:r>
          </w:p>
          <w:p w:rsidR="318A5143" w:rsidP="76174578" w:rsidRDefault="318A5143" w14:paraId="3F76A88E" w14:textId="79F4593D">
            <w:pPr>
              <w:pStyle w:val="ListParagraph"/>
              <w:numPr>
                <w:ilvl w:val="0"/>
                <w:numId w:val="20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Habilidade para dialogar com diferentes </w:t>
            </w: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stakeholders</w:t>
            </w: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, incluindo o setor privado (terminais de uso privado - TUP), órgãos reguladores como a </w:t>
            </w:r>
            <w:hyperlink r:id="Rb655e5f717fc42fb">
              <w:r w:rsidRPr="76174578" w:rsidR="318A5143">
                <w:rPr>
                  <w:rStyle w:val="Hyperlink"/>
                  <w:rFonts w:ascii="Arial MT" w:hAnsi="Arial MT" w:eastAsia="Arial MT" w:cs="Arial MT"/>
                  <w:noProof w:val="0"/>
                  <w:sz w:val="22"/>
                  <w:szCs w:val="22"/>
                  <w:lang w:val="pt-PT"/>
                </w:rPr>
                <w:t>ANTAQ</w:t>
              </w:r>
            </w:hyperlink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e outras instâncias do governo.</w:t>
            </w:r>
          </w:p>
          <w:p w:rsidR="318A5143" w:rsidP="76174578" w:rsidRDefault="318A5143" w14:paraId="1FCEB04B" w14:textId="76B86BFE">
            <w:pPr>
              <w:pStyle w:val="ListParagraph"/>
              <w:numPr>
                <w:ilvl w:val="0"/>
                <w:numId w:val="20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Postura analítica para avaliar processos de novas outorgas e políticas regulatórias, fundamentando decisões em dados e normativos técnicos.</w:t>
            </w:r>
          </w:p>
          <w:p w:rsidR="318A5143" w:rsidP="76174578" w:rsidRDefault="318A5143" w14:paraId="1A87DC7B" w14:textId="737DBA32">
            <w:pPr>
              <w:pStyle w:val="ListParagraph"/>
              <w:numPr>
                <w:ilvl w:val="0"/>
                <w:numId w:val="20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 xml:space="preserve"> Orientação para a eficiência das operações portuárias, visando a competitividade e o desenvolvimento econômico do setor.</w:t>
            </w:r>
          </w:p>
          <w:p w:rsidR="318A5143" w:rsidP="76174578" w:rsidRDefault="318A5143" w14:paraId="623B6C6A" w14:textId="5764CF61">
            <w:pPr>
              <w:pStyle w:val="ListParagraph"/>
              <w:numPr>
                <w:ilvl w:val="0"/>
                <w:numId w:val="20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Atuação pautada pela transparência e responsabilidade, essencial em uma área de alta relevância econômica e sujeita a rigorosa fiscalização.</w:t>
            </w:r>
          </w:p>
          <w:p w:rsidR="318A5143" w:rsidP="76174578" w:rsidRDefault="318A5143" w14:paraId="00F73EF6" w14:textId="3BB639C1">
            <w:pPr>
              <w:pStyle w:val="ListParagraph"/>
              <w:numPr>
                <w:ilvl w:val="0"/>
                <w:numId w:val="20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Capacidade de lidar com mudanças normativas e inovações tecnológicas no setor, como a automação de terminais e novos programas governamentais de desburocratização.</w:t>
            </w:r>
          </w:p>
          <w:p w:rsidR="318A5143" w:rsidP="76174578" w:rsidRDefault="318A5143" w14:paraId="74FBFEAB" w14:textId="54D62BAE">
            <w:pPr>
              <w:pStyle w:val="ListParagraph"/>
              <w:numPr>
                <w:ilvl w:val="0"/>
                <w:numId w:val="20"/>
              </w:numPr>
              <w:rPr>
                <w:rFonts w:ascii="Arial MT" w:hAnsi="Arial MT" w:eastAsia="Arial MT" w:cs="Arial MT"/>
                <w:noProof w:val="0"/>
                <w:color w:val="0A0A0A"/>
                <w:sz w:val="22"/>
                <w:szCs w:val="22"/>
                <w:lang w:val="pt-PT"/>
              </w:rPr>
            </w:pP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Necessária para mediar interesses divergentes entre o poder público e os entes privados em processos de autorização e revisão contratual</w:t>
            </w:r>
            <w:r w:rsidRPr="76174578" w:rsidR="318A5143">
              <w:rPr>
                <w:rFonts w:ascii="Arial MT" w:hAnsi="Arial MT" w:eastAsia="Arial MT" w:cs="Arial MT"/>
                <w:noProof w:val="0"/>
                <w:sz w:val="22"/>
                <w:szCs w:val="22"/>
                <w:lang w:val="pt-PT"/>
              </w:rPr>
              <w:t>.</w:t>
            </w:r>
          </w:p>
          <w:p w:rsidP="76174578" w14:paraId="2DA79FA2" wp14:textId="2A92DF28">
            <w:pPr>
              <w:pStyle w:val="TableParagraph"/>
              <w:spacing w:line="254" w:lineRule="exact"/>
              <w:ind w:left="720" w:right="397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14F9CD23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1">
    <w:nsid w:val="70537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5d33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4ba4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890d3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0e79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b181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862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D6FF00"/>
    <w:rsid w:val="0263DE42"/>
    <w:rsid w:val="028A1506"/>
    <w:rsid w:val="028A1506"/>
    <w:rsid w:val="031E94FB"/>
    <w:rsid w:val="0338381E"/>
    <w:rsid w:val="04B4E2F1"/>
    <w:rsid w:val="0519308D"/>
    <w:rsid w:val="055CC0D7"/>
    <w:rsid w:val="067B9707"/>
    <w:rsid w:val="06FFCD42"/>
    <w:rsid w:val="073F5E8A"/>
    <w:rsid w:val="0889CD5D"/>
    <w:rsid w:val="08D74F68"/>
    <w:rsid w:val="097E955C"/>
    <w:rsid w:val="0A0364CF"/>
    <w:rsid w:val="0A5EB395"/>
    <w:rsid w:val="0A7F2FDE"/>
    <w:rsid w:val="0AECE474"/>
    <w:rsid w:val="0B8873A9"/>
    <w:rsid w:val="0CBCFE08"/>
    <w:rsid w:val="0CEEC35E"/>
    <w:rsid w:val="0DBE41D9"/>
    <w:rsid w:val="0EA6D729"/>
    <w:rsid w:val="0EA6D729"/>
    <w:rsid w:val="0F9EAEA6"/>
    <w:rsid w:val="0FB16B96"/>
    <w:rsid w:val="10AC7BA1"/>
    <w:rsid w:val="113E5D7F"/>
    <w:rsid w:val="117A448C"/>
    <w:rsid w:val="11903480"/>
    <w:rsid w:val="11C1E07B"/>
    <w:rsid w:val="11C58E6C"/>
    <w:rsid w:val="128E8889"/>
    <w:rsid w:val="12AD4A98"/>
    <w:rsid w:val="12F94C52"/>
    <w:rsid w:val="13C155CA"/>
    <w:rsid w:val="13FB731B"/>
    <w:rsid w:val="141630F1"/>
    <w:rsid w:val="14F9CD23"/>
    <w:rsid w:val="15836AA3"/>
    <w:rsid w:val="158DFED5"/>
    <w:rsid w:val="15F7DA5E"/>
    <w:rsid w:val="1614AF37"/>
    <w:rsid w:val="164AF5C7"/>
    <w:rsid w:val="16D4E408"/>
    <w:rsid w:val="183E276E"/>
    <w:rsid w:val="1938492B"/>
    <w:rsid w:val="1938492B"/>
    <w:rsid w:val="19413D74"/>
    <w:rsid w:val="19621213"/>
    <w:rsid w:val="198D3CE7"/>
    <w:rsid w:val="1A3A783A"/>
    <w:rsid w:val="1BADE230"/>
    <w:rsid w:val="1BD1A776"/>
    <w:rsid w:val="1C2246EA"/>
    <w:rsid w:val="1C3F8459"/>
    <w:rsid w:val="1CF7B814"/>
    <w:rsid w:val="1CFCD73A"/>
    <w:rsid w:val="1CFE5B37"/>
    <w:rsid w:val="1D2F5075"/>
    <w:rsid w:val="1DB02321"/>
    <w:rsid w:val="1ED0DE90"/>
    <w:rsid w:val="1F02476F"/>
    <w:rsid w:val="1F1AD64D"/>
    <w:rsid w:val="1F7A7F2B"/>
    <w:rsid w:val="1FE089A5"/>
    <w:rsid w:val="1FE089A5"/>
    <w:rsid w:val="20205BF9"/>
    <w:rsid w:val="21F1AC37"/>
    <w:rsid w:val="229B70A1"/>
    <w:rsid w:val="23899D05"/>
    <w:rsid w:val="23EFFBA5"/>
    <w:rsid w:val="240E62DC"/>
    <w:rsid w:val="24F17C1B"/>
    <w:rsid w:val="2506C527"/>
    <w:rsid w:val="270F4C3A"/>
    <w:rsid w:val="275DD6AB"/>
    <w:rsid w:val="275DD6AB"/>
    <w:rsid w:val="2912149E"/>
    <w:rsid w:val="293E174A"/>
    <w:rsid w:val="293FD008"/>
    <w:rsid w:val="293FD008"/>
    <w:rsid w:val="29B47ABE"/>
    <w:rsid w:val="29DB6B1A"/>
    <w:rsid w:val="2A65E1CB"/>
    <w:rsid w:val="2AE305FF"/>
    <w:rsid w:val="2B209399"/>
    <w:rsid w:val="2B28944F"/>
    <w:rsid w:val="2C6EEF59"/>
    <w:rsid w:val="2C90AF38"/>
    <w:rsid w:val="2D4CA75C"/>
    <w:rsid w:val="2DD972DE"/>
    <w:rsid w:val="315E0CF5"/>
    <w:rsid w:val="318A5143"/>
    <w:rsid w:val="3197B82C"/>
    <w:rsid w:val="31CFB750"/>
    <w:rsid w:val="328BF96B"/>
    <w:rsid w:val="332BEBC0"/>
    <w:rsid w:val="33C14FB2"/>
    <w:rsid w:val="33C14FB2"/>
    <w:rsid w:val="3411BC81"/>
    <w:rsid w:val="3411BC81"/>
    <w:rsid w:val="3549D24D"/>
    <w:rsid w:val="358206C0"/>
    <w:rsid w:val="365CF956"/>
    <w:rsid w:val="378A500F"/>
    <w:rsid w:val="388FB1AD"/>
    <w:rsid w:val="38FA13CD"/>
    <w:rsid w:val="391F8A8D"/>
    <w:rsid w:val="3A6C7783"/>
    <w:rsid w:val="3AB200C2"/>
    <w:rsid w:val="3AB83AA0"/>
    <w:rsid w:val="3ADF699A"/>
    <w:rsid w:val="3B286245"/>
    <w:rsid w:val="3B88409B"/>
    <w:rsid w:val="3BF99B44"/>
    <w:rsid w:val="3D2E04F9"/>
    <w:rsid w:val="3DA0FFB7"/>
    <w:rsid w:val="3DA88A4E"/>
    <w:rsid w:val="3E1FCBB5"/>
    <w:rsid w:val="3F2E8FAB"/>
    <w:rsid w:val="3F506570"/>
    <w:rsid w:val="3F958046"/>
    <w:rsid w:val="404D8000"/>
    <w:rsid w:val="418B6F64"/>
    <w:rsid w:val="41E8BFD0"/>
    <w:rsid w:val="42AA0697"/>
    <w:rsid w:val="4330ECD9"/>
    <w:rsid w:val="43318642"/>
    <w:rsid w:val="4391FBB3"/>
    <w:rsid w:val="4464CD84"/>
    <w:rsid w:val="44811FC1"/>
    <w:rsid w:val="451CC59D"/>
    <w:rsid w:val="459D982D"/>
    <w:rsid w:val="4649D18D"/>
    <w:rsid w:val="4676AD4E"/>
    <w:rsid w:val="471E989E"/>
    <w:rsid w:val="47B66DFA"/>
    <w:rsid w:val="47EF3022"/>
    <w:rsid w:val="4867AC16"/>
    <w:rsid w:val="48D7F6A8"/>
    <w:rsid w:val="493C7863"/>
    <w:rsid w:val="49CC9A5F"/>
    <w:rsid w:val="4AF569C1"/>
    <w:rsid w:val="4AF569C1"/>
    <w:rsid w:val="4B337BF2"/>
    <w:rsid w:val="4BF88646"/>
    <w:rsid w:val="4BFE9344"/>
    <w:rsid w:val="4D15D96C"/>
    <w:rsid w:val="4DADFFC1"/>
    <w:rsid w:val="4E5F151B"/>
    <w:rsid w:val="4EBAEA76"/>
    <w:rsid w:val="50DAD594"/>
    <w:rsid w:val="511DED60"/>
    <w:rsid w:val="519D7FC2"/>
    <w:rsid w:val="51F9E37D"/>
    <w:rsid w:val="5201D8F4"/>
    <w:rsid w:val="52553C57"/>
    <w:rsid w:val="52E18B1D"/>
    <w:rsid w:val="533B7292"/>
    <w:rsid w:val="53716B10"/>
    <w:rsid w:val="53A5B221"/>
    <w:rsid w:val="5416D4B2"/>
    <w:rsid w:val="5568229B"/>
    <w:rsid w:val="55D78B19"/>
    <w:rsid w:val="571661F7"/>
    <w:rsid w:val="575680DA"/>
    <w:rsid w:val="5768A9DC"/>
    <w:rsid w:val="578DD985"/>
    <w:rsid w:val="57A80994"/>
    <w:rsid w:val="57E96CD0"/>
    <w:rsid w:val="57E96CD0"/>
    <w:rsid w:val="5819C047"/>
    <w:rsid w:val="58E03F22"/>
    <w:rsid w:val="599994C3"/>
    <w:rsid w:val="5A9CD6E8"/>
    <w:rsid w:val="5B51066C"/>
    <w:rsid w:val="5B784BAE"/>
    <w:rsid w:val="5B96CD2F"/>
    <w:rsid w:val="5C05963E"/>
    <w:rsid w:val="5C0D5426"/>
    <w:rsid w:val="5CD7E7E7"/>
    <w:rsid w:val="5D1F1ABD"/>
    <w:rsid w:val="5D8AFAC1"/>
    <w:rsid w:val="5DDE7E69"/>
    <w:rsid w:val="5E75ADC0"/>
    <w:rsid w:val="5F7FB53E"/>
    <w:rsid w:val="5FB85BE1"/>
    <w:rsid w:val="5FC20528"/>
    <w:rsid w:val="6086E04F"/>
    <w:rsid w:val="61740316"/>
    <w:rsid w:val="61DBC269"/>
    <w:rsid w:val="61E0CFA7"/>
    <w:rsid w:val="61F42285"/>
    <w:rsid w:val="61F7DB5C"/>
    <w:rsid w:val="62C268F5"/>
    <w:rsid w:val="62F2BF9F"/>
    <w:rsid w:val="632EC1AA"/>
    <w:rsid w:val="64A6E046"/>
    <w:rsid w:val="64A735C4"/>
    <w:rsid w:val="64C1347A"/>
    <w:rsid w:val="64C1347A"/>
    <w:rsid w:val="6600545D"/>
    <w:rsid w:val="6689DF00"/>
    <w:rsid w:val="669937F1"/>
    <w:rsid w:val="66B980FF"/>
    <w:rsid w:val="66F18725"/>
    <w:rsid w:val="66F8E5A8"/>
    <w:rsid w:val="673E1DC1"/>
    <w:rsid w:val="689AB0F5"/>
    <w:rsid w:val="68C318A1"/>
    <w:rsid w:val="68C4A662"/>
    <w:rsid w:val="69C8149B"/>
    <w:rsid w:val="69F7C6B3"/>
    <w:rsid w:val="6AF09505"/>
    <w:rsid w:val="6B5D2B80"/>
    <w:rsid w:val="6BB2A595"/>
    <w:rsid w:val="6BC34994"/>
    <w:rsid w:val="6C16F1D3"/>
    <w:rsid w:val="6C16F1D3"/>
    <w:rsid w:val="6CCA0DDC"/>
    <w:rsid w:val="6D62CB28"/>
    <w:rsid w:val="6DF679CD"/>
    <w:rsid w:val="6ED952E8"/>
    <w:rsid w:val="713BC605"/>
    <w:rsid w:val="7141CC33"/>
    <w:rsid w:val="73BBF408"/>
    <w:rsid w:val="74491F31"/>
    <w:rsid w:val="74CFC765"/>
    <w:rsid w:val="74F6CDA6"/>
    <w:rsid w:val="74FFD253"/>
    <w:rsid w:val="7527FB01"/>
    <w:rsid w:val="75AC9B44"/>
    <w:rsid w:val="76174578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C647DD3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3E1FCBB5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23217e8e9ca14e83" /><Relationship Type="http://schemas.openxmlformats.org/officeDocument/2006/relationships/hyperlink" Target="https://www.gov.br/antaq/pt-br" TargetMode="External" Id="Rb655e5f717fc42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FB6A4B79-2E1B-499C-868A-AA03DB84CC14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2026-03-27T16:05:31.0491903Z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