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2EB0887A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2EB0887A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2EB0887A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2EB0887A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1A867147" w14:paraId="6A2AF087" wp14:textId="307C26F2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2EB0887A" w:rsidR="192AD75C">
              <w:rPr>
                <w:sz w:val="22"/>
                <w:szCs w:val="22"/>
              </w:rPr>
              <w:t xml:space="preserve">Departamento de Gestão e Modernização </w:t>
            </w:r>
            <w:r w:rsidRPr="2EB0887A" w:rsidR="192AD75C">
              <w:rPr>
                <w:sz w:val="22"/>
                <w:szCs w:val="22"/>
              </w:rPr>
              <w:t>Portuária</w:t>
            </w:r>
          </w:p>
        </w:tc>
      </w:tr>
      <w:tr xmlns:wp14="http://schemas.microsoft.com/office/word/2010/wordml" w:rsidTr="2EB0887A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581E6F85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8D95F20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0CEEC35E">
              <w:rPr>
                <w:spacing w:val="-2"/>
                <w:sz w:val="22"/>
                <w:szCs w:val="22"/>
              </w:rPr>
              <w:t xml:space="preserve">1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.15</w:t>
            </w:r>
          </w:p>
        </w:tc>
      </w:tr>
      <w:tr xmlns:wp14="http://schemas.microsoft.com/office/word/2010/wordml" w:rsidTr="2EB0887A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1A867147" w14:paraId="09751147" wp14:textId="44265FE2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1A867147" w:rsidR="0C54A9CB">
              <w:rPr>
                <w:sz w:val="22"/>
                <w:szCs w:val="22"/>
              </w:rPr>
              <w:t xml:space="preserve">Departamento de Gestão e Modernização Portuária da Secretaria Nacional dos Portos, do </w:t>
            </w:r>
            <w:r w:rsidRPr="4E5F151B" w:rsidR="7093A595">
              <w:rPr>
                <w:sz w:val="22"/>
                <w:szCs w:val="22"/>
              </w:rPr>
              <w:t>Ministério</w:t>
            </w:r>
            <w:r w:rsidRPr="4E5F151B" w:rsidR="7093A595">
              <w:rPr>
                <w:spacing w:val="3"/>
                <w:sz w:val="22"/>
                <w:szCs w:val="22"/>
              </w:rPr>
              <w:t xml:space="preserve"> </w:t>
            </w:r>
            <w:r w:rsidRPr="4E5F151B" w:rsidR="7093A595">
              <w:rPr>
                <w:sz w:val="22"/>
                <w:szCs w:val="22"/>
              </w:rPr>
              <w:t>de</w:t>
            </w:r>
            <w:r w:rsidRPr="4E5F151B" w:rsidR="7093A595">
              <w:rPr>
                <w:spacing w:val="-3"/>
                <w:sz w:val="22"/>
                <w:szCs w:val="22"/>
              </w:rPr>
              <w:t xml:space="preserve"> </w:t>
            </w:r>
            <w:r w:rsidRPr="4E5F151B" w:rsidR="7093A595">
              <w:rPr>
                <w:sz w:val="22"/>
                <w:szCs w:val="22"/>
              </w:rPr>
              <w:t>Portos</w:t>
            </w:r>
            <w:r w:rsidRPr="4E5F151B" w:rsidR="7093A595">
              <w:rPr>
                <w:spacing w:val="-9"/>
                <w:sz w:val="22"/>
                <w:szCs w:val="22"/>
              </w:rPr>
              <w:t xml:space="preserve"> </w:t>
            </w:r>
            <w:r w:rsidRPr="4E5F151B" w:rsidR="7093A595">
              <w:rPr>
                <w:sz w:val="22"/>
                <w:szCs w:val="22"/>
              </w:rPr>
              <w:t>e</w:t>
            </w:r>
            <w:r w:rsidRPr="4E5F151B" w:rsidR="7093A595">
              <w:rPr>
                <w:spacing w:val="-6"/>
                <w:sz w:val="22"/>
                <w:szCs w:val="22"/>
              </w:rPr>
              <w:t xml:space="preserve"> </w:t>
            </w:r>
            <w:r w:rsidRPr="4E5F151B" w:rsidR="7093A595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2EB0887A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2EB0887A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4B691B1B" wp14:textId="77777777" w14:paraId="587A53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B691B1B" w:rsidR="3032ACAD">
              <w:rPr>
                <w:sz w:val="22"/>
                <w:szCs w:val="22"/>
              </w:rPr>
              <w:t>Principais Responsabilidades</w:t>
            </w:r>
          </w:p>
          <w:p w:rsidP="4B691B1B" w14:paraId="6A05A809" wp14:textId="753419A8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4B691B1B" w14:paraId="70A222EB" wp14:textId="545334E1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I - 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>subsidiar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 a aprovação dos planos de desenvolvimento e zoneamento portuário; </w:t>
            </w:r>
          </w:p>
          <w:p w:rsidP="4B691B1B" w14:paraId="5CB0DBC2" wp14:textId="018F5730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II - propor e coordenar projetos voltados à modernização da gestão portuária e de seus processos de negócios; </w:t>
            </w:r>
          </w:p>
          <w:p w:rsidP="4B691B1B" w14:paraId="483EA985" wp14:textId="3B5F21C9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III - manifestar-se tecnicamente sobre as proposições de políticas de pessoal e salarial das empresas supervisionadas pela Secretaria; </w:t>
            </w:r>
          </w:p>
          <w:p w:rsidP="4B691B1B" w14:paraId="14E69450" wp14:textId="3BC7CF87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IV - monitorar e avaliar o cumprimento dos compromissos de metas e desempenho empresarial e metas de gestão, firmados entre o Ministério e suas entidades vinculadas, e em relação aos convênios de delegação firmados com entes federativos sobre o setor portuário; </w:t>
            </w:r>
          </w:p>
          <w:p w:rsidP="4B691B1B" w14:paraId="7F53CA59" wp14:textId="758DC3F4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V - avaliar e propor condições para os convênios de delegação e descentralização entre o Ministério e outros entes federativos ou empresas estatais, com vistas à disseminação de boas práticas de gestão portuária; </w:t>
            </w:r>
          </w:p>
          <w:p w:rsidP="4B691B1B" w14:paraId="3D29DF11" wp14:textId="55021FA6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VI - coordenar o desenvolvimento, a manutenção e a integração de sistemas de informação e a administração de dados portuários necessários ao processo de planejamento e de tomada de decisão pública; </w:t>
            </w:r>
          </w:p>
          <w:p w:rsidP="4B691B1B" w14:paraId="5EFACFFB" wp14:textId="2B39638A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VII - subsidiar e acompanhar políticas voltadas à saúde e à segurança na atividade portuária, à emergência em saúde pública, à redução da entrada e da disseminação de vetores endêmicos e ao controle de pandemias nos portos brasileiros; </w:t>
            </w:r>
          </w:p>
          <w:p w:rsidP="4B691B1B" w14:paraId="07400147" wp14:textId="22269D39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VIII - analisar os requerimentos de anuência prévia para delegação de portos a outros entes federativos; </w:t>
            </w:r>
          </w:p>
          <w:p w:rsidP="4B691B1B" w14:paraId="569E3B19" wp14:textId="664802C9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IX - propor e coordenar acordos de cooperação técnica para permuta de informações, racionalização de atividades e harmonização das políticas setoriais com órgãos e entidades da administração pública federal, estadual, distrital e municipal; </w:t>
            </w:r>
          </w:p>
          <w:p w:rsidP="4B691B1B" w14:paraId="76E6A606" wp14:textId="4C11E89F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 - planejar ações de capacitação técnica e dos gestores do setor portuário e promover a realização do desenvolvimento tecnológico; </w:t>
            </w:r>
          </w:p>
          <w:p w:rsidP="4B691B1B" w14:paraId="6A77A45A" wp14:textId="2AF5FD0E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XI - propor normas relativas à gestão fundiária dos terrenos e espaços 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>aquaviários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 nos portos organizados; </w:t>
            </w:r>
          </w:p>
          <w:p w:rsidP="4B691B1B" w14:paraId="4D4FBB20" wp14:textId="59F71011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XII - propor e coordenar, no âmbito da Secretaria, programas voltados à logística de transportes com impacto no setor portuário nacional, em consonância com os demais programas de governo; </w:t>
            </w:r>
          </w:p>
          <w:p w:rsidP="4B691B1B" w14:paraId="6CFBFED7" wp14:textId="51C5BE1A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XIII - conduzir os processos de revisão das poligonais das áreas dos portos organizados; </w:t>
            </w:r>
          </w:p>
          <w:p w:rsidP="4B691B1B" w14:paraId="1944BEF5" wp14:textId="2E4FEE74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XIV - fomentar e acompanhar a implementação de projetos de certificação cadastral, a serem realizados ou contratados pelas autoridades portuárias, com o objetivo de identificar, demarcar, cadastrar e avaliar os imóveis de propriedade das autoridades portuárias, ou sob seu domínio ou posse; </w:t>
            </w:r>
          </w:p>
          <w:p w:rsidP="4B691B1B" w14:paraId="115BAD13" wp14:textId="3028BF95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XV - propor medidas que visem à utilização de imóveis nos portos organizados; </w:t>
            </w:r>
          </w:p>
          <w:p w:rsidP="4B691B1B" w14:paraId="12570D11" wp14:textId="73B64FEF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XVI - apoiar o desenvolvimento adequado e integrado dos acessos terrestres e dutos viários e 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>aquaviários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 aos portos brasileiros; </w:t>
            </w:r>
          </w:p>
          <w:p w:rsidP="4B691B1B" w14:paraId="2F5F73DF" wp14:textId="6C38C1B2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XVII - subsidiar a atualização da base de dados georreferenciada do Sistema Nacional de Viação relativa ao setor portuário; </w:t>
            </w:r>
          </w:p>
          <w:p w:rsidP="4B691B1B" w14:paraId="128DEC9B" wp14:textId="4A1FF387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>XVIII - propor e coordenar diretrizes e ações para promover a integração urbana e regional das atividades e áreas portuárias, por meio da revitalização e da modernização das áreas portuárias e da articulação institucional;</w:t>
            </w:r>
          </w:p>
          <w:p w:rsidP="4B691B1B" w14:paraId="7B24D83F" wp14:textId="1BC94804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 XIX - manter sistemas informatizados de monitoramento, propor e supervisionar a criação de bancos de dados sobre o desempenho das instalações e infraestruturas outorgadas; </w:t>
            </w:r>
          </w:p>
          <w:p w:rsidP="4B691B1B" w14:paraId="5387FA68" wp14:textId="4B4A6D1C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XX - propor normas relativas aos critérios e procedimentos para a 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>préqualificação</w:t>
            </w: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 xml:space="preserve"> dos operadores portuários; e </w:t>
            </w:r>
          </w:p>
          <w:p w:rsidP="4B691B1B" w14:paraId="236267FB" wp14:textId="70003953">
            <w:pPr>
              <w:pStyle w:val="TableParagraph"/>
              <w:numPr>
                <w:ilvl w:val="0"/>
                <w:numId w:val="19"/>
              </w:numPr>
              <w:ind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  <w:r w:rsidRPr="4B691B1B" w:rsidR="5638B1B8"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  <w:t>XXI - elaborar, monitorar e avaliar os planos relativos ao setor portuário e aquaviário, em nível tático, em articulação com a Secretaria-Executiva.</w:t>
            </w:r>
          </w:p>
        </w:tc>
      </w:tr>
      <w:tr xmlns:wp14="http://schemas.microsoft.com/office/word/2010/wordml" w:rsidTr="2EB0887A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97"/>
        <w:gridCol w:w="4920"/>
      </w:tblGrid>
      <w:tr xmlns:wp14="http://schemas.microsoft.com/office/word/2010/wordml" w:rsidTr="2EB0887A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2EB0887A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14F7D04B" w14:paraId="10028379" wp14:textId="5A37D008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4D222FC6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Diretor</w:t>
            </w:r>
            <w:r w:rsidRPr="55D78B19" w:rsidR="33746C8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67F86306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e </w:t>
            </w:r>
          </w:p>
          <w:p w:rsidP="2EB0887A" w14:paraId="316F6234" wp14:textId="1E51DFF6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2EB0887A" w:rsidR="33746C80">
              <w:rPr>
                <w:rFonts w:ascii="Arial MT" w:hAnsi="Arial MT" w:eastAsia="Arial MT" w:cs="Arial MT"/>
                <w:sz w:val="22"/>
                <w:szCs w:val="22"/>
              </w:rPr>
              <w:t>3 (três) Coordenadores-Gerais;</w:t>
            </w:r>
          </w:p>
        </w:tc>
      </w:tr>
      <w:tr xmlns:wp14="http://schemas.microsoft.com/office/word/2010/wordml" w:rsidTr="2EB0887A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2EB0887A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20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EB0887A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920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2F3ACB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1F26523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4330ECD9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er 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P="55D78B19" w14:paraId="07FCF099" wp14:textId="79B4317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2506C527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:rsidP="55D78B19" w14:paraId="165EE04F" wp14:textId="7DD8105D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BC3499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2EB0887A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2EB0887A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2EB0887A" w14:paraId="1E918963" wp14:textId="4B54EB1A">
            <w:pPr>
              <w:pStyle w:val="TableParagraph"/>
              <w:numPr>
                <w:ilvl w:val="0"/>
                <w:numId w:val="20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2EB0887A" w:rsidR="25D0DF7C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0B7A4EC0" wp14:textId="64DB39B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2EB0887A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69C8149B" w14:paraId="7732F8F2" wp14:textId="54413A35">
            <w:pPr>
              <w:pStyle w:val="Normal"/>
              <w:rPr>
                <w:noProof w:val="0"/>
                <w:lang w:val="pt-PT"/>
              </w:rPr>
            </w:pPr>
          </w:p>
          <w:p w:rsidP="14F7D04B" w14:paraId="5F4782C3" wp14:textId="3F2DD55E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Gestão de Mudança e Inovação: Capacidade de conduzir a transformação digital e tecnológica nos portos, promovendo soluções inovadoras (</w:t>
            </w:r>
            <w:r w:rsidRPr="14F7D04B" w:rsidR="22D101B0">
              <w:rPr>
                <w:noProof w:val="0"/>
                <w:lang w:val="pt-PT"/>
              </w:rPr>
              <w:t>Smart</w:t>
            </w:r>
            <w:r w:rsidRPr="14F7D04B" w:rsidR="22D101B0">
              <w:rPr>
                <w:noProof w:val="0"/>
                <w:lang w:val="pt-PT"/>
              </w:rPr>
              <w:t xml:space="preserve"> </w:t>
            </w:r>
            <w:r w:rsidRPr="14F7D04B" w:rsidR="22D101B0">
              <w:rPr>
                <w:noProof w:val="0"/>
                <w:lang w:val="pt-PT"/>
              </w:rPr>
              <w:t>Ports</w:t>
            </w:r>
            <w:r w:rsidRPr="14F7D04B" w:rsidR="22D101B0">
              <w:rPr>
                <w:noProof w:val="0"/>
                <w:lang w:val="pt-PT"/>
              </w:rPr>
              <w:t>) e desburocratização.</w:t>
            </w:r>
          </w:p>
          <w:p w:rsidP="14F7D04B" w14:paraId="4EC9A098" wp14:textId="54C13292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Visão de Longo Prazo (Sustentabilidade): Foco no desenvolvimento sustentável, incluindo práticas ESG (Ambiental, Social e Governança) para viabilidade do negócio portuário.</w:t>
            </w:r>
          </w:p>
          <w:p w:rsidP="14F7D04B" w14:paraId="08AE9A92" wp14:textId="5837C480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 xml:space="preserve">Tomada de Decisão Baseada em </w:t>
            </w:r>
            <w:r w:rsidRPr="14F7D04B" w:rsidR="22D101B0">
              <w:rPr>
                <w:noProof w:val="0"/>
                <w:lang w:val="pt-PT"/>
              </w:rPr>
              <w:t>Dados:Habilidade</w:t>
            </w:r>
            <w:r w:rsidRPr="14F7D04B" w:rsidR="22D101B0">
              <w:rPr>
                <w:noProof w:val="0"/>
                <w:lang w:val="pt-PT"/>
              </w:rPr>
              <w:t xml:space="preserve"> para analisar métricas de desempenho operacional e direcionar decisões de gestão</w:t>
            </w:r>
          </w:p>
          <w:p w:rsidP="14F7D04B" w14:paraId="41CACB55" wp14:textId="37EBB1E7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 xml:space="preserve">Articulação Política e </w:t>
            </w:r>
            <w:r w:rsidRPr="14F7D04B" w:rsidR="22D101B0">
              <w:rPr>
                <w:noProof w:val="0"/>
                <w:lang w:val="pt-PT"/>
              </w:rPr>
              <w:t>Intersetorial</w:t>
            </w:r>
            <w:r w:rsidRPr="14F7D04B" w:rsidR="22D101B0">
              <w:rPr>
                <w:noProof w:val="0"/>
                <w:lang w:val="pt-PT"/>
              </w:rPr>
              <w:t>: Capacidade de transitar entre entidades políticas, judiciárias e o setor privado para viabilizar contratos e investimentos.</w:t>
            </w:r>
          </w:p>
          <w:p w:rsidP="14F7D04B" w14:paraId="19BA323F" wp14:textId="52EE13C2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Negociação e Gestão de Conflitos: Essencial para mediar interesses entre operadores portuários, arrendatários, terminais de uso privado e órgãos reguladores.</w:t>
            </w:r>
          </w:p>
          <w:p w:rsidP="14F7D04B" w14:paraId="67D77FAE" wp14:textId="76F59593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Inteligência Emocional: Fundamental para gerenciar equipes técnicas, lidar com a pressão de um ambiente intenso e resolver problemas imprevistos.</w:t>
            </w:r>
          </w:p>
          <w:p w:rsidP="14F7D04B" w14:paraId="52D6124D" wp14:textId="4B6059B9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Pensamento Crítico e Desburocratização: Foco na simplificação de procedimentos e na melhoria da governança portuária.</w:t>
            </w:r>
          </w:p>
          <w:p w:rsidP="14F7D04B" w14:paraId="230BD607" wp14:textId="61F49DCC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 xml:space="preserve">Tenacidade e Capacidade de </w:t>
            </w:r>
            <w:r w:rsidRPr="14F7D04B" w:rsidR="22D101B0">
              <w:rPr>
                <w:noProof w:val="0"/>
                <w:lang w:val="pt-PT"/>
              </w:rPr>
              <w:t>Adaptação:Habilidade</w:t>
            </w:r>
            <w:r w:rsidRPr="14F7D04B" w:rsidR="22D101B0">
              <w:rPr>
                <w:noProof w:val="0"/>
                <w:lang w:val="pt-PT"/>
              </w:rPr>
              <w:t xml:space="preserve"> de superar entraves burocráticos e adaptação à legislação ambiental e trabalhista complexa.</w:t>
            </w:r>
          </w:p>
          <w:p w:rsidP="14F7D04B" w14:paraId="5491B0FF" wp14:textId="1D683F91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Visão Colaborativa: Fomento a acordos de cooperação e ao compartilhamento de boas práticas entre portos públicos.</w:t>
            </w:r>
          </w:p>
          <w:p w:rsidP="14F7D04B" w14:paraId="564AD65A" wp14:textId="01CB53F0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Comunicação Estratégica: Capacidade de traduzir objetivos técnicos do governo em diretrizes claras para as Autoridades Portuárias.</w:t>
            </w:r>
          </w:p>
          <w:p w:rsidP="14F7D04B" w14:paraId="18B17C86" wp14:textId="08671AA8">
            <w:pPr>
              <w:pStyle w:val="ListParagraph"/>
              <w:numPr>
                <w:ilvl w:val="0"/>
                <w:numId w:val="18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14F7D04B" w:rsidR="22D101B0">
              <w:rPr>
                <w:noProof w:val="0"/>
                <w:lang w:val="pt-PT"/>
              </w:rPr>
              <w:t>Gestão de Equipes Técnicas: Habilidade para coordenar equipes que prestam suporte técnico, garantindo eficiência.</w:t>
            </w:r>
          </w:p>
          <w:p w:rsidP="055CC0D7" w14:paraId="2DA79FA2" wp14:textId="5AA0D297">
            <w:pPr>
              <w:pStyle w:val="TableParagraph"/>
              <w:spacing w:line="254" w:lineRule="exact"/>
              <w:ind w:left="720" w:right="397"/>
            </w:pPr>
          </w:p>
        </w:tc>
      </w:tr>
      <w:tr xmlns:wp14="http://schemas.microsoft.com/office/word/2010/wordml" w:rsidTr="2EB0887A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9">
    <w:nsid w:val="4930a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ebb5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79b1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1110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0f7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63DE42"/>
    <w:rsid w:val="028A1506"/>
    <w:rsid w:val="028A1506"/>
    <w:rsid w:val="031E94FB"/>
    <w:rsid w:val="0338381E"/>
    <w:rsid w:val="04B4E2F1"/>
    <w:rsid w:val="0519308D"/>
    <w:rsid w:val="055CC0D7"/>
    <w:rsid w:val="067B9707"/>
    <w:rsid w:val="06FFCD42"/>
    <w:rsid w:val="0889CD5D"/>
    <w:rsid w:val="08D74F68"/>
    <w:rsid w:val="097E955C"/>
    <w:rsid w:val="0A5EB395"/>
    <w:rsid w:val="0A7F2FDE"/>
    <w:rsid w:val="0AECE474"/>
    <w:rsid w:val="0B8873A9"/>
    <w:rsid w:val="0BA06B65"/>
    <w:rsid w:val="0C54A9CB"/>
    <w:rsid w:val="0CEEC35E"/>
    <w:rsid w:val="0DBE41D9"/>
    <w:rsid w:val="0EA6D729"/>
    <w:rsid w:val="0EA6D729"/>
    <w:rsid w:val="0F3A1D3C"/>
    <w:rsid w:val="0F9EAEA6"/>
    <w:rsid w:val="0FB16B96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4F7D04B"/>
    <w:rsid w:val="15836AA3"/>
    <w:rsid w:val="1614AF37"/>
    <w:rsid w:val="164AF5C7"/>
    <w:rsid w:val="16D4E408"/>
    <w:rsid w:val="192AD75C"/>
    <w:rsid w:val="1938492B"/>
    <w:rsid w:val="1938492B"/>
    <w:rsid w:val="19413D74"/>
    <w:rsid w:val="19621213"/>
    <w:rsid w:val="198D3CE7"/>
    <w:rsid w:val="1A867147"/>
    <w:rsid w:val="1BADE230"/>
    <w:rsid w:val="1C3F8459"/>
    <w:rsid w:val="1C617BD6"/>
    <w:rsid w:val="1CFE5B37"/>
    <w:rsid w:val="1D2F5075"/>
    <w:rsid w:val="1DB02321"/>
    <w:rsid w:val="1ED0DE90"/>
    <w:rsid w:val="1F1AD64D"/>
    <w:rsid w:val="1F7A7F2B"/>
    <w:rsid w:val="1FE089A5"/>
    <w:rsid w:val="1FE089A5"/>
    <w:rsid w:val="21F1AC37"/>
    <w:rsid w:val="22D101B0"/>
    <w:rsid w:val="23899D05"/>
    <w:rsid w:val="24F17C1B"/>
    <w:rsid w:val="2506C527"/>
    <w:rsid w:val="25D0DF7C"/>
    <w:rsid w:val="270F4C3A"/>
    <w:rsid w:val="275DD6AB"/>
    <w:rsid w:val="275DD6AB"/>
    <w:rsid w:val="2831761B"/>
    <w:rsid w:val="293E174A"/>
    <w:rsid w:val="293FD008"/>
    <w:rsid w:val="293FD008"/>
    <w:rsid w:val="29B47ABE"/>
    <w:rsid w:val="29DB6B1A"/>
    <w:rsid w:val="2A909813"/>
    <w:rsid w:val="2B209399"/>
    <w:rsid w:val="2B28944F"/>
    <w:rsid w:val="2C6EEF59"/>
    <w:rsid w:val="2C90AF38"/>
    <w:rsid w:val="2DB703C3"/>
    <w:rsid w:val="2EB0887A"/>
    <w:rsid w:val="3032ACAD"/>
    <w:rsid w:val="315E0CF5"/>
    <w:rsid w:val="31CFB750"/>
    <w:rsid w:val="33746C80"/>
    <w:rsid w:val="33C14FB2"/>
    <w:rsid w:val="33C14FB2"/>
    <w:rsid w:val="3411BC81"/>
    <w:rsid w:val="3411BC81"/>
    <w:rsid w:val="3549D24D"/>
    <w:rsid w:val="358206C0"/>
    <w:rsid w:val="365CF956"/>
    <w:rsid w:val="37098C0B"/>
    <w:rsid w:val="38FA13CD"/>
    <w:rsid w:val="391F8A8D"/>
    <w:rsid w:val="3A6C7783"/>
    <w:rsid w:val="3AB200C2"/>
    <w:rsid w:val="3AB83AA0"/>
    <w:rsid w:val="3B286245"/>
    <w:rsid w:val="3B88409B"/>
    <w:rsid w:val="3BF99B44"/>
    <w:rsid w:val="3D2E04F9"/>
    <w:rsid w:val="3DA0FFB7"/>
    <w:rsid w:val="3DA88A4E"/>
    <w:rsid w:val="3F2E8FAB"/>
    <w:rsid w:val="3F506570"/>
    <w:rsid w:val="3F958046"/>
    <w:rsid w:val="404D8000"/>
    <w:rsid w:val="41746FB3"/>
    <w:rsid w:val="41E8BFD0"/>
    <w:rsid w:val="4330ECD9"/>
    <w:rsid w:val="43318642"/>
    <w:rsid w:val="4391FBB3"/>
    <w:rsid w:val="4464CD84"/>
    <w:rsid w:val="4466E1B2"/>
    <w:rsid w:val="44811FC1"/>
    <w:rsid w:val="459D982D"/>
    <w:rsid w:val="4676AD4E"/>
    <w:rsid w:val="471E989E"/>
    <w:rsid w:val="47B66DFA"/>
    <w:rsid w:val="47EF3022"/>
    <w:rsid w:val="486F51F2"/>
    <w:rsid w:val="48D7F6A8"/>
    <w:rsid w:val="493C7863"/>
    <w:rsid w:val="49B87B12"/>
    <w:rsid w:val="49CC9A5F"/>
    <w:rsid w:val="4AF569C1"/>
    <w:rsid w:val="4AF569C1"/>
    <w:rsid w:val="4B691B1B"/>
    <w:rsid w:val="4BF88646"/>
    <w:rsid w:val="4BFE9344"/>
    <w:rsid w:val="4D15D96C"/>
    <w:rsid w:val="4D222FC6"/>
    <w:rsid w:val="4DADFFC1"/>
    <w:rsid w:val="4E5C6D59"/>
    <w:rsid w:val="4E5F151B"/>
    <w:rsid w:val="4EBAEA76"/>
    <w:rsid w:val="511DED60"/>
    <w:rsid w:val="5201D8F4"/>
    <w:rsid w:val="525D5222"/>
    <w:rsid w:val="527ABE51"/>
    <w:rsid w:val="52E18B1D"/>
    <w:rsid w:val="53716B10"/>
    <w:rsid w:val="53A5B221"/>
    <w:rsid w:val="5416D4B2"/>
    <w:rsid w:val="54A802F3"/>
    <w:rsid w:val="5568229B"/>
    <w:rsid w:val="55D78B19"/>
    <w:rsid w:val="5638B1B8"/>
    <w:rsid w:val="571661F7"/>
    <w:rsid w:val="57E96CD0"/>
    <w:rsid w:val="57E96CD0"/>
    <w:rsid w:val="5819C047"/>
    <w:rsid w:val="58D95F20"/>
    <w:rsid w:val="5B784BAE"/>
    <w:rsid w:val="5B96CD2F"/>
    <w:rsid w:val="5C0D5426"/>
    <w:rsid w:val="5CD7E7E7"/>
    <w:rsid w:val="5D1F1ABD"/>
    <w:rsid w:val="5D8AFAC1"/>
    <w:rsid w:val="5DDE7E69"/>
    <w:rsid w:val="5E75ADC0"/>
    <w:rsid w:val="5F7FB53E"/>
    <w:rsid w:val="5FB85BE1"/>
    <w:rsid w:val="6086E04F"/>
    <w:rsid w:val="61740316"/>
    <w:rsid w:val="61DBC269"/>
    <w:rsid w:val="61E0CFA7"/>
    <w:rsid w:val="61EE3790"/>
    <w:rsid w:val="61F42285"/>
    <w:rsid w:val="61F7DB5C"/>
    <w:rsid w:val="62C268F5"/>
    <w:rsid w:val="62F2BF9F"/>
    <w:rsid w:val="64A6E046"/>
    <w:rsid w:val="64C1347A"/>
    <w:rsid w:val="64C1347A"/>
    <w:rsid w:val="64E65775"/>
    <w:rsid w:val="6600545D"/>
    <w:rsid w:val="6689DF00"/>
    <w:rsid w:val="669937F1"/>
    <w:rsid w:val="66B980FF"/>
    <w:rsid w:val="670922C2"/>
    <w:rsid w:val="673E1DC1"/>
    <w:rsid w:val="67F86306"/>
    <w:rsid w:val="689AB0F5"/>
    <w:rsid w:val="68C318A1"/>
    <w:rsid w:val="68C4A662"/>
    <w:rsid w:val="69C8149B"/>
    <w:rsid w:val="69F7C6B3"/>
    <w:rsid w:val="6B5D2B80"/>
    <w:rsid w:val="6BB2A595"/>
    <w:rsid w:val="6BC34994"/>
    <w:rsid w:val="6C16F1D3"/>
    <w:rsid w:val="6C16F1D3"/>
    <w:rsid w:val="6CCA0DDC"/>
    <w:rsid w:val="6DF679CD"/>
    <w:rsid w:val="6EBFFBF3"/>
    <w:rsid w:val="6ED952E8"/>
    <w:rsid w:val="7093A595"/>
    <w:rsid w:val="713BC605"/>
    <w:rsid w:val="7141CC33"/>
    <w:rsid w:val="74491F31"/>
    <w:rsid w:val="74CFC765"/>
    <w:rsid w:val="74F6CDA6"/>
    <w:rsid w:val="74FFD253"/>
    <w:rsid w:val="7527FB01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CC2F908"/>
    <w:rsid w:val="7D4D4BB5"/>
    <w:rsid w:val="7E0CF213"/>
    <w:rsid w:val="7E957FE1"/>
    <w:rsid w:val="7E9B6E14"/>
    <w:rsid w:val="7EA0510A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27CCB87C-B4F0-42DB-A766-7D703FB91251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2026-03-27T16:25:34.4861656Z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