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0D7D7FAC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0D7D7FAC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0D7D7FAC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0D7D7FAC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0AD52BC7" w14:paraId="6A2AF087" wp14:textId="3C43FFE6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0D7D7FAC" w:rsidR="7E49E37B">
              <w:rPr>
                <w:sz w:val="22"/>
                <w:szCs w:val="22"/>
              </w:rPr>
              <w:t xml:space="preserve">Coordenador-Geral </w:t>
            </w:r>
            <w:r w:rsidRPr="0D7D7FAC" w:rsidR="04935CD3">
              <w:rPr>
                <w:sz w:val="22"/>
                <w:szCs w:val="22"/>
              </w:rPr>
              <w:t xml:space="preserve"> </w:t>
            </w:r>
            <w:r w:rsidRPr="0D7D7FAC" w:rsidR="65C5AFC8">
              <w:rPr>
                <w:sz w:val="22"/>
                <w:szCs w:val="22"/>
              </w:rPr>
              <w:t>de Navegação Marítima</w:t>
            </w:r>
          </w:p>
        </w:tc>
      </w:tr>
      <w:tr xmlns:wp14="http://schemas.microsoft.com/office/word/2010/wordml" w:rsidTr="0D7D7FAC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4C097827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91152DB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775078ED">
              <w:rPr>
                <w:spacing w:val="-2"/>
                <w:sz w:val="22"/>
                <w:szCs w:val="22"/>
              </w:rPr>
              <w:t xml:space="preserve">1</w:t>
            </w:r>
            <w:r w:rsidRPr="4E5F151B" w:rsidR="486B3981">
              <w:rPr>
                <w:spacing w:val="-2"/>
                <w:sz w:val="22"/>
                <w:szCs w:val="22"/>
              </w:rPr>
              <w:t xml:space="preserve">.1</w:t>
            </w:r>
            <w:r w:rsidRPr="4E5F151B" w:rsidR="6554E21B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0D7D7FAC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A0585DA" w14:paraId="09751147" wp14:textId="5DD36AED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4A0585DA" w:rsidR="6959DB29">
              <w:rPr>
                <w:sz w:val="22"/>
                <w:szCs w:val="22"/>
              </w:rPr>
              <w:t xml:space="preserve">Coordenação-Geral de </w:t>
            </w:r>
            <w:r w:rsidRPr="4A0585DA" w:rsidR="577081CF">
              <w:rPr>
                <w:sz w:val="22"/>
                <w:szCs w:val="22"/>
              </w:rPr>
              <w:t xml:space="preserve">Navegação Marítima</w:t>
            </w:r>
            <w:r w:rsidRPr="4A0585DA" w:rsidR="6CD131F1">
              <w:rPr>
                <w:sz w:val="22"/>
                <w:szCs w:val="22"/>
              </w:rPr>
              <w:t xml:space="preserve">,</w:t>
            </w:r>
            <w:r w:rsidRPr="4A0585DA" w:rsidR="6959DB29">
              <w:rPr>
                <w:sz w:val="22"/>
                <w:szCs w:val="22"/>
              </w:rPr>
              <w:t xml:space="preserve"> do </w:t>
            </w:r>
            <w:r w:rsidRPr="4A0585DA" w:rsidR="6EFB27C4">
              <w:rPr>
                <w:sz w:val="22"/>
                <w:szCs w:val="22"/>
              </w:rPr>
              <w:t xml:space="preserve">Departamento de Navegação e Fomento, da 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0D7D7FAC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0D7D7FAC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15095AE0" wp14:textId="77777777" w14:paraId="2CE85D8D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5095AE0" w:rsidR="5EB6EF1A">
              <w:rPr>
                <w:sz w:val="22"/>
                <w:szCs w:val="22"/>
              </w:rPr>
              <w:t>Principais Responsabilidades</w:t>
            </w:r>
          </w:p>
          <w:p w:rsidP="15095AE0" w14:paraId="6A05A809" wp14:textId="3B6480F9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0D7D7FAC" w14:paraId="66939CD0" wp14:textId="2370DBE2">
            <w:pPr>
              <w:spacing w:before="300" w:beforeAutospacing="off" w:after="300" w:afterAutospacing="off"/>
              <w:ind w:firstLine="567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À Coordenação-Geral de Navegação Marítima – CGNM   compete</w:t>
            </w:r>
          </w:p>
          <w:p w:rsidP="0D7D7FAC" w14:paraId="3FAAA151" wp14:textId="59039C4E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 – subsidiar a promoção de estudos técnicos e econômicos sobre outorgas ou delegação de exploração e de prestação de serviços nos setores de navegação marítima.</w:t>
            </w:r>
          </w:p>
          <w:p w:rsidP="0D7D7FAC" w14:paraId="56651787" wp14:textId="179176F5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 – subsidiar na identificação e no desenvolvimento de fontes de recursos para o desenvolvimento do setor da navegação marítima; </w:t>
            </w:r>
          </w:p>
          <w:p w:rsidP="0D7D7FAC" w14:paraId="2BAAF40E" wp14:textId="41762D55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– subsidiar a elaboração e supervisão da política de outorgas e de prestação de serviços do setor de navegação marítima;</w:t>
            </w:r>
          </w:p>
          <w:p w:rsidP="0D7D7FAC" w14:paraId="6E240EEB" wp14:textId="309F0403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– subsidiar a elaboração e supervisão das políticas e as diretrizes para o desenvolvimento da marinha mercante e as diretrizes para o afretamento de embarcações estrangeiras por empresas brasileiras de navegação;</w:t>
            </w:r>
          </w:p>
          <w:p w:rsidP="0D7D7FAC" w14:paraId="4E64AAA8" wp14:textId="5E46571A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V - acompanhar e supervisionar a outorga de serviços nos setores de navegação marítima;  </w:t>
            </w:r>
          </w:p>
          <w:p w:rsidP="0D7D7FAC" w14:paraId="11AB15BC" wp14:textId="6CA68D45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VI – subsidiar a produção, a manutenção, a atualização e disponibilização de dados e informações sobre o desempenho dos setores de navegação marítima, observada a legislação específica;   </w:t>
            </w:r>
          </w:p>
          <w:p w:rsidP="0D7D7FAC" w14:paraId="2781829B" wp14:textId="53761489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VII – subsidiar o planejamento e a implementação da estratégia de aprimoramento de disponibilidade, qualidade e integração dos dados e das informações sobre o desempenho do setor de navegação marítima; </w:t>
            </w:r>
          </w:p>
          <w:p w:rsidP="0D7D7FAC" w14:paraId="17F62089" wp14:textId="34759EEA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VIII – subsidiar o Diretor de Navegação e Fomento no desempenho de suas atribuições relativas à navegação marítima, inclusive perante organismos internacionais e em convenções, acordos e tratados, respeitadas as competências legais dos demais órgãos e entidades governamentais;      </w:t>
            </w:r>
          </w:p>
          <w:p w:rsidP="0D7D7FAC" w14:paraId="11DE8C30" wp14:textId="6CDCAD7B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IX – subsidiar a elaboração de estudos e projeções relativos à disponibilidade do serviço de praticagem, em articulação com a autoridade marítima; </w:t>
            </w:r>
          </w:p>
          <w:p w:rsidP="0D7D7FAC" w14:paraId="150F9D5D" wp14:textId="4F45E237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X – subsidiar a proposição da implementação, o monitoramento e a avaliação do planejamento no setor de navegação marítima; </w:t>
            </w:r>
          </w:p>
          <w:p w:rsidP="0D7D7FAC" w14:paraId="20EC1FC3" wp14:textId="5E18C59E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XI – subsidiar o Departamento na proposição, na implementação, no monitoramento e na avaliação das ações e dos programas relativos às agendas de sustentabilidade, transição energética e descarbonização no setor de infraestrutura hidroviária, de instalações portuárias públicas de pequeno porte e de navegação marítima e interior;</w:t>
            </w:r>
          </w:p>
          <w:p w:rsidP="0D7D7FAC" w14:paraId="5399B10E" wp14:textId="3A4993DC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XII – coordenar a elaboração de estudos, programas de pesquisa, desenvolvimento e inovação, e a promoção de cooperação técnica com entidades públicas e privadas, em especial relacionadas à sustentabilidade, à transição energética e à descarbonização dos setores de navegação marítima e fluvial; e </w:t>
            </w:r>
          </w:p>
          <w:p w:rsidP="0D7D7FAC" w14:paraId="2CCAA412" wp14:textId="6B258B03">
            <w:pPr>
              <w:pStyle w:val="Normal"/>
              <w:spacing w:before="300" w:beforeAutospacing="off" w:after="300" w:afterAutospacing="off"/>
              <w:ind w:firstLine="567"/>
              <w:jc w:val="both"/>
            </w:pPr>
            <w:r w:rsidRPr="0D7D7FAC" w:rsidR="5C2A0843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XIII - analisar e emitir parecer técnico sobre os pedidos de habilitação de empresas ao Programa de Estímulo ao Transporte por Cabotagem - BR do Mar, na forma do art. 3º da Lei nº 14.301, de 7 de janeiro de 2022</w:t>
            </w:r>
          </w:p>
          <w:p w:rsidP="37BBE371" w14:paraId="410A5CD4" wp14:textId="391350EF">
            <w:pPr>
              <w:spacing w:before="300" w:beforeAutospacing="off" w:after="300" w:afterAutospacing="off"/>
              <w:ind w:firstLine="567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D7D7FAC" w:rsidR="5EB6EF1A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 </w:t>
            </w:r>
          </w:p>
          <w:p w:rsidP="15095AE0" w14:paraId="236267FB" wp14:textId="726AB277">
            <w:pPr>
              <w:pStyle w:val="Normal"/>
            </w:pPr>
          </w:p>
        </w:tc>
      </w:tr>
      <w:tr xmlns:wp14="http://schemas.microsoft.com/office/word/2010/wordml" w:rsidTr="0D7D7FAC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134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482"/>
        <w:gridCol w:w="4567"/>
      </w:tblGrid>
      <w:tr xmlns:wp14="http://schemas.microsoft.com/office/word/2010/wordml" w:rsidTr="0D7D7FAC" w14:paraId="3FA63031" wp14:textId="77777777">
        <w:trPr>
          <w:trHeight w:val="758" w:hRule="atLeast"/>
        </w:trPr>
        <w:tc>
          <w:tcPr>
            <w:tcW w:w="208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9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0D7D7FAC" w14:paraId="3781AF02" wp14:textId="77777777">
        <w:trPr>
          <w:trHeight w:val="1170"/>
        </w:trPr>
        <w:tc>
          <w:tcPr>
            <w:tcW w:w="208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049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035D5C88" wp14:textId="3507510F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3F279CAC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Coordenador Geral</w:t>
            </w:r>
            <w:r w:rsidRPr="55D78B19" w:rsidR="789BFA91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 e</w:t>
            </w:r>
          </w:p>
          <w:p w:rsidR="15095AE0" w:rsidP="0D7D7FAC" w:rsidRDefault="15095AE0" w14:paraId="53B77929" w14:textId="3158DAC4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0D7D7FAC" w:rsidR="00D93A2A">
              <w:rPr>
                <w:rFonts w:ascii="Arial MT" w:hAnsi="Arial MT" w:eastAsia="Arial MT" w:cs="Arial MT"/>
                <w:sz w:val="22"/>
                <w:szCs w:val="22"/>
              </w:rPr>
              <w:t>2 (dois) Coordenadores.</w:t>
            </w:r>
          </w:p>
          <w:p w:rsidP="3DF9F595" w14:paraId="316F6234" wp14:textId="0EEBAFB2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0D7D7FAC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0D7D7FAC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0D7D7FAC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7555C184" w14:paraId="342790D8" wp14:textId="31F9FFD0">
            <w:pPr>
              <w:pStyle w:val="TableParagraph"/>
              <w:spacing w:before="4" w:line="234" w:lineRule="exact"/>
              <w:ind w:left="0"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7555C184" w14:paraId="50568F81" wp14:textId="03D0E7F9">
            <w:pPr>
              <w:pStyle w:val="TableParagraph"/>
              <w:spacing w:before="4" w:line="234" w:lineRule="exact"/>
              <w:ind w:left="0"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7555C184" w:rsidR="20761DF8">
              <w:rPr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do Art. 18, do Decreto 10.829, de 05 de outubro de 2021.</w:t>
            </w:r>
          </w:p>
          <w:p w:rsidP="7555C184" w14:paraId="0603B81B" wp14:textId="0B236992">
            <w:pPr>
              <w:spacing w:before="200" w:beforeAutospacing="off" w:after="200" w:afterAutospacing="off"/>
              <w:ind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555C184" w:rsidR="20761DF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7555C184" w14:paraId="02981B98" wp14:textId="6C35DCA1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555C184" w:rsidR="20761DF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ter ocupado cargo em comissão ou função de confiança em qualquer Poder, inclusive na administração pública indireta, de qualquer ente federativo por, no mínimo, quatro anos;</w:t>
            </w:r>
          </w:p>
          <w:p w:rsidP="7555C184" w14:paraId="13490D6F" wp14:textId="5175C9BB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555C184" w:rsidR="20761DF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P="7555C184" w14:paraId="4A514F68" wp14:textId="265BDE1B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555C184" w:rsidR="20761DF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ter realizado ações de desenvolvimento de liderança, estabelecidas pelo Ministério da Economia, com carga horária mínima de cento e vinte horas.</w:t>
            </w:r>
          </w:p>
          <w:p w:rsidP="7555C184" w14:paraId="12684C1B" wp14:textId="4010D94D">
            <w:pPr>
              <w:pStyle w:val="TableParagraph"/>
              <w:ind w:left="105"/>
              <w:rPr>
                <w:noProof w:val="0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0D7D7FAC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0D7D7FAC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49229E4A" w14:paraId="2F87D9C4" wp14:textId="31CECED0">
            <w:pPr>
              <w:pStyle w:val="ListParagraph"/>
              <w:numPr>
                <w:ilvl w:val="0"/>
                <w:numId w:val="14"/>
              </w:numPr>
              <w:spacing w:before="220" w:beforeAutospacing="off" w:after="220" w:afterAutospacing="off" w:line="23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9229E4A" w:rsidR="53BBBFDE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</w:tc>
      </w:tr>
      <w:tr xmlns:wp14="http://schemas.microsoft.com/office/word/2010/wordml" w:rsidTr="0D7D7FAC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R="0018D021" w:rsidP="15095AE0" w:rsidRDefault="0018D021" w14:paraId="4201740C" w14:textId="075BD39B">
            <w:pPr>
              <w:pStyle w:val="ListParagraph"/>
              <w:bidi w:val="0"/>
              <w:ind w:left="720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</w:p>
          <w:p w:rsidR="46F61970" w:rsidP="04AC8F8B" w:rsidRDefault="46F61970" w14:paraId="75F08D45" w14:textId="77B281A7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360" w:lineRule="auto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1. Liderança e Gestão Estratégica</w:t>
            </w:r>
          </w:p>
          <w:p w:rsidR="46F61970" w:rsidP="04AC8F8B" w:rsidRDefault="46F61970" w14:paraId="426A9124" w14:textId="45E32C6D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Visão Sistêmica: Capacidade de enxergar o transporte marítimo dentro do planejamento integrado de infraestrutura, incluindo portos e hidrovias, alinhado às políticas públicas.</w:t>
            </w:r>
          </w:p>
          <w:p w:rsidR="46F61970" w:rsidP="04AC8F8B" w:rsidRDefault="46F61970" w14:paraId="25207C72" w14:textId="565B77CD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Gestão de Equipes e Projetos: Coordenar equipes focadas em normas, fomento e modernização de processos (</w:t>
            </w: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</w:t>
            </w: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Navegue Simples).</w:t>
            </w:r>
          </w:p>
          <w:p w:rsidR="46F61970" w:rsidP="04AC8F8B" w:rsidRDefault="46F61970" w14:paraId="6CE254AF" w14:textId="1741A053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Tomada de Decisão: Habilidade para decidir com base em dados técnicos sobre navegação e afretamento, sob pressão e com impacto nacional. </w:t>
            </w:r>
          </w:p>
          <w:p w:rsidR="46F61970" w:rsidP="04AC8F8B" w:rsidRDefault="46F61970" w14:paraId="36A54D91" w14:textId="6655CD56">
            <w:pPr>
              <w:pStyle w:val="ListParagraph"/>
              <w:numPr>
                <w:ilvl w:val="0"/>
                <w:numId w:val="12"/>
              </w:numPr>
              <w:spacing w:before="360" w:beforeAutospacing="off" w:after="180" w:afterAutospacing="off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2. Comunicação e Articulação Institucional</w:t>
            </w:r>
          </w:p>
          <w:p w:rsidR="46F61970" w:rsidP="04AC8F8B" w:rsidRDefault="46F61970" w14:paraId="61133EC4" w14:textId="5C3C585F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Articulação com Múltiplos Atores: Capacidade de dialogar com a comunidade marítima, armadores, órgãos de fiscalização (como a Marinha do Brasil/DPC) e ANTAQ.</w:t>
            </w:r>
          </w:p>
          <w:p w:rsidR="46F61970" w:rsidP="04AC8F8B" w:rsidRDefault="46F61970" w14:paraId="16E6DE7E" w14:textId="5F7B65F6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Negociação e Diplomacia: Essencial para mediar conflitos de interesse entre setor privado e público, além de representar o Ministério em foros técnicos e políticos.</w:t>
            </w:r>
          </w:p>
          <w:p w:rsidR="46F61970" w:rsidP="04AC8F8B" w:rsidRDefault="46F61970" w14:paraId="0E833F4C" w14:textId="0D421064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Comunicação Clara e Técnica: Habilidade para redigir e interpretar regulamentos, normativos e relatórios complexos. </w:t>
            </w:r>
          </w:p>
          <w:p w:rsidR="46F61970" w:rsidP="04AC8F8B" w:rsidRDefault="46F61970" w14:paraId="75B3F081" w14:textId="24B41058">
            <w:pPr>
              <w:pStyle w:val="ListParagraph"/>
              <w:numPr>
                <w:ilvl w:val="0"/>
                <w:numId w:val="12"/>
              </w:numPr>
              <w:spacing w:before="360" w:beforeAutospacing="off" w:after="180" w:afterAutospacing="off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3. Foco em Resultados e Modernização</w:t>
            </w:r>
          </w:p>
          <w:p w:rsidR="46F61970" w:rsidP="04AC8F8B" w:rsidRDefault="46F61970" w14:paraId="5180F62C" w14:textId="32515D08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Gestão da Mudança e Modernização: Proatividade para implementar a modernização e simplificação de processos, reduzindo a burocracia (eficiência operacional).</w:t>
            </w:r>
          </w:p>
          <w:p w:rsidR="46F61970" w:rsidP="04AC8F8B" w:rsidRDefault="46F61970" w14:paraId="49F24D58" w14:textId="1645CDD4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Orientação para o Fomento: Visão voltada para o desenvolvimento do setor, buscando formas de impulsionar a Marinha Mercante e a infraestrutura. </w:t>
            </w:r>
          </w:p>
          <w:p w:rsidR="46F61970" w:rsidP="04AC8F8B" w:rsidRDefault="46F61970" w14:paraId="3DCC3AC3" w14:textId="35141C5F">
            <w:pPr>
              <w:pStyle w:val="ListParagraph"/>
              <w:numPr>
                <w:ilvl w:val="0"/>
                <w:numId w:val="12"/>
              </w:numPr>
              <w:spacing w:before="360" w:beforeAutospacing="off" w:after="180" w:afterAutospacing="off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4. Gestão de Riscos e Segurança</w:t>
            </w:r>
          </w:p>
          <w:p w:rsidR="46F61970" w:rsidP="04AC8F8B" w:rsidRDefault="46F61970" w14:paraId="4481F008" w14:textId="0A80E4E9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Pensamento Crítico e Gerenciamento de Risco: Capacidade de avaliar riscos em operações de navegação e garantir o cumprimento de normativos internacionais (ISPS </w:t>
            </w: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Code</w:t>
            </w: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) e nacionais.</w:t>
            </w:r>
          </w:p>
          <w:p w:rsidR="46F61970" w:rsidP="04AC8F8B" w:rsidRDefault="46F61970" w14:paraId="1FB8F0C3" w14:textId="295BE646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Resiliência: Capacidade de gerenciar situações críticas ou crises no setor de navegação. </w:t>
            </w:r>
          </w:p>
          <w:p w:rsidR="46F61970" w:rsidP="04AC8F8B" w:rsidRDefault="46F61970" w14:paraId="2B97F2BC" w14:textId="6D9762C5">
            <w:pPr>
              <w:pStyle w:val="ListParagraph"/>
              <w:numPr>
                <w:ilvl w:val="0"/>
                <w:numId w:val="12"/>
              </w:numPr>
              <w:spacing w:before="360" w:beforeAutospacing="off" w:after="180" w:afterAutospacing="off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5. Ética e Conformidade</w:t>
            </w:r>
          </w:p>
          <w:p w:rsidR="46F61970" w:rsidP="04AC8F8B" w:rsidRDefault="46F61970" w14:paraId="4FF8CC29" w14:textId="540F465D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Probidade e Ética Pública: Compromisso com a governança, transparência e as normas da administração pública.</w:t>
            </w:r>
          </w:p>
          <w:p w:rsidR="46F61970" w:rsidP="04AC8F8B" w:rsidRDefault="46F61970" w14:paraId="0D604608" w14:textId="2B140A5D">
            <w:pPr>
              <w:pStyle w:val="ListParagraph"/>
              <w:numPr>
                <w:ilvl w:val="1"/>
                <w:numId w:val="12"/>
              </w:numP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4AC8F8B" w:rsidR="46F6197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Conhecimento Normativo: Capacidade de atuação conforme os Planos Setoriais e regulamentações da Autoridade Marítima. </w:t>
            </w:r>
          </w:p>
          <w:p w:rsidP="0018D021" w14:paraId="2DA79FA2" wp14:textId="01F59488">
            <w:pPr>
              <w:pStyle w:val="ListParagraph"/>
              <w:ind w:left="720"/>
            </w:pPr>
          </w:p>
        </w:tc>
      </w:tr>
      <w:tr xmlns:wp14="http://schemas.microsoft.com/office/word/2010/wordml" w:rsidTr="0D7D7FAC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0018D021" w14:paraId="3A033355" wp14:textId="0ADD8207">
            <w:pPr>
              <w:pStyle w:val="ListParagraph"/>
              <w:ind w:left="720"/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3">
    <w:nsid w:val="3430a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bb8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078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6be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555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b497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6f16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4c8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18D021"/>
    <w:rsid w:val="004DB920"/>
    <w:rsid w:val="00832F81"/>
    <w:rsid w:val="00D93A2A"/>
    <w:rsid w:val="01890805"/>
    <w:rsid w:val="0263DE42"/>
    <w:rsid w:val="028A1506"/>
    <w:rsid w:val="028A1506"/>
    <w:rsid w:val="03132337"/>
    <w:rsid w:val="031E94FB"/>
    <w:rsid w:val="0338381E"/>
    <w:rsid w:val="0384FAEC"/>
    <w:rsid w:val="048EDACA"/>
    <w:rsid w:val="04935CD3"/>
    <w:rsid w:val="04AC8F8B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983C05B"/>
    <w:rsid w:val="0A5EB395"/>
    <w:rsid w:val="0A7F2FDE"/>
    <w:rsid w:val="0AD52BC7"/>
    <w:rsid w:val="0AECE474"/>
    <w:rsid w:val="0B19AC88"/>
    <w:rsid w:val="0B8873A9"/>
    <w:rsid w:val="0BAB51D3"/>
    <w:rsid w:val="0BAD3C7A"/>
    <w:rsid w:val="0D58C16D"/>
    <w:rsid w:val="0D7D7FAC"/>
    <w:rsid w:val="0D7FE291"/>
    <w:rsid w:val="0DBE41D9"/>
    <w:rsid w:val="0DEA2043"/>
    <w:rsid w:val="0EA6D729"/>
    <w:rsid w:val="0EA6D729"/>
    <w:rsid w:val="0ED55DA0"/>
    <w:rsid w:val="0F26079F"/>
    <w:rsid w:val="0F9EAEA6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095AE0"/>
    <w:rsid w:val="15836AA3"/>
    <w:rsid w:val="1614AF37"/>
    <w:rsid w:val="164AF5C7"/>
    <w:rsid w:val="16D4E408"/>
    <w:rsid w:val="17C89453"/>
    <w:rsid w:val="1938492B"/>
    <w:rsid w:val="1938492B"/>
    <w:rsid w:val="19621213"/>
    <w:rsid w:val="198D3CE7"/>
    <w:rsid w:val="19E756B1"/>
    <w:rsid w:val="1C3F8459"/>
    <w:rsid w:val="1CFE5B37"/>
    <w:rsid w:val="1D2F5075"/>
    <w:rsid w:val="1DB02321"/>
    <w:rsid w:val="1ED0DE90"/>
    <w:rsid w:val="1F1AD64D"/>
    <w:rsid w:val="1F7A7F2B"/>
    <w:rsid w:val="1F939401"/>
    <w:rsid w:val="1FE089A5"/>
    <w:rsid w:val="1FE089A5"/>
    <w:rsid w:val="20761DF8"/>
    <w:rsid w:val="21F1AC37"/>
    <w:rsid w:val="22313E9D"/>
    <w:rsid w:val="23222BED"/>
    <w:rsid w:val="2328E310"/>
    <w:rsid w:val="23899D05"/>
    <w:rsid w:val="248DB5EC"/>
    <w:rsid w:val="24F17C1B"/>
    <w:rsid w:val="2506C527"/>
    <w:rsid w:val="25E8A580"/>
    <w:rsid w:val="270F4C3A"/>
    <w:rsid w:val="275DD6AB"/>
    <w:rsid w:val="275DD6AB"/>
    <w:rsid w:val="293FD008"/>
    <w:rsid w:val="293FD008"/>
    <w:rsid w:val="29B47ABE"/>
    <w:rsid w:val="29DB6B1A"/>
    <w:rsid w:val="2A452E09"/>
    <w:rsid w:val="2B209399"/>
    <w:rsid w:val="2B28944F"/>
    <w:rsid w:val="2BBEA836"/>
    <w:rsid w:val="2C6EEF59"/>
    <w:rsid w:val="2C90AF38"/>
    <w:rsid w:val="3054D79A"/>
    <w:rsid w:val="315E0CF5"/>
    <w:rsid w:val="319E8599"/>
    <w:rsid w:val="3310157A"/>
    <w:rsid w:val="33C14FB2"/>
    <w:rsid w:val="33C14FB2"/>
    <w:rsid w:val="3411BC81"/>
    <w:rsid w:val="3411BC81"/>
    <w:rsid w:val="358206C0"/>
    <w:rsid w:val="365CF956"/>
    <w:rsid w:val="37BBE371"/>
    <w:rsid w:val="38FA13CD"/>
    <w:rsid w:val="391F8A8D"/>
    <w:rsid w:val="39EEB344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F279CAC"/>
    <w:rsid w:val="3F2E8FAB"/>
    <w:rsid w:val="3F506570"/>
    <w:rsid w:val="3F5AD831"/>
    <w:rsid w:val="3F6B6766"/>
    <w:rsid w:val="3F958046"/>
    <w:rsid w:val="404D8000"/>
    <w:rsid w:val="41E8BFD0"/>
    <w:rsid w:val="4271C7DB"/>
    <w:rsid w:val="427F7D59"/>
    <w:rsid w:val="4330ECD9"/>
    <w:rsid w:val="43318642"/>
    <w:rsid w:val="4461CEC7"/>
    <w:rsid w:val="4464CD84"/>
    <w:rsid w:val="459D982D"/>
    <w:rsid w:val="46739F94"/>
    <w:rsid w:val="4676AD4E"/>
    <w:rsid w:val="46F61970"/>
    <w:rsid w:val="47B66DFA"/>
    <w:rsid w:val="47EF3022"/>
    <w:rsid w:val="486B3981"/>
    <w:rsid w:val="48D7F6A8"/>
    <w:rsid w:val="49229E4A"/>
    <w:rsid w:val="493C7863"/>
    <w:rsid w:val="4987FAD2"/>
    <w:rsid w:val="49CC9A5F"/>
    <w:rsid w:val="4A0585DA"/>
    <w:rsid w:val="4A73AA4A"/>
    <w:rsid w:val="4AF569C1"/>
    <w:rsid w:val="4AF569C1"/>
    <w:rsid w:val="4BA4CD35"/>
    <w:rsid w:val="4BF88646"/>
    <w:rsid w:val="4BFE9344"/>
    <w:rsid w:val="4D15D96C"/>
    <w:rsid w:val="4DFEDC97"/>
    <w:rsid w:val="4E5F151B"/>
    <w:rsid w:val="4EBAEA76"/>
    <w:rsid w:val="503A18CA"/>
    <w:rsid w:val="511DED60"/>
    <w:rsid w:val="5201D8F4"/>
    <w:rsid w:val="52E18B1D"/>
    <w:rsid w:val="53A5B221"/>
    <w:rsid w:val="53BBBFDE"/>
    <w:rsid w:val="5416D4B2"/>
    <w:rsid w:val="5568229B"/>
    <w:rsid w:val="55D78B19"/>
    <w:rsid w:val="577081CF"/>
    <w:rsid w:val="57E96CD0"/>
    <w:rsid w:val="57E96CD0"/>
    <w:rsid w:val="5819C047"/>
    <w:rsid w:val="589CDB17"/>
    <w:rsid w:val="591152DB"/>
    <w:rsid w:val="5A172A86"/>
    <w:rsid w:val="5AD6E0D5"/>
    <w:rsid w:val="5B96CD2F"/>
    <w:rsid w:val="5C0D5426"/>
    <w:rsid w:val="5C2A0843"/>
    <w:rsid w:val="5CD7E7E7"/>
    <w:rsid w:val="5D1F1ABD"/>
    <w:rsid w:val="5D8AFAC1"/>
    <w:rsid w:val="5DDE7E69"/>
    <w:rsid w:val="5DECA1CE"/>
    <w:rsid w:val="5E75ADC0"/>
    <w:rsid w:val="5EB6EF1A"/>
    <w:rsid w:val="5F7FB53E"/>
    <w:rsid w:val="5FB85BE1"/>
    <w:rsid w:val="600BA147"/>
    <w:rsid w:val="6086E04F"/>
    <w:rsid w:val="61740316"/>
    <w:rsid w:val="61DBC269"/>
    <w:rsid w:val="61E0CFA7"/>
    <w:rsid w:val="61F7DB5C"/>
    <w:rsid w:val="624D656E"/>
    <w:rsid w:val="62C268F5"/>
    <w:rsid w:val="62F2BF9F"/>
    <w:rsid w:val="63682C03"/>
    <w:rsid w:val="6450FF5B"/>
    <w:rsid w:val="649A42B3"/>
    <w:rsid w:val="64A6E046"/>
    <w:rsid w:val="64C1347A"/>
    <w:rsid w:val="64C1347A"/>
    <w:rsid w:val="64E0F427"/>
    <w:rsid w:val="6554E21B"/>
    <w:rsid w:val="65C5AFC8"/>
    <w:rsid w:val="6600545D"/>
    <w:rsid w:val="6689DF00"/>
    <w:rsid w:val="669937F1"/>
    <w:rsid w:val="673E1DC1"/>
    <w:rsid w:val="67B63853"/>
    <w:rsid w:val="689AB0F5"/>
    <w:rsid w:val="68C318A1"/>
    <w:rsid w:val="6959DB29"/>
    <w:rsid w:val="69F7C6B3"/>
    <w:rsid w:val="6A4AEEC0"/>
    <w:rsid w:val="6B5D2B80"/>
    <w:rsid w:val="6BB2A595"/>
    <w:rsid w:val="6BC34994"/>
    <w:rsid w:val="6C16F1D3"/>
    <w:rsid w:val="6C16F1D3"/>
    <w:rsid w:val="6CD131F1"/>
    <w:rsid w:val="6DF679CD"/>
    <w:rsid w:val="6ED952E8"/>
    <w:rsid w:val="6EFB27C4"/>
    <w:rsid w:val="6F4CC16C"/>
    <w:rsid w:val="70A8E5D1"/>
    <w:rsid w:val="713BC605"/>
    <w:rsid w:val="7141CC33"/>
    <w:rsid w:val="74491F31"/>
    <w:rsid w:val="74CFC765"/>
    <w:rsid w:val="74F6CDA6"/>
    <w:rsid w:val="74FA6DD5"/>
    <w:rsid w:val="74FFD253"/>
    <w:rsid w:val="7527FB01"/>
    <w:rsid w:val="7555C184"/>
    <w:rsid w:val="775078ED"/>
    <w:rsid w:val="7794EE82"/>
    <w:rsid w:val="77C247FD"/>
    <w:rsid w:val="782D8A29"/>
    <w:rsid w:val="789BFA91"/>
    <w:rsid w:val="78D3C9CD"/>
    <w:rsid w:val="78F9D27A"/>
    <w:rsid w:val="7929AF3A"/>
    <w:rsid w:val="797A67AE"/>
    <w:rsid w:val="799CDD31"/>
    <w:rsid w:val="79FB36E3"/>
    <w:rsid w:val="7A687CDE"/>
    <w:rsid w:val="7A9CFF32"/>
    <w:rsid w:val="7B0613B5"/>
    <w:rsid w:val="7B9618BA"/>
    <w:rsid w:val="7CC2F908"/>
    <w:rsid w:val="7E0CF213"/>
    <w:rsid w:val="7E49E37B"/>
    <w:rsid w:val="7E9B6E14"/>
    <w:rsid w:val="7FDBDCDD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61D77E7D-07A6-48CA-9E53-07682DA02D96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2026-03-27T16:58:09.2914766Z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