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7D9DE199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7D9DE199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7D9DE199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7D9DE199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6E75FAD2" w14:paraId="6A2AF087" wp14:textId="40E4A457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7D9DE199" w:rsidR="0FBEC224">
              <w:rPr>
                <w:sz w:val="22"/>
                <w:szCs w:val="22"/>
              </w:rPr>
              <w:t>Coordenador-Geral</w:t>
            </w:r>
            <w:r w:rsidRPr="7D9DE199" w:rsidR="5506D649">
              <w:rPr>
                <w:sz w:val="22"/>
                <w:szCs w:val="22"/>
              </w:rPr>
              <w:t xml:space="preserve"> de Planejamento Sustentável</w:t>
            </w:r>
          </w:p>
        </w:tc>
      </w:tr>
      <w:tr xmlns:wp14="http://schemas.microsoft.com/office/word/2010/wordml" w:rsidTr="7D9DE199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1AC810FC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91152DB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775078ED">
              <w:rPr>
                <w:spacing w:val="-2"/>
                <w:sz w:val="22"/>
                <w:szCs w:val="22"/>
              </w:rPr>
              <w:t xml:space="preserve">1</w:t>
            </w:r>
            <w:r w:rsidRPr="4E5F151B" w:rsidR="486B3981">
              <w:rPr>
                <w:spacing w:val="-2"/>
                <w:sz w:val="22"/>
                <w:szCs w:val="22"/>
              </w:rPr>
              <w:t xml:space="preserve">.1</w:t>
            </w:r>
            <w:r w:rsidRPr="4E5F151B" w:rsidR="77B87610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7D9DE199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110E7039" w14:paraId="09751147" wp14:textId="210AEE9F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110E7039" w:rsidR="5B831ABB">
              <w:rPr>
                <w:sz w:val="22"/>
                <w:szCs w:val="22"/>
              </w:rPr>
              <w:t xml:space="preserve">Co</w:t>
            </w:r>
            <w:r w:rsidRPr="110E7039" w:rsidR="5B831ABB">
              <w:rPr>
                <w:sz w:val="22"/>
                <w:szCs w:val="22"/>
              </w:rPr>
              <w:t xml:space="preserve">ordenação-Geral de </w:t>
            </w:r>
            <w:r w:rsidRPr="110E7039" w:rsidR="53A2E8FD">
              <w:rPr>
                <w:sz w:val="22"/>
                <w:szCs w:val="22"/>
              </w:rPr>
              <w:t xml:space="preserve">Planejamento S</w:t>
            </w:r>
            <w:r w:rsidRPr="110E7039" w:rsidR="0B1E5774">
              <w:rPr>
                <w:sz w:val="22"/>
                <w:szCs w:val="22"/>
              </w:rPr>
              <w:t xml:space="preserve">ustentável</w:t>
            </w:r>
            <w:r w:rsidRPr="110E7039" w:rsidR="5B831ABB">
              <w:rPr>
                <w:sz w:val="22"/>
                <w:szCs w:val="22"/>
              </w:rPr>
              <w:t xml:space="preserve"> do Departamento de </w:t>
            </w:r>
            <w:r w:rsidRPr="110E7039" w:rsidR="54F095F5">
              <w:rPr>
                <w:sz w:val="22"/>
                <w:szCs w:val="22"/>
              </w:rPr>
              <w:t xml:space="preserve">Gestão Hidroviária, da Secretaria Nacional de Hidrovias e Navegação,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7D9DE199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7D9DE199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12200831" wp14:textId="77777777" w14:paraId="69CB5EC5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2200831" w:rsidR="08D8561E">
              <w:rPr>
                <w:sz w:val="22"/>
                <w:szCs w:val="22"/>
              </w:rPr>
              <w:t>Principais Responsabilidades</w:t>
            </w:r>
          </w:p>
          <w:p w:rsidP="12200831" w14:paraId="6A05A809" wp14:textId="0C918E3D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12200831" w14:paraId="68F90155" wp14:textId="322B358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I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– 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monitorar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os principais 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empreendimentos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públicos e programas de infraestrutura do setor de transporte hidroviário;</w:t>
            </w:r>
          </w:p>
          <w:p w:rsidP="12200831" w14:paraId="21FA07F8" wp14:textId="7B98116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II - 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apoiar e acompanhar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o DNIT na resolução de entraves visando à execução dos principais empreendimentos de infraestrutura aquaviária;</w:t>
            </w:r>
          </w:p>
          <w:p w:rsidP="12200831" w14:paraId="178B3178" wp14:textId="2C01C07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III - subsidiar a elaboração de programas, investimentos e carteira de projetos voltados ao setor de transporte hidroviário, propondo a priorização de investimentos em articulação com as entidades vinculadas;</w:t>
            </w:r>
          </w:p>
          <w:p w:rsidP="12200831" w14:paraId="6A1ADED9" wp14:textId="422176E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IV - 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subsidiar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elaboração da proposição orçamentária e do plano plurianual de investimentos para os programas de transporte aquaviário;</w:t>
            </w:r>
          </w:p>
          <w:p w:rsidP="12200831" w14:paraId="77029BDB" wp14:textId="77DCB2D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 - 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propor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melhorias para a execução e o desempenho dos empreendimentos em hidrovias e em infraestrutura aquaviária em andamento no Departamento Nacional de Infraestrutura de Transportes – DNIT;</w:t>
            </w:r>
          </w:p>
          <w:p w:rsidP="12200831" w14:paraId="3EB979AE" wp14:textId="6C86D88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VI - 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promover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articulação com o Departamento Nacional de Infraestrutura de Transportes – DNIT no desenvolvimento e harmonização de ferramentas e instrumentos de apoio à gestão da infraestrutura hidroviária;</w:t>
            </w:r>
          </w:p>
          <w:p w:rsidP="12200831" w14:paraId="464F1D77" wp14:textId="0D289E2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VII - acompanhar a gestão do patrimônio relacionado à infraestrutura de transporte hidroviário;</w:t>
            </w:r>
          </w:p>
          <w:p w:rsidP="12200831" w14:paraId="42CE6151" wp14:textId="47F53FC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VIII - subsidiar e apoiar tecnicamente ações estratégicas de aprimoramento da disponibilidade, qualidade e integração das informações, visando ao planejamento e à gestão das obras em execução pelo Departamento Nacional de Infraestrutura de Transportes – DNIT;</w:t>
            </w:r>
          </w:p>
          <w:p w:rsidP="12200831" w14:paraId="1B798AA5" wp14:textId="3587097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IX - 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orientar e consolidar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as informações dos empreendimentos de transporte hidroviário, para uso na elaboração de painéis gerenciais e indicadores de gestão, de modo a subsidiar o acompanhamento dos empreendimentos e a tomada de decisão;</w:t>
            </w:r>
          </w:p>
          <w:p w:rsidP="12200831" w14:paraId="0C2F1F22" wp14:textId="1ADFA61E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X - 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fomentar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 capacitação da equipe técnica nos assuntos relativos 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inovação, novas tecnologias, gestão, acompanhamento e sustentabilidade dos empreendimentos do setor de transporte hidroviário;</w:t>
            </w:r>
          </w:p>
          <w:p w:rsidP="12200831" w14:paraId="40BB85DC" wp14:textId="2D178CB7">
            <w:pPr>
              <w:spacing w:before="280" w:beforeAutospacing="off" w:after="0" w:afterAutospacing="off"/>
              <w:jc w:val="both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sz w:val="20"/>
                <w:szCs w:val="20"/>
                <w:lang w:val="pt-BR"/>
              </w:rPr>
              <w:t>XI - promover produções científicas e tecnológicas para inovação, novas tecnologias, gestão, acompanhamento e sustentabilidade dos empreendimentos de hidrovias e de instalações portuárias públicas de pequeno porte;</w:t>
            </w:r>
          </w:p>
          <w:p w:rsidP="12200831" w14:paraId="076AD64D" wp14:textId="04DBA79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XII - propor e coordenar parcerias com centros de excelência nacionais e internacionais para a realização de estudos, pesquisas experimentais, eventos e intercâmbio de informações na área de hidrovias, instalações portuárias públicas de pequeno porte e transporte hidroviário interior;</w:t>
            </w:r>
          </w:p>
          <w:p w:rsidP="12200831" w14:paraId="571B6517" wp14:textId="0B22B4F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XIII - assistir tecnicamente o Diretor nos assuntos relativos à formulação e implementação do planejamento estratégico do Ministério, no que diz respeito à infraestrutura aquaviária; e</w:t>
            </w:r>
          </w:p>
          <w:p w:rsidP="12200831" w14:paraId="08D08D20" wp14:textId="2C30357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XIV - assistir tecnicamente o Diretor nos assuntos relativos à atualização, orientação e implementação do SNV, no que se refere a infraestrutura de hidrovias e instalações portuárias públicas de pequeno porte; e</w:t>
            </w:r>
          </w:p>
          <w:p w:rsidP="12200831" w14:paraId="6258DB5B" wp14:textId="5201EF1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8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XV - 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monitorar</w:t>
            </w:r>
            <w:r w:rsidRPr="12200831" w:rsidR="08D8561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atualizações e assistir tecnicamente na orientação de planos, programas e ações de gestão, segurança, desenvolvimento sustentável e patrimônio relativos a hidrovias e instalações portuárias públicas de pequeno porte.</w:t>
            </w:r>
          </w:p>
          <w:p w:rsidP="12200831" w14:paraId="361B68A1" wp14:textId="4827EC18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Arial MT" w:hAnsi="Arial MT" w:eastAsia="Arial MT" w:cs="Arial MT"/>
                <w:noProof w:val="0"/>
                <w:color w:val="333333"/>
                <w:sz w:val="21"/>
                <w:szCs w:val="21"/>
                <w:lang w:val="pt-PT"/>
              </w:rPr>
            </w:pPr>
          </w:p>
          <w:p w:rsidP="07AE0E76" w14:paraId="4D6B379C" wp14:textId="1DF78331">
            <w:pPr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</w:p>
          <w:p w:rsidP="5AD6E0D5" w14:paraId="236267FB" wp14:textId="5A513D51">
            <w:pPr>
              <w:pStyle w:val="Normal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w:rsidR="12200831" w:rsidTr="7D9DE199" w14:paraId="52B7CCF1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:rsidR="12200831" w:rsidP="12200831" w:rsidRDefault="12200831" w14:paraId="365124EF" w14:textId="569F24AC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R="12200831" w:rsidP="12200831" w:rsidRDefault="12200831" w14:paraId="1BE97F82" w14:textId="4BAE7655">
            <w:pPr>
              <w:pStyle w:val="TableParagraph"/>
              <w:spacing w:line="230" w:lineRule="exact"/>
              <w:rPr>
                <w:sz w:val="22"/>
                <w:szCs w:val="22"/>
              </w:rPr>
            </w:pPr>
          </w:p>
        </w:tc>
      </w:tr>
      <w:tr xmlns:wp14="http://schemas.microsoft.com/office/word/2010/wordml" w:rsidTr="7D9DE199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134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482"/>
        <w:gridCol w:w="4567"/>
      </w:tblGrid>
      <w:tr xmlns:wp14="http://schemas.microsoft.com/office/word/2010/wordml" w:rsidTr="7D9DE199" w14:paraId="3FA63031" wp14:textId="77777777">
        <w:trPr>
          <w:trHeight w:val="758" w:hRule="atLeast"/>
        </w:trPr>
        <w:tc>
          <w:tcPr>
            <w:tcW w:w="208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9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7D9DE199" w14:paraId="3781AF02" wp14:textId="77777777">
        <w:trPr>
          <w:trHeight w:val="1170"/>
        </w:trPr>
        <w:tc>
          <w:tcPr>
            <w:tcW w:w="208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049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0D0DF5A0" wp14:textId="1EFAB146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4C99ACD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7799A3D2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Coordenador Geral</w:t>
            </w:r>
            <w:r w:rsidRPr="55D78B19" w:rsidR="2CF61210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  <w:r w:rsidRPr="55D78B19" w:rsidR="362011AD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e</w:t>
            </w:r>
          </w:p>
          <w:p w:rsidR="2CF61210" w:rsidP="10A68233" w:rsidRDefault="2CF61210" w14:paraId="291C5EAE" w14:textId="1AD9C9C3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7D9DE199" w:rsidR="2CF61210">
              <w:rPr>
                <w:rFonts w:ascii="Arial MT" w:hAnsi="Arial MT" w:eastAsia="Arial MT" w:cs="Arial MT"/>
                <w:sz w:val="22"/>
                <w:szCs w:val="22"/>
              </w:rPr>
              <w:t xml:space="preserve">2 (dois) </w:t>
            </w:r>
            <w:r w:rsidRPr="7D9DE199" w:rsidR="2CF61210">
              <w:rPr>
                <w:rFonts w:ascii="Arial MT" w:hAnsi="Arial MT" w:eastAsia="Arial MT" w:cs="Arial MT"/>
                <w:sz w:val="22"/>
                <w:szCs w:val="22"/>
              </w:rPr>
              <w:t>Coordenadores;</w:t>
            </w:r>
            <w:r w:rsidRPr="7D9DE199" w:rsidR="64988B6F">
              <w:rPr>
                <w:rFonts w:ascii="Arial MT" w:hAnsi="Arial MT" w:eastAsia="Arial MT" w:cs="Arial MT"/>
                <w:sz w:val="22"/>
                <w:szCs w:val="22"/>
              </w:rPr>
              <w:t xml:space="preserve"> </w:t>
            </w:r>
          </w:p>
          <w:p w:rsidP="3DF9F595" w14:paraId="316F6234" wp14:textId="0EEBAFB2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7D9DE199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7D9DE199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56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7D9DE199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567" w:type="dxa"/>
            <w:tcMar/>
          </w:tcPr>
          <w:p w:rsidP="170EA846" w14:paraId="7D044D8F" wp14:textId="7C97A755">
            <w:pPr>
              <w:pStyle w:val="TableParagraph"/>
              <w:spacing w:before="4" w:line="234" w:lineRule="exact"/>
              <w:ind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170EA846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</w:p>
          <w:p w:rsidR="170EA846" w:rsidP="170EA846" w:rsidRDefault="170EA846" w14:paraId="21C62100" w14:textId="75128612">
            <w:pPr>
              <w:pStyle w:val="Normal"/>
              <w:spacing w:before="225" w:beforeAutospacing="off" w:after="225" w:afterAutospacing="off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</w:p>
          <w:p w:rsidR="7BFB767B" w:rsidP="170EA846" w:rsidRDefault="7BFB767B" w14:paraId="36F87EAA" w14:textId="3F866DE0">
            <w:pPr>
              <w:pStyle w:val="TableParagraph"/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170EA846" w:rsidR="7BFB767B">
              <w:rPr>
                <w:noProof w:val="0"/>
                <w:color w:val="0A0A0A"/>
                <w:sz w:val="20"/>
                <w:szCs w:val="20"/>
                <w:lang w:val="pt-PT"/>
              </w:rPr>
              <w:t xml:space="preserve">Atender, no mínimo, a um dos seguintes critérios do </w:t>
            </w:r>
            <w:r w:rsidRPr="170EA846" w:rsidR="7BFB767B">
              <w:rPr>
                <w:noProof w:val="0"/>
                <w:color w:val="0A0A0A"/>
                <w:sz w:val="20"/>
                <w:szCs w:val="20"/>
                <w:lang w:val="pt-PT"/>
              </w:rPr>
              <w:t>Art</w:t>
            </w:r>
            <w:r w:rsidRPr="170EA846" w:rsidR="7BFB767B">
              <w:rPr>
                <w:noProof w:val="0"/>
                <w:color w:val="0A0A0A"/>
                <w:sz w:val="20"/>
                <w:szCs w:val="20"/>
                <w:lang w:val="pt-PT"/>
              </w:rPr>
              <w:t>. 18, do Decreto 10.829, de 05 de outubro de 2021.</w:t>
            </w:r>
          </w:p>
          <w:p w:rsidR="7BFB767B" w:rsidP="170EA846" w:rsidRDefault="7BFB767B" w14:paraId="153128CC" w14:textId="69B32A0D">
            <w:pPr>
              <w:pStyle w:val="Normal"/>
              <w:spacing w:before="200" w:beforeAutospacing="off" w:after="200" w:afterAutospacing="off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70EA846" w:rsidR="7BFB767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 - </w:t>
            </w:r>
            <w:r w:rsidRPr="170EA846" w:rsidR="7BFB767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possuir</w:t>
            </w:r>
            <w:r w:rsidRPr="170EA846" w:rsidR="7BFB767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7BFB767B" w:rsidP="170EA846" w:rsidRDefault="7BFB767B" w14:paraId="20947682" w14:textId="7909C9A6">
            <w:pPr>
              <w:pStyle w:val="Normal"/>
              <w:spacing w:before="225" w:beforeAutospacing="off" w:after="225" w:afterAutospacing="off"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70EA846" w:rsidR="7BFB767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ter ocupado cargo em comissão ou função de confiança em qualquer Poder, inclusive na administração pública indireta, de qualquer ente federativo por, no mínimo, quatro anos;</w:t>
            </w:r>
          </w:p>
          <w:p w:rsidR="7BFB767B" w:rsidP="170EA846" w:rsidRDefault="7BFB767B" w14:paraId="0CFB1B78" w14:textId="5C54625E">
            <w:pPr>
              <w:pStyle w:val="Normal"/>
              <w:spacing w:before="225" w:beforeAutospacing="off" w:after="225" w:afterAutospacing="off"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70EA846" w:rsidR="7BFB767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7BFB767B" w:rsidP="170EA846" w:rsidRDefault="7BFB767B" w14:paraId="1E2C7D58" w14:textId="5199BA91">
            <w:pPr>
              <w:pStyle w:val="Normal"/>
              <w:spacing w:before="225" w:beforeAutospacing="off" w:after="225" w:afterAutospacing="off"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170EA846" w:rsidR="7BFB767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ter realizado ações de desenvolvimento de liderança, estabelecidas pelo Ministério da Economia, com carga horária mínima de cento e vinte horas.</w:t>
            </w:r>
          </w:p>
          <w:p w:rsidP="170EA846" w14:paraId="12684C1B" wp14:textId="769330EC">
            <w:pPr>
              <w:pStyle w:val="TableParagraph"/>
              <w:ind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7D9DE199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7D9DE199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0C017324" w14:paraId="718B19B2" wp14:textId="0DA09E9B">
            <w:pPr>
              <w:pStyle w:val="TableParagraph"/>
              <w:numPr>
                <w:ilvl w:val="0"/>
                <w:numId w:val="13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0C017324" w:rsidR="5FFAD83D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55D78B19" w14:paraId="0B7A4EC0" wp14:textId="3370B19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2F87D9C4" wp14:textId="33BEB4B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7D9DE199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789006FB" w14:paraId="06136AD8" wp14:textId="565F8ED4">
            <w:pPr>
              <w:pStyle w:val="ListParagraph"/>
              <w:numPr>
                <w:ilvl w:val="0"/>
                <w:numId w:val="10"/>
              </w:numPr>
              <w:spacing w:before="360" w:beforeAutospacing="off" w:after="18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1. Articulação e Negociação 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Intersetorial</w:t>
            </w:r>
          </w:p>
          <w:p w:rsidP="789006FB" w14:paraId="544F85FD" wp14:textId="03884CD1">
            <w:pPr>
              <w:spacing w:before="180" w:beforeAutospacing="off" w:after="24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O cargo exige o diálogo constante entre o governo, agências reguladoras e o setor privado. </w:t>
            </w:r>
          </w:p>
          <w:p w:rsidP="789006FB" w14:paraId="6ABB0BA4" wp14:textId="7BBF8F8D">
            <w:pPr>
              <w:pStyle w:val="ListParagraph"/>
              <w:numPr>
                <w:ilvl w:val="1"/>
                <w:numId w:val="11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Pacto pela Sustentabilidade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: Capacidade de convencer empresas a aderirem a pactos voluntários e adotarem inventários de emissões.</w:t>
            </w:r>
          </w:p>
          <w:p w:rsidP="789006FB" w14:paraId="55841B59" wp14:textId="75419F63">
            <w:pPr>
              <w:pStyle w:val="ListParagraph"/>
              <w:numPr>
                <w:ilvl w:val="1"/>
                <w:numId w:val="11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Parcerias Internacionais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: Habilidade para negociar memorandos de entendimento com outros países (como Noruega e Singapura) sobre tecnologias verdes e corredores de inovação. </w:t>
            </w:r>
          </w:p>
          <w:p w:rsidP="789006FB" w14:paraId="65C0EE3A" wp14:textId="721FB3CC">
            <w:pPr>
              <w:spacing w:before="360" w:beforeAutospacing="off" w:after="18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2. Visão Sistêmica e Planejamento Estratégico</w:t>
            </w:r>
          </w:p>
          <w:p w:rsidP="789006FB" w14:paraId="2D47E76D" wp14:textId="3B664CAA">
            <w:pPr>
              <w:spacing w:before="180" w:beforeAutospacing="off" w:after="24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O coordenador deve integrar as necessidades locais das hidrovias com as metas globais de sustentabilidade, como a </w:t>
            </w: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Agenda 2030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. </w:t>
            </w:r>
          </w:p>
          <w:p w:rsidP="789006FB" w14:paraId="2905FEB2" wp14:textId="542F1E49">
            <w:pPr>
              <w:pStyle w:val="ListParagraph"/>
              <w:numPr>
                <w:ilvl w:val="1"/>
                <w:numId w:val="11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Integração de Modais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: Compreender como o planejamento hidroviário impacta a redução do tráfego rodoviário e a eficiência logística nacional.</w:t>
            </w:r>
          </w:p>
          <w:p w:rsidP="789006FB" w14:paraId="64E9AB7B" wp14:textId="4EA88817">
            <w:pPr>
              <w:pStyle w:val="ListParagraph"/>
              <w:numPr>
                <w:ilvl w:val="1"/>
                <w:numId w:val="11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Gestão de Longo Prazo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: Alinhamento das ações com instrumentos como o PPA e Planos Setoriais Hidroviários. </w:t>
            </w:r>
          </w:p>
          <w:p w:rsidP="789006FB" w14:paraId="599724F6" wp14:textId="5966CE92">
            <w:pPr>
              <w:spacing w:before="360" w:beforeAutospacing="off" w:after="18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3. Liderança para a Inovação e Transição Energética</w:t>
            </w:r>
          </w:p>
          <w:p w:rsidP="789006FB" w14:paraId="0D033341" wp14:textId="10182411">
            <w:pPr>
              <w:spacing w:before="180" w:beforeAutospacing="off" w:after="24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Dada a agenda de sustentabilidade que prevê a eletrificação e o uso de combustíveis limpos, o gestor precisa promover uma cultura de mudança. </w:t>
            </w:r>
          </w:p>
          <w:p w:rsidP="789006FB" w14:paraId="12AA0C97" wp14:textId="1E56438D">
            <w:pPr>
              <w:pStyle w:val="ListParagraph"/>
              <w:numPr>
                <w:ilvl w:val="1"/>
                <w:numId w:val="11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Adaptabilidade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: Capacidade de lidar com novos marcos regulatórios e tecnologias emergentes de descarbonização.</w:t>
            </w:r>
          </w:p>
          <w:p w:rsidP="789006FB" w14:paraId="7A424482" wp14:textId="3B8883B0">
            <w:pPr>
              <w:pStyle w:val="ListParagraph"/>
              <w:numPr>
                <w:ilvl w:val="1"/>
                <w:numId w:val="11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Fomento à Sustentabilidade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: Atuar 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proativamente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na busca de instrumentos de financiamento (como o Fundo da Marinha Mercante) para projetos sustentáveis. </w:t>
            </w:r>
          </w:p>
          <w:p w:rsidP="789006FB" w14:paraId="71819A33" wp14:textId="5FA61524">
            <w:pPr>
              <w:spacing w:before="360" w:beforeAutospacing="off" w:after="180" w:afterAutospacing="off" w:line="254" w:lineRule="exact"/>
              <w:ind/>
              <w:rPr>
                <w:rFonts w:ascii="Arial MT" w:hAnsi="Arial MT" w:eastAsia="Arial MT" w:cs="Arial MT"/>
                <w:i w:val="1"/>
                <w:iCs w:val="1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4. Comunicação Transparente e </w:t>
            </w:r>
            <w:r w:rsidRPr="789006FB" w:rsidR="5B5310EF">
              <w:rPr>
                <w:rFonts w:ascii="Arial MT" w:hAnsi="Arial MT" w:eastAsia="Arial MT" w:cs="Arial MT"/>
                <w:i w:val="1"/>
                <w:iCs w:val="1"/>
                <w:noProof w:val="0"/>
                <w:color w:val="0A0A0A"/>
                <w:sz w:val="20"/>
                <w:szCs w:val="20"/>
                <w:lang w:val="pt-PT"/>
              </w:rPr>
              <w:t>Stakeholder</w:t>
            </w:r>
            <w:r w:rsidRPr="789006FB" w:rsidR="5B5310EF">
              <w:rPr>
                <w:rFonts w:ascii="Arial MT" w:hAnsi="Arial MT" w:eastAsia="Arial MT" w:cs="Arial MT"/>
                <w:i w:val="1"/>
                <w:iCs w:val="1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789006FB" w:rsidR="5B5310EF">
              <w:rPr>
                <w:rFonts w:ascii="Arial MT" w:hAnsi="Arial MT" w:eastAsia="Arial MT" w:cs="Arial MT"/>
                <w:i w:val="1"/>
                <w:iCs w:val="1"/>
                <w:noProof w:val="0"/>
                <w:color w:val="0A0A0A"/>
                <w:sz w:val="20"/>
                <w:szCs w:val="20"/>
                <w:lang w:val="pt-PT"/>
              </w:rPr>
              <w:t>Engagement</w:t>
            </w:r>
          </w:p>
          <w:p w:rsidP="789006FB" w14:paraId="05313406" wp14:textId="3A345757">
            <w:pPr>
              <w:spacing w:before="180" w:beforeAutospacing="off" w:after="24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Essencial para gerir a imagem do setor e responder a consultas públicas. </w:t>
            </w:r>
          </w:p>
          <w:p w:rsidP="789006FB" w14:paraId="7A37C620" wp14:textId="127ED6DE">
            <w:pPr>
              <w:pStyle w:val="ListParagraph"/>
              <w:numPr>
                <w:ilvl w:val="1"/>
                <w:numId w:val="11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Escuta Ativa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: Processar contribuições da sociedade civil e de comunidades que dependem dos rios para garantir segurança e abastecimento.</w:t>
            </w:r>
          </w:p>
          <w:p w:rsidP="789006FB" w14:paraId="5817FB75" wp14:textId="3A0BFC9A">
            <w:pPr>
              <w:pStyle w:val="ListParagraph"/>
              <w:numPr>
                <w:ilvl w:val="1"/>
                <w:numId w:val="11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Transparência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: Seguir rigorosamente as diretrizes da Lei de Acesso à Informação e manter a agenda de sustentabilidade pública e acessível. </w:t>
            </w:r>
          </w:p>
          <w:p w:rsidP="789006FB" w14:paraId="41FB8F73" wp14:textId="265756A2">
            <w:p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P="789006FB" w14:paraId="46ABBAAB" wp14:textId="15B21211">
            <w:pPr>
              <w:spacing w:before="360" w:beforeAutospacing="off" w:after="18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5. Ética e Governança Pública</w:t>
            </w:r>
          </w:p>
          <w:p w:rsidP="789006FB" w14:paraId="6455108B" wp14:textId="424AEE54">
            <w:pPr>
              <w:spacing w:before="180" w:beforeAutospacing="off" w:after="24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Considerando que a política de sustentabilidade do 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MPor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se baseia no tripé </w:t>
            </w: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Ambiental, Social e Governança (ASG)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. </w:t>
            </w:r>
          </w:p>
          <w:p w:rsidP="789006FB" w14:paraId="6770FC3C" wp14:textId="3E60766F">
            <w:pPr>
              <w:pStyle w:val="ListParagraph"/>
              <w:numPr>
                <w:ilvl w:val="1"/>
                <w:numId w:val="11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Conformidade (</w:t>
            </w:r>
            <w:r w:rsidRPr="789006FB" w:rsidR="5B5310EF">
              <w:rPr>
                <w:rFonts w:ascii="Arial MT" w:hAnsi="Arial MT" w:eastAsia="Arial MT" w:cs="Arial MT"/>
                <w:b w:val="1"/>
                <w:bCs w:val="1"/>
                <w:i w:val="1"/>
                <w:iCs w:val="1"/>
                <w:noProof w:val="0"/>
                <w:color w:val="0A0A0A"/>
                <w:sz w:val="20"/>
                <w:szCs w:val="20"/>
                <w:lang w:val="pt-PT"/>
              </w:rPr>
              <w:t>Compliance</w:t>
            </w: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)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: Atuar em conformidade com controles internos e auditorias para garantir a integridade dos projetos públicos.</w:t>
            </w:r>
          </w:p>
          <w:p w:rsidP="789006FB" w14:paraId="2DA79FA2" wp14:textId="3A3682B1">
            <w:pPr>
              <w:pStyle w:val="ListParagraph"/>
              <w:numPr>
                <w:ilvl w:val="1"/>
                <w:numId w:val="11"/>
              </w:numPr>
              <w:spacing w:before="0" w:beforeAutospacing="off" w:after="0" w:afterAutospacing="off" w:line="254" w:lineRule="exact"/>
              <w:ind/>
              <w:rPr>
                <w:rFonts w:ascii="Helvetica Neue" w:hAnsi="Helvetica Neue" w:eastAsia="Helvetica Neue" w:cs="Helvetica Neue"/>
                <w:noProof w:val="0"/>
                <w:color w:val="0A0A0A"/>
                <w:sz w:val="20"/>
                <w:szCs w:val="20"/>
                <w:lang w:val="pt-PT"/>
              </w:rPr>
            </w:pPr>
            <w:r w:rsidRPr="789006FB" w:rsidR="5B5310EF">
              <w:rPr>
                <w:rFonts w:ascii="Arial MT" w:hAnsi="Arial MT" w:eastAsia="Arial MT" w:cs="Arial MT"/>
                <w:b w:val="1"/>
                <w:bCs w:val="1"/>
                <w:noProof w:val="0"/>
                <w:color w:val="0A0A0A"/>
                <w:sz w:val="20"/>
                <w:szCs w:val="20"/>
                <w:lang w:val="pt-PT"/>
              </w:rPr>
              <w:t>Responsabilidade Socioambiental</w:t>
            </w:r>
            <w:r w:rsidRPr="789006FB" w:rsidR="5B5310EF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: Focar na redução de desigualdades e no fortalecimento das comunidades afetadas pelas obras hidroviárias.</w:t>
            </w:r>
          </w:p>
        </w:tc>
      </w:tr>
      <w:tr xmlns:wp14="http://schemas.microsoft.com/office/word/2010/wordml" w:rsidTr="7D9DE199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55D78B19" w14:paraId="3A033355" wp14:textId="0ADD82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2">
    <w:nsid w:val="3e7ba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22779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266f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60e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b68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6f16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4c8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f47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263DE42"/>
    <w:rsid w:val="028A1506"/>
    <w:rsid w:val="028A1506"/>
    <w:rsid w:val="031E94FB"/>
    <w:rsid w:val="0338381E"/>
    <w:rsid w:val="0384FAEC"/>
    <w:rsid w:val="048EDACA"/>
    <w:rsid w:val="04935CD3"/>
    <w:rsid w:val="04B4E2F1"/>
    <w:rsid w:val="0519308D"/>
    <w:rsid w:val="053C2DAD"/>
    <w:rsid w:val="05514028"/>
    <w:rsid w:val="067B9707"/>
    <w:rsid w:val="06FFCD42"/>
    <w:rsid w:val="07520788"/>
    <w:rsid w:val="076413E4"/>
    <w:rsid w:val="07AE0E76"/>
    <w:rsid w:val="07DD880D"/>
    <w:rsid w:val="086F8B4D"/>
    <w:rsid w:val="0889CD5D"/>
    <w:rsid w:val="08D695F5"/>
    <w:rsid w:val="08D74F68"/>
    <w:rsid w:val="08D8561E"/>
    <w:rsid w:val="0983C05B"/>
    <w:rsid w:val="0A5EB395"/>
    <w:rsid w:val="0A7F2FDE"/>
    <w:rsid w:val="0AECE474"/>
    <w:rsid w:val="0B1E5774"/>
    <w:rsid w:val="0B8873A9"/>
    <w:rsid w:val="0BAB51D3"/>
    <w:rsid w:val="0BAD3C7A"/>
    <w:rsid w:val="0C017324"/>
    <w:rsid w:val="0D58C16D"/>
    <w:rsid w:val="0DBE41D9"/>
    <w:rsid w:val="0DEA2043"/>
    <w:rsid w:val="0EA6D729"/>
    <w:rsid w:val="0EA6D729"/>
    <w:rsid w:val="0ED55DA0"/>
    <w:rsid w:val="0F9EAEA6"/>
    <w:rsid w:val="0FBEC224"/>
    <w:rsid w:val="10A68233"/>
    <w:rsid w:val="10AC7BA1"/>
    <w:rsid w:val="10E755F5"/>
    <w:rsid w:val="110E7039"/>
    <w:rsid w:val="113E5D7F"/>
    <w:rsid w:val="11903480"/>
    <w:rsid w:val="11C1E07B"/>
    <w:rsid w:val="11C58E6C"/>
    <w:rsid w:val="12200831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0EA846"/>
    <w:rsid w:val="17C89453"/>
    <w:rsid w:val="1938492B"/>
    <w:rsid w:val="1938492B"/>
    <w:rsid w:val="19621213"/>
    <w:rsid w:val="198D3CE7"/>
    <w:rsid w:val="1C3F8459"/>
    <w:rsid w:val="1CFE5B37"/>
    <w:rsid w:val="1D2F5075"/>
    <w:rsid w:val="1DB02321"/>
    <w:rsid w:val="1ED0DE90"/>
    <w:rsid w:val="1F1AD64D"/>
    <w:rsid w:val="1F7A7F2B"/>
    <w:rsid w:val="1F939401"/>
    <w:rsid w:val="1FE089A5"/>
    <w:rsid w:val="1FE089A5"/>
    <w:rsid w:val="21F1AC37"/>
    <w:rsid w:val="22313E9D"/>
    <w:rsid w:val="23222BED"/>
    <w:rsid w:val="2328E310"/>
    <w:rsid w:val="23899D05"/>
    <w:rsid w:val="24913798"/>
    <w:rsid w:val="24F17C1B"/>
    <w:rsid w:val="2506C527"/>
    <w:rsid w:val="25E8A580"/>
    <w:rsid w:val="270F4C3A"/>
    <w:rsid w:val="275DD6AB"/>
    <w:rsid w:val="275DD6AB"/>
    <w:rsid w:val="293FD008"/>
    <w:rsid w:val="293FD008"/>
    <w:rsid w:val="29B47ABE"/>
    <w:rsid w:val="29DB6B1A"/>
    <w:rsid w:val="2B209399"/>
    <w:rsid w:val="2B28944F"/>
    <w:rsid w:val="2BBEA836"/>
    <w:rsid w:val="2C6EEF59"/>
    <w:rsid w:val="2C90AF38"/>
    <w:rsid w:val="2CF5F9A3"/>
    <w:rsid w:val="2CF61210"/>
    <w:rsid w:val="312AEE0E"/>
    <w:rsid w:val="315E0CF5"/>
    <w:rsid w:val="319E8599"/>
    <w:rsid w:val="3310157A"/>
    <w:rsid w:val="33C14FB2"/>
    <w:rsid w:val="33C14FB2"/>
    <w:rsid w:val="3411BC81"/>
    <w:rsid w:val="3411BC81"/>
    <w:rsid w:val="358206C0"/>
    <w:rsid w:val="362011AD"/>
    <w:rsid w:val="365CF956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F2E8FAB"/>
    <w:rsid w:val="3F506570"/>
    <w:rsid w:val="3F5AD831"/>
    <w:rsid w:val="3F6B6766"/>
    <w:rsid w:val="3F958046"/>
    <w:rsid w:val="4045BA38"/>
    <w:rsid w:val="404D8000"/>
    <w:rsid w:val="41E8BFD0"/>
    <w:rsid w:val="4271C7DB"/>
    <w:rsid w:val="4330ECD9"/>
    <w:rsid w:val="43318642"/>
    <w:rsid w:val="4464CD84"/>
    <w:rsid w:val="449F09E5"/>
    <w:rsid w:val="459D982D"/>
    <w:rsid w:val="4676AD4E"/>
    <w:rsid w:val="472862E7"/>
    <w:rsid w:val="47B66DFA"/>
    <w:rsid w:val="47EF3022"/>
    <w:rsid w:val="486B3981"/>
    <w:rsid w:val="48D7F6A8"/>
    <w:rsid w:val="493C7863"/>
    <w:rsid w:val="4987FAD2"/>
    <w:rsid w:val="49CC9A5F"/>
    <w:rsid w:val="4A73AA4A"/>
    <w:rsid w:val="4AF569C1"/>
    <w:rsid w:val="4AF569C1"/>
    <w:rsid w:val="4BF88646"/>
    <w:rsid w:val="4BFE9344"/>
    <w:rsid w:val="4D15D96C"/>
    <w:rsid w:val="4D59ECCB"/>
    <w:rsid w:val="4E5F151B"/>
    <w:rsid w:val="4EBAEA76"/>
    <w:rsid w:val="503A18CA"/>
    <w:rsid w:val="511DED60"/>
    <w:rsid w:val="5201D8F4"/>
    <w:rsid w:val="52E18B1D"/>
    <w:rsid w:val="53A2E8FD"/>
    <w:rsid w:val="53A5B221"/>
    <w:rsid w:val="5416D4B2"/>
    <w:rsid w:val="54C99ACD"/>
    <w:rsid w:val="54F095F5"/>
    <w:rsid w:val="5506D649"/>
    <w:rsid w:val="5568229B"/>
    <w:rsid w:val="55D78B19"/>
    <w:rsid w:val="57E96CD0"/>
    <w:rsid w:val="57E96CD0"/>
    <w:rsid w:val="5819C047"/>
    <w:rsid w:val="5866EFB1"/>
    <w:rsid w:val="589CDB17"/>
    <w:rsid w:val="591152DB"/>
    <w:rsid w:val="5AD6E0D5"/>
    <w:rsid w:val="5B5310EF"/>
    <w:rsid w:val="5B831ABB"/>
    <w:rsid w:val="5B96CD2F"/>
    <w:rsid w:val="5C0D5426"/>
    <w:rsid w:val="5CD7E7E7"/>
    <w:rsid w:val="5D1F1ABD"/>
    <w:rsid w:val="5D8AFAC1"/>
    <w:rsid w:val="5DDE7E69"/>
    <w:rsid w:val="5DECA1CE"/>
    <w:rsid w:val="5E75ADC0"/>
    <w:rsid w:val="5F7FB53E"/>
    <w:rsid w:val="5FB85BE1"/>
    <w:rsid w:val="5FFAD83D"/>
    <w:rsid w:val="600BA147"/>
    <w:rsid w:val="6086E04F"/>
    <w:rsid w:val="61740316"/>
    <w:rsid w:val="61DBC269"/>
    <w:rsid w:val="61E0CFA7"/>
    <w:rsid w:val="61F7DB5C"/>
    <w:rsid w:val="624D656E"/>
    <w:rsid w:val="62C268F5"/>
    <w:rsid w:val="62F2BF9F"/>
    <w:rsid w:val="6450FF5B"/>
    <w:rsid w:val="64988B6F"/>
    <w:rsid w:val="64A6E046"/>
    <w:rsid w:val="64C1347A"/>
    <w:rsid w:val="64C1347A"/>
    <w:rsid w:val="64E0F427"/>
    <w:rsid w:val="6600545D"/>
    <w:rsid w:val="6647F1C7"/>
    <w:rsid w:val="6689DF00"/>
    <w:rsid w:val="669937F1"/>
    <w:rsid w:val="66FA18C3"/>
    <w:rsid w:val="673E1DC1"/>
    <w:rsid w:val="67B63853"/>
    <w:rsid w:val="689AB0F5"/>
    <w:rsid w:val="68C318A1"/>
    <w:rsid w:val="69F7C6B3"/>
    <w:rsid w:val="6A4AEEC0"/>
    <w:rsid w:val="6B5D2B80"/>
    <w:rsid w:val="6BB2A595"/>
    <w:rsid w:val="6BC34994"/>
    <w:rsid w:val="6C16F1D3"/>
    <w:rsid w:val="6C16F1D3"/>
    <w:rsid w:val="6DAAC068"/>
    <w:rsid w:val="6DAD9CBB"/>
    <w:rsid w:val="6DF679CD"/>
    <w:rsid w:val="6E75FAD2"/>
    <w:rsid w:val="6ED952E8"/>
    <w:rsid w:val="6F4CC16C"/>
    <w:rsid w:val="70A8E5D1"/>
    <w:rsid w:val="713BC605"/>
    <w:rsid w:val="7141CC33"/>
    <w:rsid w:val="71434DB3"/>
    <w:rsid w:val="72C66B1B"/>
    <w:rsid w:val="73A5C578"/>
    <w:rsid w:val="74491F31"/>
    <w:rsid w:val="74CFC765"/>
    <w:rsid w:val="74F6CDA6"/>
    <w:rsid w:val="74FA6DD5"/>
    <w:rsid w:val="74FFD253"/>
    <w:rsid w:val="7527FB01"/>
    <w:rsid w:val="775078ED"/>
    <w:rsid w:val="7799A3D2"/>
    <w:rsid w:val="77B87610"/>
    <w:rsid w:val="77C247FD"/>
    <w:rsid w:val="789006FB"/>
    <w:rsid w:val="78D3C9CD"/>
    <w:rsid w:val="78F9D27A"/>
    <w:rsid w:val="7929AF3A"/>
    <w:rsid w:val="792ED966"/>
    <w:rsid w:val="797A67AE"/>
    <w:rsid w:val="799CDD31"/>
    <w:rsid w:val="79FB36E3"/>
    <w:rsid w:val="7A9CFF32"/>
    <w:rsid w:val="7B0613B5"/>
    <w:rsid w:val="7BFB767B"/>
    <w:rsid w:val="7CC2F908"/>
    <w:rsid w:val="7D9DE199"/>
    <w:rsid w:val="7E0CF213"/>
    <w:rsid w:val="7E9B6E14"/>
    <w:rsid w:val="7FDBDCDD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0611B4D1-79FE-4FA7-8DDB-A7176AB79D36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2026-03-27T16:40:24.6664864Z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