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43"/>
        <w:gridCol w:w="6758"/>
      </w:tblGrid>
      <w:tr xmlns:wp14="http://schemas.microsoft.com/office/word/2010/wordml" w:rsidTr="2E403E68" w14:paraId="44DEAC70" wp14:textId="77777777">
        <w:trPr>
          <w:trHeight w:val="1257" w:hRule="atLeast"/>
        </w:trPr>
        <w:tc>
          <w:tcPr>
            <w:tcW w:w="258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0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2E403E68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2E403E68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2E403E68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0A31C2BA" w14:paraId="6A2AF087" wp14:textId="11A81572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0A31C2BA" w:rsidR="289456DD">
              <w:rPr>
                <w:sz w:val="22"/>
                <w:szCs w:val="22"/>
              </w:rPr>
              <w:t>Chefe de Assessoria</w:t>
            </w:r>
          </w:p>
        </w:tc>
      </w:tr>
      <w:tr xmlns:wp14="http://schemas.microsoft.com/office/word/2010/wordml" w:rsidTr="2E403E68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205F3E0F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3FEF304A">
              <w:rPr>
                <w:spacing w:val="-2"/>
                <w:sz w:val="22"/>
                <w:szCs w:val="22"/>
              </w:rPr>
              <w:t xml:space="preserve">CCE </w:t>
            </w:r>
            <w:r w:rsidRPr="4E5F151B" w:rsidR="49C70875">
              <w:rPr>
                <w:spacing w:val="-2"/>
                <w:sz w:val="22"/>
                <w:szCs w:val="22"/>
              </w:rPr>
              <w:t xml:space="preserve">1.14</w:t>
            </w:r>
          </w:p>
        </w:tc>
      </w:tr>
      <w:tr xmlns:wp14="http://schemas.microsoft.com/office/word/2010/wordml" w:rsidTr="2E403E68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0DCC1978" w14:paraId="09751147" wp14:textId="6E142A48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2ECA50B9" w:rsidR="7B2EAD42">
              <w:rPr>
                <w:sz w:val="22"/>
                <w:szCs w:val="22"/>
              </w:rPr>
              <w:t xml:space="preserve">Assessoria </w:t>
            </w:r>
            <w:r w:rsidRPr="2ECA50B9" w:rsidR="6FC97BB9">
              <w:rPr>
                <w:sz w:val="22"/>
                <w:szCs w:val="22"/>
              </w:rPr>
              <w:t>de Cerimonial</w:t>
            </w:r>
            <w:r w:rsidRPr="2ECA50B9" w:rsidR="7B2EAD42">
              <w:rPr>
                <w:sz w:val="22"/>
                <w:szCs w:val="22"/>
              </w:rPr>
              <w:t xml:space="preserve"> do </w:t>
            </w:r>
            <w:r w:rsidRPr="2ECA50B9" w:rsidR="67384C2B">
              <w:rPr>
                <w:sz w:val="22"/>
                <w:szCs w:val="22"/>
              </w:rPr>
              <w:t>Gabinete do Ministro de Portos e Aeroportos</w:t>
            </w:r>
          </w:p>
        </w:tc>
      </w:tr>
      <w:tr xmlns:wp14="http://schemas.microsoft.com/office/word/2010/wordml" w:rsidTr="2E403E68" w14:paraId="2D85A8B8" wp14:textId="77777777">
        <w:trPr>
          <w:trHeight w:val="300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2E403E68" w14:paraId="7F9FB668" wp14:textId="77777777">
        <w:trPr>
          <w:trHeight w:val="495"/>
        </w:trPr>
        <w:tc>
          <w:tcPr>
            <w:tcW w:w="2580" w:type="dxa"/>
            <w:tcBorders>
              <w:bottom w:val="nil"/>
            </w:tcBorders>
            <w:tcMar/>
          </w:tcPr>
          <w:p w:rsidP="43D2B40E" w14:paraId="0C2C968E" wp14:textId="582D776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70D748E" wp14:textId="3A3DDC7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7742124" wp14:textId="78C5B0A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061D3BB" wp14:textId="0E61B12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A63931B" wp14:textId="49B6436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B6E9A0E" wp14:textId="435F75B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B83E9C5" wp14:textId="762BD9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D9EFF93" wp14:textId="3D2C367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2943DA6" wp14:textId="1A2CC2B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11023F2" wp14:textId="21CC566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9B53D2" wp14:textId="1D87C0F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666D5B1" wp14:textId="3A629D1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A389653" wp14:textId="0777B08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D70A8C" wp14:textId="642E5C3C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E15F934" wp14:textId="17CDB10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A8A5870" wp14:textId="40B6F09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4DF8EB1" wp14:textId="2909312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D0912F3" wp14:textId="6E44AE0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6885E00" wp14:textId="4BE30D48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B2F7FF7" wp14:textId="6738380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088D2578" wp14:textId="771B50B9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A182C8B" wp14:textId="037EED1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p14:textId="77777777" w14:paraId="612D62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3D2B40E" w:rsidR="2F57281D">
              <w:rPr>
                <w:sz w:val="22"/>
                <w:szCs w:val="22"/>
              </w:rPr>
              <w:t>Principais Responsabilidades</w:t>
            </w:r>
          </w:p>
          <w:p w:rsidP="43D2B40E" w14:paraId="03190E39" wp14:textId="4BF5C3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581CDDD5" wp14:textId="05AA99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6A05A809" wp14:textId="40D84E7A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901" w:type="dxa"/>
            <w:gridSpan w:val="2"/>
            <w:tcBorders>
              <w:bottom w:val="nil"/>
            </w:tcBorders>
            <w:tcMar/>
          </w:tcPr>
          <w:p w:rsidP="2E403E68" w14:paraId="7EB2E4DC" wp14:textId="7C18B621">
            <w:pPr>
              <w:pStyle w:val="NormalWeb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784D456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À Assessoria Cerimonial – CERIM, compete:</w:t>
            </w:r>
          </w:p>
          <w:p w:rsidP="2E403E68" w14:paraId="4DE6ECAC" wp14:textId="26122E33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 - 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zelar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pelo cumprimento das regras protocolares definidas no Decreto Presidencial nº 70.274, de 9 de março de 1972, que aprova as normas do Cerimonial Público e a Ordem Geral de Precedência, e na Lei Federal nº 5.700, de 1º de setembro de 1971, que dispõe sobre a forma e apresentação dos símbolos nacionais e dá outras providências e as alterações posteriores;</w:t>
            </w:r>
          </w:p>
          <w:p w:rsidP="2E403E68" w14:paraId="043AEA6D" wp14:textId="376D937A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II - 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planejar, executar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e coordenar eventos como inaugurações, lançamentos, assinatura de documentos, visitas, conferências, seminários, congressos, entrevistas coletivas, exposições, recepções, reuniões e homenagens na Sede do Ministério e unidades vinculadas, que contem com a presença do Ministro de Estado, e em coordenação com os governos estaduais e municipais, quando necessário;</w:t>
            </w:r>
          </w:p>
          <w:p w:rsidP="2E403E68" w14:paraId="4C3BEA06" wp14:textId="725BE320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III - coletar e processar informações dos eventos inseridos na agenda do Ministro de Estado;</w:t>
            </w:r>
          </w:p>
          <w:p w:rsidP="2E403E68" w14:paraId="415FEC48" wp14:textId="741A9C87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IV - Planejar e executar, conjuntamente com a Assessoria Especial de Assuntos Internacionais do Ministério, as viagens oficiais do Ministro de Estado ao exterior;</w:t>
            </w:r>
          </w:p>
          <w:p w:rsidP="2E403E68" w14:paraId="69C6AD97" wp14:textId="65754BDE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V - 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organizar e executar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os arranjos logísticos que subsidiem a realização de viagens do Ministro de Estado, em visitas nacionais, nos quesitos de recursos humanos e materiais;</w:t>
            </w:r>
          </w:p>
          <w:p w:rsidP="2E403E68" w14:paraId="7FB3BC12" wp14:textId="5225A3FE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VI - 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recepcionar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as personalidades, nacionais e estrangeiras, em visita à sede do Ministério e a suas unidades vinculadas, conforme determinação do Gabinete do Ministro de Estado;</w:t>
            </w:r>
          </w:p>
          <w:p w:rsidP="2E403E68" w14:paraId="1322CB5B" wp14:textId="5E58DCC8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VII - acompanhar e assessorar o Ministro de Estado em eventos na Capital Federal e nas unidades federativas;</w:t>
            </w:r>
          </w:p>
          <w:p w:rsidP="2E403E68" w14:paraId="6A9DE454" wp14:textId="425390C6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VIII - elaborar e expedir comunicados em visitas oficiais do Ministro de Estado às unidades federativas;</w:t>
            </w:r>
          </w:p>
          <w:p w:rsidP="2E403E68" w14:paraId="396A1616" wp14:textId="6680BBA4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IX - 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receber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, registrar, encaminhar, acompanhar e arquivar as correspondências relacionadas a convites e cumprimentos ao Ministro de Estado, produzindo relatórios semanais; e agradecer, confirmar presenças e verificar a designação de representantes;</w:t>
            </w:r>
          </w:p>
          <w:p w:rsidP="2E403E68" w14:paraId="716512C0" wp14:textId="3EB0FC04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X - 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elaborar e expedir</w:t>
            </w: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convites de eventos realizados pelo Ministério e suas unidades vinculadas, ou em parceria com outros órgãos públicos ou iniciativa privada;</w:t>
            </w:r>
          </w:p>
          <w:p w:rsidP="2E403E68" w14:paraId="423CF2D9" wp14:textId="12717E13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XI - atualizar o banco de dados das autoridades de interesse do Ministério;</w:t>
            </w:r>
          </w:p>
          <w:p w:rsidP="2E403E68" w14:paraId="194B3C17" wp14:textId="134C0BC7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XII - elaborar o calendário de eventos do Ministério; e</w:t>
            </w:r>
          </w:p>
          <w:p w:rsidP="5322BDD3" w14:paraId="236267FB" wp14:textId="64E7F28F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2E403E68" w:rsidR="143218C8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XVI - exercer outras competências que lhe forem cometidas no seu campo de atuação.</w:t>
            </w:r>
          </w:p>
        </w:tc>
      </w:tr>
      <w:tr xmlns:wp14="http://schemas.microsoft.com/office/word/2010/wordml" w:rsidTr="2E403E68" w14:paraId="1C2B70AF" wp14:textId="77777777">
        <w:trPr>
          <w:trHeight w:val="300"/>
        </w:trPr>
        <w:tc>
          <w:tcPr>
            <w:tcW w:w="258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0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1185"/>
        <w:gridCol w:w="5737"/>
      </w:tblGrid>
      <w:tr xmlns:wp14="http://schemas.microsoft.com/office/word/2010/wordml" w:rsidTr="677C51EC" w14:paraId="3FA63031" wp14:textId="77777777">
        <w:trPr>
          <w:trHeight w:val="758" w:hRule="atLeast"/>
        </w:trPr>
        <w:tc>
          <w:tcPr>
            <w:tcW w:w="256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22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677C51EC" w14:paraId="3781AF02" wp14:textId="77777777">
        <w:trPr>
          <w:trHeight w:val="1170"/>
        </w:trPr>
        <w:tc>
          <w:tcPr>
            <w:tcW w:w="256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6922" w:type="dxa"/>
            <w:gridSpan w:val="2"/>
            <w:tcMar/>
          </w:tcPr>
          <w:p w:rsidP="5D57DFFC" wp14:textId="77777777" w14:paraId="71CC185B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D57DFFC" w14:paraId="0D210E6C" wp14:textId="14065ADE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P="6BF140E5" w14:paraId="226E2026" wp14:textId="2DAF7D1E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ind/>
              <w:rPr>
                <w:rFonts w:ascii="Arial MT" w:hAnsi="Arial MT" w:eastAsia="Arial MT" w:cs="Arial MT"/>
                <w:sz w:val="22"/>
                <w:szCs w:val="22"/>
              </w:rPr>
            </w:pPr>
            <w:r w:rsidRPr="6BF140E5" w:rsidR="7389BA92">
              <w:rPr>
                <w:rFonts w:ascii="Arial MT" w:hAnsi="Arial MT" w:eastAsia="Arial MT" w:cs="Arial MT"/>
                <w:sz w:val="22"/>
                <w:szCs w:val="22"/>
              </w:rPr>
              <w:t>1 (um) Chefe de Assessoria;</w:t>
            </w:r>
          </w:p>
          <w:p w:rsidR="7389BA92" w:rsidP="2E403E68" w:rsidRDefault="7389BA92" w14:paraId="4C677574" w14:textId="6792E91C">
            <w:pPr>
              <w:pStyle w:val="TableParagraph"/>
              <w:numPr>
                <w:ilvl w:val="0"/>
                <w:numId w:val="28"/>
              </w:numPr>
              <w:suppressLineNumbers w:val="0"/>
              <w:bidi w:val="0"/>
              <w:spacing w:before="2" w:beforeAutospacing="off" w:after="0" w:afterAutospacing="off" w:line="237" w:lineRule="auto"/>
              <w:ind w:left="460" w:right="0" w:hanging="36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677C51EC" w:rsidR="06A0ABF7">
              <w:rPr>
                <w:rFonts w:ascii="Arial MT" w:hAnsi="Arial MT" w:eastAsia="Arial MT" w:cs="Arial MT"/>
                <w:sz w:val="22"/>
                <w:szCs w:val="22"/>
              </w:rPr>
              <w:t xml:space="preserve">1 (um) </w:t>
            </w:r>
            <w:r w:rsidRPr="677C51EC" w:rsidR="06A0ABF7">
              <w:rPr>
                <w:rFonts w:ascii="Arial MT" w:hAnsi="Arial MT" w:eastAsia="Arial MT" w:cs="Arial MT"/>
                <w:sz w:val="22"/>
                <w:szCs w:val="22"/>
              </w:rPr>
              <w:t>Assistente</w:t>
            </w:r>
            <w:r w:rsidRPr="677C51EC" w:rsidR="52AA8BAB">
              <w:rPr>
                <w:rFonts w:ascii="Arial MT" w:hAnsi="Arial MT" w:eastAsia="Arial MT" w:cs="Arial MT"/>
                <w:sz w:val="22"/>
                <w:szCs w:val="22"/>
              </w:rPr>
              <w:t xml:space="preserve">; </w:t>
            </w:r>
          </w:p>
          <w:p w:rsidR="5739524A" w:rsidP="0A94EF9C" w:rsidRDefault="5739524A" w14:paraId="3AB7717B" w14:textId="0C6D12AF">
            <w:pPr>
              <w:pStyle w:val="TableParagraph"/>
              <w:numPr>
                <w:ilvl w:val="0"/>
                <w:numId w:val="28"/>
              </w:numPr>
              <w:suppressLineNumbers w:val="0"/>
              <w:bidi w:val="0"/>
              <w:spacing w:before="2" w:beforeAutospacing="off" w:after="0" w:afterAutospacing="off" w:line="237" w:lineRule="auto"/>
              <w:ind w:left="460" w:right="0" w:hanging="36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0A94EF9C" w:rsidR="5739524A">
              <w:rPr>
                <w:rFonts w:ascii="Arial MT" w:hAnsi="Arial MT" w:eastAsia="Arial MT" w:cs="Arial MT"/>
                <w:sz w:val="22"/>
                <w:szCs w:val="22"/>
              </w:rPr>
              <w:t>1 (um) Coordenador-Geral; e</w:t>
            </w:r>
          </w:p>
          <w:p w:rsidR="5739524A" w:rsidP="0A94EF9C" w:rsidRDefault="5739524A" w14:paraId="6D5CF51C" w14:textId="02E33560">
            <w:pPr>
              <w:pStyle w:val="TableParagraph"/>
              <w:numPr>
                <w:ilvl w:val="0"/>
                <w:numId w:val="28"/>
              </w:numPr>
              <w:suppressLineNumbers w:val="0"/>
              <w:bidi w:val="0"/>
              <w:spacing w:before="2" w:beforeAutospacing="off" w:after="0" w:afterAutospacing="off" w:line="237" w:lineRule="auto"/>
              <w:ind w:left="460" w:right="0" w:hanging="36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0A94EF9C" w:rsidR="5739524A">
              <w:rPr>
                <w:rFonts w:ascii="Arial MT" w:hAnsi="Arial MT" w:eastAsia="Arial MT" w:cs="Arial MT"/>
                <w:sz w:val="22"/>
                <w:szCs w:val="22"/>
              </w:rPr>
              <w:t>1 (um) Coordenador.</w:t>
            </w:r>
          </w:p>
          <w:p w:rsidR="7389BA92" w:rsidP="2E403E68" w:rsidRDefault="7389BA92" w14:paraId="4EF43AB2" w14:textId="49B924DB">
            <w:pPr>
              <w:pStyle w:val="TableParagraph"/>
              <w:spacing w:before="2" w:line="237" w:lineRule="auto"/>
              <w:ind w:left="46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P="55D78B19" w14:paraId="316F6234" wp14:textId="3FD0F486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677C51EC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012F745A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677C51EC" w14:paraId="6398B8E6" wp14:textId="77777777">
        <w:trPr>
          <w:trHeight w:val="508" w:hRule="atLeast"/>
        </w:trPr>
        <w:tc>
          <w:tcPr>
            <w:tcW w:w="375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5737" w:type="dxa"/>
            <w:tcMar/>
          </w:tcPr>
          <w:p w:rsidP="55D78B19" w14:paraId="56AB1FDC" wp14:textId="4B0775EA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3D2B40E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43D2B40E" w:rsidR="3D99693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43D2B40E" w14:paraId="4FB5B66B" wp14:textId="06C07484">
            <w:pPr>
              <w:pStyle w:val="TableParagraph"/>
              <w:spacing w:line="254" w:lineRule="exact"/>
              <w:ind w:left="10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677C51EC" w14:paraId="5EB1853F" wp14:textId="77777777">
        <w:trPr>
          <w:trHeight w:val="273" w:hRule="atLeast"/>
        </w:trPr>
        <w:tc>
          <w:tcPr>
            <w:tcW w:w="375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064C4B1B" w:rsidR="55D78B19">
              <w:rPr>
                <w:rFonts w:ascii="Arial MT" w:hAnsi="Arial MT" w:eastAsia="Arial MT" w:cs="Arial MT"/>
              </w:rPr>
              <w:t>Critérios</w:t>
            </w:r>
            <w:r w:rsidRPr="064C4B1B" w:rsidR="55D78B19">
              <w:rPr>
                <w:rFonts w:ascii="Arial MT" w:hAnsi="Arial MT" w:eastAsia="Arial MT" w:cs="Arial MT"/>
              </w:rPr>
              <w:t xml:space="preserve"> </w:t>
            </w:r>
            <w:r w:rsidRPr="064C4B1B" w:rsidR="55D78B19">
              <w:rPr>
                <w:rFonts w:ascii="Arial MT" w:hAnsi="Arial MT" w:eastAsia="Arial MT" w:cs="Arial MT"/>
              </w:rPr>
              <w:t>Específicos</w:t>
            </w:r>
          </w:p>
        </w:tc>
        <w:tc>
          <w:tcPr>
            <w:tcW w:w="5737" w:type="dxa"/>
            <w:tcMar/>
          </w:tcPr>
          <w:p w:rsidP="43D2B40E" w14:paraId="67F9E696" wp14:textId="31C5C083">
            <w:pPr>
              <w:pStyle w:val="Normal"/>
              <w:ind w:left="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18 do De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creto nº 10.829, de 05 de outubro de 2021:</w:t>
            </w:r>
          </w:p>
          <w:p w:rsidP="43D2B40E" w14:paraId="34E932A6" wp14:textId="56C8E4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Experiência profissional de, no mínimo, quatro anos em atividades correlatas</w:t>
            </w:r>
            <w:r w:rsidRPr="43D2B40E" w:rsidR="34D9B6C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às áreas de atuação do órgão ou da entidade ou em áreas relacionadas às</w:t>
            </w:r>
            <w:r w:rsidRPr="43D2B40E" w:rsidR="6DAC220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 e às competências do cargo ou da função;</w:t>
            </w:r>
          </w:p>
          <w:p w:rsidP="43D2B40E" w14:paraId="67C26A4E" wp14:textId="0E73F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Ocupação de cargo em comissão ou função de confiança em qualquer Poder,</w:t>
            </w:r>
            <w:r w:rsidRPr="43D2B40E" w:rsidR="32268AF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inclusive na administração pública indireta, de qualquer ente federativo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por,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mínimo, quatro anos;</w:t>
            </w:r>
          </w:p>
          <w:p w:rsidP="43D2B40E" w14:paraId="114B5A51" wp14:textId="53C86E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Possuir título de especialista, mestre ou doutor em área correlata às áreas</w:t>
            </w:r>
            <w:r w:rsidRPr="43D2B40E" w:rsidR="6A4E471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de atuação do órgão ou da entidade ou em áreas relacionadas às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cargo ou da função; ou</w:t>
            </w:r>
          </w:p>
          <w:p w:rsidP="43D2B40E" w14:paraId="5B540C4D" wp14:textId="23CED4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Participação em ações de</w:t>
            </w:r>
            <w:r w:rsidRPr="43D2B40E" w:rsidR="4F2CB853">
              <w:rPr>
                <w:rFonts w:ascii="Arial MT" w:hAnsi="Arial MT" w:eastAsia="Arial MT" w:cs="Arial MT"/>
                <w:noProof w:val="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desenvolvimento de liderança, estabelecidas pelo</w:t>
            </w:r>
          </w:p>
          <w:p w:rsidP="43D2B40E" w14:paraId="11902031" wp14:textId="77260B1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43D2B40E" w14:paraId="7D044D8F" wp14:textId="36A6FC09">
            <w:pPr>
              <w:pStyle w:val="ListParagraph"/>
              <w:ind w:left="93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horária mínima de cento e vinte horas</w:t>
            </w:r>
          </w:p>
          <w:p w:rsidP="43D2B40E" w14:paraId="12684C1B" wp14:textId="769330EC">
            <w:pPr>
              <w:pStyle w:val="Normal"/>
              <w:ind w:left="0"/>
              <w:jc w:val="both"/>
            </w:pPr>
          </w:p>
        </w:tc>
      </w:tr>
      <w:tr xmlns:wp14="http://schemas.microsoft.com/office/word/2010/wordml" w:rsidTr="677C51EC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43D2B40E" w14:paraId="6FD9EBF0" wp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="55D78B19">
              <w:rPr/>
              <w:t>DOS</w:t>
            </w:r>
            <w:r w:rsidR="55D78B19">
              <w:rPr/>
              <w:t xml:space="preserve"> </w:t>
            </w:r>
            <w:r w:rsidR="55D78B19">
              <w:rPr/>
              <w:t>REQUISITOS</w:t>
            </w:r>
            <w:r w:rsidR="55D78B19">
              <w:rPr/>
              <w:t xml:space="preserve"> </w:t>
            </w:r>
            <w:r w:rsidR="55D78B19">
              <w:rPr/>
              <w:t>DESEJÁVEIS</w:t>
            </w:r>
          </w:p>
        </w:tc>
      </w:tr>
      <w:tr xmlns:wp14="http://schemas.microsoft.com/office/word/2010/wordml" w:rsidTr="677C51EC" w14:paraId="20903721" wp14:textId="77777777">
        <w:trPr>
          <w:trHeight w:val="3495"/>
        </w:trPr>
        <w:tc>
          <w:tcPr>
            <w:tcW w:w="375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106470BB" w14:paraId="2F87D9C4" wp14:textId="5D5CCA77">
            <w:pPr>
              <w:pStyle w:val="TableParagraph"/>
              <w:numPr>
                <w:ilvl w:val="0"/>
                <w:numId w:val="35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106470BB" w:rsidR="35296F23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</w:tc>
      </w:tr>
      <w:tr xmlns:wp14="http://schemas.microsoft.com/office/word/2010/wordml" w:rsidTr="677C51EC" w14:paraId="7645155C" wp14:textId="77777777">
        <w:trPr>
          <w:trHeight w:val="2530" w:hRule="atLeast"/>
        </w:trPr>
        <w:tc>
          <w:tcPr>
            <w:tcW w:w="375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2E403E68" w14:paraId="214FD8E2" wp14:textId="70810D9F">
            <w:pPr>
              <w:pStyle w:val="ListParagraph"/>
              <w:numPr>
                <w:ilvl w:val="0"/>
                <w:numId w:val="31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 Capacidade de dialogar de forma assertiva e protocolar com autoridades políticas, empresários do setor portuário/aeroportuário e delegações estrangeiras.</w:t>
            </w:r>
          </w:p>
          <w:p w:rsidP="2E403E68" w14:paraId="07B7C733" wp14:textId="4602B13D">
            <w:pPr>
              <w:pStyle w:val="ListParagraph"/>
              <w:numPr>
                <w:ilvl w:val="0"/>
                <w:numId w:val="31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Habilidade para construir pontes e facilitar o diálogo entre diferentes órgãos do governo, entidades privadas e o gabinete do ministro.</w:t>
            </w:r>
          </w:p>
          <w:p w:rsidP="2E403E68" w14:paraId="2A21499F" wp14:textId="2F2E0EF0">
            <w:pPr>
              <w:pStyle w:val="ListParagraph"/>
              <w:numPr>
                <w:ilvl w:val="0"/>
                <w:numId w:val="31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2"/>
                <w:szCs w:val="22"/>
                <w:lang w:val="pt-PT"/>
              </w:rPr>
              <w:t>Inteligência Emocional</w:t>
            </w: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: Essencial para manter a calma e a clareza em ambientes de alta pressão ou durante crises em eventos. </w:t>
            </w:r>
          </w:p>
          <w:p w:rsidP="2E403E68" w14:paraId="3DD15412" wp14:textId="1E66A894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Flexibilidade extrema para gerenciar mudanças repentinas em agendas de viagens nacionais e internacionais, cancelamentos de última hora e alterações de roteiros.</w:t>
            </w:r>
          </w:p>
          <w:p w:rsidP="2E403E68" w14:paraId="17971586" wp14:textId="45ECC785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Capacidade de lidar com o estresse e se recuperar rapidamente de contratempos operacionais durante cerimônias.</w:t>
            </w:r>
          </w:p>
          <w:p w:rsidP="2E403E68" w14:paraId="7BA3745F" wp14:textId="2741231C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Antecipação de riscos logísticos (como segurança, acessos e protocolos de precedência) antes mesmo do início dos eventos. </w:t>
            </w:r>
          </w:p>
          <w:p w:rsidP="2E403E68" w14:paraId="4591709C" wp14:textId="00615517">
            <w:pPr>
              <w:pStyle w:val="ListParagraph"/>
              <w:numPr>
                <w:ilvl w:val="0"/>
                <w:numId w:val="33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 Habilidade para coordenar múltiplos fluxos simultâneos de eventos e viagens sem comprometer o rigor protocolar.</w:t>
            </w:r>
          </w:p>
          <w:p w:rsidP="2E403E68" w14:paraId="402B2C8F" wp14:textId="16DFA25C">
            <w:pPr>
              <w:pStyle w:val="ListParagraph"/>
              <w:numPr>
                <w:ilvl w:val="0"/>
                <w:numId w:val="33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Coordenação de mestre de cerimônias, </w:t>
            </w: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recepcionistas</w:t>
            </w: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, seguranças e motoristas para garantir a execução perfeita do roteiro.</w:t>
            </w:r>
          </w:p>
          <w:p w:rsidP="2E403E68" w14:paraId="2D52C215" wp14:textId="5190413F">
            <w:pPr>
              <w:pStyle w:val="ListParagraph"/>
              <w:numPr>
                <w:ilvl w:val="0"/>
                <w:numId w:val="33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 O </w:t>
            </w: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cerimonialista</w:t>
            </w: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 ministerial deve zelar pela imagem da instituição, o que exige rigor na organização e sensibilidade para evitar constrangimentos políticos. </w:t>
            </w:r>
          </w:p>
          <w:p w:rsidP="2E403E68" w14:paraId="71F76B69" wp14:textId="715A2F3F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Atuação pautada pela discrição e pelo cumprimento estrito das normas de cerimonial público e precedência.</w:t>
            </w:r>
          </w:p>
          <w:p w:rsidP="2E403E68" w14:paraId="27F98C87" wp14:textId="7AA1E9BC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2E403E68" w:rsidR="36DCD2E9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Afinidade com as nuances políticas e técnicas do setor de transportes para oferecer uma assessoria mais precisa ao ministro durante suas interações. </w:t>
            </w:r>
          </w:p>
          <w:p w:rsidP="2E403E68" w14:paraId="49E298A3" wp14:textId="75B44FD4">
            <w:p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P="61E65F41" w14:paraId="2DA79FA2" wp14:textId="31F56639">
            <w:pPr>
              <w:pStyle w:val="TableParagraph"/>
              <w:spacing w:line="254" w:lineRule="exact"/>
              <w:ind w:left="720" w:right="397"/>
              <w:jc w:val="both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677C51EC" w14:paraId="49E58B21" wp14:textId="77777777">
        <w:trPr>
          <w:trHeight w:val="2532" w:hRule="atLeast"/>
        </w:trPr>
        <w:tc>
          <w:tcPr>
            <w:tcW w:w="375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5D78B19" w14:paraId="3A033355" wp14:textId="0FE99C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34">
    <w:nsid w:val="2f02f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66a0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3c2d1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4bff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7a6a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d380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c17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a56edc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0" w:hanging="180"/>
      </w:pPr>
    </w:lvl>
  </w:abstractNum>
  <w:abstractNum xmlns:w="http://schemas.openxmlformats.org/wordprocessingml/2006/main" w:abstractNumId="26">
    <w:nsid w:val="7b57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dca2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1de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b76c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bba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dc8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cfa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a13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e79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530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999DF2"/>
    <w:rsid w:val="01D6FF00"/>
    <w:rsid w:val="01E0F20C"/>
    <w:rsid w:val="01F518F1"/>
    <w:rsid w:val="0263DE42"/>
    <w:rsid w:val="028A1506"/>
    <w:rsid w:val="028A1506"/>
    <w:rsid w:val="031E94FB"/>
    <w:rsid w:val="0338381E"/>
    <w:rsid w:val="04B4E2F1"/>
    <w:rsid w:val="0519308D"/>
    <w:rsid w:val="055CC0D7"/>
    <w:rsid w:val="064C4B1B"/>
    <w:rsid w:val="067B9707"/>
    <w:rsid w:val="06A0ABF7"/>
    <w:rsid w:val="06FFCD42"/>
    <w:rsid w:val="0889CD5D"/>
    <w:rsid w:val="08D74F68"/>
    <w:rsid w:val="097E955C"/>
    <w:rsid w:val="0A31C2BA"/>
    <w:rsid w:val="0A5EB395"/>
    <w:rsid w:val="0A7F2FDE"/>
    <w:rsid w:val="0A94EF9C"/>
    <w:rsid w:val="0AECE474"/>
    <w:rsid w:val="0B8873A9"/>
    <w:rsid w:val="0C74B2AD"/>
    <w:rsid w:val="0CEEC35E"/>
    <w:rsid w:val="0DBE41D9"/>
    <w:rsid w:val="0DCC1978"/>
    <w:rsid w:val="0DE78545"/>
    <w:rsid w:val="0DF08D6F"/>
    <w:rsid w:val="0DF23C4B"/>
    <w:rsid w:val="0EA6D729"/>
    <w:rsid w:val="0EA6D729"/>
    <w:rsid w:val="0F9C0E28"/>
    <w:rsid w:val="0F9EAEA6"/>
    <w:rsid w:val="0FB16B96"/>
    <w:rsid w:val="103CFFC4"/>
    <w:rsid w:val="106470BB"/>
    <w:rsid w:val="10AC7BA1"/>
    <w:rsid w:val="113E5D7F"/>
    <w:rsid w:val="11903480"/>
    <w:rsid w:val="11C1E07B"/>
    <w:rsid w:val="11C58E6C"/>
    <w:rsid w:val="12838B8E"/>
    <w:rsid w:val="128E8889"/>
    <w:rsid w:val="12AD4A98"/>
    <w:rsid w:val="12F94C52"/>
    <w:rsid w:val="13C155CA"/>
    <w:rsid w:val="13CF57DB"/>
    <w:rsid w:val="13FB731B"/>
    <w:rsid w:val="141630F1"/>
    <w:rsid w:val="143218C8"/>
    <w:rsid w:val="14E96D49"/>
    <w:rsid w:val="14EA514A"/>
    <w:rsid w:val="15836AA3"/>
    <w:rsid w:val="1600F348"/>
    <w:rsid w:val="1614AF37"/>
    <w:rsid w:val="164AF5C7"/>
    <w:rsid w:val="16D4E408"/>
    <w:rsid w:val="18AFC795"/>
    <w:rsid w:val="18C14052"/>
    <w:rsid w:val="1938492B"/>
    <w:rsid w:val="1938492B"/>
    <w:rsid w:val="19413D74"/>
    <w:rsid w:val="1957AEA4"/>
    <w:rsid w:val="19621213"/>
    <w:rsid w:val="198D3CE7"/>
    <w:rsid w:val="1BADE230"/>
    <w:rsid w:val="1C3F8459"/>
    <w:rsid w:val="1CC694D0"/>
    <w:rsid w:val="1CFE5B37"/>
    <w:rsid w:val="1D2F5075"/>
    <w:rsid w:val="1D61E95C"/>
    <w:rsid w:val="1DB02321"/>
    <w:rsid w:val="1E559F98"/>
    <w:rsid w:val="1ED0DE90"/>
    <w:rsid w:val="1F1AD64D"/>
    <w:rsid w:val="1F7A7F2B"/>
    <w:rsid w:val="1FE089A5"/>
    <w:rsid w:val="1FE089A5"/>
    <w:rsid w:val="215A9D4A"/>
    <w:rsid w:val="21F1AC37"/>
    <w:rsid w:val="229F5B1C"/>
    <w:rsid w:val="23899D05"/>
    <w:rsid w:val="24E7CE05"/>
    <w:rsid w:val="24F17C1B"/>
    <w:rsid w:val="2506C527"/>
    <w:rsid w:val="252A8735"/>
    <w:rsid w:val="255C8576"/>
    <w:rsid w:val="25D0C49D"/>
    <w:rsid w:val="25E58BC7"/>
    <w:rsid w:val="270F4C3A"/>
    <w:rsid w:val="275DD6AB"/>
    <w:rsid w:val="275DD6AB"/>
    <w:rsid w:val="289456DD"/>
    <w:rsid w:val="293E174A"/>
    <w:rsid w:val="293FD008"/>
    <w:rsid w:val="293FD008"/>
    <w:rsid w:val="2948A6A4"/>
    <w:rsid w:val="29B47ABE"/>
    <w:rsid w:val="29DB6B1A"/>
    <w:rsid w:val="2AFCAB08"/>
    <w:rsid w:val="2B209399"/>
    <w:rsid w:val="2B28944F"/>
    <w:rsid w:val="2C6EEF59"/>
    <w:rsid w:val="2C90AF38"/>
    <w:rsid w:val="2CB09F97"/>
    <w:rsid w:val="2D09D592"/>
    <w:rsid w:val="2E403E68"/>
    <w:rsid w:val="2ECA50B9"/>
    <w:rsid w:val="2F57281D"/>
    <w:rsid w:val="2F5B401A"/>
    <w:rsid w:val="31506832"/>
    <w:rsid w:val="315E0CF5"/>
    <w:rsid w:val="31CFB750"/>
    <w:rsid w:val="32268AF2"/>
    <w:rsid w:val="32680726"/>
    <w:rsid w:val="33C14FB2"/>
    <w:rsid w:val="33C14FB2"/>
    <w:rsid w:val="3411BC81"/>
    <w:rsid w:val="3411BC81"/>
    <w:rsid w:val="34D9B6CA"/>
    <w:rsid w:val="35296F23"/>
    <w:rsid w:val="3549D24D"/>
    <w:rsid w:val="358206C0"/>
    <w:rsid w:val="359461D3"/>
    <w:rsid w:val="365CF956"/>
    <w:rsid w:val="366925E1"/>
    <w:rsid w:val="36DCD2E9"/>
    <w:rsid w:val="38FA13CD"/>
    <w:rsid w:val="391F8A8D"/>
    <w:rsid w:val="3A6C7783"/>
    <w:rsid w:val="3AB200C2"/>
    <w:rsid w:val="3AB83AA0"/>
    <w:rsid w:val="3B286245"/>
    <w:rsid w:val="3B52EC91"/>
    <w:rsid w:val="3B88409B"/>
    <w:rsid w:val="3BF99B44"/>
    <w:rsid w:val="3D2E04F9"/>
    <w:rsid w:val="3D99693E"/>
    <w:rsid w:val="3DA0FFB7"/>
    <w:rsid w:val="3DA88A4E"/>
    <w:rsid w:val="3E3530EE"/>
    <w:rsid w:val="3F2E8FAB"/>
    <w:rsid w:val="3F506570"/>
    <w:rsid w:val="3F6BEAC8"/>
    <w:rsid w:val="3F958046"/>
    <w:rsid w:val="3FEF304A"/>
    <w:rsid w:val="4006B39A"/>
    <w:rsid w:val="404D8000"/>
    <w:rsid w:val="41E8BFD0"/>
    <w:rsid w:val="4330ECD9"/>
    <w:rsid w:val="43318642"/>
    <w:rsid w:val="4391FBB3"/>
    <w:rsid w:val="43D2B40E"/>
    <w:rsid w:val="4464CD84"/>
    <w:rsid w:val="44811FC1"/>
    <w:rsid w:val="459D982D"/>
    <w:rsid w:val="45FF6027"/>
    <w:rsid w:val="4676AD4E"/>
    <w:rsid w:val="471E989E"/>
    <w:rsid w:val="47B66DFA"/>
    <w:rsid w:val="47EF3022"/>
    <w:rsid w:val="4842F814"/>
    <w:rsid w:val="489A9792"/>
    <w:rsid w:val="48D7F6A8"/>
    <w:rsid w:val="493C7863"/>
    <w:rsid w:val="49C70875"/>
    <w:rsid w:val="49CC9A5F"/>
    <w:rsid w:val="4AF569C1"/>
    <w:rsid w:val="4AF569C1"/>
    <w:rsid w:val="4BF88646"/>
    <w:rsid w:val="4BFE9344"/>
    <w:rsid w:val="4C907218"/>
    <w:rsid w:val="4D0FF95F"/>
    <w:rsid w:val="4D15D96C"/>
    <w:rsid w:val="4DADFFC1"/>
    <w:rsid w:val="4E246C53"/>
    <w:rsid w:val="4E5F151B"/>
    <w:rsid w:val="4EBAEA76"/>
    <w:rsid w:val="4F2CB853"/>
    <w:rsid w:val="509220CD"/>
    <w:rsid w:val="511DED60"/>
    <w:rsid w:val="5201D8F4"/>
    <w:rsid w:val="520A3DF9"/>
    <w:rsid w:val="52AA8BAB"/>
    <w:rsid w:val="52E18B1D"/>
    <w:rsid w:val="5322BDD3"/>
    <w:rsid w:val="53716B10"/>
    <w:rsid w:val="53788696"/>
    <w:rsid w:val="53A5B221"/>
    <w:rsid w:val="53DDA5D7"/>
    <w:rsid w:val="5416D4B2"/>
    <w:rsid w:val="5568229B"/>
    <w:rsid w:val="55D78B19"/>
    <w:rsid w:val="571661F7"/>
    <w:rsid w:val="5739524A"/>
    <w:rsid w:val="57E96CD0"/>
    <w:rsid w:val="57E96CD0"/>
    <w:rsid w:val="5819C047"/>
    <w:rsid w:val="5B327E2D"/>
    <w:rsid w:val="5B784BAE"/>
    <w:rsid w:val="5B96CD2F"/>
    <w:rsid w:val="5C0D5426"/>
    <w:rsid w:val="5CD7E7E7"/>
    <w:rsid w:val="5D1F1ABD"/>
    <w:rsid w:val="5D57DFFC"/>
    <w:rsid w:val="5D8AFAC1"/>
    <w:rsid w:val="5DDE7E69"/>
    <w:rsid w:val="5E75ADC0"/>
    <w:rsid w:val="5F2FAFB8"/>
    <w:rsid w:val="5F7FB53E"/>
    <w:rsid w:val="5FB85BE1"/>
    <w:rsid w:val="5FF1599E"/>
    <w:rsid w:val="60108026"/>
    <w:rsid w:val="6022C195"/>
    <w:rsid w:val="6039952C"/>
    <w:rsid w:val="6086E04F"/>
    <w:rsid w:val="6113CB8D"/>
    <w:rsid w:val="61740316"/>
    <w:rsid w:val="61DBC269"/>
    <w:rsid w:val="61E0CFA7"/>
    <w:rsid w:val="61E65F41"/>
    <w:rsid w:val="61F42285"/>
    <w:rsid w:val="61F7DB5C"/>
    <w:rsid w:val="625E9B0F"/>
    <w:rsid w:val="62C268F5"/>
    <w:rsid w:val="62F2BF9F"/>
    <w:rsid w:val="634A9D32"/>
    <w:rsid w:val="63740DEE"/>
    <w:rsid w:val="64A6E046"/>
    <w:rsid w:val="64C1347A"/>
    <w:rsid w:val="64C1347A"/>
    <w:rsid w:val="64CAE408"/>
    <w:rsid w:val="653B0CF1"/>
    <w:rsid w:val="6600545D"/>
    <w:rsid w:val="6662C779"/>
    <w:rsid w:val="6689DF00"/>
    <w:rsid w:val="669937F1"/>
    <w:rsid w:val="66B980FF"/>
    <w:rsid w:val="67384C2B"/>
    <w:rsid w:val="673E1DC1"/>
    <w:rsid w:val="677C51EC"/>
    <w:rsid w:val="681C11FF"/>
    <w:rsid w:val="689AB0F5"/>
    <w:rsid w:val="68C318A1"/>
    <w:rsid w:val="68C4A662"/>
    <w:rsid w:val="69C8149B"/>
    <w:rsid w:val="69F7C6B3"/>
    <w:rsid w:val="6A4E4712"/>
    <w:rsid w:val="6A9C1D3A"/>
    <w:rsid w:val="6B5D2B80"/>
    <w:rsid w:val="6B8E0C71"/>
    <w:rsid w:val="6BB2A595"/>
    <w:rsid w:val="6BC34994"/>
    <w:rsid w:val="6BF140E5"/>
    <w:rsid w:val="6C16F1D3"/>
    <w:rsid w:val="6C16F1D3"/>
    <w:rsid w:val="6CCA0DDC"/>
    <w:rsid w:val="6D64932D"/>
    <w:rsid w:val="6DAC2202"/>
    <w:rsid w:val="6DF679CD"/>
    <w:rsid w:val="6DF6A59D"/>
    <w:rsid w:val="6ED952E8"/>
    <w:rsid w:val="6FA07605"/>
    <w:rsid w:val="6FC97BB9"/>
    <w:rsid w:val="7006D702"/>
    <w:rsid w:val="713BC605"/>
    <w:rsid w:val="7141CC33"/>
    <w:rsid w:val="7351E0D7"/>
    <w:rsid w:val="7389BA92"/>
    <w:rsid w:val="74491F31"/>
    <w:rsid w:val="74CFC765"/>
    <w:rsid w:val="74F6CDA6"/>
    <w:rsid w:val="74FFD253"/>
    <w:rsid w:val="7527FB01"/>
    <w:rsid w:val="76E7757A"/>
    <w:rsid w:val="7749255F"/>
    <w:rsid w:val="77C247FD"/>
    <w:rsid w:val="7834812A"/>
    <w:rsid w:val="784D456A"/>
    <w:rsid w:val="78D3C9CD"/>
    <w:rsid w:val="78F9D27A"/>
    <w:rsid w:val="7929AF3A"/>
    <w:rsid w:val="7952DB16"/>
    <w:rsid w:val="797A67AE"/>
    <w:rsid w:val="799CDD31"/>
    <w:rsid w:val="79FB36E3"/>
    <w:rsid w:val="7A082FC8"/>
    <w:rsid w:val="7A9CFF32"/>
    <w:rsid w:val="7AC2B7E0"/>
    <w:rsid w:val="7B0613B5"/>
    <w:rsid w:val="7B2EAD42"/>
    <w:rsid w:val="7BC56302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7A082FC8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31C84F69-9CEF-48F9-AD80-45F2393F52C4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2026-03-27T17:36:54Z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