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66763" w14:textId="103F45FA" w:rsidR="00795120" w:rsidRPr="000A4469" w:rsidRDefault="00EC3495" w:rsidP="00795120">
      <w:pPr>
        <w:pStyle w:val="PargrafodaLista"/>
        <w:ind w:left="1131" w:firstLine="0"/>
        <w:jc w:val="center"/>
        <w:rPr>
          <w:rFonts w:ascii="Times New Roman" w:hAnsi="Times New Roman" w:cs="Times New Roman"/>
          <w:b/>
        </w:rPr>
      </w:pPr>
      <w:bookmarkStart w:id="0" w:name="_Toc341901044"/>
      <w:r>
        <w:rPr>
          <w:rFonts w:ascii="Times New Roman" w:hAnsi="Times New Roman" w:cs="Times New Roman"/>
          <w:b/>
        </w:rPr>
        <w:t>ANEXO</w:t>
      </w:r>
      <w:bookmarkStart w:id="1" w:name="_GoBack"/>
      <w:bookmarkEnd w:id="1"/>
    </w:p>
    <w:p w14:paraId="24890441" w14:textId="77777777" w:rsidR="00795120" w:rsidRPr="000A4469" w:rsidRDefault="00795120" w:rsidP="00795120">
      <w:pPr>
        <w:pStyle w:val="PargrafodaLista"/>
        <w:ind w:left="1131" w:firstLine="0"/>
        <w:rPr>
          <w:rFonts w:ascii="Times New Roman" w:hAnsi="Times New Roman" w:cs="Times New Roman"/>
          <w:b/>
        </w:rPr>
      </w:pPr>
    </w:p>
    <w:p w14:paraId="7F1B135C" w14:textId="5C15027F" w:rsidR="000A4469" w:rsidRPr="000A4469" w:rsidRDefault="000A4469" w:rsidP="000A4469">
      <w:pPr>
        <w:tabs>
          <w:tab w:val="left" w:pos="1134"/>
        </w:tabs>
        <w:autoSpaceDE w:val="0"/>
        <w:autoSpaceDN w:val="0"/>
        <w:adjustRightInd w:val="0"/>
        <w:spacing w:after="240"/>
        <w:ind w:firstLine="0"/>
        <w:jc w:val="center"/>
        <w:rPr>
          <w:rFonts w:ascii="Times New Roman" w:hAnsi="Times New Roman" w:cs="Times New Roman"/>
        </w:rPr>
      </w:pPr>
      <w:r w:rsidRPr="000A4469">
        <w:rPr>
          <w:rFonts w:ascii="Times New Roman" w:hAnsi="Times New Roman" w:cs="Times New Roman"/>
          <w:b/>
        </w:rPr>
        <w:t>PROJEÇÃO DE DEMANDA DE GRANÉIS LÍQUIDOS NO PORTO DE SANTOS</w:t>
      </w:r>
      <w:r w:rsidR="00CC5A55">
        <w:rPr>
          <w:rFonts w:ascii="Times New Roman" w:hAnsi="Times New Roman" w:cs="Times New Roman"/>
          <w:b/>
        </w:rPr>
        <w:t>-SP</w:t>
      </w:r>
      <w:r w:rsidRPr="000A4469">
        <w:rPr>
          <w:rFonts w:ascii="Times New Roman" w:hAnsi="Times New Roman" w:cs="Times New Roman"/>
          <w:b/>
        </w:rPr>
        <w:t xml:space="preserve"> REFERENTE AO EDITAL DE CHAMAMENTO PÚBLICO DE ESTUDOS PORTUÁRIOS N° 003/2015.</w:t>
      </w:r>
    </w:p>
    <w:p w14:paraId="18C99252" w14:textId="77777777" w:rsidR="009A7122" w:rsidRPr="000A4469" w:rsidRDefault="009A7122" w:rsidP="00E91BBA">
      <w:pPr>
        <w:pStyle w:val="Ttulo1"/>
        <w:numPr>
          <w:ilvl w:val="0"/>
          <w:numId w:val="3"/>
        </w:numPr>
        <w:ind w:left="431" w:hanging="431"/>
        <w:rPr>
          <w:rFonts w:ascii="Times New Roman" w:hAnsi="Times New Roman" w:cs="Times New Roman"/>
          <w:color w:val="auto"/>
          <w:sz w:val="24"/>
          <w:szCs w:val="24"/>
        </w:rPr>
      </w:pPr>
      <w:r w:rsidRPr="000A4469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bookmarkEnd w:id="0"/>
    <w:p w14:paraId="0ED41624" w14:textId="3C029560" w:rsidR="000A4469" w:rsidRDefault="000A4469" w:rsidP="000A4469">
      <w:pPr>
        <w:pStyle w:val="PargrafodaLista"/>
        <w:numPr>
          <w:ilvl w:val="1"/>
          <w:numId w:val="3"/>
        </w:numPr>
        <w:tabs>
          <w:tab w:val="left" w:pos="1134"/>
        </w:tabs>
        <w:ind w:left="0" w:firstLine="3"/>
        <w:rPr>
          <w:rFonts w:ascii="Times New Roman" w:hAnsi="Times New Roman" w:cs="Times New Roman"/>
        </w:rPr>
      </w:pPr>
      <w:r w:rsidRPr="000A4469">
        <w:rPr>
          <w:rFonts w:ascii="Times New Roman" w:hAnsi="Times New Roman" w:cs="Times New Roman"/>
        </w:rPr>
        <w:t>Este documento objetiva apresentar a projeção referencial de demanda de granéis</w:t>
      </w:r>
      <w:r>
        <w:rPr>
          <w:rFonts w:ascii="Times New Roman" w:hAnsi="Times New Roman" w:cs="Times New Roman"/>
        </w:rPr>
        <w:t xml:space="preserve"> líquidos no Porto de Santos</w:t>
      </w:r>
      <w:r w:rsidRPr="000A4469">
        <w:rPr>
          <w:rFonts w:ascii="Times New Roman" w:hAnsi="Times New Roman" w:cs="Times New Roman"/>
        </w:rPr>
        <w:t>, conforme disposto nos Edital de Chamamento Público de Estudos Portuários</w:t>
      </w:r>
      <w:r w:rsidRPr="000A4469" w:rsidDel="00FB77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nº 003</w:t>
      </w:r>
      <w:r w:rsidRPr="000A4469">
        <w:rPr>
          <w:rFonts w:ascii="Times New Roman" w:hAnsi="Times New Roman" w:cs="Times New Roman"/>
        </w:rPr>
        <w:t>/2015.</w:t>
      </w:r>
    </w:p>
    <w:p w14:paraId="42028307" w14:textId="77777777" w:rsidR="000A4469" w:rsidRDefault="000A4469" w:rsidP="000A4469">
      <w:pPr>
        <w:pStyle w:val="PargrafodaLista"/>
        <w:tabs>
          <w:tab w:val="left" w:pos="1134"/>
        </w:tabs>
        <w:ind w:left="3" w:firstLine="0"/>
        <w:rPr>
          <w:rFonts w:ascii="Times New Roman" w:hAnsi="Times New Roman" w:cs="Times New Roman"/>
        </w:rPr>
      </w:pPr>
    </w:p>
    <w:p w14:paraId="23128B66" w14:textId="79620FBB" w:rsidR="000A4469" w:rsidRPr="000A4469" w:rsidRDefault="000A4469" w:rsidP="000A4469">
      <w:pPr>
        <w:pStyle w:val="PargrafodaLista"/>
        <w:numPr>
          <w:ilvl w:val="1"/>
          <w:numId w:val="3"/>
        </w:numPr>
        <w:tabs>
          <w:tab w:val="left" w:pos="1134"/>
        </w:tabs>
        <w:ind w:left="0" w:firstLine="3"/>
        <w:rPr>
          <w:rFonts w:ascii="Times New Roman" w:hAnsi="Times New Roman" w:cs="Times New Roman"/>
        </w:rPr>
      </w:pPr>
      <w:r w:rsidRPr="000A4469">
        <w:rPr>
          <w:rFonts w:ascii="Times New Roman" w:hAnsi="Times New Roman" w:cs="Times New Roman"/>
        </w:rPr>
        <w:t>Essa projeção de demanda servirá como referência para a elaboração dos Estudos de Viabilidade Técnica, Econômica e Ambiental (</w:t>
      </w:r>
      <w:proofErr w:type="spellStart"/>
      <w:r w:rsidRPr="000A4469">
        <w:rPr>
          <w:rFonts w:ascii="Times New Roman" w:hAnsi="Times New Roman" w:cs="Times New Roman"/>
        </w:rPr>
        <w:t>EVTEAs</w:t>
      </w:r>
      <w:proofErr w:type="spellEnd"/>
      <w:r w:rsidRPr="000A4469">
        <w:rPr>
          <w:rFonts w:ascii="Times New Roman" w:hAnsi="Times New Roman" w:cs="Times New Roman"/>
        </w:rPr>
        <w:t>) das empresas interessadas no estudo da área a ser arrendada.</w:t>
      </w:r>
    </w:p>
    <w:p w14:paraId="04F9709D" w14:textId="77777777" w:rsidR="009A7122" w:rsidRPr="000A4469" w:rsidRDefault="009A7122" w:rsidP="00E91BBA">
      <w:pPr>
        <w:pStyle w:val="Ttulo1"/>
        <w:numPr>
          <w:ilvl w:val="0"/>
          <w:numId w:val="3"/>
        </w:numPr>
        <w:ind w:left="431" w:hanging="431"/>
        <w:rPr>
          <w:rFonts w:ascii="Times New Roman" w:hAnsi="Times New Roman" w:cs="Times New Roman"/>
          <w:color w:val="auto"/>
          <w:sz w:val="24"/>
          <w:szCs w:val="24"/>
        </w:rPr>
      </w:pPr>
      <w:r w:rsidRPr="000A4469">
        <w:rPr>
          <w:rFonts w:ascii="Times New Roman" w:hAnsi="Times New Roman" w:cs="Times New Roman"/>
          <w:color w:val="auto"/>
          <w:sz w:val="24"/>
          <w:szCs w:val="24"/>
        </w:rPr>
        <w:t>PROJEÇÃO DE DEMANDA</w:t>
      </w:r>
    </w:p>
    <w:p w14:paraId="16979F57" w14:textId="179DEC7F" w:rsidR="000A4469" w:rsidRDefault="007114E1" w:rsidP="000A4469">
      <w:pPr>
        <w:pStyle w:val="PargrafodaLista"/>
        <w:numPr>
          <w:ilvl w:val="1"/>
          <w:numId w:val="3"/>
        </w:numPr>
        <w:tabs>
          <w:tab w:val="left" w:pos="1134"/>
        </w:tabs>
        <w:spacing w:after="240"/>
        <w:ind w:left="0" w:firstLine="0"/>
        <w:rPr>
          <w:rFonts w:ascii="Times New Roman" w:hAnsi="Times New Roman" w:cs="Times New Roman"/>
        </w:rPr>
      </w:pPr>
      <w:r w:rsidRPr="000A4469">
        <w:rPr>
          <w:rFonts w:ascii="Times New Roman" w:hAnsi="Times New Roman" w:cs="Times New Roman"/>
        </w:rPr>
        <w:t xml:space="preserve">A movimentação observada </w:t>
      </w:r>
      <w:r w:rsidR="00795120" w:rsidRPr="000A4469">
        <w:rPr>
          <w:rFonts w:ascii="Times New Roman" w:hAnsi="Times New Roman" w:cs="Times New Roman"/>
        </w:rPr>
        <w:t xml:space="preserve">no Porto de Santos, </w:t>
      </w:r>
      <w:r w:rsidRPr="000A4469">
        <w:rPr>
          <w:rFonts w:ascii="Times New Roman" w:hAnsi="Times New Roman" w:cs="Times New Roman"/>
        </w:rPr>
        <w:t xml:space="preserve">em 2013 e 2014, </w:t>
      </w:r>
      <w:r w:rsidR="00ED0586" w:rsidRPr="000A4469">
        <w:rPr>
          <w:rFonts w:ascii="Times New Roman" w:hAnsi="Times New Roman" w:cs="Times New Roman"/>
        </w:rPr>
        <w:t>é</w:t>
      </w:r>
      <w:r w:rsidRPr="000A4469">
        <w:rPr>
          <w:rFonts w:ascii="Times New Roman" w:hAnsi="Times New Roman" w:cs="Times New Roman"/>
        </w:rPr>
        <w:t xml:space="preserve"> apresentada </w:t>
      </w:r>
      <w:r w:rsidR="009A7122" w:rsidRPr="000A4469">
        <w:rPr>
          <w:rFonts w:ascii="Times New Roman" w:hAnsi="Times New Roman" w:cs="Times New Roman"/>
        </w:rPr>
        <w:t xml:space="preserve">na </w:t>
      </w:r>
      <w:r w:rsidR="00E965FD" w:rsidRPr="000A4469">
        <w:rPr>
          <w:rFonts w:ascii="Times New Roman" w:hAnsi="Times New Roman" w:cs="Times New Roman"/>
        </w:rPr>
        <w:fldChar w:fldCharType="begin"/>
      </w:r>
      <w:r w:rsidR="00E965FD" w:rsidRPr="000A4469">
        <w:rPr>
          <w:rFonts w:ascii="Times New Roman" w:hAnsi="Times New Roman" w:cs="Times New Roman"/>
        </w:rPr>
        <w:instrText xml:space="preserve"> REF _Ref427230292 \h  \* MERGEFORMAT </w:instrText>
      </w:r>
      <w:r w:rsidR="00E965FD" w:rsidRPr="000A4469">
        <w:rPr>
          <w:rFonts w:ascii="Times New Roman" w:hAnsi="Times New Roman" w:cs="Times New Roman"/>
        </w:rPr>
      </w:r>
      <w:r w:rsidR="00E965FD" w:rsidRPr="000A4469">
        <w:rPr>
          <w:rFonts w:ascii="Times New Roman" w:hAnsi="Times New Roman" w:cs="Times New Roman"/>
        </w:rPr>
        <w:fldChar w:fldCharType="separate"/>
      </w:r>
      <w:r w:rsidR="00CC5A55" w:rsidRPr="000A4469">
        <w:rPr>
          <w:rFonts w:ascii="Times New Roman" w:hAnsi="Times New Roman" w:cs="Times New Roman"/>
        </w:rPr>
        <w:t xml:space="preserve">Tabela </w:t>
      </w:r>
      <w:r w:rsidR="00CC5A55">
        <w:rPr>
          <w:rFonts w:ascii="Times New Roman" w:hAnsi="Times New Roman" w:cs="Times New Roman"/>
          <w:noProof/>
        </w:rPr>
        <w:t>1</w:t>
      </w:r>
      <w:r w:rsidR="00E965FD" w:rsidRPr="000A4469">
        <w:rPr>
          <w:rFonts w:ascii="Times New Roman" w:hAnsi="Times New Roman" w:cs="Times New Roman"/>
        </w:rPr>
        <w:fldChar w:fldCharType="end"/>
      </w:r>
      <w:r w:rsidR="009A7122" w:rsidRPr="000A4469">
        <w:rPr>
          <w:rFonts w:ascii="Times New Roman" w:hAnsi="Times New Roman" w:cs="Times New Roman"/>
        </w:rPr>
        <w:t xml:space="preserve">. Apresentam-se também os resultados das projeções de movimentação até </w:t>
      </w:r>
      <w:r w:rsidR="00ED0586" w:rsidRPr="000A4469">
        <w:rPr>
          <w:rFonts w:ascii="Times New Roman" w:hAnsi="Times New Roman" w:cs="Times New Roman"/>
        </w:rPr>
        <w:t xml:space="preserve">o ano de </w:t>
      </w:r>
      <w:r w:rsidR="009A7122" w:rsidRPr="000A4469">
        <w:rPr>
          <w:rFonts w:ascii="Times New Roman" w:hAnsi="Times New Roman" w:cs="Times New Roman"/>
        </w:rPr>
        <w:t>2045.</w:t>
      </w:r>
    </w:p>
    <w:p w14:paraId="69BA04CB" w14:textId="77777777" w:rsidR="000A4469" w:rsidRPr="000A4469" w:rsidRDefault="000A4469" w:rsidP="000A4469">
      <w:pPr>
        <w:pStyle w:val="PargrafodaLista"/>
        <w:tabs>
          <w:tab w:val="left" w:pos="1134"/>
        </w:tabs>
        <w:spacing w:after="240"/>
        <w:ind w:left="0" w:firstLine="0"/>
        <w:rPr>
          <w:rFonts w:ascii="Times New Roman" w:hAnsi="Times New Roman" w:cs="Times New Roman"/>
        </w:rPr>
      </w:pPr>
    </w:p>
    <w:p w14:paraId="449CD9E2" w14:textId="51C898E2" w:rsidR="006C4DD4" w:rsidRPr="000A4469" w:rsidRDefault="006C4DD4" w:rsidP="000A4469">
      <w:pPr>
        <w:pStyle w:val="PargrafodaLista"/>
        <w:numPr>
          <w:ilvl w:val="1"/>
          <w:numId w:val="3"/>
        </w:numPr>
        <w:tabs>
          <w:tab w:val="left" w:pos="1134"/>
        </w:tabs>
        <w:spacing w:after="240"/>
        <w:ind w:left="0" w:firstLine="0"/>
        <w:rPr>
          <w:rFonts w:ascii="Times New Roman" w:hAnsi="Times New Roman" w:cs="Times New Roman"/>
        </w:rPr>
      </w:pPr>
      <w:r w:rsidRPr="000A4469">
        <w:rPr>
          <w:rFonts w:ascii="Times New Roman" w:hAnsi="Times New Roman" w:cs="Times New Roman"/>
          <w:szCs w:val="20"/>
        </w:rPr>
        <w:t>Como poderá ser verificado na Tabela 1, foi registrada uma movimentação total de 14,1 milhões de toneladas de granéis líquidos em 2014. Espera-se que futuramente a taxa de crescimento média dessa natureza de carga seja da ordem de 1,8% ao ano, o que resultará em um volume de 31,5 milhões de toneladas em 2045.</w:t>
      </w:r>
    </w:p>
    <w:p w14:paraId="1EFC001B" w14:textId="77777777" w:rsidR="006C4DD4" w:rsidRPr="000A4469" w:rsidRDefault="006C4DD4" w:rsidP="005C3B4D">
      <w:pPr>
        <w:spacing w:after="240"/>
        <w:rPr>
          <w:rFonts w:ascii="Times New Roman" w:hAnsi="Times New Roman" w:cs="Times New Roman"/>
        </w:rPr>
      </w:pPr>
    </w:p>
    <w:p w14:paraId="7970FE1C" w14:textId="50965F11" w:rsidR="00E965FD" w:rsidRPr="000A4469" w:rsidRDefault="00E965FD" w:rsidP="00E965FD">
      <w:pPr>
        <w:pStyle w:val="Legenda"/>
        <w:rPr>
          <w:rFonts w:ascii="Times New Roman" w:hAnsi="Times New Roman" w:cs="Times New Roman"/>
        </w:rPr>
      </w:pPr>
      <w:bookmarkStart w:id="2" w:name="_Ref427230292"/>
      <w:r w:rsidRPr="000A4469">
        <w:rPr>
          <w:rFonts w:ascii="Times New Roman" w:hAnsi="Times New Roman" w:cs="Times New Roman"/>
        </w:rPr>
        <w:lastRenderedPageBreak/>
        <w:t xml:space="preserve">Tabela </w:t>
      </w:r>
      <w:r w:rsidR="000A4469" w:rsidRPr="000A4469">
        <w:rPr>
          <w:rFonts w:ascii="Times New Roman" w:hAnsi="Times New Roman" w:cs="Times New Roman"/>
        </w:rPr>
        <w:fldChar w:fldCharType="begin"/>
      </w:r>
      <w:r w:rsidR="000A4469" w:rsidRPr="000A4469">
        <w:rPr>
          <w:rFonts w:ascii="Times New Roman" w:hAnsi="Times New Roman" w:cs="Times New Roman"/>
        </w:rPr>
        <w:instrText xml:space="preserve"> SEQ Tabela \* ARABIC </w:instrText>
      </w:r>
      <w:r w:rsidR="000A4469" w:rsidRPr="000A4469">
        <w:rPr>
          <w:rFonts w:ascii="Times New Roman" w:hAnsi="Times New Roman" w:cs="Times New Roman"/>
        </w:rPr>
        <w:fldChar w:fldCharType="separate"/>
      </w:r>
      <w:r w:rsidR="00CC5A55">
        <w:rPr>
          <w:rFonts w:ascii="Times New Roman" w:hAnsi="Times New Roman" w:cs="Times New Roman"/>
          <w:noProof/>
        </w:rPr>
        <w:t>1</w:t>
      </w:r>
      <w:r w:rsidR="000A4469" w:rsidRPr="000A4469">
        <w:rPr>
          <w:rFonts w:ascii="Times New Roman" w:hAnsi="Times New Roman" w:cs="Times New Roman"/>
          <w:noProof/>
        </w:rPr>
        <w:fldChar w:fldCharType="end"/>
      </w:r>
      <w:bookmarkEnd w:id="2"/>
      <w:r w:rsidRPr="000A4469">
        <w:rPr>
          <w:rFonts w:ascii="Times New Roman" w:hAnsi="Times New Roman" w:cs="Times New Roman"/>
        </w:rPr>
        <w:t xml:space="preserve"> – Projeção de demanda de </w:t>
      </w:r>
      <w:r w:rsidR="00795120" w:rsidRPr="000A4469">
        <w:rPr>
          <w:rFonts w:ascii="Times New Roman" w:hAnsi="Times New Roman" w:cs="Times New Roman"/>
        </w:rPr>
        <w:t>granéis líquidos</w:t>
      </w:r>
      <w:r w:rsidRPr="000A4469">
        <w:rPr>
          <w:rFonts w:ascii="Times New Roman" w:hAnsi="Times New Roman" w:cs="Times New Roman"/>
        </w:rPr>
        <w:t xml:space="preserve"> no Porto </w:t>
      </w:r>
      <w:r w:rsidR="009E346F" w:rsidRPr="000A4469">
        <w:rPr>
          <w:rFonts w:ascii="Times New Roman" w:hAnsi="Times New Roman" w:cs="Times New Roman"/>
        </w:rPr>
        <w:t>de Santos</w:t>
      </w:r>
      <w:r w:rsidRPr="000A4469">
        <w:rPr>
          <w:rFonts w:ascii="Times New Roman" w:hAnsi="Times New Roman" w:cs="Times New Roman"/>
        </w:rPr>
        <w:t xml:space="preserve"> entre os anos de 2014 (</w:t>
      </w:r>
      <w:r w:rsidR="00705BD2" w:rsidRPr="000A4469">
        <w:rPr>
          <w:rFonts w:ascii="Times New Roman" w:hAnsi="Times New Roman" w:cs="Times New Roman"/>
        </w:rPr>
        <w:t>o</w:t>
      </w:r>
      <w:r w:rsidRPr="000A4469">
        <w:rPr>
          <w:rFonts w:ascii="Times New Roman" w:hAnsi="Times New Roman" w:cs="Times New Roman"/>
        </w:rPr>
        <w:t>bservado) e 2045 (</w:t>
      </w:r>
      <w:r w:rsidR="00705BD2" w:rsidRPr="000A4469">
        <w:rPr>
          <w:rFonts w:ascii="Times New Roman" w:hAnsi="Times New Roman" w:cs="Times New Roman"/>
        </w:rPr>
        <w:t>p</w:t>
      </w:r>
      <w:r w:rsidRPr="000A4469">
        <w:rPr>
          <w:rFonts w:ascii="Times New Roman" w:hAnsi="Times New Roman" w:cs="Times New Roman"/>
        </w:rPr>
        <w:t xml:space="preserve">rojetado) </w:t>
      </w:r>
      <w:r w:rsidR="003A6359" w:rsidRPr="000A4469">
        <w:rPr>
          <w:rFonts w:ascii="Times New Roman" w:hAnsi="Times New Roman" w:cs="Times New Roman"/>
        </w:rPr>
        <w:t>—</w:t>
      </w:r>
      <w:r w:rsidRPr="000A4469">
        <w:rPr>
          <w:rFonts w:ascii="Times New Roman" w:hAnsi="Times New Roman" w:cs="Times New Roman"/>
        </w:rPr>
        <w:t xml:space="preserve"> </w:t>
      </w:r>
      <w:r w:rsidR="00705BD2" w:rsidRPr="000A4469">
        <w:rPr>
          <w:rFonts w:ascii="Times New Roman" w:hAnsi="Times New Roman" w:cs="Times New Roman"/>
        </w:rPr>
        <w:t xml:space="preserve">valores </w:t>
      </w:r>
      <w:r w:rsidRPr="000A4469">
        <w:rPr>
          <w:rFonts w:ascii="Times New Roman" w:hAnsi="Times New Roman" w:cs="Times New Roman"/>
        </w:rPr>
        <w:t>em toneladas</w:t>
      </w:r>
    </w:p>
    <w:tbl>
      <w:tblPr>
        <w:tblW w:w="93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1455"/>
        <w:gridCol w:w="1464"/>
        <w:gridCol w:w="1132"/>
        <w:gridCol w:w="954"/>
        <w:gridCol w:w="954"/>
        <w:gridCol w:w="954"/>
        <w:gridCol w:w="954"/>
      </w:tblGrid>
      <w:tr w:rsidR="00671265" w:rsidRPr="000A4469" w14:paraId="671EC72F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4B86C043" w14:textId="76D34A3F" w:rsidR="00671265" w:rsidRPr="000A4469" w:rsidRDefault="00671265" w:rsidP="00705BD2">
            <w:pPr>
              <w:keepNext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Natureza de </w:t>
            </w:r>
            <w:r w:rsidR="00705BD2"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arga</w:t>
            </w: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0B8AB1D2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Mercadoria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62D472D8" w14:textId="22D45B09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Tipo </w:t>
            </w:r>
            <w:r w:rsidR="00705BD2"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de n</w:t>
            </w: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avegação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0B46B318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Sentido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3251656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2014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77ABF768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4BACC6" w:fill="4BACC6"/>
            <w:noWrap/>
            <w:vAlign w:val="center"/>
            <w:hideMark/>
          </w:tcPr>
          <w:p w14:paraId="1B3F4C9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2030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4BACC6" w:fill="4BACC6"/>
            <w:noWrap/>
            <w:vAlign w:val="center"/>
            <w:hideMark/>
          </w:tcPr>
          <w:p w14:paraId="66690CD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2045</w:t>
            </w:r>
          </w:p>
        </w:tc>
      </w:tr>
      <w:tr w:rsidR="00671265" w:rsidRPr="000A4469" w14:paraId="292993E9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15C62C4" w14:textId="5A8C50BF" w:rsidR="00671265" w:rsidRPr="000A4469" w:rsidRDefault="00671265" w:rsidP="00705BD2">
            <w:pPr>
              <w:keepNext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Granel </w:t>
            </w:r>
            <w:r w:rsidR="00705BD2" w:rsidRPr="000A44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Pr="000A44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íquido</w:t>
            </w: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045BCB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E65853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7B4278F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55E629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14.083.233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0F99CFD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18.326.882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308771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23.802.675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56CD9DBF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31.457.187</w:t>
            </w:r>
          </w:p>
        </w:tc>
      </w:tr>
      <w:tr w:rsidR="00671265" w:rsidRPr="000A4469" w14:paraId="179A4516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B1C1E3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0C03C9C" w14:textId="5402A8C5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Óleo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ombustível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9E20696" w14:textId="0511714D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Consumo de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ordo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F23812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01DCA9E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1.712.286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1F3045D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1.922.388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2FB2C18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2.262.613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18D75310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2.598.953</w:t>
            </w:r>
          </w:p>
        </w:tc>
      </w:tr>
      <w:tr w:rsidR="00671265" w:rsidRPr="000A4469" w14:paraId="363CC73C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4592048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A3821FA" w14:textId="09344163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Óleo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ombustível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67C5A0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Cabotagem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B9668BA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43C8B8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1.347.798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1C1795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1.622.530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659848F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1.879.790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533F160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2.116.965</w:t>
            </w:r>
          </w:p>
        </w:tc>
      </w:tr>
      <w:tr w:rsidR="00671265" w:rsidRPr="000A4469" w14:paraId="402C53BE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4B4279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E5F505B" w14:textId="34BD1F19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Óleo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ombustível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99A62A3" w14:textId="565EDB65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Longo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2C6EE2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4ABB120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747.038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9B6F9BC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828.247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B97645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973.421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29F1E6B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1.195.302</w:t>
            </w:r>
          </w:p>
        </w:tc>
      </w:tr>
      <w:tr w:rsidR="00671265" w:rsidRPr="000A4469" w14:paraId="3B6684B8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F957D6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4F7FEE1" w14:textId="10139F51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Óleo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ombustível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8F9D55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Cabotagem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379DE52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552AB5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17.949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F84AB6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124.714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FB09D9C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113.718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559B21A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110.029</w:t>
            </w:r>
          </w:p>
        </w:tc>
      </w:tr>
      <w:tr w:rsidR="00671265" w:rsidRPr="000A4469" w14:paraId="61D27DFE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6FE4F2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52F4982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Etanol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223DEDC" w14:textId="5BD38FEF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Longo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529879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542CA3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1.003.959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E54D2F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2.008.662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72EE51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3.776.719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7D1676A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6.814.123</w:t>
            </w:r>
          </w:p>
        </w:tc>
      </w:tr>
      <w:tr w:rsidR="00671265" w:rsidRPr="000A4469" w14:paraId="2CB3A06C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338626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523B6D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Etanol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629995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Cabotagem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4EC6C88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D0C73A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177.782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1BD83C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262.881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E74D59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380.973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6332BE1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502.109</w:t>
            </w:r>
          </w:p>
        </w:tc>
      </w:tr>
      <w:tr w:rsidR="00671265" w:rsidRPr="000A4469" w14:paraId="59242391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21E12D3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6C4D5FC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Etanol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851FA4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Cabotagem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BFAEBC0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43317EA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15.110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7294CD0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19.847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674BB7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20.320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4749112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20.875</w:t>
            </w:r>
          </w:p>
        </w:tc>
      </w:tr>
      <w:tr w:rsidR="00671265" w:rsidRPr="000A4469" w14:paraId="743D3FA6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A754B10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0CD996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Gasolina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A82D02C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Cabotagem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778F3F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634054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1.342.798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4BA3CC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1.812.879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7BA273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2.129.224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1B7F0DB3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2.500.196</w:t>
            </w:r>
          </w:p>
        </w:tc>
      </w:tr>
      <w:tr w:rsidR="00671265" w:rsidRPr="000A4469" w14:paraId="0CE7910B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CBFC94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49979F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Gasolina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EE7E199" w14:textId="5E45B5CA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Longo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0C69CA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E736B22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15.166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CE1DC5C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26.189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FCF6EA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40.867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63D5674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54.480</w:t>
            </w:r>
          </w:p>
        </w:tc>
      </w:tr>
      <w:tr w:rsidR="00671265" w:rsidRPr="000A4469" w14:paraId="7940642B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AB417B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9FE43E2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GLP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A7F19BC" w14:textId="335BEACA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Longo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90AF29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409C55A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467.630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5E4EB8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560.263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A2B9D9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620.408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764968A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684.871</w:t>
            </w:r>
          </w:p>
        </w:tc>
      </w:tr>
      <w:tr w:rsidR="00671265" w:rsidRPr="000A4469" w14:paraId="7C37ED4C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64FCAE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E28789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GLP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1A7A6FA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Cabotagem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7BDA86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1F23A4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456.532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4B1AA5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764.635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EE11743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949.705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0C4633A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1.153.773</w:t>
            </w:r>
          </w:p>
        </w:tc>
      </w:tr>
      <w:tr w:rsidR="00671265" w:rsidRPr="000A4469" w14:paraId="2EE800AF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08976AD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3EA2859" w14:textId="684B0A24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Óleo </w:t>
            </w:r>
            <w:r w:rsidR="0057478E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iesel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91AB64C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Cabotagem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0D064E3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5BB4C2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1.992.810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D655F6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2.496.069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509566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2.832.089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22443D1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3.226.133</w:t>
            </w:r>
          </w:p>
        </w:tc>
      </w:tr>
      <w:tr w:rsidR="00671265" w:rsidRPr="000A4469" w14:paraId="5BC036D3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56EF9F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D774726" w14:textId="21D10137" w:rsidR="00671265" w:rsidRPr="000A4469" w:rsidRDefault="00671265" w:rsidP="0057478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Produtos </w:t>
            </w:r>
            <w:r w:rsidR="0057478E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q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uímicos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3F16A46" w14:textId="6A28514D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Longo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F86E7B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574C4C8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1.501.712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BADE9F3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1.818.851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9F4D91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2.348.835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6138D13F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2.876.622</w:t>
            </w:r>
          </w:p>
        </w:tc>
      </w:tr>
      <w:tr w:rsidR="00671265" w:rsidRPr="000A4469" w14:paraId="035524F3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8042DCA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35DA939" w14:textId="27C3EB43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Soda </w:t>
            </w:r>
            <w:r w:rsidR="0057478E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áustica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B31DFE0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Cabotagem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3666AFE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1B236B3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533.719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8D4E7C2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564.608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ACBE1F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595.119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5AA83DB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637.682</w:t>
            </w:r>
          </w:p>
        </w:tc>
      </w:tr>
      <w:tr w:rsidR="00671265" w:rsidRPr="000A4469" w14:paraId="1B91EF88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747734F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1C38253B" w14:textId="22253F96" w:rsidR="00671265" w:rsidRPr="000A4469" w:rsidRDefault="00671265" w:rsidP="0057478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Soda </w:t>
            </w:r>
            <w:r w:rsidR="0057478E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áustica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0F8FAB6" w14:textId="0A051398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Longo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5AB6ED62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36BDBD91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361.143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81E2BE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459.151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2887410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570.029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67D6193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666.574</w:t>
            </w:r>
          </w:p>
        </w:tc>
      </w:tr>
      <w:tr w:rsidR="00671265" w:rsidRPr="000A4469" w14:paraId="27534A26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489EEFC0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14:paraId="14606D32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Amônia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249E5D7" w14:textId="7FCD673C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Longo 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803384D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E93E1F4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337.614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7A500A67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442.097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BAC1D88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600.209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44F5DE0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779.140</w:t>
            </w:r>
          </w:p>
        </w:tc>
      </w:tr>
      <w:tr w:rsidR="00671265" w:rsidRPr="000A4469" w14:paraId="3C426628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1504F99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vAlign w:val="center"/>
            <w:hideMark/>
          </w:tcPr>
          <w:p w14:paraId="410A7879" w14:textId="05FE71C5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Sucos </w:t>
            </w:r>
            <w:r w:rsidR="00705BD2" w:rsidRPr="000A4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ítricos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49BC9645" w14:textId="0D5F478B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Longo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2DDA683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C49DA6F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1.806.149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684DD54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2.342.075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DAEEF3" w:fill="DAEEF3"/>
            <w:noWrap/>
            <w:vAlign w:val="center"/>
            <w:hideMark/>
          </w:tcPr>
          <w:p w14:paraId="0CFBCF80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3.391.269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DAEEF3" w:fill="DAEEF3"/>
            <w:noWrap/>
            <w:vAlign w:val="center"/>
            <w:hideMark/>
          </w:tcPr>
          <w:p w14:paraId="335418A6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5.113.234</w:t>
            </w:r>
          </w:p>
        </w:tc>
      </w:tr>
      <w:tr w:rsidR="00671265" w:rsidRPr="000A4469" w14:paraId="654D3CAD" w14:textId="77777777" w:rsidTr="002A741E">
        <w:trPr>
          <w:trHeight w:val="340"/>
        </w:trPr>
        <w:tc>
          <w:tcPr>
            <w:tcW w:w="145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5A55DBCE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vAlign w:val="center"/>
            <w:hideMark/>
          </w:tcPr>
          <w:p w14:paraId="2ADE4E6C" w14:textId="1B486315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Óleos </w:t>
            </w:r>
            <w:r w:rsidR="0057478E" w:rsidRPr="000A4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</w:t>
            </w:r>
            <w:r w:rsidRPr="000A44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egetais</w:t>
            </w:r>
          </w:p>
        </w:tc>
        <w:tc>
          <w:tcPr>
            <w:tcW w:w="146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D733DE2" w14:textId="430DF053" w:rsidR="00671265" w:rsidRPr="000A4469" w:rsidRDefault="00671265" w:rsidP="00705BD2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Longo </w:t>
            </w:r>
            <w:r w:rsidR="00705BD2"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urso</w:t>
            </w:r>
          </w:p>
        </w:tc>
        <w:tc>
          <w:tcPr>
            <w:tcW w:w="11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3919C6DE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Desembarque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2CEEFC3B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246.038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74F2525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250.798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shd w:val="clear" w:color="auto" w:fill="auto"/>
            <w:noWrap/>
            <w:vAlign w:val="center"/>
            <w:hideMark/>
          </w:tcPr>
          <w:p w14:paraId="6250E1BE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317.365</w:t>
            </w:r>
          </w:p>
        </w:tc>
        <w:tc>
          <w:tcPr>
            <w:tcW w:w="95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noWrap/>
            <w:vAlign w:val="center"/>
            <w:hideMark/>
          </w:tcPr>
          <w:p w14:paraId="53F1260A" w14:textId="77777777" w:rsidR="00671265" w:rsidRPr="000A4469" w:rsidRDefault="00671265" w:rsidP="002A741E">
            <w:pPr>
              <w:keepNext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4469">
              <w:rPr>
                <w:rFonts w:ascii="Times New Roman" w:eastAsia="Times New Roman" w:hAnsi="Times New Roman" w:cs="Times New Roman"/>
                <w:sz w:val="16"/>
                <w:szCs w:val="16"/>
              </w:rPr>
              <w:t>406.126</w:t>
            </w:r>
          </w:p>
        </w:tc>
      </w:tr>
    </w:tbl>
    <w:p w14:paraId="43A51C66" w14:textId="33BBBE0F" w:rsidR="00FF26C0" w:rsidRPr="000A4469" w:rsidRDefault="00384DA0" w:rsidP="00FF26C0">
      <w:pPr>
        <w:pStyle w:val="Fonte"/>
        <w:spacing w:line="360" w:lineRule="auto"/>
        <w:rPr>
          <w:rFonts w:ascii="Times New Roman" w:hAnsi="Times New Roman" w:cs="Times New Roman"/>
        </w:rPr>
      </w:pPr>
      <w:r w:rsidRPr="000A4469">
        <w:rPr>
          <w:rFonts w:ascii="Times New Roman" w:hAnsi="Times New Roman" w:cs="Times New Roman"/>
        </w:rPr>
        <w:t>Fonte</w:t>
      </w:r>
      <w:r w:rsidR="00FF26C0" w:rsidRPr="000A4469">
        <w:rPr>
          <w:rFonts w:ascii="Times New Roman" w:hAnsi="Times New Roman" w:cs="Times New Roman"/>
        </w:rPr>
        <w:t xml:space="preserve">: Dados </w:t>
      </w:r>
      <w:r w:rsidR="00705BD2" w:rsidRPr="000A4469">
        <w:rPr>
          <w:rFonts w:ascii="Times New Roman" w:hAnsi="Times New Roman" w:cs="Times New Roman"/>
        </w:rPr>
        <w:t>b</w:t>
      </w:r>
      <w:r w:rsidR="00FF26C0" w:rsidRPr="000A4469">
        <w:rPr>
          <w:rFonts w:ascii="Times New Roman" w:hAnsi="Times New Roman" w:cs="Times New Roman"/>
        </w:rPr>
        <w:t xml:space="preserve">rutos </w:t>
      </w:r>
      <w:r w:rsidRPr="000A4469">
        <w:rPr>
          <w:rFonts w:ascii="Times New Roman" w:hAnsi="Times New Roman" w:cs="Times New Roman"/>
        </w:rPr>
        <w:t xml:space="preserve">da </w:t>
      </w:r>
      <w:r w:rsidR="00FF26C0" w:rsidRPr="000A4469">
        <w:rPr>
          <w:rFonts w:ascii="Times New Roman" w:hAnsi="Times New Roman" w:cs="Times New Roman"/>
        </w:rPr>
        <w:t>ANTAQ (2014). Elaboração: SEP/PR (2015)</w:t>
      </w:r>
    </w:p>
    <w:p w14:paraId="71195133" w14:textId="3FC8FFBA" w:rsidR="00142510" w:rsidRPr="000A4469" w:rsidRDefault="000A4469" w:rsidP="000A4469">
      <w:pPr>
        <w:tabs>
          <w:tab w:val="left" w:pos="1134"/>
        </w:tabs>
        <w:ind w:firstLine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2.3 </w:t>
      </w:r>
      <w:r>
        <w:rPr>
          <w:rFonts w:ascii="Times New Roman" w:hAnsi="Times New Roman" w:cs="Times New Roman"/>
          <w:szCs w:val="20"/>
        </w:rPr>
        <w:tab/>
      </w:r>
      <w:r w:rsidR="00150318" w:rsidRPr="000A4469">
        <w:rPr>
          <w:rFonts w:ascii="Times New Roman" w:hAnsi="Times New Roman" w:cs="Times New Roman"/>
          <w:szCs w:val="20"/>
        </w:rPr>
        <w:t xml:space="preserve">A </w:t>
      </w:r>
      <w:r w:rsidR="00150318" w:rsidRPr="000A4469">
        <w:rPr>
          <w:rFonts w:ascii="Times New Roman" w:hAnsi="Times New Roman" w:cs="Times New Roman"/>
          <w:szCs w:val="20"/>
        </w:rPr>
        <w:fldChar w:fldCharType="begin"/>
      </w:r>
      <w:r w:rsidR="00150318" w:rsidRPr="000A4469">
        <w:rPr>
          <w:rFonts w:ascii="Times New Roman" w:hAnsi="Times New Roman" w:cs="Times New Roman"/>
          <w:szCs w:val="20"/>
        </w:rPr>
        <w:instrText xml:space="preserve"> REF _Ref427235849 \h </w:instrText>
      </w:r>
      <w:r>
        <w:rPr>
          <w:rFonts w:ascii="Times New Roman" w:hAnsi="Times New Roman" w:cs="Times New Roman"/>
          <w:szCs w:val="20"/>
        </w:rPr>
        <w:instrText xml:space="preserve"> \* MERGEFORMAT </w:instrText>
      </w:r>
      <w:r w:rsidR="00150318" w:rsidRPr="000A4469">
        <w:rPr>
          <w:rFonts w:ascii="Times New Roman" w:hAnsi="Times New Roman" w:cs="Times New Roman"/>
          <w:szCs w:val="20"/>
        </w:rPr>
      </w:r>
      <w:r w:rsidR="00150318" w:rsidRPr="000A4469">
        <w:rPr>
          <w:rFonts w:ascii="Times New Roman" w:hAnsi="Times New Roman" w:cs="Times New Roman"/>
          <w:szCs w:val="20"/>
        </w:rPr>
        <w:fldChar w:fldCharType="separate"/>
      </w:r>
      <w:r w:rsidR="00CC5A55" w:rsidRPr="000A4469">
        <w:rPr>
          <w:rFonts w:ascii="Times New Roman" w:hAnsi="Times New Roman" w:cs="Times New Roman"/>
        </w:rPr>
        <w:t xml:space="preserve">Figura </w:t>
      </w:r>
      <w:r w:rsidR="00CC5A55">
        <w:rPr>
          <w:rFonts w:ascii="Times New Roman" w:hAnsi="Times New Roman" w:cs="Times New Roman"/>
          <w:noProof/>
        </w:rPr>
        <w:t>1</w:t>
      </w:r>
      <w:r w:rsidR="00150318" w:rsidRPr="000A4469">
        <w:rPr>
          <w:rFonts w:ascii="Times New Roman" w:hAnsi="Times New Roman" w:cs="Times New Roman"/>
          <w:szCs w:val="20"/>
        </w:rPr>
        <w:fldChar w:fldCharType="end"/>
      </w:r>
      <w:r w:rsidR="00150318" w:rsidRPr="000A4469">
        <w:rPr>
          <w:rFonts w:ascii="Times New Roman" w:hAnsi="Times New Roman" w:cs="Times New Roman"/>
          <w:szCs w:val="20"/>
        </w:rPr>
        <w:t xml:space="preserve"> </w:t>
      </w:r>
      <w:r w:rsidR="00795120" w:rsidRPr="000A4469">
        <w:rPr>
          <w:rFonts w:ascii="Times New Roman" w:hAnsi="Times New Roman" w:cs="Times New Roman"/>
          <w:szCs w:val="20"/>
        </w:rPr>
        <w:t>apresenta</w:t>
      </w:r>
      <w:r w:rsidR="007114E1" w:rsidRPr="000A4469">
        <w:rPr>
          <w:rFonts w:ascii="Times New Roman" w:hAnsi="Times New Roman" w:cs="Times New Roman"/>
          <w:szCs w:val="20"/>
        </w:rPr>
        <w:t xml:space="preserve"> a evolução da representatividade das cargas pr</w:t>
      </w:r>
      <w:r w:rsidR="00795120" w:rsidRPr="000A4469">
        <w:rPr>
          <w:rFonts w:ascii="Times New Roman" w:hAnsi="Times New Roman" w:cs="Times New Roman"/>
          <w:szCs w:val="20"/>
        </w:rPr>
        <w:t>ojetadas em relação ao total da</w:t>
      </w:r>
      <w:r w:rsidR="007114E1" w:rsidRPr="000A4469">
        <w:rPr>
          <w:rFonts w:ascii="Times New Roman" w:hAnsi="Times New Roman" w:cs="Times New Roman"/>
          <w:szCs w:val="20"/>
        </w:rPr>
        <w:t xml:space="preserve"> natureza de carga </w:t>
      </w:r>
      <w:r w:rsidR="00795120" w:rsidRPr="000A4469">
        <w:rPr>
          <w:rFonts w:ascii="Times New Roman" w:hAnsi="Times New Roman" w:cs="Times New Roman"/>
          <w:szCs w:val="20"/>
        </w:rPr>
        <w:t>a</w:t>
      </w:r>
      <w:r w:rsidR="007114E1" w:rsidRPr="000A4469">
        <w:rPr>
          <w:rFonts w:ascii="Times New Roman" w:hAnsi="Times New Roman" w:cs="Times New Roman"/>
          <w:szCs w:val="20"/>
        </w:rPr>
        <w:t xml:space="preserve"> </w:t>
      </w:r>
      <w:r w:rsidR="00795120" w:rsidRPr="000A4469">
        <w:rPr>
          <w:rFonts w:ascii="Times New Roman" w:hAnsi="Times New Roman" w:cs="Times New Roman"/>
          <w:szCs w:val="20"/>
        </w:rPr>
        <w:t>qual</w:t>
      </w:r>
      <w:r w:rsidR="007114E1" w:rsidRPr="000A4469">
        <w:rPr>
          <w:rFonts w:ascii="Times New Roman" w:hAnsi="Times New Roman" w:cs="Times New Roman"/>
          <w:szCs w:val="20"/>
        </w:rPr>
        <w:t xml:space="preserve"> pertencem.  </w:t>
      </w:r>
    </w:p>
    <w:p w14:paraId="734D0776" w14:textId="77777777" w:rsidR="0089192C" w:rsidRPr="000A4469" w:rsidRDefault="00DB109B" w:rsidP="009E346F">
      <w:pPr>
        <w:ind w:firstLine="0"/>
        <w:jc w:val="center"/>
        <w:rPr>
          <w:rFonts w:ascii="Times New Roman" w:hAnsi="Times New Roman" w:cs="Times New Roman"/>
          <w:szCs w:val="20"/>
        </w:rPr>
      </w:pPr>
      <w:r w:rsidRPr="000A4469">
        <w:rPr>
          <w:rFonts w:ascii="Times New Roman" w:hAnsi="Times New Roman" w:cs="Times New Roman"/>
          <w:noProof/>
        </w:rPr>
        <w:drawing>
          <wp:inline distT="0" distB="0" distL="0" distR="0" wp14:anchorId="5EDE50A3" wp14:editId="11C86884">
            <wp:extent cx="5591175" cy="22281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7"/>
                    <a:stretch/>
                  </pic:blipFill>
                  <pic:spPr bwMode="auto">
                    <a:xfrm>
                      <a:off x="0" y="0"/>
                      <a:ext cx="5599542" cy="223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43678" w14:textId="0500B1D0" w:rsidR="006633AB" w:rsidRPr="000A4469" w:rsidRDefault="006633AB" w:rsidP="006633AB">
      <w:pPr>
        <w:pStyle w:val="Legenda"/>
        <w:rPr>
          <w:rFonts w:ascii="Times New Roman" w:hAnsi="Times New Roman" w:cs="Times New Roman"/>
        </w:rPr>
      </w:pPr>
      <w:bookmarkStart w:id="3" w:name="_Ref427235849"/>
      <w:r w:rsidRPr="000A4469">
        <w:rPr>
          <w:rFonts w:ascii="Times New Roman" w:hAnsi="Times New Roman" w:cs="Times New Roman"/>
        </w:rPr>
        <w:t xml:space="preserve">Figura </w:t>
      </w:r>
      <w:r w:rsidR="006C4DD4" w:rsidRPr="000A4469">
        <w:rPr>
          <w:rFonts w:ascii="Times New Roman" w:hAnsi="Times New Roman" w:cs="Times New Roman"/>
        </w:rPr>
        <w:fldChar w:fldCharType="begin"/>
      </w:r>
      <w:r w:rsidR="006C4DD4" w:rsidRPr="000A4469">
        <w:rPr>
          <w:rFonts w:ascii="Times New Roman" w:hAnsi="Times New Roman" w:cs="Times New Roman"/>
        </w:rPr>
        <w:instrText xml:space="preserve"> SEQ Figura \* ARABIC </w:instrText>
      </w:r>
      <w:r w:rsidR="006C4DD4" w:rsidRPr="000A4469">
        <w:rPr>
          <w:rFonts w:ascii="Times New Roman" w:hAnsi="Times New Roman" w:cs="Times New Roman"/>
        </w:rPr>
        <w:fldChar w:fldCharType="separate"/>
      </w:r>
      <w:r w:rsidR="00CC5A55">
        <w:rPr>
          <w:rFonts w:ascii="Times New Roman" w:hAnsi="Times New Roman" w:cs="Times New Roman"/>
          <w:noProof/>
        </w:rPr>
        <w:t>1</w:t>
      </w:r>
      <w:r w:rsidR="006C4DD4" w:rsidRPr="000A4469">
        <w:rPr>
          <w:rFonts w:ascii="Times New Roman" w:hAnsi="Times New Roman" w:cs="Times New Roman"/>
          <w:noProof/>
        </w:rPr>
        <w:fldChar w:fldCharType="end"/>
      </w:r>
      <w:bookmarkEnd w:id="3"/>
      <w:r w:rsidR="009E346F" w:rsidRPr="000A4469">
        <w:rPr>
          <w:rFonts w:ascii="Times New Roman" w:hAnsi="Times New Roman" w:cs="Times New Roman"/>
        </w:rPr>
        <w:t xml:space="preserve"> – Participação relativa dos granéis líquidos em 2014 </w:t>
      </w:r>
      <w:r w:rsidRPr="000A4469">
        <w:rPr>
          <w:rFonts w:ascii="Times New Roman" w:hAnsi="Times New Roman" w:cs="Times New Roman"/>
        </w:rPr>
        <w:t>(</w:t>
      </w:r>
      <w:r w:rsidR="009E346F" w:rsidRPr="000A4469">
        <w:rPr>
          <w:rFonts w:ascii="Times New Roman" w:hAnsi="Times New Roman" w:cs="Times New Roman"/>
        </w:rPr>
        <w:t>observada</w:t>
      </w:r>
      <w:r w:rsidRPr="000A4469">
        <w:rPr>
          <w:rFonts w:ascii="Times New Roman" w:hAnsi="Times New Roman" w:cs="Times New Roman"/>
        </w:rPr>
        <w:t xml:space="preserve">) e </w:t>
      </w:r>
      <w:r w:rsidR="00705BD2" w:rsidRPr="000A4469">
        <w:rPr>
          <w:rFonts w:ascii="Times New Roman" w:hAnsi="Times New Roman" w:cs="Times New Roman"/>
        </w:rPr>
        <w:t xml:space="preserve">em </w:t>
      </w:r>
      <w:r w:rsidR="009E346F" w:rsidRPr="000A4469">
        <w:rPr>
          <w:rFonts w:ascii="Times New Roman" w:hAnsi="Times New Roman" w:cs="Times New Roman"/>
        </w:rPr>
        <w:t>2045</w:t>
      </w:r>
      <w:r w:rsidRPr="000A4469">
        <w:rPr>
          <w:rFonts w:ascii="Times New Roman" w:hAnsi="Times New Roman" w:cs="Times New Roman"/>
        </w:rPr>
        <w:t xml:space="preserve"> (</w:t>
      </w:r>
      <w:r w:rsidR="009E346F" w:rsidRPr="000A4469">
        <w:rPr>
          <w:rFonts w:ascii="Times New Roman" w:hAnsi="Times New Roman" w:cs="Times New Roman"/>
        </w:rPr>
        <w:t>projetada</w:t>
      </w:r>
      <w:r w:rsidRPr="000A4469">
        <w:rPr>
          <w:rFonts w:ascii="Times New Roman" w:hAnsi="Times New Roman" w:cs="Times New Roman"/>
        </w:rPr>
        <w:t xml:space="preserve">) no Porto </w:t>
      </w:r>
      <w:r w:rsidR="009E346F" w:rsidRPr="000A4469">
        <w:rPr>
          <w:rFonts w:ascii="Times New Roman" w:hAnsi="Times New Roman" w:cs="Times New Roman"/>
        </w:rPr>
        <w:t>de Santos</w:t>
      </w:r>
    </w:p>
    <w:p w14:paraId="214A9C7F" w14:textId="5B95B104" w:rsidR="006633AB" w:rsidRPr="000A4469" w:rsidRDefault="0057478E" w:rsidP="006633AB">
      <w:pPr>
        <w:pStyle w:val="Fonte"/>
        <w:rPr>
          <w:rFonts w:ascii="Times New Roman" w:hAnsi="Times New Roman" w:cs="Times New Roman"/>
        </w:rPr>
      </w:pPr>
      <w:r w:rsidRPr="000A4469">
        <w:rPr>
          <w:rFonts w:ascii="Times New Roman" w:hAnsi="Times New Roman" w:cs="Times New Roman"/>
        </w:rPr>
        <w:t>Fonte</w:t>
      </w:r>
      <w:r w:rsidR="00FF26C0" w:rsidRPr="000A4469">
        <w:rPr>
          <w:rFonts w:ascii="Times New Roman" w:hAnsi="Times New Roman" w:cs="Times New Roman"/>
        </w:rPr>
        <w:t xml:space="preserve">: Dados </w:t>
      </w:r>
      <w:r w:rsidRPr="000A4469">
        <w:rPr>
          <w:rFonts w:ascii="Times New Roman" w:hAnsi="Times New Roman" w:cs="Times New Roman"/>
        </w:rPr>
        <w:t>b</w:t>
      </w:r>
      <w:r w:rsidR="00FF26C0" w:rsidRPr="000A4469">
        <w:rPr>
          <w:rFonts w:ascii="Times New Roman" w:hAnsi="Times New Roman" w:cs="Times New Roman"/>
        </w:rPr>
        <w:t xml:space="preserve">rutos </w:t>
      </w:r>
      <w:r w:rsidRPr="000A4469">
        <w:rPr>
          <w:rFonts w:ascii="Times New Roman" w:hAnsi="Times New Roman" w:cs="Times New Roman"/>
        </w:rPr>
        <w:t xml:space="preserve">da </w:t>
      </w:r>
      <w:r w:rsidR="00FF26C0" w:rsidRPr="000A4469">
        <w:rPr>
          <w:rFonts w:ascii="Times New Roman" w:hAnsi="Times New Roman" w:cs="Times New Roman"/>
        </w:rPr>
        <w:t>ANTAQ (2014). Elaboração: SEP/PR (2015)</w:t>
      </w:r>
    </w:p>
    <w:p w14:paraId="46627433" w14:textId="77777777" w:rsidR="00150318" w:rsidRPr="000A4469" w:rsidRDefault="00150318" w:rsidP="00150318">
      <w:pPr>
        <w:rPr>
          <w:rFonts w:ascii="Times New Roman" w:hAnsi="Times New Roman" w:cs="Times New Roman"/>
          <w:lang w:eastAsia="en-US" w:bidi="en-US"/>
        </w:rPr>
      </w:pPr>
    </w:p>
    <w:sectPr w:rsidR="00150318" w:rsidRPr="000A44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6E0B0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F7DD0"/>
    <w:multiLevelType w:val="multilevel"/>
    <w:tmpl w:val="6DC4746C"/>
    <w:lvl w:ilvl="0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1" w:hanging="1800"/>
      </w:pPr>
      <w:rPr>
        <w:rFonts w:hint="default"/>
      </w:rPr>
    </w:lvl>
  </w:abstractNum>
  <w:abstractNum w:abstractNumId="2">
    <w:nsid w:val="71E1139B"/>
    <w:multiLevelType w:val="multilevel"/>
    <w:tmpl w:val="69DCB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71"/>
    <w:rsid w:val="000117E4"/>
    <w:rsid w:val="00014AE0"/>
    <w:rsid w:val="0002666D"/>
    <w:rsid w:val="00064E44"/>
    <w:rsid w:val="00094BB2"/>
    <w:rsid w:val="000A4469"/>
    <w:rsid w:val="000B1A78"/>
    <w:rsid w:val="000B6FC2"/>
    <w:rsid w:val="000C1098"/>
    <w:rsid w:val="00142510"/>
    <w:rsid w:val="00150318"/>
    <w:rsid w:val="001C6AC4"/>
    <w:rsid w:val="001D1957"/>
    <w:rsid w:val="002A741E"/>
    <w:rsid w:val="002F5BF2"/>
    <w:rsid w:val="003034D8"/>
    <w:rsid w:val="00310D02"/>
    <w:rsid w:val="00337D19"/>
    <w:rsid w:val="00374462"/>
    <w:rsid w:val="00384DA0"/>
    <w:rsid w:val="003A6359"/>
    <w:rsid w:val="00525254"/>
    <w:rsid w:val="0057478E"/>
    <w:rsid w:val="00585571"/>
    <w:rsid w:val="005915E0"/>
    <w:rsid w:val="005C3B4D"/>
    <w:rsid w:val="005D16E6"/>
    <w:rsid w:val="005D6AB3"/>
    <w:rsid w:val="005D70B0"/>
    <w:rsid w:val="005F011F"/>
    <w:rsid w:val="006633AB"/>
    <w:rsid w:val="00671265"/>
    <w:rsid w:val="00696C3F"/>
    <w:rsid w:val="006C14A7"/>
    <w:rsid w:val="006C4DD4"/>
    <w:rsid w:val="006F3F51"/>
    <w:rsid w:val="00705BD2"/>
    <w:rsid w:val="007114E1"/>
    <w:rsid w:val="007125C7"/>
    <w:rsid w:val="00795120"/>
    <w:rsid w:val="00795C4F"/>
    <w:rsid w:val="007E4EAC"/>
    <w:rsid w:val="0085332F"/>
    <w:rsid w:val="0086550E"/>
    <w:rsid w:val="0089192C"/>
    <w:rsid w:val="008E59A7"/>
    <w:rsid w:val="00922A98"/>
    <w:rsid w:val="009A7122"/>
    <w:rsid w:val="009E346F"/>
    <w:rsid w:val="00A3064A"/>
    <w:rsid w:val="00A323D3"/>
    <w:rsid w:val="00A646FD"/>
    <w:rsid w:val="00A90B2A"/>
    <w:rsid w:val="00BC42F3"/>
    <w:rsid w:val="00C27E33"/>
    <w:rsid w:val="00C5484B"/>
    <w:rsid w:val="00C55320"/>
    <w:rsid w:val="00CC5A55"/>
    <w:rsid w:val="00DB109B"/>
    <w:rsid w:val="00DE4E6F"/>
    <w:rsid w:val="00E03E0C"/>
    <w:rsid w:val="00E315D6"/>
    <w:rsid w:val="00E67357"/>
    <w:rsid w:val="00E91BBA"/>
    <w:rsid w:val="00E965FD"/>
    <w:rsid w:val="00EC3495"/>
    <w:rsid w:val="00ED0586"/>
    <w:rsid w:val="00F263F8"/>
    <w:rsid w:val="00F55A52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DA9E"/>
  <w15:docId w15:val="{C5C16EFA-C969-4DA5-A76B-09A4D27B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A7"/>
    <w:pPr>
      <w:spacing w:after="0" w:line="360" w:lineRule="auto"/>
      <w:ind w:firstLine="771"/>
      <w:jc w:val="both"/>
    </w:pPr>
    <w:rPr>
      <w:rFonts w:ascii="Calibri" w:eastAsia="Calibri" w:hAnsi="Calibri" w:cs="Calibri"/>
      <w:sz w:val="24"/>
      <w:szCs w:val="24"/>
      <w:lang w:eastAsia="pt-BR"/>
    </w:rPr>
  </w:style>
  <w:style w:type="paragraph" w:styleId="Ttulo1">
    <w:name w:val="heading 1"/>
    <w:aliases w:val="1 ghost,g,Ghost"/>
    <w:basedOn w:val="Normal"/>
    <w:next w:val="Normal"/>
    <w:link w:val="Ttulo1Char"/>
    <w:uiPriority w:val="9"/>
    <w:qFormat/>
    <w:rsid w:val="008E59A7"/>
    <w:pPr>
      <w:keepNext/>
      <w:keepLines/>
      <w:spacing w:before="240" w:after="240" w:line="276" w:lineRule="auto"/>
      <w:ind w:firstLine="0"/>
      <w:jc w:val="left"/>
      <w:outlineLvl w:val="0"/>
    </w:pPr>
    <w:rPr>
      <w:rFonts w:eastAsia="Times New Roman"/>
      <w:b/>
      <w:bCs/>
      <w:color w:val="31849B" w:themeColor="accent5" w:themeShade="BF"/>
      <w:sz w:val="36"/>
      <w:szCs w:val="28"/>
    </w:rPr>
  </w:style>
  <w:style w:type="paragraph" w:styleId="Ttulo2">
    <w:name w:val="heading 2"/>
    <w:aliases w:val="2 headline,h"/>
    <w:basedOn w:val="Normal"/>
    <w:next w:val="Normal"/>
    <w:link w:val="Ttulo2Char"/>
    <w:uiPriority w:val="9"/>
    <w:unhideWhenUsed/>
    <w:qFormat/>
    <w:rsid w:val="008E59A7"/>
    <w:pPr>
      <w:keepNext/>
      <w:keepLines/>
      <w:spacing w:before="360" w:after="240" w:line="276" w:lineRule="auto"/>
      <w:ind w:firstLine="0"/>
      <w:jc w:val="left"/>
      <w:outlineLvl w:val="1"/>
    </w:pPr>
    <w:rPr>
      <w:rFonts w:eastAsia="Times New Roman"/>
      <w:b/>
      <w:bCs/>
      <w:color w:val="31849B" w:themeColor="accent5" w:themeShade="BF"/>
      <w:sz w:val="32"/>
      <w:szCs w:val="26"/>
    </w:rPr>
  </w:style>
  <w:style w:type="paragraph" w:styleId="Ttulo3">
    <w:name w:val="heading 3"/>
    <w:aliases w:val="3 bullet,b,2,B1,SECOND,Second,bill,palatino,blank1,2-HEADER,second,b1,bullet pt,BLANK2,bullet,h3,dot,3bullet,DASH TABLA,02 Bullet,Headline"/>
    <w:basedOn w:val="Normal"/>
    <w:next w:val="Normal"/>
    <w:link w:val="Ttulo3Char"/>
    <w:uiPriority w:val="9"/>
    <w:unhideWhenUsed/>
    <w:qFormat/>
    <w:rsid w:val="008E59A7"/>
    <w:pPr>
      <w:keepNext/>
      <w:spacing w:before="240" w:after="240" w:line="240" w:lineRule="auto"/>
      <w:ind w:firstLine="0"/>
      <w:jc w:val="left"/>
      <w:outlineLvl w:val="2"/>
    </w:pPr>
    <w:rPr>
      <w:rFonts w:eastAsia="Times New Roman"/>
      <w:b/>
      <w:bCs/>
      <w:color w:val="31849B" w:themeColor="accent5" w:themeShade="BF"/>
      <w:sz w:val="28"/>
    </w:rPr>
  </w:style>
  <w:style w:type="paragraph" w:styleId="Ttulo4">
    <w:name w:val="heading 4"/>
    <w:aliases w:val="4 dash,d,3,THIRD"/>
    <w:basedOn w:val="Normal"/>
    <w:next w:val="Normal"/>
    <w:link w:val="Ttulo4Char"/>
    <w:uiPriority w:val="9"/>
    <w:unhideWhenUsed/>
    <w:qFormat/>
    <w:rsid w:val="008E59A7"/>
    <w:pPr>
      <w:keepNext/>
      <w:keepLines/>
      <w:spacing w:before="200" w:after="120" w:line="240" w:lineRule="auto"/>
      <w:ind w:firstLine="0"/>
      <w:outlineLvl w:val="3"/>
    </w:pPr>
    <w:rPr>
      <w:rFonts w:eastAsia="Times New Roman" w:cstheme="majorBidi"/>
      <w:b/>
      <w:bCs/>
      <w:color w:val="31849B" w:themeColor="accent5" w:themeShade="BF"/>
    </w:rPr>
  </w:style>
  <w:style w:type="paragraph" w:styleId="Ttulo5">
    <w:name w:val="heading 5"/>
    <w:aliases w:val="5 sub-bullet,sb,4,1.1.1.1.1"/>
    <w:basedOn w:val="Ttulo4"/>
    <w:next w:val="Normal"/>
    <w:link w:val="Ttulo5Char"/>
    <w:uiPriority w:val="9"/>
    <w:unhideWhenUsed/>
    <w:qFormat/>
    <w:rsid w:val="008E59A7"/>
    <w:pPr>
      <w:keepNext w:val="0"/>
      <w:keepLines w:val="0"/>
      <w:numPr>
        <w:ilvl w:val="4"/>
      </w:numPr>
      <w:spacing w:line="276" w:lineRule="auto"/>
      <w:outlineLvl w:val="4"/>
    </w:pPr>
  </w:style>
  <w:style w:type="paragraph" w:styleId="Ttulo6">
    <w:name w:val="heading 6"/>
    <w:aliases w:val="sub-dash,sd,5"/>
    <w:basedOn w:val="Ttulo5"/>
    <w:next w:val="Normal"/>
    <w:link w:val="Ttulo6Char"/>
    <w:uiPriority w:val="9"/>
    <w:unhideWhenUsed/>
    <w:qFormat/>
    <w:rsid w:val="008E59A7"/>
    <w:pPr>
      <w:keepNext/>
      <w:keepLines/>
      <w:numPr>
        <w:ilvl w:val="5"/>
      </w:numPr>
      <w:spacing w:after="0" w:line="360" w:lineRule="auto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E59A7"/>
    <w:pPr>
      <w:keepNext/>
      <w:keepLines/>
      <w:spacing w:before="200"/>
      <w:ind w:firstLine="0"/>
      <w:outlineLvl w:val="6"/>
    </w:pPr>
    <w:rPr>
      <w:rFonts w:eastAsia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E59A7"/>
    <w:pPr>
      <w:keepNext/>
      <w:keepLines/>
      <w:spacing w:before="200"/>
      <w:ind w:firstLine="0"/>
      <w:outlineLvl w:val="7"/>
    </w:pPr>
    <w:rPr>
      <w:rFonts w:eastAsia="Times New Roman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E59A7"/>
    <w:pPr>
      <w:keepNext/>
      <w:keepLines/>
      <w:spacing w:before="200"/>
      <w:ind w:firstLine="0"/>
      <w:outlineLvl w:val="8"/>
    </w:pPr>
    <w:rPr>
      <w:rFonts w:eastAsia="Times New Roman"/>
      <w:i/>
      <w:iCs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ghost Char,g Char,Ghost Char"/>
    <w:basedOn w:val="Fontepargpadro"/>
    <w:link w:val="Ttulo1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36"/>
      <w:szCs w:val="28"/>
      <w:lang w:eastAsia="pt-BR"/>
    </w:rPr>
  </w:style>
  <w:style w:type="character" w:customStyle="1" w:styleId="Ttulo2Char">
    <w:name w:val="Título 2 Char"/>
    <w:aliases w:val="2 headline Char,h Char"/>
    <w:basedOn w:val="Fontepargpadro"/>
    <w:link w:val="Ttulo2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32"/>
      <w:szCs w:val="26"/>
      <w:lang w:eastAsia="pt-BR"/>
    </w:rPr>
  </w:style>
  <w:style w:type="character" w:customStyle="1" w:styleId="Ttulo3Char">
    <w:name w:val="Título 3 Char"/>
    <w:aliases w:val="3 bullet Char,b Char,2 Char,B1 Char,SECOND Char,Second Char,bill Char,palatino Char,blank1 Char,2-HEADER Char,second Char,b1 Char,bullet pt Char,BLANK2 Char,bullet Char,h3 Char,dot Char,3bullet Char,DASH TABLA Char,02 Bullet Char"/>
    <w:basedOn w:val="Fontepargpadro"/>
    <w:link w:val="Ttulo3"/>
    <w:uiPriority w:val="9"/>
    <w:rsid w:val="008E59A7"/>
    <w:rPr>
      <w:rFonts w:ascii="Calibri" w:eastAsia="Times New Roman" w:hAnsi="Calibri" w:cs="Calibri"/>
      <w:b/>
      <w:bCs/>
      <w:color w:val="31849B" w:themeColor="accent5" w:themeShade="BF"/>
      <w:sz w:val="28"/>
      <w:szCs w:val="24"/>
      <w:lang w:eastAsia="pt-BR"/>
    </w:rPr>
  </w:style>
  <w:style w:type="character" w:customStyle="1" w:styleId="Ttulo4Char">
    <w:name w:val="Título 4 Char"/>
    <w:aliases w:val="4 dash Char,d Char,3 Char,THIRD Char"/>
    <w:basedOn w:val="Fontepargpadro"/>
    <w:link w:val="Ttulo4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5Char">
    <w:name w:val="Título 5 Char"/>
    <w:aliases w:val="5 sub-bullet Char,sb Char,4 Char,1.1.1.1.1 Char"/>
    <w:basedOn w:val="Fontepargpadro"/>
    <w:link w:val="Ttulo5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6Char">
    <w:name w:val="Título 6 Char"/>
    <w:aliases w:val="sub-dash Char,sd Char,5 Char"/>
    <w:basedOn w:val="Fontepargpadro"/>
    <w:link w:val="Ttulo6"/>
    <w:uiPriority w:val="9"/>
    <w:rsid w:val="008E59A7"/>
    <w:rPr>
      <w:rFonts w:ascii="Calibri" w:eastAsia="Times New Roman" w:hAnsi="Calibri" w:cstheme="majorBidi"/>
      <w:b/>
      <w:bCs/>
      <w:color w:val="31849B" w:themeColor="accent5" w:themeShade="B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E59A7"/>
    <w:rPr>
      <w:rFonts w:ascii="Calibri" w:eastAsia="Times New Roman" w:hAnsi="Calibri" w:cs="Calibri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8E59A7"/>
    <w:rPr>
      <w:rFonts w:ascii="Calibri" w:eastAsia="Times New Roman" w:hAnsi="Calibri" w:cs="Calibri"/>
      <w:color w:val="404040"/>
      <w:sz w:val="20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8E59A7"/>
    <w:rPr>
      <w:rFonts w:ascii="Calibri" w:eastAsia="Times New Roman" w:hAnsi="Calibri" w:cs="Calibri"/>
      <w:i/>
      <w:iCs/>
      <w:color w:val="404040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8E59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59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59A7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59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59A7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9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9A7"/>
    <w:rPr>
      <w:rFonts w:ascii="Tahoma" w:eastAsia="Calibri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8E59A7"/>
    <w:pPr>
      <w:numPr>
        <w:numId w:val="2"/>
      </w:numPr>
      <w:contextualSpacing/>
    </w:pPr>
  </w:style>
  <w:style w:type="paragraph" w:styleId="PargrafodaLista">
    <w:name w:val="List Paragraph"/>
    <w:basedOn w:val="Normal"/>
    <w:link w:val="PargrafodaListaChar"/>
    <w:uiPriority w:val="34"/>
    <w:qFormat/>
    <w:rsid w:val="009A7122"/>
    <w:pPr>
      <w:ind w:left="720"/>
      <w:contextualSpacing/>
    </w:pPr>
  </w:style>
  <w:style w:type="paragraph" w:styleId="Legenda">
    <w:name w:val="caption"/>
    <w:aliases w:val="FIGURA/TABELA"/>
    <w:basedOn w:val="Normal"/>
    <w:next w:val="Normal"/>
    <w:link w:val="LegendaChar"/>
    <w:uiPriority w:val="35"/>
    <w:unhideWhenUsed/>
    <w:qFormat/>
    <w:rsid w:val="00E965FD"/>
    <w:pPr>
      <w:keepNext/>
      <w:spacing w:before="120" w:after="120" w:line="240" w:lineRule="auto"/>
      <w:ind w:firstLine="0"/>
      <w:jc w:val="center"/>
    </w:pPr>
    <w:rPr>
      <w:rFonts w:ascii="Trebuchet MS" w:hAnsi="Trebuchet MS"/>
      <w:b/>
      <w:bCs/>
      <w:color w:val="365F91" w:themeColor="accent1" w:themeShade="BF"/>
      <w:sz w:val="20"/>
      <w:szCs w:val="18"/>
    </w:rPr>
  </w:style>
  <w:style w:type="character" w:customStyle="1" w:styleId="LegendaChar">
    <w:name w:val="Legenda Char"/>
    <w:aliases w:val="FIGURA/TABELA Char"/>
    <w:basedOn w:val="Fontepargpadro"/>
    <w:link w:val="Legenda"/>
    <w:uiPriority w:val="35"/>
    <w:rsid w:val="00E965FD"/>
    <w:rPr>
      <w:rFonts w:ascii="Trebuchet MS" w:eastAsia="Calibri" w:hAnsi="Trebuchet MS" w:cs="Calibri"/>
      <w:b/>
      <w:bCs/>
      <w:color w:val="365F91" w:themeColor="accent1" w:themeShade="BF"/>
      <w:sz w:val="20"/>
      <w:szCs w:val="18"/>
      <w:lang w:eastAsia="pt-BR"/>
    </w:rPr>
  </w:style>
  <w:style w:type="paragraph" w:customStyle="1" w:styleId="Fonte">
    <w:name w:val="Fonte"/>
    <w:basedOn w:val="Normal"/>
    <w:next w:val="Normal"/>
    <w:link w:val="FonteChar"/>
    <w:qFormat/>
    <w:rsid w:val="00E965FD"/>
    <w:pPr>
      <w:spacing w:before="60" w:after="120" w:line="240" w:lineRule="auto"/>
      <w:ind w:firstLine="0"/>
      <w:jc w:val="center"/>
    </w:pPr>
    <w:rPr>
      <w:rFonts w:eastAsiaTheme="majorEastAsia" w:cs="Arial"/>
      <w:sz w:val="20"/>
      <w:szCs w:val="18"/>
      <w:shd w:val="clear" w:color="auto" w:fill="FFFFFF"/>
      <w:lang w:eastAsia="en-US" w:bidi="en-US"/>
    </w:rPr>
  </w:style>
  <w:style w:type="character" w:customStyle="1" w:styleId="FonteChar">
    <w:name w:val="Fonte Char"/>
    <w:basedOn w:val="Fontepargpadro"/>
    <w:link w:val="Fonte"/>
    <w:rsid w:val="00E965FD"/>
    <w:rPr>
      <w:rFonts w:ascii="Calibri" w:eastAsiaTheme="majorEastAsia" w:hAnsi="Calibri" w:cs="Arial"/>
      <w:sz w:val="20"/>
      <w:szCs w:val="18"/>
      <w:lang w:bidi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A4469"/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89DD-359F-4ED6-9811-F2BE0067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Biancarelli Nunes</dc:creator>
  <cp:lastModifiedBy>Gustavo Sampaio de Arrochela Lobo</cp:lastModifiedBy>
  <cp:revision>8</cp:revision>
  <cp:lastPrinted>2015-08-26T14:31:00Z</cp:lastPrinted>
  <dcterms:created xsi:type="dcterms:W3CDTF">2015-08-26T13:12:00Z</dcterms:created>
  <dcterms:modified xsi:type="dcterms:W3CDTF">2015-08-28T13:34:00Z</dcterms:modified>
</cp:coreProperties>
</file>