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8D58" w14:textId="6B01DA4D" w:rsidR="00A66346" w:rsidRPr="009D7D7B" w:rsidRDefault="00A66346" w:rsidP="00EA24E6">
      <w:pPr>
        <w:tabs>
          <w:tab w:val="left" w:pos="2410"/>
        </w:tabs>
        <w:spacing w:after="12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>PLANO DE DADOS ABERTOS – PDA MInfra</w:t>
      </w:r>
    </w:p>
    <w:p w14:paraId="3F63B017" w14:textId="06B15C0B" w:rsidR="00FF721C" w:rsidRPr="009D7D7B" w:rsidRDefault="00FF721C" w:rsidP="00EA24E6">
      <w:pPr>
        <w:tabs>
          <w:tab w:val="left" w:pos="2410"/>
        </w:tabs>
        <w:spacing w:after="12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>ANEXO ESPECÍFICO</w:t>
      </w:r>
    </w:p>
    <w:p w14:paraId="16F3EA9B" w14:textId="3805F495" w:rsidR="00D6169C" w:rsidRPr="009D7D7B" w:rsidRDefault="00871227" w:rsidP="00EA24E6">
      <w:pPr>
        <w:tabs>
          <w:tab w:val="left" w:pos="2410"/>
        </w:tabs>
        <w:spacing w:after="12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Nota </w:t>
      </w:r>
      <w:r w:rsidR="00762FAC"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>E</w:t>
      </w:r>
      <w:r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>xplicativa das a</w:t>
      </w:r>
      <w:r w:rsidR="00FF721C" w:rsidRPr="009D7D7B">
        <w:rPr>
          <w:rFonts w:asciiTheme="minorHAnsi" w:hAnsiTheme="minorHAnsi" w:cstheme="minorHAnsi"/>
          <w:b/>
          <w:bCs/>
          <w:noProof/>
          <w:sz w:val="24"/>
          <w:szCs w:val="24"/>
        </w:rPr>
        <w:t>lterações nos PDA em execução</w:t>
      </w:r>
    </w:p>
    <w:p w14:paraId="755AA7DE" w14:textId="0868A7D3" w:rsidR="00FD40C7" w:rsidRDefault="00FD40C7" w:rsidP="00BA682B">
      <w:pPr>
        <w:tabs>
          <w:tab w:val="left" w:pos="2410"/>
        </w:tabs>
        <w:spacing w:after="120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9D7D7B">
        <w:rPr>
          <w:rFonts w:asciiTheme="minorHAnsi" w:hAnsiTheme="minorHAnsi" w:cstheme="minorHAnsi"/>
          <w:noProof/>
          <w:sz w:val="24"/>
          <w:szCs w:val="24"/>
        </w:rPr>
        <w:t xml:space="preserve">(Resolução </w:t>
      </w:r>
      <w:r w:rsidR="00F36EC8" w:rsidRPr="009D7D7B">
        <w:rPr>
          <w:rFonts w:asciiTheme="minorHAnsi" w:hAnsiTheme="minorHAnsi" w:cstheme="minorHAnsi"/>
          <w:noProof/>
          <w:sz w:val="24"/>
          <w:szCs w:val="24"/>
        </w:rPr>
        <w:t xml:space="preserve">nº </w:t>
      </w:r>
      <w:r w:rsidRPr="009D7D7B">
        <w:rPr>
          <w:rFonts w:asciiTheme="minorHAnsi" w:hAnsiTheme="minorHAnsi" w:cstheme="minorHAnsi"/>
          <w:noProof/>
          <w:sz w:val="24"/>
          <w:szCs w:val="24"/>
        </w:rPr>
        <w:t>3/2017-CGINDA</w:t>
      </w:r>
      <w:r w:rsidRPr="00FD40C7">
        <w:rPr>
          <w:rFonts w:asciiTheme="minorHAnsi" w:hAnsiTheme="minorHAnsi" w:cstheme="minorHAnsi"/>
          <w:noProof/>
          <w:sz w:val="24"/>
          <w:szCs w:val="24"/>
        </w:rPr>
        <w:t xml:space="preserve">, art. 8° parágrafo único, art. 9° e art. 14, II) </w:t>
      </w:r>
    </w:p>
    <w:p w14:paraId="267CB331" w14:textId="3258079B" w:rsidR="007A29E9" w:rsidRPr="007A29E9" w:rsidRDefault="00D6169C" w:rsidP="00BA682B">
      <w:pPr>
        <w:tabs>
          <w:tab w:val="left" w:pos="2410"/>
        </w:tabs>
        <w:spacing w:before="240" w:after="1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Esta </w:t>
      </w:r>
      <w:r w:rsidR="00FD40C7">
        <w:rPr>
          <w:rFonts w:asciiTheme="minorHAnsi" w:hAnsiTheme="minorHAnsi" w:cstheme="minorHAnsi"/>
          <w:noProof/>
          <w:sz w:val="24"/>
          <w:szCs w:val="24"/>
        </w:rPr>
        <w:t xml:space="preserve">Nota </w:t>
      </w:r>
      <w:r w:rsidR="00606D17" w:rsidRPr="007A29E9">
        <w:rPr>
          <w:rFonts w:asciiTheme="minorHAnsi" w:hAnsiTheme="minorHAnsi" w:cstheme="minorHAnsi"/>
          <w:noProof/>
          <w:sz w:val="24"/>
          <w:szCs w:val="24"/>
        </w:rPr>
        <w:t>visa esclarecer as</w:t>
      </w: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 alterações ocorridas </w:t>
      </w:r>
      <w:r w:rsidR="00606D17" w:rsidRPr="007A29E9">
        <w:rPr>
          <w:rFonts w:asciiTheme="minorHAnsi" w:hAnsiTheme="minorHAnsi" w:cstheme="minorHAnsi"/>
          <w:noProof/>
          <w:sz w:val="24"/>
          <w:szCs w:val="24"/>
        </w:rPr>
        <w:t xml:space="preserve">nos dois planos de dados abertos </w:t>
      </w:r>
      <w:r w:rsidR="00FF721C" w:rsidRPr="007A29E9">
        <w:rPr>
          <w:rFonts w:asciiTheme="minorHAnsi" w:hAnsiTheme="minorHAnsi" w:cstheme="minorHAnsi"/>
          <w:noProof/>
          <w:sz w:val="24"/>
          <w:szCs w:val="24"/>
        </w:rPr>
        <w:t xml:space="preserve">publicados no </w:t>
      </w:r>
      <w:r w:rsidR="00FF721C" w:rsidRPr="007A29E9">
        <w:rPr>
          <w:rFonts w:asciiTheme="minorHAnsi" w:hAnsiTheme="minorHAnsi" w:cstheme="minorHAnsi"/>
          <w:i/>
          <w:iCs/>
          <w:noProof/>
          <w:sz w:val="24"/>
          <w:szCs w:val="24"/>
        </w:rPr>
        <w:t>site</w:t>
      </w:r>
      <w:r w:rsidR="00FF721C" w:rsidRPr="007A29E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606D17" w:rsidRPr="007A29E9">
        <w:rPr>
          <w:rFonts w:asciiTheme="minorHAnsi" w:hAnsiTheme="minorHAnsi" w:cstheme="minorHAnsi"/>
          <w:noProof/>
          <w:sz w:val="24"/>
          <w:szCs w:val="24"/>
        </w:rPr>
        <w:t xml:space="preserve">do Ministério da Infraestrutura até a presente data, quais sejam: PDA-2017/2019 e PDA-2020/2021. </w:t>
      </w:r>
    </w:p>
    <w:p w14:paraId="0184E43E" w14:textId="2C6C2C5F" w:rsidR="00D6169C" w:rsidRPr="007A29E9" w:rsidRDefault="00606D17" w:rsidP="006927FE">
      <w:pPr>
        <w:tabs>
          <w:tab w:val="left" w:pos="2410"/>
        </w:tabs>
        <w:spacing w:after="1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7A29E9">
        <w:rPr>
          <w:rFonts w:asciiTheme="minorHAnsi" w:hAnsiTheme="minorHAnsi" w:cstheme="minorHAnsi"/>
          <w:noProof/>
          <w:sz w:val="24"/>
          <w:szCs w:val="24"/>
        </w:rPr>
        <w:t>A maioria das alterações foram feitas no PDA 2017/2019, cujas justificativas constaram de anexos próprios do PDA-2020/2021 (Anexo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>s</w:t>
      </w: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 5</w:t>
      </w:r>
      <w:r w:rsidR="007A29E9" w:rsidRPr="007A29E9">
        <w:rPr>
          <w:rFonts w:asciiTheme="minorHAnsi" w:hAnsiTheme="minorHAnsi" w:cstheme="minorHAnsi"/>
          <w:noProof/>
          <w:sz w:val="24"/>
          <w:szCs w:val="24"/>
        </w:rPr>
        <w:t>-</w:t>
      </w:r>
      <w:r w:rsidR="006927FE" w:rsidRPr="007A29E9">
        <w:rPr>
          <w:rFonts w:asciiTheme="minorHAnsi" w:hAnsiTheme="minorHAnsi" w:cstheme="minorHAnsi"/>
          <w:noProof/>
          <w:sz w:val="24"/>
          <w:szCs w:val="24"/>
        </w:rPr>
        <w:t>Revisão do PDA anterior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>-</w:t>
      </w:r>
      <w:r w:rsidR="006927FE" w:rsidRPr="007A29E9">
        <w:rPr>
          <w:rFonts w:asciiTheme="minorHAnsi" w:hAnsiTheme="minorHAnsi" w:cstheme="minorHAnsi"/>
          <w:noProof/>
          <w:sz w:val="24"/>
          <w:szCs w:val="24"/>
        </w:rPr>
        <w:t>dados mantidos</w:t>
      </w:r>
      <w:r w:rsidR="007A29E9" w:rsidRPr="007A29E9">
        <w:rPr>
          <w:rFonts w:asciiTheme="minorHAnsi" w:hAnsiTheme="minorHAnsi" w:cstheme="minorHAnsi"/>
          <w:noProof/>
          <w:sz w:val="24"/>
          <w:szCs w:val="24"/>
        </w:rPr>
        <w:t>, Anexo 6-Revisão do PDA anterior-dados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 xml:space="preserve"> descontinuados e Anexo </w:t>
      </w:r>
      <w:r w:rsidRPr="007A29E9">
        <w:rPr>
          <w:rFonts w:asciiTheme="minorHAnsi" w:hAnsiTheme="minorHAnsi" w:cstheme="minorHAnsi"/>
          <w:noProof/>
          <w:sz w:val="24"/>
          <w:szCs w:val="24"/>
        </w:rPr>
        <w:t>8</w:t>
      </w:r>
      <w:r w:rsidR="007A039A">
        <w:rPr>
          <w:rFonts w:asciiTheme="minorHAnsi" w:hAnsiTheme="minorHAnsi" w:cstheme="minorHAnsi"/>
          <w:noProof/>
          <w:sz w:val="24"/>
          <w:szCs w:val="24"/>
        </w:rPr>
        <w:t>-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>justificativa para não abertura dos dados</w:t>
      </w:r>
      <w:r w:rsidRPr="007A29E9">
        <w:rPr>
          <w:rFonts w:asciiTheme="minorHAnsi" w:hAnsiTheme="minorHAnsi" w:cstheme="minorHAnsi"/>
          <w:noProof/>
          <w:sz w:val="24"/>
          <w:szCs w:val="24"/>
        </w:rPr>
        <w:t>)</w:t>
      </w:r>
      <w:r w:rsidR="00FF721C" w:rsidRPr="007A29E9">
        <w:rPr>
          <w:rFonts w:asciiTheme="minorHAnsi" w:hAnsiTheme="minorHAnsi" w:cstheme="minorHAnsi"/>
          <w:noProof/>
          <w:sz w:val="24"/>
          <w:szCs w:val="24"/>
        </w:rPr>
        <w:t xml:space="preserve">, conforme </w:t>
      </w:r>
      <w:r w:rsidR="007A29E9" w:rsidRPr="007A29E9">
        <w:rPr>
          <w:rFonts w:asciiTheme="minorHAnsi" w:hAnsiTheme="minorHAnsi" w:cstheme="minorHAnsi"/>
          <w:noProof/>
          <w:sz w:val="24"/>
          <w:szCs w:val="24"/>
        </w:rPr>
        <w:t>os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 xml:space="preserve"> quadros </w:t>
      </w:r>
      <w:r w:rsidR="007A29E9" w:rsidRPr="007A29E9">
        <w:rPr>
          <w:rFonts w:asciiTheme="minorHAnsi" w:hAnsiTheme="minorHAnsi" w:cstheme="minorHAnsi"/>
          <w:noProof/>
          <w:sz w:val="24"/>
          <w:szCs w:val="24"/>
        </w:rPr>
        <w:t>a seguir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3DCE1C25" w14:textId="73E31587" w:rsidR="00FF721C" w:rsidRDefault="00FF721C" w:rsidP="00310201">
      <w:pPr>
        <w:tabs>
          <w:tab w:val="left" w:pos="2410"/>
        </w:tabs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Todavia, após a publicação do PDA-2020/2021, já na sua 4ª versão, </w:t>
      </w:r>
      <w:r w:rsidR="009E5D35" w:rsidRPr="007A29E9">
        <w:rPr>
          <w:rFonts w:asciiTheme="minorHAnsi" w:hAnsiTheme="minorHAnsi" w:cstheme="minorHAnsi"/>
          <w:noProof/>
          <w:sz w:val="24"/>
          <w:szCs w:val="24"/>
        </w:rPr>
        <w:t xml:space="preserve">ainda </w:t>
      </w:r>
      <w:r w:rsidRPr="007A29E9">
        <w:rPr>
          <w:rFonts w:asciiTheme="minorHAnsi" w:hAnsiTheme="minorHAnsi" w:cstheme="minorHAnsi"/>
          <w:noProof/>
          <w:sz w:val="24"/>
          <w:szCs w:val="24"/>
        </w:rPr>
        <w:t>houve necessidade de alteração d</w:t>
      </w:r>
      <w:r w:rsidR="00702795">
        <w:rPr>
          <w:rFonts w:asciiTheme="minorHAnsi" w:hAnsiTheme="minorHAnsi" w:cstheme="minorHAnsi"/>
          <w:noProof/>
          <w:sz w:val="24"/>
          <w:szCs w:val="24"/>
        </w:rPr>
        <w:t>e</w:t>
      </w: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 nome </w:t>
      </w:r>
      <w:r w:rsidR="00702795">
        <w:rPr>
          <w:rFonts w:asciiTheme="minorHAnsi" w:hAnsiTheme="minorHAnsi" w:cstheme="minorHAnsi"/>
          <w:noProof/>
          <w:sz w:val="24"/>
          <w:szCs w:val="24"/>
        </w:rPr>
        <w:t xml:space="preserve">de algumas bases de dados (ou conjuntos de dados), as quais já </w:t>
      </w:r>
      <w:r w:rsidR="00396DF2">
        <w:rPr>
          <w:rFonts w:asciiTheme="minorHAnsi" w:hAnsiTheme="minorHAnsi" w:cstheme="minorHAnsi"/>
          <w:noProof/>
          <w:sz w:val="24"/>
          <w:szCs w:val="24"/>
        </w:rPr>
        <w:t>se encontram publicadas no Portal Brasileiro de Dados Abertos (</w:t>
      </w:r>
      <w:r w:rsidRPr="007A29E9">
        <w:rPr>
          <w:rFonts w:asciiTheme="minorHAnsi" w:hAnsiTheme="minorHAnsi" w:cstheme="minorHAnsi"/>
          <w:noProof/>
          <w:sz w:val="24"/>
          <w:szCs w:val="24"/>
        </w:rPr>
        <w:t>dados.gov.br</w:t>
      </w:r>
      <w:r w:rsidR="00396DF2">
        <w:rPr>
          <w:rFonts w:asciiTheme="minorHAnsi" w:hAnsiTheme="minorHAnsi" w:cstheme="minorHAnsi"/>
          <w:noProof/>
          <w:sz w:val="24"/>
          <w:szCs w:val="24"/>
        </w:rPr>
        <w:t>) com essa nova nomenclatura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>. Com isso</w:t>
      </w:r>
      <w:r w:rsidR="009E5D35" w:rsidRPr="007A29E9">
        <w:rPr>
          <w:rFonts w:asciiTheme="minorHAnsi" w:hAnsiTheme="minorHAnsi" w:cstheme="minorHAnsi"/>
          <w:noProof/>
          <w:sz w:val="24"/>
          <w:szCs w:val="24"/>
        </w:rPr>
        <w:t>,</w:t>
      </w:r>
      <w:r w:rsidR="00867C83" w:rsidRPr="007A29E9">
        <w:rPr>
          <w:rFonts w:asciiTheme="minorHAnsi" w:hAnsiTheme="minorHAnsi" w:cstheme="minorHAnsi"/>
          <w:noProof/>
          <w:sz w:val="24"/>
          <w:szCs w:val="24"/>
        </w:rPr>
        <w:t xml:space="preserve"> por questão de racionalização administrativa, decidiu-se contemplar também essas alterações no presente documento,</w:t>
      </w:r>
      <w:r w:rsidR="009E5D35" w:rsidRPr="007A29E9">
        <w:rPr>
          <w:rFonts w:asciiTheme="minorHAnsi" w:hAnsiTheme="minorHAnsi" w:cstheme="minorHAnsi"/>
          <w:noProof/>
          <w:sz w:val="24"/>
          <w:szCs w:val="24"/>
        </w:rPr>
        <w:t xml:space="preserve"> motivo pelo qual </w:t>
      </w: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este “Anexo Específico” </w:t>
      </w:r>
      <w:r w:rsidR="006927FE" w:rsidRPr="007A29E9">
        <w:rPr>
          <w:rFonts w:asciiTheme="minorHAnsi" w:hAnsiTheme="minorHAnsi" w:cstheme="minorHAnsi"/>
          <w:noProof/>
          <w:sz w:val="24"/>
          <w:szCs w:val="24"/>
        </w:rPr>
        <w:t>integra os</w:t>
      </w:r>
      <w:r w:rsidRPr="007A29E9">
        <w:rPr>
          <w:rFonts w:asciiTheme="minorHAnsi" w:hAnsiTheme="minorHAnsi" w:cstheme="minorHAnsi"/>
          <w:noProof/>
          <w:sz w:val="24"/>
          <w:szCs w:val="24"/>
        </w:rPr>
        <w:t xml:space="preserve"> dois PDA.</w:t>
      </w:r>
    </w:p>
    <w:p w14:paraId="3AAFBED1" w14:textId="77777777" w:rsidR="000C0521" w:rsidRPr="007A29E9" w:rsidRDefault="000C0521" w:rsidP="00310201">
      <w:pPr>
        <w:tabs>
          <w:tab w:val="left" w:pos="2410"/>
        </w:tabs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459699C" w14:textId="6EA1FCB0" w:rsidR="006927FE" w:rsidRDefault="009E6317" w:rsidP="007D1CC8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I - </w:t>
      </w:r>
      <w:r w:rsidR="00702795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BASES DE DADOS EM QUE HOUVE </w:t>
      </w:r>
      <w:r w:rsidR="00A66346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ALTERAÇÃO DE </w:t>
      </w:r>
      <w:r w:rsidR="007D1CC8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NOMENCLATURA</w:t>
      </w:r>
      <w:r w:rsidR="006927F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(</w:t>
      </w:r>
      <w:r w:rsidR="00D06E72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Anexo </w:t>
      </w:r>
      <w:r w:rsidR="00A66346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5</w:t>
      </w:r>
      <w:r w:rsidR="002D59E6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PDA 2020/2021</w:t>
      </w:r>
      <w:r w:rsidR="006927F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74E41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-</w:t>
      </w:r>
      <w:r w:rsidR="006927F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74E41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Dados </w:t>
      </w:r>
      <w:r w:rsidR="006927F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74E41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mantidos</w:t>
      </w:r>
      <w:r w:rsidR="006927FE">
        <w:rPr>
          <w:rFonts w:asciiTheme="minorHAnsi" w:hAnsiTheme="minorHAnsi" w:cstheme="minorHAnsi"/>
          <w:b/>
          <w:bCs/>
          <w:noProof/>
          <w:sz w:val="24"/>
          <w:szCs w:val="24"/>
        </w:rPr>
        <w:t>)</w:t>
      </w:r>
    </w:p>
    <w:p w14:paraId="6129FE8D" w14:textId="77777777" w:rsidR="006927FE" w:rsidRPr="00A66346" w:rsidRDefault="006927FE" w:rsidP="007D1CC8">
      <w:pPr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tbl>
      <w:tblPr>
        <w:tblStyle w:val="TableGrid"/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65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1865"/>
        <w:gridCol w:w="4554"/>
      </w:tblGrid>
      <w:tr w:rsidR="007D1CC8" w:rsidRPr="00134AC1" w14:paraId="0DC78E4F" w14:textId="77777777" w:rsidTr="00EA24E6">
        <w:trPr>
          <w:trHeight w:val="809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31445F90" w14:textId="77777777" w:rsidR="00A66346" w:rsidRPr="00134AC1" w:rsidRDefault="007D1CC8" w:rsidP="007D1CC8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134AC1">
              <w:rPr>
                <w:rFonts w:asciiTheme="minorHAnsi" w:eastAsiaTheme="minorHAnsi" w:hAnsiTheme="minorHAnsi" w:cstheme="minorHAnsi"/>
                <w:noProof/>
              </w:rPr>
              <w:t>NOMENCLATURA</w:t>
            </w:r>
            <w:r w:rsidR="00A66346" w:rsidRPr="00134AC1">
              <w:rPr>
                <w:rFonts w:asciiTheme="minorHAnsi" w:eastAsiaTheme="minorHAnsi" w:hAnsiTheme="minorHAnsi" w:cstheme="minorHAnsi"/>
                <w:noProof/>
              </w:rPr>
              <w:t xml:space="preserve"> ANTERIOR</w:t>
            </w:r>
          </w:p>
          <w:p w14:paraId="0E24C33A" w14:textId="4DC247AC" w:rsidR="007D1CC8" w:rsidRPr="00134AC1" w:rsidRDefault="007D1CC8" w:rsidP="007D1CC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eastAsiaTheme="minorHAnsi" w:hAnsiTheme="minorHAnsi" w:cstheme="minorHAnsi"/>
                <w:noProof/>
              </w:rPr>
              <w:t xml:space="preserve">  PDA 2017-2019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10825D71" w14:textId="77777777" w:rsidR="00A66346" w:rsidRPr="00134AC1" w:rsidRDefault="007D1CC8" w:rsidP="007D1CC8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134AC1">
              <w:rPr>
                <w:rFonts w:asciiTheme="minorHAnsi" w:eastAsiaTheme="minorHAnsi" w:hAnsiTheme="minorHAnsi" w:cstheme="minorHAnsi"/>
                <w:noProof/>
              </w:rPr>
              <w:t>NOMENCLATURA</w:t>
            </w:r>
            <w:r w:rsidR="00A66346" w:rsidRPr="00134AC1">
              <w:rPr>
                <w:rFonts w:asciiTheme="minorHAnsi" w:eastAsiaTheme="minorHAnsi" w:hAnsiTheme="minorHAnsi" w:cstheme="minorHAnsi"/>
                <w:noProof/>
              </w:rPr>
              <w:t xml:space="preserve"> ATUAL</w:t>
            </w:r>
          </w:p>
          <w:p w14:paraId="3061890B" w14:textId="6D8E8B49" w:rsidR="007D1CC8" w:rsidRPr="00134AC1" w:rsidRDefault="007D1CC8" w:rsidP="007D1CC8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134AC1">
              <w:rPr>
                <w:rFonts w:asciiTheme="minorHAnsi" w:eastAsiaTheme="minorHAnsi" w:hAnsiTheme="minorHAnsi" w:cstheme="minorHAnsi"/>
                <w:noProof/>
              </w:rPr>
              <w:t xml:space="preserve"> PDA 2020-2021</w:t>
            </w:r>
          </w:p>
          <w:p w14:paraId="5ABB79B8" w14:textId="2E6AD1BD" w:rsidR="000839DE" w:rsidRPr="00134AC1" w:rsidRDefault="000839DE" w:rsidP="007D1CC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(</w:t>
            </w:r>
            <w:r w:rsidR="002A172F" w:rsidRPr="00134AC1">
              <w:rPr>
                <w:rFonts w:asciiTheme="minorHAnsi" w:hAnsiTheme="minorHAnsi" w:cstheme="minorHAnsi"/>
                <w:noProof/>
              </w:rPr>
              <w:t xml:space="preserve">e </w:t>
            </w:r>
            <w:r w:rsidRPr="00134AC1">
              <w:rPr>
                <w:rFonts w:asciiTheme="minorHAnsi" w:hAnsiTheme="minorHAnsi" w:cstheme="minorHAnsi"/>
                <w:noProof/>
              </w:rPr>
              <w:t>conforme</w:t>
            </w:r>
            <w:r w:rsidR="002A172F" w:rsidRPr="00134AC1">
              <w:rPr>
                <w:rFonts w:asciiTheme="minorHAnsi" w:hAnsiTheme="minorHAnsi" w:cstheme="minorHAnsi"/>
                <w:noProof/>
              </w:rPr>
              <w:t xml:space="preserve"> </w:t>
            </w:r>
            <w:r w:rsidR="004C04F0" w:rsidRPr="00134AC1">
              <w:rPr>
                <w:rFonts w:asciiTheme="minorHAnsi" w:hAnsiTheme="minorHAnsi" w:cstheme="minorHAnsi"/>
                <w:noProof/>
              </w:rPr>
              <w:t>publicado em d</w:t>
            </w:r>
            <w:r w:rsidRPr="00134AC1">
              <w:rPr>
                <w:rFonts w:asciiTheme="minorHAnsi" w:hAnsiTheme="minorHAnsi" w:cstheme="minorHAnsi"/>
                <w:noProof/>
              </w:rPr>
              <w:t>ados.gov.br)</w:t>
            </w:r>
          </w:p>
        </w:tc>
        <w:tc>
          <w:tcPr>
            <w:tcW w:w="1865" w:type="dxa"/>
            <w:shd w:val="clear" w:color="auto" w:fill="DAEEF3" w:themeFill="accent5" w:themeFillTint="33"/>
            <w:vAlign w:val="center"/>
          </w:tcPr>
          <w:p w14:paraId="65397443" w14:textId="2E6BBF53" w:rsidR="007D1CC8" w:rsidRPr="00134AC1" w:rsidRDefault="007D1CC8" w:rsidP="007D1CC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eastAsiaTheme="minorHAnsi" w:hAnsiTheme="minorHAnsi" w:cstheme="minorHAnsi"/>
                <w:noProof/>
              </w:rPr>
              <w:t xml:space="preserve">UNIDADE RESPONSÁVEL </w:t>
            </w:r>
          </w:p>
        </w:tc>
        <w:tc>
          <w:tcPr>
            <w:tcW w:w="4554" w:type="dxa"/>
            <w:shd w:val="clear" w:color="auto" w:fill="DAEEF3" w:themeFill="accent5" w:themeFillTint="33"/>
            <w:vAlign w:val="center"/>
          </w:tcPr>
          <w:p w14:paraId="682E282C" w14:textId="6EA86E18" w:rsidR="007D1CC8" w:rsidRPr="00134AC1" w:rsidRDefault="007D1CC8" w:rsidP="007D1CC8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 xml:space="preserve">JUSTIFICATIVA </w:t>
            </w:r>
            <w:r w:rsidR="00374E41" w:rsidRPr="00134AC1">
              <w:rPr>
                <w:rFonts w:asciiTheme="minorHAnsi" w:hAnsiTheme="minorHAnsi" w:cstheme="minorHAnsi"/>
                <w:noProof/>
              </w:rPr>
              <w:t>PAR</w:t>
            </w:r>
            <w:r w:rsidRPr="00134AC1">
              <w:rPr>
                <w:rFonts w:asciiTheme="minorHAnsi" w:hAnsiTheme="minorHAnsi" w:cstheme="minorHAnsi"/>
                <w:noProof/>
              </w:rPr>
              <w:t>A ALTERAÇÃO</w:t>
            </w:r>
          </w:p>
        </w:tc>
      </w:tr>
      <w:tr w:rsidR="007D1CC8" w:rsidRPr="000C0521" w14:paraId="6B8E9201" w14:textId="77777777" w:rsidTr="00D6695B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BAB1B15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Catálogo sobre Gestão Aeroportuária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DD0E8A5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Pesquisa de satisfação do passageiro em aeroportos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7279B6B0" w14:textId="77777777" w:rsidR="007D1CC8" w:rsidRPr="000C0521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SAC/DPG</w:t>
            </w:r>
          </w:p>
        </w:tc>
        <w:tc>
          <w:tcPr>
            <w:tcW w:w="4554" w:type="dxa"/>
            <w:shd w:val="clear" w:color="auto" w:fill="FFFFFF" w:themeFill="background1"/>
          </w:tcPr>
          <w:p w14:paraId="42627958" w14:textId="07B90B0A" w:rsidR="007D1CC8" w:rsidRPr="000C0521" w:rsidRDefault="00222002" w:rsidP="007D1CC8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cstheme="minorHAnsi"/>
              </w:rPr>
              <w:t>Tornar o nome da base de dados mais aderente ao que é utilizado pelo setor</w:t>
            </w:r>
            <w:r w:rsidR="00F36EC8">
              <w:rPr>
                <w:rFonts w:cstheme="minorHAnsi"/>
              </w:rPr>
              <w:t>.</w:t>
            </w:r>
          </w:p>
        </w:tc>
      </w:tr>
      <w:tr w:rsidR="007D1CC8" w:rsidRPr="000C0521" w14:paraId="75BDC06B" w14:textId="77777777" w:rsidTr="00D6695B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7842F37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Catálogo sobre Outorgas Aeroportuárias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4B8298F" w14:textId="38FF0EFF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Outorgas aeroportuárias</w:t>
            </w:r>
            <w:r w:rsidR="00B96159" w:rsidRPr="000C0521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81F3CAC" w14:textId="77777777" w:rsidR="007D1CC8" w:rsidRPr="000C0521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SAC/DEOUP</w:t>
            </w:r>
          </w:p>
        </w:tc>
        <w:tc>
          <w:tcPr>
            <w:tcW w:w="4554" w:type="dxa"/>
            <w:shd w:val="clear" w:color="auto" w:fill="FFFFFF" w:themeFill="background1"/>
          </w:tcPr>
          <w:p w14:paraId="416777B6" w14:textId="60E9345B" w:rsidR="007D1CC8" w:rsidRPr="000C0521" w:rsidRDefault="00222002" w:rsidP="007D1CC8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cstheme="minorHAnsi"/>
              </w:rPr>
              <w:t>Tornar o nome da base de dados mais aderente ao que é utilizado pelo setor</w:t>
            </w:r>
            <w:r w:rsidR="00F36EC8">
              <w:rPr>
                <w:rFonts w:cstheme="minorHAnsi"/>
              </w:rPr>
              <w:t>.</w:t>
            </w:r>
          </w:p>
        </w:tc>
      </w:tr>
      <w:tr w:rsidR="007D1CC8" w:rsidRPr="000C0521" w14:paraId="3141E977" w14:textId="77777777" w:rsidTr="00F36EC8">
        <w:trPr>
          <w:trHeight w:val="526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B8BD00C" w14:textId="77777777" w:rsidR="007D1CC8" w:rsidRPr="000E1FC5" w:rsidRDefault="007D1CC8" w:rsidP="00D6695B">
            <w:pPr>
              <w:jc w:val="both"/>
              <w:rPr>
                <w:rFonts w:asciiTheme="minorHAnsi" w:hAnsiTheme="minorHAnsi" w:cstheme="minorHAnsi"/>
                <w:noProof/>
                <w:highlight w:val="yellow"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Quantidade de Projetos Aprovados</w:t>
            </w:r>
          </w:p>
        </w:tc>
        <w:tc>
          <w:tcPr>
            <w:tcW w:w="3969" w:type="dxa"/>
            <w:shd w:val="clear" w:color="auto" w:fill="FFFFFF" w:themeFill="background1"/>
          </w:tcPr>
          <w:p w14:paraId="0DC9EBA0" w14:textId="77777777" w:rsidR="007D1CC8" w:rsidRPr="00F36EC8" w:rsidRDefault="007D1CC8" w:rsidP="00F36EC8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REIDI - Regime Especial de Incentivos para o Desenvolvimento da Infraestrutura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166123D5" w14:textId="77777777" w:rsidR="007D1CC8" w:rsidRPr="00F36EC8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27A85987" w14:textId="6D8A69F6" w:rsidR="00001836" w:rsidRPr="00F36EC8" w:rsidRDefault="00222002" w:rsidP="00F36EC8">
            <w:pPr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hAnsiTheme="minorHAnsi" w:cstheme="minorHAnsi"/>
                <w:noProof/>
              </w:rPr>
              <w:t>Nome considerado mais adequado. As bases REIDI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D1CC8" w14:paraId="19061E70" w14:textId="77777777" w:rsidTr="00D6695B">
        <w:trPr>
          <w:trHeight w:val="663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8A65AD0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Quantidade de Projetos Habilitados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6664F48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REIDI - Regime Especial de Incentivos para o Desenvolvimento da Infraestrutura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1DFC307C" w14:textId="77777777" w:rsidR="007D1CC8" w:rsidRPr="000C0521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6EDCC8C8" w14:textId="720FF993" w:rsidR="007D1CC8" w:rsidRPr="00545573" w:rsidRDefault="00D06E72" w:rsidP="007D1CC8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Nome considerado mais adequado. As bases REIDI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D1CC8" w:rsidRPr="000C0521" w14:paraId="3615FE32" w14:textId="77777777" w:rsidTr="00D6695B">
        <w:trPr>
          <w:trHeight w:val="663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ACA6217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Estimativa de Investimento/Desoneração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A4437F5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REIDI - Regime Especial de Incentivos para o Desenvolvimento da Infraestrutura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623A637" w14:textId="77777777" w:rsidR="007D1CC8" w:rsidRPr="000C0521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30AC819F" w14:textId="69E67C4D" w:rsidR="007D1CC8" w:rsidRPr="000C0521" w:rsidRDefault="00D06E72" w:rsidP="007D1CC8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Nome considerado mais adequado. As bases REIDI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D1CC8" w:rsidRPr="000C0521" w14:paraId="45D01098" w14:textId="77777777" w:rsidTr="00D6695B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4C583EF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lastRenderedPageBreak/>
              <w:t>Quantidade de Projetos Aprovados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AAB66B4" w14:textId="77777777" w:rsidR="007D1CC8" w:rsidRPr="000C0521" w:rsidRDefault="007D1CC8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Debêntures Incentivadas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1C90130F" w14:textId="77777777" w:rsidR="007D1CC8" w:rsidRPr="000C0521" w:rsidRDefault="007D1CC8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</w:tcPr>
          <w:p w14:paraId="5E37F01A" w14:textId="4A3B9893" w:rsidR="007D1CC8" w:rsidRPr="000C0521" w:rsidRDefault="00D06E72" w:rsidP="007D1CC8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 xml:space="preserve">Nome considerado mais adequado. </w:t>
            </w:r>
            <w:r w:rsidR="00701B37" w:rsidRPr="000C0521">
              <w:rPr>
                <w:rFonts w:asciiTheme="minorHAnsi" w:hAnsiTheme="minorHAnsi" w:cstheme="minorHAnsi"/>
                <w:noProof/>
              </w:rPr>
              <w:t xml:space="preserve">As </w:t>
            </w:r>
            <w:r w:rsidR="00D41D9A" w:rsidRPr="000C0521">
              <w:rPr>
                <w:rFonts w:asciiTheme="minorHAnsi" w:hAnsiTheme="minorHAnsi" w:cstheme="minorHAnsi"/>
                <w:noProof/>
              </w:rPr>
              <w:t xml:space="preserve">três </w:t>
            </w:r>
            <w:r w:rsidR="00701B37" w:rsidRPr="000C0521">
              <w:rPr>
                <w:rFonts w:asciiTheme="minorHAnsi" w:hAnsiTheme="minorHAnsi" w:cstheme="minorHAnsi"/>
                <w:noProof/>
              </w:rPr>
              <w:t>bases debêntures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01B37" w:rsidRPr="000C0521" w14:paraId="62DBE21E" w14:textId="77777777" w:rsidTr="00E95838">
        <w:trPr>
          <w:trHeight w:val="526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A19613F" w14:textId="77777777" w:rsidR="00701B37" w:rsidRPr="000C0521" w:rsidRDefault="00701B37" w:rsidP="00701B37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Quantidade de Projetos que emitiram Debêntures Incentivadas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D6E1DB9" w14:textId="77777777" w:rsidR="00701B37" w:rsidRPr="000C0521" w:rsidRDefault="00701B37" w:rsidP="00701B37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Debêntures Incentivadas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24770E1D" w14:textId="77777777" w:rsidR="00701B37" w:rsidRPr="000C0521" w:rsidRDefault="00701B37" w:rsidP="00007E06">
            <w:pPr>
              <w:ind w:right="3"/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</w:tcPr>
          <w:p w14:paraId="06652217" w14:textId="6B5909E1" w:rsidR="00701B37" w:rsidRPr="000C0521" w:rsidRDefault="00D06E72" w:rsidP="00701B37">
            <w:pPr>
              <w:ind w:right="2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Nome considerado mais adequado. As três bases debêntures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01B37" w:rsidRPr="000C0521" w14:paraId="171804EE" w14:textId="77777777" w:rsidTr="00D6695B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87E8E03" w14:textId="77777777" w:rsidR="00701B37" w:rsidRPr="000C0521" w:rsidRDefault="00701B37" w:rsidP="00701B37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Valor das Emissões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3F3BC79" w14:textId="77777777" w:rsidR="00701B37" w:rsidRPr="000C0521" w:rsidRDefault="00701B37" w:rsidP="00701B37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Debêntures Incentivadas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08922B1A" w14:textId="77777777" w:rsidR="00701B37" w:rsidRPr="000C0521" w:rsidRDefault="00701B37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</w:tcPr>
          <w:p w14:paraId="6A8C4050" w14:textId="51DCEBB5" w:rsidR="00701B37" w:rsidRPr="000C0521" w:rsidRDefault="00D06E72" w:rsidP="00701B37">
            <w:pPr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Nome considerado mais adequado. As três bases debêntures foram unificadas</w:t>
            </w:r>
            <w:r w:rsidR="00F36EC8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C218A" w:rsidRPr="000C0521" w14:paraId="44138AF9" w14:textId="77777777" w:rsidTr="00424AC8">
        <w:trPr>
          <w:trHeight w:val="268"/>
        </w:trPr>
        <w:tc>
          <w:tcPr>
            <w:tcW w:w="3969" w:type="dxa"/>
            <w:shd w:val="clear" w:color="auto" w:fill="FFFFFF" w:themeFill="background1"/>
          </w:tcPr>
          <w:p w14:paraId="609646C8" w14:textId="15252E04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Financiamentos Contratados</w:t>
            </w:r>
          </w:p>
        </w:tc>
        <w:tc>
          <w:tcPr>
            <w:tcW w:w="3969" w:type="dxa"/>
            <w:shd w:val="clear" w:color="auto" w:fill="FFFFFF" w:themeFill="background1"/>
          </w:tcPr>
          <w:p w14:paraId="002648D1" w14:textId="4E631E0D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Liberação de recursos do FMM por empresa entre 2017 e 2020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7C42B74" w14:textId="4B84C751" w:rsidR="007C218A" w:rsidRPr="000C0521" w:rsidRDefault="007C218A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SFPP/DEFOM/CGPFI</w:t>
            </w:r>
          </w:p>
        </w:tc>
        <w:tc>
          <w:tcPr>
            <w:tcW w:w="4554" w:type="dxa"/>
            <w:shd w:val="clear" w:color="auto" w:fill="FFFFFF" w:themeFill="background1"/>
          </w:tcPr>
          <w:p w14:paraId="1BC3DD75" w14:textId="3FDF4C29" w:rsidR="007C218A" w:rsidRPr="000C0521" w:rsidRDefault="007C218A" w:rsidP="007C218A">
            <w:pPr>
              <w:rPr>
                <w:rFonts w:asciiTheme="minorHAnsi" w:hAnsiTheme="minorHAnsi" w:cstheme="minorHAnsi"/>
                <w:noProof/>
              </w:rPr>
            </w:pPr>
            <w:r w:rsidRPr="00F36EC8">
              <w:rPr>
                <w:rFonts w:asciiTheme="minorHAnsi" w:eastAsiaTheme="minorHAnsi" w:hAnsiTheme="minorHAnsi" w:cstheme="minorHAnsi"/>
                <w:noProof/>
              </w:rPr>
              <w:t>Tornar o nome da base de dados mais aderente ao que é utilizado pelo setor.</w:t>
            </w:r>
          </w:p>
        </w:tc>
      </w:tr>
      <w:tr w:rsidR="007C218A" w:rsidRPr="000C0521" w14:paraId="674D2696" w14:textId="77777777" w:rsidTr="009A395E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D6AACED" w14:textId="1D688633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Desembolsos de recursos do FMM para financiamentos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078F8F6" w14:textId="50A8D6F1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Liberações do FMM até 2020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3BF3A865" w14:textId="351B0808" w:rsidR="007C218A" w:rsidRPr="007C218A" w:rsidRDefault="007C218A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SFPP/DEFOM/CGPFI</w:t>
            </w:r>
          </w:p>
        </w:tc>
        <w:tc>
          <w:tcPr>
            <w:tcW w:w="4554" w:type="dxa"/>
            <w:shd w:val="clear" w:color="auto" w:fill="FFFFFF" w:themeFill="background1"/>
          </w:tcPr>
          <w:p w14:paraId="0D8FF8EC" w14:textId="690FF74A" w:rsidR="007C218A" w:rsidRPr="007C218A" w:rsidRDefault="007C218A" w:rsidP="007C218A">
            <w:pPr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E1FC5" w14:paraId="15A02658" w14:textId="77777777" w:rsidTr="00D6695B">
        <w:trPr>
          <w:trHeight w:val="526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6458AD" w14:textId="77777777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Entregas de construções financiadas pelo FMM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BC6A793" w14:textId="784AB9F5" w:rsidR="007C218A" w:rsidRPr="007C218A" w:rsidRDefault="007C218A" w:rsidP="007C218A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Entrega de projetos do FMM até 2020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4F177F81" w14:textId="77777777" w:rsidR="007C218A" w:rsidRPr="007C218A" w:rsidRDefault="007C218A" w:rsidP="00007E06">
            <w:pPr>
              <w:ind w:right="1"/>
              <w:jc w:val="center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SFPP/DEFOM/CGPFI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53834E2E" w14:textId="204EA5E0" w:rsidR="007C218A" w:rsidRPr="007C218A" w:rsidRDefault="007C218A" w:rsidP="007C218A">
            <w:pPr>
              <w:ind w:right="2"/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hAnsiTheme="minorHAnsi" w:cstheme="minorHAnsi"/>
                <w:noProof/>
                <w:color w:val="0070C0"/>
              </w:rPr>
              <w:t xml:space="preserve"> </w:t>
            </w:r>
            <w:r w:rsidRPr="007C218A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C0521" w14:paraId="58813D78" w14:textId="77777777" w:rsidTr="00C362E0">
        <w:trPr>
          <w:trHeight w:val="526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F44B0B9" w14:textId="05DF04B7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Renovação de Contratos de Arrendamentos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93C8406" w14:textId="702E18DC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 xml:space="preserve">Contratos de Arrendamentos Portuários </w:t>
            </w:r>
            <w:r>
              <w:rPr>
                <w:rFonts w:asciiTheme="minorHAnsi" w:eastAsiaTheme="minorHAnsi" w:hAnsiTheme="minorHAnsi" w:cstheme="minorHAnsi"/>
                <w:noProof/>
              </w:rPr>
              <w:t xml:space="preserve">-  </w:t>
            </w:r>
            <w:r w:rsidRPr="007C218A">
              <w:rPr>
                <w:rFonts w:asciiTheme="minorHAnsi" w:eastAsiaTheme="minorHAnsi" w:hAnsiTheme="minorHAnsi" w:cstheme="minorHAnsi"/>
                <w:noProof/>
              </w:rPr>
              <w:t xml:space="preserve"> Alterações Contratuais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41A1935A" w14:textId="2BE5AA3F" w:rsidR="007C218A" w:rsidRPr="007C218A" w:rsidRDefault="007C218A" w:rsidP="00007E06">
            <w:pPr>
              <w:ind w:right="3"/>
              <w:jc w:val="center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SNPTA/DGCO</w:t>
            </w:r>
          </w:p>
        </w:tc>
        <w:tc>
          <w:tcPr>
            <w:tcW w:w="4554" w:type="dxa"/>
            <w:shd w:val="clear" w:color="auto" w:fill="FFFFFF" w:themeFill="background1"/>
          </w:tcPr>
          <w:p w14:paraId="6E9EADDF" w14:textId="24C0F8A6" w:rsidR="007C218A" w:rsidRPr="007C218A" w:rsidRDefault="007C218A" w:rsidP="007C218A">
            <w:pPr>
              <w:ind w:right="2"/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C0521" w14:paraId="1E89069E" w14:textId="77777777" w:rsidTr="00D6695B">
        <w:trPr>
          <w:trHeight w:val="526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69FAC39" w14:textId="035587C9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Incentivo Fiscal aos Investimentos de Infraestrutura-REIDI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76CB44A" w14:textId="77777777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REIDI - Regime Especial de Incentivos para o Desenvolvimento da Infraestrutura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004D655C" w14:textId="77777777" w:rsidR="007C218A" w:rsidRPr="000C0521" w:rsidRDefault="007C218A" w:rsidP="00007E06">
            <w:pPr>
              <w:ind w:right="3"/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SFPP/DEFOM/CGIF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3436322B" w14:textId="65453418" w:rsidR="007C218A" w:rsidRPr="000C0521" w:rsidRDefault="007C218A" w:rsidP="007C218A">
            <w:pPr>
              <w:ind w:right="2"/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Nome considerado mais adequado. As bases REIDI foram unificadas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C218A" w14:paraId="3E33D685" w14:textId="77777777" w:rsidTr="007C218A">
        <w:trPr>
          <w:trHeight w:val="442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9CF93D3" w14:textId="77777777" w:rsidR="007C218A" w:rsidRPr="007C218A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Cadastro de Portos abrangidos pelo PSP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D8E6789" w14:textId="5249D139" w:rsidR="007C218A" w:rsidRPr="007C218A" w:rsidRDefault="008C0D23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hyperlink r:id="rId5" w:history="1">
              <w:r w:rsidR="007C218A" w:rsidRPr="007C218A">
                <w:rPr>
                  <w:rFonts w:asciiTheme="minorHAnsi" w:eastAsiaTheme="minorHAnsi" w:hAnsiTheme="minorHAnsi" w:cstheme="minorHAnsi"/>
                  <w:noProof/>
                </w:rPr>
                <w:t>Acessos aos portos (Cadastro Nacional Portuário/PSP)</w:t>
              </w:r>
            </w:hyperlink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4B26B36F" w14:textId="77777777" w:rsidR="007C218A" w:rsidRPr="007C218A" w:rsidRDefault="007C218A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C218A">
              <w:rPr>
                <w:rFonts w:asciiTheme="minorHAnsi" w:eastAsiaTheme="minorHAnsi" w:hAnsiTheme="minorHAnsi" w:cstheme="minorHAnsi"/>
                <w:noProof/>
              </w:rPr>
              <w:t>SNPTA/DGMP/CGGP</w:t>
            </w:r>
          </w:p>
        </w:tc>
        <w:tc>
          <w:tcPr>
            <w:tcW w:w="4554" w:type="dxa"/>
            <w:shd w:val="clear" w:color="auto" w:fill="FFFFFF" w:themeFill="background1"/>
          </w:tcPr>
          <w:p w14:paraId="26BE79CD" w14:textId="2AEC61B9" w:rsidR="007C218A" w:rsidRPr="00007E06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07E06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C0521" w14:paraId="110078E9" w14:textId="77777777" w:rsidTr="00D6695B">
        <w:trPr>
          <w:trHeight w:val="442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5B97213" w14:textId="77777777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Estadias de embarcações abrangidas pelo PSP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AAB8F96" w14:textId="13EE3B18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Estadia das embarcações no PSP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42B0240A" w14:textId="77777777" w:rsidR="007C218A" w:rsidRPr="000C0521" w:rsidRDefault="007C218A" w:rsidP="00007E06">
            <w:pPr>
              <w:ind w:right="1"/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SNPTA/DGMP/CGGP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7A637676" w14:textId="496DCA5A" w:rsidR="007C218A" w:rsidRPr="00007E06" w:rsidRDefault="007C218A" w:rsidP="007C218A">
            <w:pPr>
              <w:ind w:right="2"/>
              <w:jc w:val="both"/>
              <w:rPr>
                <w:rFonts w:asciiTheme="minorHAnsi" w:hAnsiTheme="minorHAnsi" w:cstheme="minorHAnsi"/>
                <w:noProof/>
              </w:rPr>
            </w:pPr>
            <w:r w:rsidRPr="00007E06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C0521" w14:paraId="1ECA9379" w14:textId="77777777" w:rsidTr="00D6695B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A2B3F09" w14:textId="77777777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Série Histórica da Execução Orçamentária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932734" w14:textId="51AED6F5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Investimentos e Inversões Financeiras - Série Histórica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7353CA55" w14:textId="77777777" w:rsidR="007C218A" w:rsidRPr="000C0521" w:rsidRDefault="007C218A" w:rsidP="00007E06">
            <w:pPr>
              <w:ind w:left="1"/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SE/SPOA/CGAA</w:t>
            </w:r>
          </w:p>
        </w:tc>
        <w:tc>
          <w:tcPr>
            <w:tcW w:w="4554" w:type="dxa"/>
            <w:shd w:val="clear" w:color="auto" w:fill="FFFFFF" w:themeFill="background1"/>
          </w:tcPr>
          <w:p w14:paraId="708613EA" w14:textId="13F8B7DD" w:rsidR="007C218A" w:rsidRPr="00007E06" w:rsidRDefault="007C218A" w:rsidP="007C218A">
            <w:pPr>
              <w:rPr>
                <w:rFonts w:asciiTheme="minorHAnsi" w:hAnsiTheme="minorHAnsi" w:cstheme="minorHAnsi"/>
                <w:noProof/>
              </w:rPr>
            </w:pPr>
            <w:r w:rsidRPr="00007E06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:rsidRPr="000C0521" w14:paraId="31982F6E" w14:textId="77777777" w:rsidTr="00D6695B">
        <w:trPr>
          <w:trHeight w:val="442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C884473" w14:textId="77777777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Resumo Diário da Execução Orçamentária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AA93553" w14:textId="6567BC09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Dados da execução orçamentaria e financeira - Mensal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786FA776" w14:textId="77777777" w:rsidR="007C218A" w:rsidRPr="000C0521" w:rsidRDefault="007C218A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SE/SPOA/CGAA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6E7852CD" w14:textId="47B2529B" w:rsidR="007C218A" w:rsidRPr="00007E06" w:rsidRDefault="007C218A" w:rsidP="007C218A">
            <w:pPr>
              <w:rPr>
                <w:rFonts w:asciiTheme="minorHAnsi" w:hAnsiTheme="minorHAnsi" w:cstheme="minorHAnsi"/>
                <w:noProof/>
              </w:rPr>
            </w:pPr>
            <w:r w:rsidRPr="00007E06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7C218A" w14:paraId="566A67C2" w14:textId="77777777" w:rsidTr="00D6695B">
        <w:trPr>
          <w:trHeight w:val="453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6605DF0" w14:textId="77777777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Demonstrativo Orçamentário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0F734AF" w14:textId="64FBE7DB" w:rsidR="007C218A" w:rsidRPr="000C0521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Dados da execução orçamentaria e financeira - Mensal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56AD0234" w14:textId="77777777" w:rsidR="007C218A" w:rsidRPr="000C0521" w:rsidRDefault="007C218A" w:rsidP="00007E0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SE/SPOA/CGRL</w:t>
            </w:r>
          </w:p>
        </w:tc>
        <w:tc>
          <w:tcPr>
            <w:tcW w:w="4554" w:type="dxa"/>
            <w:shd w:val="clear" w:color="auto" w:fill="FFFFFF" w:themeFill="background1"/>
            <w:vAlign w:val="center"/>
          </w:tcPr>
          <w:p w14:paraId="463A5CA2" w14:textId="0234F1B7" w:rsidR="007C218A" w:rsidRPr="007D1CC8" w:rsidRDefault="007C218A" w:rsidP="007C218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 xml:space="preserve">Era Demonstrativo Orçamentário - Tesouro Gerencial. Decidiu-se unificar as bases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Resumo Diário da Execução Orçamentária</w:t>
            </w:r>
            <w:r w:rsidRPr="000C0521">
              <w:rPr>
                <w:rFonts w:asciiTheme="minorHAnsi" w:hAnsiTheme="minorHAnsi" w:cstheme="minorHAnsi"/>
                <w:noProof/>
              </w:rPr>
              <w:t xml:space="preserve"> e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Demonstrativo Orçamentário</w:t>
            </w:r>
            <w:r w:rsidRPr="000C0521">
              <w:rPr>
                <w:rFonts w:asciiTheme="minorHAnsi" w:hAnsiTheme="minorHAnsi" w:cstheme="minorHAnsi"/>
                <w:noProof/>
              </w:rPr>
              <w:t xml:space="preserve"> para Dados da execução orçamentaria e financeira </w:t>
            </w:r>
            <w:r w:rsidR="00007E06">
              <w:rPr>
                <w:rFonts w:asciiTheme="minorHAnsi" w:hAnsiTheme="minorHAnsi" w:cstheme="minorHAnsi"/>
                <w:noProof/>
              </w:rPr>
              <w:t>-</w:t>
            </w:r>
            <w:r w:rsidRPr="000C0521">
              <w:rPr>
                <w:rFonts w:asciiTheme="minorHAnsi" w:hAnsiTheme="minorHAnsi" w:cstheme="minorHAnsi"/>
                <w:noProof/>
              </w:rPr>
              <w:t xml:space="preserve"> Mensal.</w:t>
            </w:r>
          </w:p>
        </w:tc>
      </w:tr>
    </w:tbl>
    <w:p w14:paraId="204A26FE" w14:textId="205AD834" w:rsidR="009D7D7B" w:rsidRDefault="009D7D7B" w:rsidP="001B29B1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3EAD8F0" w14:textId="77777777" w:rsidR="009E6317" w:rsidRDefault="009E6317" w:rsidP="00421315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2DA8CC84" w14:textId="579F436F" w:rsidR="00421315" w:rsidRPr="009E6317" w:rsidRDefault="009E6317" w:rsidP="00421315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lastRenderedPageBreak/>
        <w:t xml:space="preserve">II - </w:t>
      </w:r>
      <w:r w:rsidR="00421315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>BASES DE DADOS</w:t>
      </w:r>
      <w:r w:rsidR="00035B81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</w:t>
      </w:r>
      <w:r w:rsidR="00574E21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ATUAL </w:t>
      </w:r>
      <w:r w:rsidR="00035B81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PDA </w:t>
      </w:r>
      <w:r w:rsidR="00421315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>EM QUE HOUVE ALTERAÇÃO DE NOMENCLATURA</w:t>
      </w:r>
      <w:r w:rsidR="00574E21" w:rsidRPr="009E631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(Anexo 7 do PDA 2020-2021)</w:t>
      </w:r>
    </w:p>
    <w:p w14:paraId="06912176" w14:textId="77777777" w:rsidR="00035B81" w:rsidRPr="00421315" w:rsidRDefault="00035B81" w:rsidP="00421315">
      <w:pPr>
        <w:rPr>
          <w:rFonts w:asciiTheme="minorHAnsi" w:hAnsiTheme="minorHAnsi" w:cstheme="minorHAnsi"/>
          <w:b/>
          <w:bCs/>
          <w:noProof/>
          <w:color w:val="0070C0"/>
          <w:sz w:val="16"/>
          <w:szCs w:val="16"/>
        </w:rPr>
      </w:pPr>
    </w:p>
    <w:tbl>
      <w:tblPr>
        <w:tblStyle w:val="TableGrid"/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65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2167"/>
        <w:gridCol w:w="4252"/>
      </w:tblGrid>
      <w:tr w:rsidR="009E6317" w:rsidRPr="009E6317" w14:paraId="62FEF936" w14:textId="77777777" w:rsidTr="000F2108">
        <w:trPr>
          <w:trHeight w:val="461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793B2FFC" w14:textId="2818FDDF" w:rsidR="00421315" w:rsidRPr="009E6317" w:rsidRDefault="00421315" w:rsidP="00035B8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eastAsiaTheme="minorHAnsi" w:hAnsiTheme="minorHAnsi" w:cstheme="minorHAnsi"/>
                <w:noProof/>
              </w:rPr>
              <w:t xml:space="preserve">NOMENCLATURA </w:t>
            </w:r>
            <w:r w:rsidR="000F2108" w:rsidRPr="009E6317">
              <w:rPr>
                <w:rFonts w:asciiTheme="minorHAnsi" w:eastAsiaTheme="minorHAnsi" w:hAnsiTheme="minorHAnsi" w:cstheme="minorHAnsi"/>
                <w:noProof/>
              </w:rPr>
              <w:t xml:space="preserve">NO </w:t>
            </w:r>
            <w:r w:rsidR="00035B81" w:rsidRPr="009E6317">
              <w:rPr>
                <w:rFonts w:asciiTheme="minorHAnsi" w:eastAsiaTheme="minorHAnsi" w:hAnsiTheme="minorHAnsi" w:cstheme="minorHAnsi"/>
                <w:noProof/>
              </w:rPr>
              <w:t>PDA</w:t>
            </w:r>
            <w:r w:rsidR="000F2108" w:rsidRPr="009E6317">
              <w:rPr>
                <w:rFonts w:asciiTheme="minorHAnsi" w:eastAsiaTheme="minorHAnsi" w:hAnsiTheme="minorHAnsi" w:cstheme="minorHAnsi"/>
                <w:noProof/>
              </w:rPr>
              <w:t xml:space="preserve"> 2020-2021</w:t>
            </w:r>
            <w:r w:rsidRPr="009E6317">
              <w:rPr>
                <w:rFonts w:asciiTheme="minorHAnsi" w:eastAsiaTheme="minorHAnsi" w:hAnsiTheme="minorHAnsi" w:cstheme="minorHAnsi"/>
                <w:noProof/>
              </w:rPr>
              <w:t xml:space="preserve">  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068A8D12" w14:textId="632996A9" w:rsidR="00421315" w:rsidRPr="009E6317" w:rsidRDefault="00421315" w:rsidP="00035B8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eastAsiaTheme="minorHAnsi" w:hAnsiTheme="minorHAnsi" w:cstheme="minorHAnsi"/>
                <w:noProof/>
              </w:rPr>
              <w:t xml:space="preserve">NOMENCLATURA </w:t>
            </w:r>
            <w:r w:rsidR="00035B81" w:rsidRPr="009E6317">
              <w:rPr>
                <w:rFonts w:asciiTheme="minorHAnsi" w:eastAsiaTheme="minorHAnsi" w:hAnsiTheme="minorHAnsi" w:cstheme="minorHAnsi"/>
                <w:noProof/>
              </w:rPr>
              <w:t>PUBLICADA EM DADOS.GOV</w:t>
            </w:r>
          </w:p>
        </w:tc>
        <w:tc>
          <w:tcPr>
            <w:tcW w:w="2167" w:type="dxa"/>
            <w:shd w:val="clear" w:color="auto" w:fill="DAEEF3" w:themeFill="accent5" w:themeFillTint="33"/>
            <w:vAlign w:val="center"/>
          </w:tcPr>
          <w:p w14:paraId="0C52B0B4" w14:textId="77777777" w:rsidR="00421315" w:rsidRPr="009E6317" w:rsidRDefault="00421315" w:rsidP="00D61F3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eastAsiaTheme="minorHAnsi" w:hAnsiTheme="minorHAnsi" w:cstheme="minorHAnsi"/>
                <w:noProof/>
              </w:rPr>
              <w:t xml:space="preserve">UNIDADE RESPONSÁVEL </w:t>
            </w:r>
          </w:p>
        </w:tc>
        <w:tc>
          <w:tcPr>
            <w:tcW w:w="4252" w:type="dxa"/>
            <w:shd w:val="clear" w:color="auto" w:fill="DAEEF3" w:themeFill="accent5" w:themeFillTint="33"/>
            <w:vAlign w:val="center"/>
          </w:tcPr>
          <w:p w14:paraId="5B518F9A" w14:textId="7D6F07B5" w:rsidR="00421315" w:rsidRPr="009E6317" w:rsidRDefault="00421315" w:rsidP="00D61F38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hAnsiTheme="minorHAnsi" w:cstheme="minorHAnsi"/>
                <w:noProof/>
              </w:rPr>
              <w:t xml:space="preserve">JUSTIFICATIVA </w:t>
            </w:r>
            <w:r w:rsidR="00035B81" w:rsidRPr="009E6317">
              <w:rPr>
                <w:rFonts w:asciiTheme="minorHAnsi" w:hAnsiTheme="minorHAnsi" w:cstheme="minorHAnsi"/>
                <w:noProof/>
              </w:rPr>
              <w:t>D</w:t>
            </w:r>
            <w:r w:rsidRPr="009E6317">
              <w:rPr>
                <w:rFonts w:asciiTheme="minorHAnsi" w:hAnsiTheme="minorHAnsi" w:cstheme="minorHAnsi"/>
                <w:noProof/>
              </w:rPr>
              <w:t>A ALTERAÇÃO</w:t>
            </w:r>
          </w:p>
        </w:tc>
      </w:tr>
      <w:tr w:rsidR="009E6317" w:rsidRPr="009E6317" w14:paraId="343CDE96" w14:textId="77777777" w:rsidTr="000F2108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AAB6687" w14:textId="133A04A3" w:rsidR="00421315" w:rsidRPr="009E6317" w:rsidRDefault="00035B81" w:rsidP="00D61F38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E6317">
              <w:t>Projetos financiados com recursos do FMM (Fundo da Marinha Mercante)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C89480C" w14:textId="226A39B7" w:rsidR="00421315" w:rsidRPr="009E6317" w:rsidRDefault="00035B81" w:rsidP="00D61F38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E6317">
              <w:t>Valores anuais de prioridades contratadas com apoio financeiro do FMM até 2020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14:paraId="499DC9A1" w14:textId="53599F6D" w:rsidR="00421315" w:rsidRPr="009E6317" w:rsidRDefault="00035B81" w:rsidP="00D61F3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hAnsiTheme="minorHAnsi" w:cstheme="minorHAnsi"/>
                <w:noProof/>
              </w:rPr>
              <w:t>SFPP</w:t>
            </w:r>
            <w:r w:rsidR="000F2108" w:rsidRPr="009E6317">
              <w:rPr>
                <w:rFonts w:asciiTheme="minorHAnsi" w:hAnsiTheme="minorHAnsi" w:cstheme="minorHAnsi"/>
                <w:noProof/>
              </w:rPr>
              <w:t>/DEFOM/CGPFI</w:t>
            </w:r>
          </w:p>
        </w:tc>
        <w:tc>
          <w:tcPr>
            <w:tcW w:w="4252" w:type="dxa"/>
            <w:shd w:val="clear" w:color="auto" w:fill="FFFFFF" w:themeFill="background1"/>
          </w:tcPr>
          <w:p w14:paraId="454CF417" w14:textId="77777777" w:rsidR="00421315" w:rsidRPr="009E6317" w:rsidRDefault="00421315" w:rsidP="00D61F38">
            <w:pPr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cstheme="minorHAnsi"/>
              </w:rPr>
              <w:t>Tornar o nome da base de dados mais aderente ao que é utilizado pelo setor.</w:t>
            </w:r>
          </w:p>
        </w:tc>
      </w:tr>
      <w:tr w:rsidR="009E6317" w:rsidRPr="009E6317" w14:paraId="17BAF3C9" w14:textId="77777777" w:rsidTr="000F2108">
        <w:trPr>
          <w:trHeight w:val="26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58ABDF1" w14:textId="5D925231" w:rsidR="00035B81" w:rsidRPr="009E6317" w:rsidRDefault="00035B81" w:rsidP="00D61F38">
            <w:pPr>
              <w:jc w:val="both"/>
            </w:pPr>
            <w:r w:rsidRPr="009E6317">
              <w:t>Contratos de financiamento com recursos do FMM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6A590F5" w14:textId="20FF8E08" w:rsidR="00035B81" w:rsidRPr="009E6317" w:rsidRDefault="00035B81" w:rsidP="00D61F38">
            <w:pPr>
              <w:jc w:val="both"/>
            </w:pPr>
            <w:r w:rsidRPr="009E6317">
              <w:t>Arrecadação anual do AFRMM</w:t>
            </w:r>
            <w:r w:rsidR="002615B4" w:rsidRPr="009E6317">
              <w:t xml:space="preserve"> 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14:paraId="18B6C8A5" w14:textId="1B0DBDD2" w:rsidR="00035B81" w:rsidRPr="009E6317" w:rsidRDefault="00035B81" w:rsidP="00D61F38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9E6317">
              <w:rPr>
                <w:rFonts w:asciiTheme="minorHAnsi" w:hAnsiTheme="minorHAnsi" w:cstheme="minorHAnsi"/>
                <w:noProof/>
              </w:rPr>
              <w:t>SFPP</w:t>
            </w:r>
            <w:r w:rsidR="000F2108" w:rsidRPr="009E6317">
              <w:rPr>
                <w:rFonts w:asciiTheme="minorHAnsi" w:hAnsiTheme="minorHAnsi" w:cstheme="minorHAnsi"/>
                <w:noProof/>
              </w:rPr>
              <w:t>/DEFOM/CGPFI</w:t>
            </w:r>
          </w:p>
        </w:tc>
        <w:tc>
          <w:tcPr>
            <w:tcW w:w="4252" w:type="dxa"/>
            <w:shd w:val="clear" w:color="auto" w:fill="FFFFFF" w:themeFill="background1"/>
          </w:tcPr>
          <w:p w14:paraId="373C19EA" w14:textId="3189175F" w:rsidR="00035B81" w:rsidRPr="009E6317" w:rsidRDefault="002615B4" w:rsidP="00D61F38">
            <w:pPr>
              <w:rPr>
                <w:rFonts w:cstheme="minorHAnsi"/>
              </w:rPr>
            </w:pPr>
            <w:r w:rsidRPr="009E6317">
              <w:rPr>
                <w:rFonts w:cstheme="minorHAnsi"/>
              </w:rPr>
              <w:t>Tornar o nome da base de dados mais aderente ao que é utilizado pelo setor. Além disso, havia confusão com a base anterior deste quadro.</w:t>
            </w:r>
          </w:p>
        </w:tc>
      </w:tr>
    </w:tbl>
    <w:p w14:paraId="1F266E1C" w14:textId="77777777" w:rsidR="00421315" w:rsidRDefault="00421315" w:rsidP="001B29B1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01340F7" w14:textId="7CC3EAEA" w:rsidR="004747B9" w:rsidRPr="00310201" w:rsidRDefault="008C0D23" w:rsidP="001B29B1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III - </w:t>
      </w:r>
      <w:r w:rsidR="00310201">
        <w:rPr>
          <w:rFonts w:asciiTheme="minorHAnsi" w:hAnsiTheme="minorHAnsi" w:cstheme="minorHAnsi"/>
          <w:b/>
          <w:bCs/>
          <w:noProof/>
          <w:sz w:val="24"/>
          <w:szCs w:val="24"/>
        </w:rPr>
        <w:t>BASES EXCLUÍDAS</w:t>
      </w:r>
      <w:r w:rsidR="00DE736A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PDA </w:t>
      </w:r>
      <w:r w:rsidR="00310201">
        <w:rPr>
          <w:rFonts w:asciiTheme="minorHAnsi" w:hAnsiTheme="minorHAnsi" w:cstheme="minorHAnsi"/>
          <w:b/>
          <w:bCs/>
          <w:noProof/>
          <w:sz w:val="24"/>
          <w:szCs w:val="24"/>
        </w:rPr>
        <w:t>(</w:t>
      </w:r>
      <w:r w:rsidR="00545573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Anexo 6</w:t>
      </w:r>
      <w:r w:rsidR="002D59E6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PDA 2020/2021</w:t>
      </w:r>
      <w:r w:rsidR="00DE736A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- </w:t>
      </w:r>
      <w:r w:rsidR="00310201">
        <w:rPr>
          <w:rFonts w:asciiTheme="minorHAnsi" w:hAnsiTheme="minorHAnsi" w:cstheme="minorHAnsi"/>
          <w:b/>
          <w:bCs/>
          <w:noProof/>
          <w:sz w:val="24"/>
          <w:szCs w:val="24"/>
        </w:rPr>
        <w:t>Dados descontinuados</w:t>
      </w:r>
      <w:r w:rsidR="00310201" w:rsidRPr="00310201">
        <w:rPr>
          <w:rFonts w:asciiTheme="minorHAnsi" w:hAnsiTheme="minorHAnsi" w:cstheme="minorHAnsi"/>
          <w:b/>
          <w:bCs/>
          <w:noProof/>
          <w:sz w:val="24"/>
          <w:szCs w:val="24"/>
        </w:rPr>
        <w:t>)</w:t>
      </w:r>
      <w:r w:rsidR="00F97E23" w:rsidRPr="00310201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407B9E">
        <w:rPr>
          <w:rFonts w:asciiTheme="minorHAnsi" w:hAnsiTheme="minorHAnsi" w:cstheme="minorHAnsi"/>
          <w:b/>
          <w:bCs/>
          <w:noProof/>
          <w:sz w:val="24"/>
          <w:szCs w:val="24"/>
        </w:rPr>
        <w:t>-</w:t>
      </w:r>
      <w:r w:rsidR="00F97E23" w:rsidRPr="00310201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10201" w:rsidRPr="00310201">
        <w:rPr>
          <w:rFonts w:asciiTheme="minorHAnsi" w:hAnsiTheme="minorHAnsi" w:cstheme="minorHAnsi"/>
          <w:b/>
          <w:bCs/>
          <w:noProof/>
        </w:rPr>
        <w:t xml:space="preserve">Inclui as </w:t>
      </w:r>
      <w:r w:rsidR="00310201">
        <w:rPr>
          <w:rFonts w:asciiTheme="minorHAnsi" w:hAnsiTheme="minorHAnsi" w:cstheme="minorHAnsi"/>
          <w:b/>
          <w:bCs/>
          <w:noProof/>
        </w:rPr>
        <w:t>B</w:t>
      </w:r>
      <w:r w:rsidR="00B44681" w:rsidRPr="00310201">
        <w:rPr>
          <w:rFonts w:asciiTheme="minorHAnsi" w:hAnsiTheme="minorHAnsi" w:cstheme="minorHAnsi"/>
          <w:b/>
          <w:bCs/>
          <w:noProof/>
        </w:rPr>
        <w:t xml:space="preserve">ases </w:t>
      </w:r>
      <w:r w:rsidR="00F97E23" w:rsidRPr="00310201">
        <w:rPr>
          <w:rFonts w:asciiTheme="minorHAnsi" w:hAnsiTheme="minorHAnsi" w:cstheme="minorHAnsi"/>
          <w:b/>
          <w:bCs/>
          <w:noProof/>
        </w:rPr>
        <w:t>publicad</w:t>
      </w:r>
      <w:r w:rsidR="00B44681" w:rsidRPr="00310201">
        <w:rPr>
          <w:rFonts w:asciiTheme="minorHAnsi" w:hAnsiTheme="minorHAnsi" w:cstheme="minorHAnsi"/>
          <w:b/>
          <w:bCs/>
          <w:noProof/>
        </w:rPr>
        <w:t>a</w:t>
      </w:r>
      <w:r w:rsidR="00F97E23" w:rsidRPr="00310201">
        <w:rPr>
          <w:rFonts w:asciiTheme="minorHAnsi" w:hAnsiTheme="minorHAnsi" w:cstheme="minorHAnsi"/>
          <w:b/>
          <w:bCs/>
          <w:noProof/>
        </w:rPr>
        <w:t>s</w:t>
      </w:r>
      <w:r w:rsidR="00B44681" w:rsidRPr="00310201">
        <w:rPr>
          <w:rFonts w:asciiTheme="minorHAnsi" w:hAnsiTheme="minorHAnsi" w:cstheme="minorHAnsi"/>
          <w:b/>
          <w:bCs/>
          <w:noProof/>
        </w:rPr>
        <w:t xml:space="preserve"> (*)</w:t>
      </w:r>
      <w:r w:rsidR="002F3E19" w:rsidRPr="00310201">
        <w:rPr>
          <w:rFonts w:asciiTheme="minorHAnsi" w:hAnsiTheme="minorHAnsi" w:cstheme="minorHAnsi"/>
          <w:b/>
          <w:bCs/>
          <w:noProof/>
        </w:rPr>
        <w:t xml:space="preserve"> e</w:t>
      </w:r>
      <w:r w:rsidR="00B44681" w:rsidRPr="00310201">
        <w:rPr>
          <w:rFonts w:asciiTheme="minorHAnsi" w:hAnsiTheme="minorHAnsi" w:cstheme="minorHAnsi"/>
          <w:b/>
          <w:bCs/>
          <w:noProof/>
        </w:rPr>
        <w:t xml:space="preserve"> </w:t>
      </w:r>
      <w:r w:rsidR="00310201" w:rsidRPr="00310201">
        <w:rPr>
          <w:rFonts w:asciiTheme="minorHAnsi" w:hAnsiTheme="minorHAnsi" w:cstheme="minorHAnsi"/>
          <w:b/>
          <w:bCs/>
          <w:noProof/>
        </w:rPr>
        <w:t xml:space="preserve">as </w:t>
      </w:r>
      <w:r w:rsidR="00F97E23" w:rsidRPr="00310201">
        <w:rPr>
          <w:rFonts w:asciiTheme="minorHAnsi" w:hAnsiTheme="minorHAnsi" w:cstheme="minorHAnsi"/>
          <w:b/>
          <w:bCs/>
          <w:noProof/>
        </w:rPr>
        <w:t>não publicad</w:t>
      </w:r>
      <w:r w:rsidR="00B44681" w:rsidRPr="00310201">
        <w:rPr>
          <w:rFonts w:asciiTheme="minorHAnsi" w:hAnsiTheme="minorHAnsi" w:cstheme="minorHAnsi"/>
          <w:b/>
          <w:bCs/>
          <w:noProof/>
        </w:rPr>
        <w:t>as</w:t>
      </w:r>
    </w:p>
    <w:p w14:paraId="6D3EFA3D" w14:textId="2412DB64" w:rsidR="001B29B1" w:rsidRPr="007C218A" w:rsidRDefault="001B29B1" w:rsidP="001B29B1">
      <w:pPr>
        <w:rPr>
          <w:rFonts w:eastAsia="Calibri" w:cs="Calibri"/>
          <w:sz w:val="16"/>
          <w:szCs w:val="16"/>
        </w:rPr>
      </w:pPr>
    </w:p>
    <w:tbl>
      <w:tblPr>
        <w:tblStyle w:val="TableGrid"/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07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366"/>
        <w:gridCol w:w="4430"/>
      </w:tblGrid>
      <w:tr w:rsidR="00EA24E6" w:rsidRPr="00134AC1" w14:paraId="2B602B33" w14:textId="77777777" w:rsidTr="00D723CA">
        <w:trPr>
          <w:trHeight w:val="673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55C076DD" w14:textId="4D9F1D0F" w:rsidR="001B29B1" w:rsidRPr="00134AC1" w:rsidRDefault="00D6169C" w:rsidP="00EA24E6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CONJUNTO DE DADOS</w:t>
            </w:r>
            <w:r w:rsidR="001B29B1" w:rsidRPr="00134AC1">
              <w:rPr>
                <w:rFonts w:asciiTheme="minorHAnsi" w:hAnsiTheme="minorHAnsi" w:cstheme="minorHAnsi"/>
                <w:noProof/>
              </w:rPr>
              <w:t xml:space="preserve"> PDA 2017-2019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14:paraId="5342381C" w14:textId="5281541C" w:rsidR="001B29B1" w:rsidRPr="00134AC1" w:rsidRDefault="001B29B1" w:rsidP="00EA24E6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UNIDADE RESPONSÁVEL</w:t>
            </w:r>
          </w:p>
        </w:tc>
        <w:tc>
          <w:tcPr>
            <w:tcW w:w="3366" w:type="dxa"/>
            <w:shd w:val="clear" w:color="auto" w:fill="F2DBDB" w:themeFill="accent2" w:themeFillTint="33"/>
            <w:vAlign w:val="center"/>
          </w:tcPr>
          <w:p w14:paraId="6719F712" w14:textId="46A56C8D" w:rsidR="001B29B1" w:rsidRPr="00134AC1" w:rsidRDefault="001B29B1" w:rsidP="00EA24E6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INTERFACES RELEVANTES</w:t>
            </w:r>
          </w:p>
        </w:tc>
        <w:tc>
          <w:tcPr>
            <w:tcW w:w="4430" w:type="dxa"/>
            <w:shd w:val="clear" w:color="auto" w:fill="F2DBDB" w:themeFill="accent2" w:themeFillTint="33"/>
            <w:vAlign w:val="center"/>
          </w:tcPr>
          <w:p w14:paraId="6A286965" w14:textId="7880D10B" w:rsidR="001B29B1" w:rsidRPr="00134AC1" w:rsidRDefault="001B29B1" w:rsidP="00EA24E6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 xml:space="preserve">JUSTIFICATIVA PARA A DESCONTINUAÇÃO </w:t>
            </w:r>
            <w:r w:rsidR="00D6169C" w:rsidRPr="00134AC1">
              <w:rPr>
                <w:rFonts w:asciiTheme="minorHAnsi" w:hAnsiTheme="minorHAnsi" w:cstheme="minorHAnsi"/>
                <w:noProof/>
              </w:rPr>
              <w:t xml:space="preserve">OU </w:t>
            </w:r>
            <w:r w:rsidR="009E5D35" w:rsidRPr="00134AC1">
              <w:rPr>
                <w:rFonts w:asciiTheme="minorHAnsi" w:hAnsiTheme="minorHAnsi" w:cstheme="minorHAnsi"/>
                <w:noProof/>
              </w:rPr>
              <w:t xml:space="preserve">PARA </w:t>
            </w:r>
            <w:r w:rsidR="00D6169C" w:rsidRPr="00134AC1">
              <w:rPr>
                <w:rFonts w:asciiTheme="minorHAnsi" w:hAnsiTheme="minorHAnsi" w:cstheme="minorHAnsi"/>
                <w:noProof/>
              </w:rPr>
              <w:t xml:space="preserve">A NÃO </w:t>
            </w:r>
            <w:r w:rsidR="009E5D35" w:rsidRPr="00134AC1">
              <w:rPr>
                <w:rFonts w:asciiTheme="minorHAnsi" w:hAnsiTheme="minorHAnsi" w:cstheme="minorHAnsi"/>
                <w:noProof/>
              </w:rPr>
              <w:t>PUBLICAÇÃO</w:t>
            </w:r>
          </w:p>
        </w:tc>
      </w:tr>
      <w:tr w:rsidR="009E2703" w:rsidRPr="000C0521" w14:paraId="152B390A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8A141A6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Catálogo de Infraestrutura Aeroportuária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44262E9" w14:textId="4684A4D7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4DE40438" w14:textId="2E6F70AD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ANAC, Infraero, concessionárias de aeroportos</w:t>
            </w:r>
          </w:p>
        </w:tc>
        <w:tc>
          <w:tcPr>
            <w:tcW w:w="4430" w:type="dxa"/>
            <w:vMerge w:val="restart"/>
            <w:shd w:val="clear" w:color="auto" w:fill="FFFFFF" w:themeFill="background1"/>
            <w:vAlign w:val="center"/>
          </w:tcPr>
          <w:p w14:paraId="3F82BA20" w14:textId="0CD77073" w:rsidR="00C41FEC" w:rsidRPr="000C0521" w:rsidRDefault="009E2703" w:rsidP="00B943FC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A criação e manutenção de inventários e catálogos corporativos desses dados, conforme inciso I, §2º,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5º, do Decreto nº. 8.777/2016, é de competência de entidade vinculada ao MInfra</w:t>
            </w:r>
            <w:r w:rsidR="00BA18AF">
              <w:rPr>
                <w:rFonts w:asciiTheme="minorHAnsi" w:eastAsiaTheme="minorHAnsi" w:hAnsiTheme="minorHAnsi" w:cstheme="minorHAnsi"/>
                <w:noProof/>
              </w:rPr>
              <w:t>.</w:t>
            </w:r>
          </w:p>
        </w:tc>
      </w:tr>
      <w:tr w:rsidR="009E2703" w:rsidRPr="000C0521" w14:paraId="17A2E61D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637FF30" w14:textId="62E1661E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Concessões Federais existentes</w:t>
            </w:r>
            <w:r w:rsidR="00D723CA" w:rsidRPr="000C0521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="00D723CA" w:rsidRPr="000C0521">
              <w:rPr>
                <w:rFonts w:asciiTheme="minorHAnsi" w:eastAsiaTheme="minorHAnsi" w:hAnsiTheme="minorHAnsi" w:cstheme="minorHAnsi"/>
                <w:noProof/>
              </w:rPr>
              <w:t xml:space="preserve"> Concessões Rodoviárias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45679EE" w14:textId="69B4B0CF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297F229A" w14:textId="01D931C1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0D5F2F36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4352891E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F62A28D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Investimento das Concessões Federais existentes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07A01F7" w14:textId="53EFD3D5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47E14CC6" w14:textId="04905783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294B2837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1349D4F5" w14:textId="77777777" w:rsidTr="00D723CA">
        <w:tblPrEx>
          <w:shd w:val="clear" w:color="auto" w:fill="FFFFFF" w:themeFill="background1"/>
        </w:tblPrEx>
        <w:trPr>
          <w:trHeight w:val="61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0631425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Total de quilômetros de rodovias duplicadas em Concessões Federais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71A5DD" w14:textId="329E7C07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0FF75E57" w14:textId="53AA32F4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1FEAF1C5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53C8AE0E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27B6BEF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Tráfego de veículos em Rodovias Federais concedidas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35E715" w14:textId="0508F6BB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0424D51D" w14:textId="79F4E659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14106393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09FC593C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4CA3D01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Valor dos Pedágios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721198" w14:textId="43EE23C6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395426A5" w14:textId="05EEE920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6C5B69F2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1AAECE57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0F81110" w14:textId="3E96D1DA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Empreendimentos ferroviários priorizados pelo Governo</w:t>
            </w:r>
            <w:r w:rsidR="008A2C55" w:rsidRPr="000C0521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="008A2C55" w:rsidRPr="000C0521">
              <w:rPr>
                <w:rFonts w:asciiTheme="minorHAnsi" w:eastAsiaTheme="minorHAnsi" w:hAnsiTheme="minorHAnsi" w:cstheme="minorHAnsi"/>
                <w:noProof/>
              </w:rPr>
              <w:t xml:space="preserve"> Concessões Ferroviárias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08FEC4B" w14:textId="21DF337B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5E8B282A" w14:textId="6819CB0F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PPI/EPL/ANTT/ VALEC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1B90BCFC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66FAB50B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F2E9B53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Prazos das novas concessões ferroviárias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1A71C9" w14:textId="0AC6B347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SFAT/CGCAP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1617F964" w14:textId="6C68DE06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PPI/EPL/ANTT/ VALEC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30C7404E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4F1AAB15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B00567D" w14:textId="705279CF" w:rsidR="009E2703" w:rsidRPr="000C0521" w:rsidRDefault="00142E2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Infraestrutura Federal de Transportes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 Instalações Portuárias</w:t>
            </w:r>
            <w:r w:rsidR="00B44681">
              <w:rPr>
                <w:rFonts w:asciiTheme="minorHAnsi" w:eastAsiaTheme="minorHAnsi" w:hAnsiTheme="minorHAnsi" w:cstheme="minorHAnsi"/>
                <w:noProof/>
              </w:rPr>
              <w:t xml:space="preserve"> (*)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DCA48A2" w14:textId="74660CAB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615E3A61" w14:textId="278BEB30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SEP; ANTAQ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76F2790C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7E9A03E0" w14:textId="77777777" w:rsidTr="00D723CA">
        <w:tblPrEx>
          <w:shd w:val="clear" w:color="auto" w:fill="FFFFFF" w:themeFill="background1"/>
        </w:tblPrEx>
        <w:trPr>
          <w:trHeight w:val="11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2229DB" w14:textId="2D0B22C4" w:rsidR="009E2703" w:rsidRPr="000C0521" w:rsidRDefault="00142E2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 xml:space="preserve">Instalações portuárias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B1B0B7" w14:textId="3171C381" w:rsidR="009E2703" w:rsidRPr="000C0521" w:rsidRDefault="00142E2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31DD32C4" w14:textId="2F778E00" w:rsidR="009E2703" w:rsidRPr="000C0521" w:rsidRDefault="00142E2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SEP; ANTAQ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0DF156C2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38B0127E" w14:textId="77777777" w:rsidTr="00D723CA">
        <w:tblPrEx>
          <w:shd w:val="clear" w:color="auto" w:fill="FFFFFF" w:themeFill="background1"/>
        </w:tblPrEx>
        <w:trPr>
          <w:trHeight w:val="20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5939970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Aeródromos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9DE6FB" w14:textId="206B7A4F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33D1274B" w14:textId="51D51BF2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SAC; ANAC; Infraero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79DD4514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7CBAEDF2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5C239EC" w14:textId="5A4D9CDC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lastRenderedPageBreak/>
              <w:t>Sistema Federal de Viação</w:t>
            </w:r>
            <w:r w:rsidR="00B44681">
              <w:rPr>
                <w:rFonts w:asciiTheme="minorHAnsi" w:eastAsiaTheme="minorHAnsi" w:hAnsiTheme="minorHAnsi" w:cstheme="minorHAnsi"/>
                <w:noProof/>
              </w:rPr>
              <w:t xml:space="preserve"> (*)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66F13E8" w14:textId="563FDCC6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0341600A" w14:textId="7FB323BD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Setor Transportes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7E0E114F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1B29B1" w14:paraId="2B2E831A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A476390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Malha Rodoviária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30CC19D" w14:textId="6B057AFC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1BF4D884" w14:textId="3E5B63B4" w:rsidR="009E2703" w:rsidRPr="001B29B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DNIT; ANTT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1B231021" w14:textId="77777777" w:rsidR="009E2703" w:rsidRPr="001B29B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1B29B1" w14:paraId="7E60CCF9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268505E" w14:textId="77777777" w:rsidR="009E2703" w:rsidRPr="001B29B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B29B1">
              <w:rPr>
                <w:rFonts w:asciiTheme="minorHAnsi" w:eastAsiaTheme="minorHAnsi" w:hAnsiTheme="minorHAnsi" w:cstheme="minorHAnsi"/>
                <w:noProof/>
              </w:rPr>
              <w:t>Malha Ferroviária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B9052C5" w14:textId="4C4BF455" w:rsidR="009E2703" w:rsidRPr="001B29B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29B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5B3E3302" w14:textId="2B6C79FB" w:rsidR="009E2703" w:rsidRPr="001B29B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1B29B1">
              <w:rPr>
                <w:rFonts w:asciiTheme="minorHAnsi" w:eastAsiaTheme="minorHAnsi" w:hAnsiTheme="minorHAnsi" w:cstheme="minorHAnsi"/>
                <w:noProof/>
              </w:rPr>
              <w:t>DNIT; ANTT; VALEC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7C37A924" w14:textId="77777777" w:rsidR="009E2703" w:rsidRPr="001B29B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3CFB691D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2A4793F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Malha Hidroviária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5C26683" w14:textId="18E9322E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4BED6EDB" w14:textId="6AC43F6F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SEP; ANTAQ; DNIT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6EC2A9DD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73077BFD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3FC51AF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Informações de Contratos Rodoviários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00B001" w14:textId="4536C542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SEGES/DEPTRA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67D62110" w14:textId="0DE35356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DNIT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1CBF5408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6CCBC5A9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12C84E3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Informações de Contratos Ferroviários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F6CA859" w14:textId="613A57CE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SEGES/DEPTF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365BBFD0" w14:textId="666D052E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VALEC; DNIT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78DA6118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9E2703" w:rsidRPr="000C0521" w14:paraId="3C89FBBD" w14:textId="77777777" w:rsidTr="00D723CA">
        <w:tblPrEx>
          <w:shd w:val="clear" w:color="auto" w:fill="FFFFFF" w:themeFill="background1"/>
        </w:tblPrEx>
        <w:trPr>
          <w:trHeight w:val="318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06ACC9E" w14:textId="77777777" w:rsidR="009E2703" w:rsidRPr="000C0521" w:rsidRDefault="009E2703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Informações de Contratos Hidroviários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4A4576" w14:textId="16476A15" w:rsidR="009E2703" w:rsidRPr="000C0521" w:rsidRDefault="009E2703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SEGES/DEPTRA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1FD863BF" w14:textId="06835B17" w:rsidR="009E2703" w:rsidRPr="000C0521" w:rsidRDefault="009E2703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DNIT</w:t>
            </w:r>
          </w:p>
        </w:tc>
        <w:tc>
          <w:tcPr>
            <w:tcW w:w="4430" w:type="dxa"/>
            <w:vMerge/>
            <w:shd w:val="clear" w:color="auto" w:fill="FFFFFF" w:themeFill="background1"/>
          </w:tcPr>
          <w:p w14:paraId="4B775879" w14:textId="77777777" w:rsidR="009E2703" w:rsidRPr="000C0521" w:rsidRDefault="009E2703" w:rsidP="001B29B1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1B29B1" w:rsidRPr="000C0521" w14:paraId="5AF5278A" w14:textId="77777777" w:rsidTr="00D723CA">
        <w:tblPrEx>
          <w:shd w:val="clear" w:color="auto" w:fill="FFFFFF" w:themeFill="background1"/>
        </w:tblPrEx>
        <w:trPr>
          <w:trHeight w:val="120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48B5D13" w14:textId="77777777" w:rsidR="001B29B1" w:rsidRPr="000C0521" w:rsidRDefault="001B29B1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Contribuição sobre Intervenção no Domínio Econômico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6141CD7" w14:textId="4CBD5EDA" w:rsidR="001B29B1" w:rsidRPr="000C0521" w:rsidRDefault="001B29B1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SEGES/DEPTF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4C24995C" w14:textId="5457C457" w:rsidR="001B29B1" w:rsidRPr="000C0521" w:rsidRDefault="001B29B1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Estados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331C2CF3" w14:textId="4E38822F" w:rsidR="001B29B1" w:rsidRPr="000C0521" w:rsidRDefault="001B29B1" w:rsidP="00C466E0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A criação e manutenção de inventários e catálogos corporativos desses dados, conforme inciso I, §2º,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5º, do Decreto nº. 8.777/2016, é de competência do Tesouro Nacional.</w:t>
            </w:r>
          </w:p>
        </w:tc>
      </w:tr>
      <w:tr w:rsidR="001B29B1" w:rsidRPr="000C0521" w14:paraId="56DE78AA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9FABAFE" w14:textId="2A70DF74" w:rsidR="001B29B1" w:rsidRPr="007C218A" w:rsidRDefault="001B29B1" w:rsidP="00D6695B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Centros de Integração Logística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 CIL</w:t>
            </w:r>
            <w:r w:rsidR="00B44681">
              <w:rPr>
                <w:rFonts w:asciiTheme="minorHAnsi" w:eastAsiaTheme="minorHAnsi" w:hAnsiTheme="minorHAnsi" w:cstheme="minorHAnsi"/>
                <w:noProof/>
              </w:rPr>
              <w:t xml:space="preserve"> (*)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C5E782" w14:textId="17ECA604" w:rsidR="001B29B1" w:rsidRPr="000C0521" w:rsidRDefault="001B29B1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7405C828" w14:textId="0CA338C7" w:rsidR="001B29B1" w:rsidRPr="000C0521" w:rsidRDefault="001B29B1" w:rsidP="00A23BCD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-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1CDC9F78" w14:textId="085CE8DF" w:rsidR="001B29B1" w:rsidRPr="000C0521" w:rsidRDefault="001B29B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Relatório de estudo. Conjunto de dados não se enquadra na definição de Dados Abertos,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2º, III, Decreto nº 8.777/2016.</w:t>
            </w:r>
          </w:p>
        </w:tc>
      </w:tr>
      <w:tr w:rsidR="007065D2" w:rsidRPr="001B29B1" w14:paraId="23718079" w14:textId="77777777" w:rsidTr="00D723CA">
        <w:tblPrEx>
          <w:shd w:val="clear" w:color="auto" w:fill="FFFFFF" w:themeFill="background1"/>
        </w:tblPrEx>
        <w:trPr>
          <w:trHeight w:val="31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65A5119" w14:textId="2B7A1A83" w:rsidR="007065D2" w:rsidRPr="000C0521" w:rsidRDefault="007065D2" w:rsidP="00D6695B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Corredores Logísticos Estratégicos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E5FCC7" w14:textId="0C4C31C2" w:rsidR="007065D2" w:rsidRPr="000C0521" w:rsidRDefault="007065D2" w:rsidP="00D6695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SPNT/CGINT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14:paraId="1F1F5030" w14:textId="6E9CA137" w:rsidR="007065D2" w:rsidRPr="000C0521" w:rsidRDefault="007065D2" w:rsidP="00A23BC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hAnsiTheme="minorHAnsi" w:cstheme="minorHAnsi"/>
                <w:noProof/>
              </w:rPr>
              <w:t>-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0F53F883" w14:textId="110AB80E" w:rsidR="007065D2" w:rsidRPr="001B29B1" w:rsidRDefault="007065D2" w:rsidP="00007E06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Relatório de estudo. Conjunto de dados não se enquadra na definição de Dados Abertos,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2º, III, Decreto nº 8.777/2016.</w:t>
            </w:r>
          </w:p>
        </w:tc>
      </w:tr>
    </w:tbl>
    <w:p w14:paraId="739307F7" w14:textId="5B6F3105" w:rsidR="004747B9" w:rsidRPr="00ED0681" w:rsidRDefault="00B44681" w:rsidP="001B29B1">
      <w:pPr>
        <w:rPr>
          <w:rFonts w:asciiTheme="minorHAnsi" w:hAnsiTheme="minorHAnsi" w:cstheme="minorHAnsi"/>
          <w:i/>
          <w:iCs/>
          <w:noProof/>
          <w:sz w:val="20"/>
          <w:szCs w:val="20"/>
        </w:rPr>
      </w:pPr>
      <w:r w:rsidRPr="00310201">
        <w:rPr>
          <w:rFonts w:asciiTheme="minorHAnsi" w:hAnsiTheme="minorHAnsi" w:cstheme="minorHAnsi"/>
          <w:noProof/>
        </w:rPr>
        <w:t xml:space="preserve">(*) </w:t>
      </w:r>
      <w:r w:rsidRPr="00ED0681">
        <w:rPr>
          <w:rFonts w:asciiTheme="minorHAnsi" w:hAnsiTheme="minorHAnsi" w:cstheme="minorHAnsi"/>
          <w:i/>
          <w:iCs/>
          <w:noProof/>
          <w:sz w:val="20"/>
          <w:szCs w:val="20"/>
        </w:rPr>
        <w:t>Bases que foram abertas, ou seja, publicadas em dados.gov.br (quatro no total)</w:t>
      </w:r>
      <w:r w:rsidR="00BA18AF" w:rsidRPr="00ED0681">
        <w:rPr>
          <w:rFonts w:asciiTheme="minorHAnsi" w:hAnsiTheme="minorHAnsi" w:cstheme="minorHAnsi"/>
          <w:i/>
          <w:iCs/>
          <w:noProof/>
          <w:sz w:val="20"/>
          <w:szCs w:val="20"/>
        </w:rPr>
        <w:t>.</w:t>
      </w:r>
    </w:p>
    <w:p w14:paraId="6B218750" w14:textId="7E6FEE17" w:rsidR="004747B9" w:rsidRPr="00ED0681" w:rsidRDefault="004747B9" w:rsidP="00941CB4">
      <w:pPr>
        <w:jc w:val="center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</w:pPr>
    </w:p>
    <w:p w14:paraId="372A5A36" w14:textId="24AD06A4" w:rsidR="00535A31" w:rsidRDefault="008C0D23" w:rsidP="009E270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IV - </w:t>
      </w:r>
      <w:r w:rsidR="007F3450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JUSTIFICATIVAS PARA NÃO ABERTURA DE DADOS </w:t>
      </w:r>
      <w:r w:rsidR="00545573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>(Anexo 8</w:t>
      </w:r>
      <w:r w:rsidR="002D59E6" w:rsidRPr="002D59E6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do PDA 2020/2021</w:t>
      </w:r>
      <w:r w:rsidR="007F3450">
        <w:rPr>
          <w:rFonts w:asciiTheme="minorHAnsi" w:hAnsiTheme="minorHAnsi" w:cstheme="minorHAnsi"/>
          <w:b/>
          <w:bCs/>
          <w:noProof/>
          <w:sz w:val="24"/>
          <w:szCs w:val="24"/>
        </w:rPr>
        <w:t>)</w:t>
      </w:r>
    </w:p>
    <w:p w14:paraId="0A0959A0" w14:textId="77777777" w:rsidR="007F3450" w:rsidRPr="00A64CE8" w:rsidRDefault="007F3450" w:rsidP="009E2703">
      <w:pPr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tbl>
      <w:tblPr>
        <w:tblStyle w:val="TableGrid"/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54" w:type="dxa"/>
          <w:right w:w="3" w:type="dxa"/>
        </w:tblCellMar>
        <w:tblLook w:val="04A0" w:firstRow="1" w:lastRow="0" w:firstColumn="1" w:lastColumn="0" w:noHBand="0" w:noVBand="1"/>
      </w:tblPr>
      <w:tblGrid>
        <w:gridCol w:w="5427"/>
        <w:gridCol w:w="2126"/>
        <w:gridCol w:w="6804"/>
      </w:tblGrid>
      <w:tr w:rsidR="00535A31" w:rsidRPr="00134AC1" w14:paraId="41A421A2" w14:textId="77777777" w:rsidTr="00592D54">
        <w:trPr>
          <w:trHeight w:val="413"/>
        </w:trPr>
        <w:tc>
          <w:tcPr>
            <w:tcW w:w="5427" w:type="dxa"/>
            <w:shd w:val="clear" w:color="auto" w:fill="FDE9D9" w:themeFill="accent6" w:themeFillTint="33"/>
            <w:vAlign w:val="center"/>
          </w:tcPr>
          <w:p w14:paraId="72C6C274" w14:textId="746E4B27" w:rsidR="00535A31" w:rsidRPr="00134AC1" w:rsidRDefault="00535A31" w:rsidP="00592D54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CONJUNTO DE DADO</w:t>
            </w:r>
            <w:r w:rsidR="00D6169C" w:rsidRPr="00134AC1">
              <w:rPr>
                <w:rFonts w:asciiTheme="minorHAnsi" w:hAnsiTheme="minorHAnsi" w:cstheme="minorHAnsi"/>
                <w:noProof/>
              </w:rPr>
              <w:t>S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4E1EDDC4" w14:textId="77777777" w:rsidR="00535A31" w:rsidRPr="00134AC1" w:rsidRDefault="00535A31" w:rsidP="00592D54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>UNIDADE RESPONSÁVEL</w:t>
            </w:r>
          </w:p>
        </w:tc>
        <w:tc>
          <w:tcPr>
            <w:tcW w:w="6804" w:type="dxa"/>
            <w:shd w:val="clear" w:color="auto" w:fill="FDE9D9" w:themeFill="accent6" w:themeFillTint="33"/>
            <w:vAlign w:val="center"/>
          </w:tcPr>
          <w:p w14:paraId="112E8B56" w14:textId="11E38D94" w:rsidR="00535A31" w:rsidRPr="00134AC1" w:rsidRDefault="00535A31" w:rsidP="00592D54">
            <w:pPr>
              <w:ind w:firstLine="288"/>
              <w:jc w:val="center"/>
              <w:rPr>
                <w:rFonts w:asciiTheme="minorHAnsi" w:hAnsiTheme="minorHAnsi" w:cstheme="minorHAnsi"/>
                <w:noProof/>
              </w:rPr>
            </w:pPr>
            <w:r w:rsidRPr="00134AC1">
              <w:rPr>
                <w:rFonts w:asciiTheme="minorHAnsi" w:hAnsiTheme="minorHAnsi" w:cstheme="minorHAnsi"/>
                <w:noProof/>
              </w:rPr>
              <w:t xml:space="preserve">JUSTIFICATIVA </w:t>
            </w:r>
          </w:p>
        </w:tc>
      </w:tr>
      <w:tr w:rsidR="00535A31" w:rsidRPr="000C0521" w14:paraId="2CECD597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426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0F4" w14:textId="77777777" w:rsidR="00535A31" w:rsidRPr="000C0521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Diárias e Passagens - MInfra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36F5" w14:textId="77777777" w:rsidR="00535A31" w:rsidRPr="000C0521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SE/SPOA/CGRL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386F" w14:textId="77777777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Os dados já estão disponíveis no portal "Painel de Viagens" do Governo Federal, site de acesso público.</w:t>
            </w:r>
          </w:p>
        </w:tc>
      </w:tr>
      <w:tr w:rsidR="00535A31" w:rsidRPr="000C0521" w14:paraId="1F3A6700" w14:textId="77777777" w:rsidTr="00D61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440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BE7A" w14:textId="77777777" w:rsidR="00535A31" w:rsidRPr="000C0521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Benefícios concedidos (Sistema Passe Livre)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FFC6" w14:textId="17B104C1" w:rsidR="00535A31" w:rsidRPr="000C0521" w:rsidRDefault="00D6169C" w:rsidP="00D6169C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="00535A31" w:rsidRPr="000C0521">
              <w:rPr>
                <w:rFonts w:asciiTheme="minorHAnsi" w:eastAsiaTheme="minorHAnsi" w:hAnsiTheme="minorHAnsi" w:cstheme="minorHAnsi"/>
                <w:noProof/>
              </w:rPr>
              <w:t>SE/SPOA/PASSE LIVRE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446" w14:textId="1CFAE2CF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A gestão do Passe Livre foi delegada à ANTT (Portaria nº 583, de 04 de dezembro de 2019). Com isso, A criação e manutenção de inventários e catálogos corporativos desses dados, conforme inciso I, §2º,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5º, do </w:t>
            </w:r>
            <w:r w:rsidR="00D6169C" w:rsidRPr="000C0521">
              <w:rPr>
                <w:rFonts w:asciiTheme="minorHAnsi" w:eastAsiaTheme="minorHAnsi" w:hAnsiTheme="minorHAnsi" w:cstheme="minorHAnsi"/>
                <w:noProof/>
              </w:rPr>
              <w:t>Decreto nº. 8.777/2016, é de competência da Agência.</w:t>
            </w:r>
          </w:p>
        </w:tc>
      </w:tr>
      <w:tr w:rsidR="00535A31" w:rsidRPr="000C0521" w14:paraId="297EB100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148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2F1D" w14:textId="2633437E" w:rsidR="00535A31" w:rsidRPr="000C0521" w:rsidRDefault="00D6169C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Pedidos de benefícios analisados (Sistema Passe Livre)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2348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6065" w14:textId="77777777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0C0521" w14:paraId="6A35B126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413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AB85" w14:textId="77777777" w:rsidR="00535A31" w:rsidRPr="000C0521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Execução Orçamentária e Financeira do MInfra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0D72" w14:textId="77777777" w:rsidR="00535A31" w:rsidRPr="000C0521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SE/SPOA/CGRL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9945" w14:textId="4739244E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Concluiu-se que estava em redundância com o conjunto de dados "Dados da execução orçamentaria e financeira -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Mensal". </w:t>
            </w:r>
          </w:p>
        </w:tc>
      </w:tr>
      <w:tr w:rsidR="00535A31" w14:paraId="3DD22FE5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829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EAC7" w14:textId="77777777" w:rsidR="00535A31" w:rsidRPr="000C0521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lastRenderedPageBreak/>
              <w:t>Movimentação portuária (WebPortos)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A451" w14:textId="77777777" w:rsidR="00535A31" w:rsidRPr="000C0521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SFPP/DPI/CGPLAN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90F7" w14:textId="0F7E84E7" w:rsidR="00535A31" w:rsidRPr="0016626B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A criação e manutenção de inventários e catálogos corporativos desses dados, conforme inciso I, §2º,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5º, do Decreto nº. 8.777/2016, é de competência da Agência Nacional de Transportes Aquaviários, devendo portanto fazer parte de seu próprio PDA.</w:t>
            </w:r>
          </w:p>
        </w:tc>
      </w:tr>
      <w:tr w:rsidR="00535A31" w14:paraId="42057745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27B4" w14:textId="77777777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Agências de navegação (Cadastro Nacional Portuário/PSP)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F11E" w14:textId="77777777" w:rsidR="00535A31" w:rsidRPr="0016626B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SNPTA/DGMP/CGGP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E5BE" w14:textId="77777777" w:rsidR="00535A31" w:rsidRPr="0016626B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 xml:space="preserve">A SNTPA não possui os dados estruturados e disponíveis para divulgação. </w:t>
            </w:r>
          </w:p>
          <w:p w14:paraId="21FB5556" w14:textId="77777777" w:rsidR="00535A31" w:rsidRPr="0016626B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Os dados estão hospedados em sistema do Serpro, gerando impacto financeiro ao MInfra para disponibilização, motivo pelo qual esse conjunto de dados não será disponibilizado na vigência do PDA 2020-2021.</w:t>
            </w:r>
          </w:p>
        </w:tc>
      </w:tr>
      <w:tr w:rsidR="00535A31" w14:paraId="253107B4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604A" w14:textId="77777777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Armador da embarcação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E901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70F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6548EC81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58E8" w14:textId="77777777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Berços 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B849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B9F7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5B89D671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FE69" w14:textId="77777777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Boias de amarração 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CB0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8173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51859D61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99B3" w14:textId="77777777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Cabeços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410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14B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377935A2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82DC" w14:textId="095D9F95" w:rsidR="00535A31" w:rsidRPr="0016626B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Cadastro de armadores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E59F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EB56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7DDF8FAB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5733" w14:textId="62986431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Cadastro de embarcações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2715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0528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3138A895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F8C" w14:textId="02CDED2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 xml:space="preserve">Confirmação de sequenciamento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Pr="0016626B">
              <w:rPr>
                <w:rFonts w:asciiTheme="minorHAnsi" w:eastAsiaTheme="minorHAnsi" w:hAnsiTheme="minorHAnsi" w:cstheme="minorHAnsi"/>
                <w:noProof/>
              </w:rPr>
              <w:t xml:space="preserve"> Portolog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CB0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2CC7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08404CAD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313F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Documento Logístico Eletrônico - DL-e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24E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F57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4D24839E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3163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Documento Único Virtual - DUV (Documento Único Virtual do Sistema Concentrador de Dados Portuários)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0B4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CD02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01B41E72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1F97" w14:textId="2D2CC58D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Escala da embarcação (Porto Se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m</w:t>
            </w:r>
            <w:r w:rsidRPr="0016626B">
              <w:rPr>
                <w:rFonts w:asciiTheme="minorHAnsi" w:eastAsiaTheme="minorHAnsi" w:hAnsiTheme="minorHAnsi" w:cstheme="minorHAnsi"/>
                <w:noProof/>
              </w:rPr>
              <w:t xml:space="preserve">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9982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C5CC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6BD19C99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AE4A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Especialidades da carga do berço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38A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F9D7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64C863CC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7E35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Estadia - características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B55C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58CB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3E0F4E8D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7348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Estadia - eventos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9C1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D0D6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2B378994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417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4286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Etapas ocorridas por um Documento Único Virtual - DUV (Documento Único Virtual do Sistema Concentrador de Dados Portuários)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FD93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C3A6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55C2B8A3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B72E" w14:textId="48D8FFFD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Fundeadouros (Cadastro Nacional Portuário/PSP)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0CF8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54D8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52AA9B1D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1AB6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Lista dos últimos portos visitados por embarcação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542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4735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11B33E3D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7FDF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Locais de atracação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9421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BB96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7E2C44FF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6E59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Local da estadia - porto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B0C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A679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68049E68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36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F110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Ocorrência Ambiental VTMIS (Sistema de Gerenciamento e Informação do Tráfego de Embarcações)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A132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BF59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6451AB2B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FD56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Países visitados pelos tripulantes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1E4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E3C4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44E2C5C5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9013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Países visitados por passageiros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019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E6A2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51D141DA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E624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Paradas de navios de cruzeiro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C92C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6B83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7E4D7378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2A0D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lastRenderedPageBreak/>
              <w:t>Porto emissor de CSB (Certificado Sanitário de Bordo) da Anvisa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171A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2D3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03CE9FE2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BB99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Portos estrangeiros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EA46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457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14:paraId="15864696" w14:textId="77777777" w:rsidTr="00592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right w:w="5" w:type="dxa"/>
          </w:tblCellMar>
        </w:tblPrEx>
        <w:trPr>
          <w:trHeight w:val="211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61EB" w14:textId="77777777" w:rsidR="00535A31" w:rsidRPr="0016626B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16626B">
              <w:rPr>
                <w:rFonts w:asciiTheme="minorHAnsi" w:eastAsiaTheme="minorHAnsi" w:hAnsiTheme="minorHAnsi" w:cstheme="minorHAnsi"/>
                <w:noProof/>
              </w:rPr>
              <w:t>Próximos portos de escala da embarcação (Porto Sem Papel)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2C6C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D99D" w14:textId="77777777" w:rsidR="00535A31" w:rsidRPr="0016626B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D122F6" w14:paraId="69837D62" w14:textId="77777777" w:rsidTr="00592D54">
        <w:tblPrEx>
          <w:shd w:val="clear" w:color="auto" w:fill="auto"/>
        </w:tblPrEx>
        <w:trPr>
          <w:trHeight w:val="469"/>
        </w:trPr>
        <w:tc>
          <w:tcPr>
            <w:tcW w:w="5427" w:type="dxa"/>
            <w:shd w:val="clear" w:color="auto" w:fill="auto"/>
            <w:vAlign w:val="center"/>
          </w:tcPr>
          <w:p w14:paraId="5B4EA735" w14:textId="4066F530" w:rsidR="00535A31" w:rsidRPr="00D122F6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 xml:space="preserve">Rastreamento do transporte de carga </w:t>
            </w:r>
            <w:r w:rsidR="00B943FC">
              <w:rPr>
                <w:rFonts w:asciiTheme="minorHAnsi" w:eastAsiaTheme="minorHAnsi" w:hAnsiTheme="minorHAnsi" w:cstheme="minorHAnsi"/>
                <w:noProof/>
              </w:rPr>
              <w:t>-</w:t>
            </w:r>
            <w:r w:rsidRPr="00D122F6">
              <w:rPr>
                <w:rFonts w:asciiTheme="minorHAnsi" w:eastAsiaTheme="minorHAnsi" w:hAnsiTheme="minorHAnsi" w:cstheme="minorHAnsi"/>
                <w:noProof/>
              </w:rPr>
              <w:t xml:space="preserve"> Portolog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71775D" w14:textId="77777777" w:rsidR="00535A31" w:rsidRPr="00D122F6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SNPTA/DGMP/CGGP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72467744" w14:textId="77777777" w:rsidR="00007E06" w:rsidRDefault="00535A31" w:rsidP="00007E06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A SNTPA não possui os dados estruturados e disponíveis para divulgação.</w:t>
            </w:r>
          </w:p>
          <w:p w14:paraId="24AF05F0" w14:textId="11F16DAE" w:rsidR="00535A31" w:rsidRPr="00D122F6" w:rsidRDefault="00535A31" w:rsidP="00462A72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Os dados estão hospedados em sistema do Serpro, gerando impacto</w:t>
            </w:r>
            <w:r w:rsidR="00462A72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Pr="00D122F6">
              <w:rPr>
                <w:rFonts w:asciiTheme="minorHAnsi" w:eastAsiaTheme="minorHAnsi" w:hAnsiTheme="minorHAnsi" w:cstheme="minorHAnsi"/>
                <w:noProof/>
              </w:rPr>
              <w:t>financeiro ao MInfra para disponibilização, motivo pelo qual esse conjunto de dados não será disponibilizado na vigência do PDA 2020-2021.</w:t>
            </w:r>
          </w:p>
        </w:tc>
      </w:tr>
      <w:tr w:rsidR="00535A31" w:rsidRPr="00D122F6" w14:paraId="7E2103F8" w14:textId="77777777" w:rsidTr="00592D54">
        <w:tblPrEx>
          <w:shd w:val="clear" w:color="auto" w:fill="auto"/>
        </w:tblPrEx>
        <w:trPr>
          <w:trHeight w:val="460"/>
        </w:trPr>
        <w:tc>
          <w:tcPr>
            <w:tcW w:w="5427" w:type="dxa"/>
            <w:shd w:val="clear" w:color="auto" w:fill="auto"/>
            <w:vAlign w:val="center"/>
          </w:tcPr>
          <w:p w14:paraId="746E1774" w14:textId="77777777" w:rsidR="00535A31" w:rsidRPr="00D122F6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Resumo de viajantes e tripulantes (Porto Sem Papel)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86AAD6" w14:textId="77777777" w:rsidR="00535A31" w:rsidRPr="00D122F6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4F54AA95" w14:textId="77777777" w:rsidR="00535A31" w:rsidRPr="00D122F6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D122F6" w14:paraId="6CCC0994" w14:textId="77777777" w:rsidTr="00592D54">
        <w:tblPrEx>
          <w:shd w:val="clear" w:color="auto" w:fill="auto"/>
        </w:tblPrEx>
        <w:trPr>
          <w:trHeight w:val="460"/>
        </w:trPr>
        <w:tc>
          <w:tcPr>
            <w:tcW w:w="5427" w:type="dxa"/>
            <w:shd w:val="clear" w:color="auto" w:fill="auto"/>
            <w:vAlign w:val="center"/>
          </w:tcPr>
          <w:p w14:paraId="53A24C3C" w14:textId="77777777" w:rsidR="00535A31" w:rsidRPr="00D122F6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Tempo de estadia das embarcações no PSP (Porto Sem Papel)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37F7A" w14:textId="77777777" w:rsidR="00535A31" w:rsidRPr="00D122F6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624E3174" w14:textId="77777777" w:rsidR="00535A31" w:rsidRPr="00D122F6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D122F6" w14:paraId="40F82F80" w14:textId="77777777" w:rsidTr="00592D54">
        <w:tblPrEx>
          <w:shd w:val="clear" w:color="auto" w:fill="auto"/>
        </w:tblPrEx>
        <w:trPr>
          <w:trHeight w:val="460"/>
        </w:trPr>
        <w:tc>
          <w:tcPr>
            <w:tcW w:w="5427" w:type="dxa"/>
            <w:shd w:val="clear" w:color="auto" w:fill="auto"/>
            <w:vAlign w:val="center"/>
          </w:tcPr>
          <w:p w14:paraId="6A9855D2" w14:textId="77777777" w:rsidR="00535A31" w:rsidRPr="00D122F6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Tripulação de segurança (Cadastro Nacional Portuário/PSP)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213838" w14:textId="77777777" w:rsidR="00535A31" w:rsidRPr="00D122F6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2276C1DE" w14:textId="77777777" w:rsidR="00535A31" w:rsidRPr="00D122F6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D122F6" w14:paraId="4C858FB5" w14:textId="77777777" w:rsidTr="00592D54">
        <w:tblPrEx>
          <w:shd w:val="clear" w:color="auto" w:fill="auto"/>
        </w:tblPrEx>
        <w:trPr>
          <w:trHeight w:val="460"/>
        </w:trPr>
        <w:tc>
          <w:tcPr>
            <w:tcW w:w="5427" w:type="dxa"/>
            <w:shd w:val="clear" w:color="auto" w:fill="auto"/>
            <w:vAlign w:val="center"/>
          </w:tcPr>
          <w:p w14:paraId="0C4310C7" w14:textId="77777777" w:rsidR="00535A31" w:rsidRPr="00D122F6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D122F6">
              <w:rPr>
                <w:rFonts w:asciiTheme="minorHAnsi" w:eastAsiaTheme="minorHAnsi" w:hAnsiTheme="minorHAnsi" w:cstheme="minorHAnsi"/>
                <w:noProof/>
              </w:rPr>
              <w:t>Troca de agência do DUV (Documento Único Virtual do Sistema Concentrador de Dados Portuários)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E75C84" w14:textId="77777777" w:rsidR="00535A31" w:rsidRPr="00D122F6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5DD4EC99" w14:textId="77777777" w:rsidR="00535A31" w:rsidRPr="00D122F6" w:rsidRDefault="00535A31" w:rsidP="00592D54">
            <w:pPr>
              <w:spacing w:after="160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0C0521" w14:paraId="53BF0662" w14:textId="77777777" w:rsidTr="00592D54">
        <w:tblPrEx>
          <w:shd w:val="clear" w:color="auto" w:fill="auto"/>
        </w:tblPrEx>
        <w:trPr>
          <w:trHeight w:val="460"/>
        </w:trPr>
        <w:tc>
          <w:tcPr>
            <w:tcW w:w="5427" w:type="dxa"/>
            <w:shd w:val="clear" w:color="auto" w:fill="auto"/>
            <w:vAlign w:val="center"/>
          </w:tcPr>
          <w:p w14:paraId="3AE702B3" w14:textId="7C857198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Arrendamentos (WebPortos)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5F4EBD" w14:textId="77777777" w:rsidR="00535A31" w:rsidRPr="000C0521" w:rsidRDefault="00535A31" w:rsidP="00592D54">
            <w:pPr>
              <w:jc w:val="center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SFPP/DPI/CGPLAN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6BB489E0" w14:textId="1E293CA9" w:rsidR="00B941C4" w:rsidRPr="005C6E9C" w:rsidRDefault="00535A31" w:rsidP="00B941C4">
            <w:pPr>
              <w:pStyle w:val="commentcontentpara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Conjunto de dados ainda em processo de formatação e sistematização para atendimento à definição de Dados Abertos,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2º, III, Decreto nº 8.777/2016</w:t>
            </w:r>
            <w:r w:rsidRPr="009D7D7B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.</w:t>
            </w:r>
            <w:r w:rsidR="00B941C4" w:rsidRPr="009D7D7B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B941C4" w:rsidRPr="009D7D7B">
              <w:rPr>
                <w:rFonts w:asciiTheme="minorHAnsi" w:hAnsiTheme="minorHAnsi" w:cstheme="minorHAnsi"/>
                <w:sz w:val="22"/>
                <w:szCs w:val="22"/>
              </w:rPr>
              <w:t xml:space="preserve">Trata-se de um estudo, publicado em PDF, portanto não se encaixa na definição de dados abertos, não estando apta à abertura. O estudo já está disponível no </w:t>
            </w:r>
            <w:r w:rsidR="00B941C4" w:rsidRPr="009D7D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site</w:t>
            </w:r>
            <w:r w:rsidR="00B941C4" w:rsidRPr="009D7D7B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="00B941C4" w:rsidRPr="009D7D7B">
              <w:rPr>
                <w:rFonts w:asciiTheme="minorHAnsi" w:hAnsiTheme="minorHAnsi" w:cstheme="minorHAnsi"/>
                <w:sz w:val="22"/>
                <w:szCs w:val="22"/>
              </w:rPr>
              <w:t>Minfra</w:t>
            </w:r>
            <w:proofErr w:type="spellEnd"/>
            <w:r w:rsidR="00B941C4" w:rsidRPr="009D7D7B">
              <w:rPr>
                <w:rFonts w:asciiTheme="minorHAnsi" w:hAnsiTheme="minorHAnsi" w:cstheme="minorHAnsi"/>
                <w:sz w:val="22"/>
                <w:szCs w:val="22"/>
              </w:rPr>
              <w:t xml:space="preserve"> como informação. Pode ser que no futuro, o estudo gere conjuntos de dados, se isso ocorrer devem ser incluídos no PDA imediatamente posterior a geração dos dados.</w:t>
            </w:r>
          </w:p>
          <w:p w14:paraId="225C8DF7" w14:textId="081A37A3" w:rsidR="00535A31" w:rsidRPr="000C0521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0C0521" w14:paraId="14F4C231" w14:textId="77777777" w:rsidTr="00592D54">
        <w:tblPrEx>
          <w:shd w:val="clear" w:color="auto" w:fill="auto"/>
        </w:tblPrEx>
        <w:trPr>
          <w:trHeight w:val="454"/>
        </w:trPr>
        <w:tc>
          <w:tcPr>
            <w:tcW w:w="5427" w:type="dxa"/>
            <w:shd w:val="clear" w:color="auto" w:fill="auto"/>
            <w:vAlign w:val="center"/>
          </w:tcPr>
          <w:p w14:paraId="6264CCA5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Plano Nacional de Logística Portuária (PNLP)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0BB71F" w14:textId="77777777" w:rsidR="00535A31" w:rsidRPr="000C0521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6C7D10A7" w14:textId="77777777" w:rsidR="00535A31" w:rsidRPr="000C0521" w:rsidRDefault="00535A31" w:rsidP="00592D54">
            <w:pPr>
              <w:spacing w:after="160"/>
              <w:jc w:val="both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0C0521" w14:paraId="4FEF921E" w14:textId="77777777" w:rsidTr="00592D54">
        <w:tblPrEx>
          <w:shd w:val="clear" w:color="auto" w:fill="auto"/>
        </w:tblPrEx>
        <w:trPr>
          <w:trHeight w:val="686"/>
        </w:trPr>
        <w:tc>
          <w:tcPr>
            <w:tcW w:w="5427" w:type="dxa"/>
            <w:shd w:val="clear" w:color="auto" w:fill="auto"/>
            <w:vAlign w:val="center"/>
          </w:tcPr>
          <w:p w14:paraId="0CCA9E75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Informações dos portos (WebPortos)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2D9B03" w14:textId="77777777" w:rsidR="00535A31" w:rsidRPr="000C0521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A097E1" w14:textId="7DE79BC0" w:rsidR="00535A31" w:rsidRPr="00B941C4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Conjunto de dados provisoriamente em fase de migração para ONTL/EPL para atendimento à definição de Dados Abertos,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2º, III, Decreto nº 8.777/2016</w:t>
            </w:r>
            <w:r w:rsidRPr="009D7D7B">
              <w:rPr>
                <w:rFonts w:asciiTheme="minorHAnsi" w:eastAsiaTheme="minorHAnsi" w:hAnsiTheme="minorHAnsi" w:cstheme="minorHAnsi"/>
                <w:noProof/>
              </w:rPr>
              <w:t>.</w:t>
            </w:r>
            <w:r w:rsidR="00B941C4" w:rsidRPr="009D7D7B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="00B941C4" w:rsidRPr="009D7D7B">
              <w:rPr>
                <w:rFonts w:asciiTheme="minorHAnsi" w:eastAsia="Times New Roman" w:hAnsiTheme="minorHAnsi" w:cstheme="minorHAnsi"/>
              </w:rPr>
              <w:t>Uma vez tendo sido migrado para a EPL, irá compor a base de dados daquela Instituição.</w:t>
            </w:r>
          </w:p>
        </w:tc>
      </w:tr>
      <w:tr w:rsidR="00535A31" w:rsidRPr="000C0521" w14:paraId="42791A26" w14:textId="77777777" w:rsidTr="00592D54">
        <w:tblPrEx>
          <w:shd w:val="clear" w:color="auto" w:fill="auto"/>
        </w:tblPrEx>
        <w:trPr>
          <w:trHeight w:val="686"/>
        </w:trPr>
        <w:tc>
          <w:tcPr>
            <w:tcW w:w="5427" w:type="dxa"/>
            <w:shd w:val="clear" w:color="auto" w:fill="auto"/>
            <w:vAlign w:val="center"/>
          </w:tcPr>
          <w:p w14:paraId="34C55AA5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Segurança do aplicativo WebPortos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334C4D" w14:textId="77777777" w:rsidR="00535A31" w:rsidRPr="000C0521" w:rsidRDefault="00535A31" w:rsidP="00592D54">
            <w:pPr>
              <w:spacing w:after="160"/>
              <w:jc w:val="center"/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C0FB64" w14:textId="443BF946" w:rsidR="00535A31" w:rsidRPr="000C0521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Dados qualificados pelo MInfra como não acessíveis ao público, por se tratar de informação sigilosa (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4º, III)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23, VII, Lei nº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12.527/2011.</w:t>
            </w:r>
          </w:p>
        </w:tc>
      </w:tr>
      <w:tr w:rsidR="00535A31" w:rsidRPr="000C0521" w14:paraId="1C4DB354" w14:textId="77777777" w:rsidTr="00592D54">
        <w:tblPrEx>
          <w:shd w:val="clear" w:color="auto" w:fill="auto"/>
        </w:tblPrEx>
        <w:trPr>
          <w:trHeight w:val="459"/>
        </w:trPr>
        <w:tc>
          <w:tcPr>
            <w:tcW w:w="5427" w:type="dxa"/>
            <w:shd w:val="clear" w:color="auto" w:fill="auto"/>
            <w:vAlign w:val="center"/>
          </w:tcPr>
          <w:p w14:paraId="3AECF028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Poligonais dos portos públicos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60BE5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SNPTA/DGMP/CGGP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C3101A" w14:textId="0D27B601" w:rsidR="00535A31" w:rsidRPr="000C0521" w:rsidRDefault="00535A31" w:rsidP="009D7D7B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Os dados já estão publicados no formato kmz no site do MInfra (</w:t>
            </w:r>
            <w:hyperlink r:id="rId6" w:history="1">
              <w:r w:rsidR="009F0881" w:rsidRPr="000C0521">
                <w:rPr>
                  <w:rStyle w:val="Hyperlink"/>
                  <w:rFonts w:asciiTheme="minorHAnsi" w:hAnsiTheme="minorHAnsi" w:cstheme="minorHAnsi"/>
                  <w:noProof/>
                </w:rPr>
                <w:t>https://www.infraestrutura.gov.br/poligonais.html).catalogar</w:t>
              </w:r>
            </w:hyperlink>
            <w:r w:rsidR="00007E06" w:rsidRPr="00007E06">
              <w:rPr>
                <w:rStyle w:val="Hyperlink"/>
                <w:rFonts w:asciiTheme="minorHAnsi" w:hAnsiTheme="minorHAnsi" w:cstheme="minorHAnsi"/>
                <w:noProof/>
                <w:color w:val="auto"/>
                <w:u w:val="none"/>
              </w:rPr>
              <w:t>.</w:t>
            </w:r>
            <w:r w:rsidR="00C30D12">
              <w:rPr>
                <w:rStyle w:val="Hyperlink"/>
                <w:rFonts w:asciiTheme="minorHAnsi" w:hAnsiTheme="minorHAnsi" w:cstheme="minorHAnsi"/>
                <w:noProof/>
                <w:color w:val="auto"/>
                <w:u w:val="none"/>
              </w:rPr>
              <w:t xml:space="preserve"> </w:t>
            </w:r>
            <w:r w:rsidR="009D7D7B">
              <w:rPr>
                <w:rStyle w:val="Hyperlink"/>
                <w:rFonts w:asciiTheme="minorHAnsi" w:hAnsiTheme="minorHAnsi" w:cstheme="minorHAnsi"/>
                <w:noProof/>
                <w:color w:val="auto"/>
                <w:u w:val="none"/>
              </w:rPr>
              <w:t xml:space="preserve">Com isso, </w:t>
            </w:r>
            <w:r w:rsidR="009D7D7B" w:rsidRPr="009D7D7B">
              <w:rPr>
                <w:rStyle w:val="Hyperlink"/>
                <w:rFonts w:asciiTheme="minorHAnsi" w:hAnsiTheme="minorHAnsi" w:cstheme="minorHAnsi"/>
                <w:noProof/>
                <w:color w:val="auto"/>
                <w:u w:val="none"/>
              </w:rPr>
              <w:t>n</w:t>
            </w:r>
            <w:r w:rsidR="00C30D12" w:rsidRPr="009D7D7B">
              <w:rPr>
                <w:rStyle w:val="Hyperlink"/>
                <w:rFonts w:asciiTheme="minorHAnsi" w:hAnsiTheme="minorHAnsi" w:cstheme="minorHAnsi"/>
                <w:noProof/>
                <w:color w:val="auto"/>
                <w:u w:val="none"/>
              </w:rPr>
              <w:t>ão é possível a publicação no formato de dados abertos. N</w:t>
            </w:r>
            <w:r w:rsidR="00C30D12" w:rsidRPr="009D7D7B">
              <w:rPr>
                <w:rFonts w:asciiTheme="minorHAnsi" w:eastAsia="Times New Roman" w:hAnsiTheme="minorHAnsi" w:cstheme="minorHAnsi"/>
              </w:rPr>
              <w:t>o PDA 2017</w:t>
            </w:r>
            <w:r w:rsidR="009D7D7B" w:rsidRPr="009D7D7B">
              <w:rPr>
                <w:rFonts w:asciiTheme="minorHAnsi" w:eastAsia="Times New Roman" w:hAnsiTheme="minorHAnsi" w:cstheme="minorHAnsi"/>
              </w:rPr>
              <w:t>-</w:t>
            </w:r>
            <w:r w:rsidR="00C30D12" w:rsidRPr="009D7D7B">
              <w:rPr>
                <w:rFonts w:asciiTheme="minorHAnsi" w:eastAsia="Times New Roman" w:hAnsiTheme="minorHAnsi" w:cstheme="minorHAnsi"/>
              </w:rPr>
              <w:lastRenderedPageBreak/>
              <w:t xml:space="preserve">2019 houve, equivocadamente, a inserção de dados que não são elegíveis como dados abertos, o que </w:t>
            </w:r>
            <w:r w:rsidR="009D7D7B" w:rsidRPr="009D7D7B">
              <w:rPr>
                <w:rFonts w:asciiTheme="minorHAnsi" w:eastAsia="Times New Roman" w:hAnsiTheme="minorHAnsi" w:cstheme="minorHAnsi"/>
              </w:rPr>
              <w:t>f</w:t>
            </w:r>
            <w:r w:rsidR="009D7D7B" w:rsidRPr="009D7D7B">
              <w:rPr>
                <w:rFonts w:eastAsia="Times New Roman"/>
              </w:rPr>
              <w:t xml:space="preserve">oi </w:t>
            </w:r>
            <w:r w:rsidR="00C30D12" w:rsidRPr="009D7D7B">
              <w:rPr>
                <w:rFonts w:asciiTheme="minorHAnsi" w:eastAsia="Times New Roman" w:hAnsiTheme="minorHAnsi" w:cstheme="minorHAnsi"/>
              </w:rPr>
              <w:t>corrigido n</w:t>
            </w:r>
            <w:r w:rsidR="009D7D7B" w:rsidRPr="009D7D7B">
              <w:rPr>
                <w:rFonts w:asciiTheme="minorHAnsi" w:eastAsia="Times New Roman" w:hAnsiTheme="minorHAnsi" w:cstheme="minorHAnsi"/>
              </w:rPr>
              <w:t xml:space="preserve">o </w:t>
            </w:r>
            <w:r w:rsidR="00C30D12" w:rsidRPr="009D7D7B">
              <w:rPr>
                <w:rFonts w:asciiTheme="minorHAnsi" w:eastAsia="Times New Roman" w:hAnsiTheme="minorHAnsi" w:cstheme="minorHAnsi"/>
              </w:rPr>
              <w:t>PDA (2020-2021).</w:t>
            </w:r>
          </w:p>
        </w:tc>
      </w:tr>
      <w:tr w:rsidR="00535A31" w:rsidRPr="000C0521" w14:paraId="4A271086" w14:textId="77777777" w:rsidTr="00592D54">
        <w:tblPrEx>
          <w:shd w:val="clear" w:color="auto" w:fill="auto"/>
        </w:tblPrEx>
        <w:trPr>
          <w:trHeight w:val="232"/>
        </w:trPr>
        <w:tc>
          <w:tcPr>
            <w:tcW w:w="5427" w:type="dxa"/>
            <w:shd w:val="clear" w:color="auto" w:fill="auto"/>
            <w:vAlign w:val="center"/>
          </w:tcPr>
          <w:p w14:paraId="6BE556FC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lastRenderedPageBreak/>
              <w:t>Base de usuários (Tecnologia da Informação)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46E799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SE/SGETI/CGIT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332FC1B5" w14:textId="35B87D74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Dados qualificados pelo MInfra como não acessíveis ao público, por se tratar de informação pessoal, nos termos do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4º, IV, Lei nº 12.527/2011 e da Portaria MTPA nº 922/2017,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13 e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 xml:space="preserve">art.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15.</w:t>
            </w:r>
          </w:p>
        </w:tc>
      </w:tr>
      <w:tr w:rsidR="00535A31" w:rsidRPr="000C0521" w14:paraId="2A70C3E8" w14:textId="77777777" w:rsidTr="00592D54">
        <w:tblPrEx>
          <w:shd w:val="clear" w:color="auto" w:fill="auto"/>
        </w:tblPrEx>
        <w:trPr>
          <w:trHeight w:val="454"/>
        </w:trPr>
        <w:tc>
          <w:tcPr>
            <w:tcW w:w="5427" w:type="dxa"/>
            <w:shd w:val="clear" w:color="auto" w:fill="auto"/>
            <w:vAlign w:val="center"/>
          </w:tcPr>
          <w:p w14:paraId="57B1C15D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Usuários (SEI)</w:t>
            </w:r>
          </w:p>
        </w:tc>
        <w:tc>
          <w:tcPr>
            <w:tcW w:w="2126" w:type="dxa"/>
            <w:vMerge/>
            <w:shd w:val="clear" w:color="auto" w:fill="auto"/>
          </w:tcPr>
          <w:p w14:paraId="59540113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06BA0C26" w14:textId="77777777" w:rsidR="00535A31" w:rsidRPr="000C0521" w:rsidRDefault="00535A31" w:rsidP="00592D54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D122F6" w14:paraId="029AEA64" w14:textId="77777777" w:rsidTr="00592D54">
        <w:tblPrEx>
          <w:shd w:val="clear" w:color="auto" w:fill="auto"/>
        </w:tblPrEx>
        <w:trPr>
          <w:trHeight w:val="232"/>
        </w:trPr>
        <w:tc>
          <w:tcPr>
            <w:tcW w:w="5427" w:type="dxa"/>
            <w:shd w:val="clear" w:color="auto" w:fill="auto"/>
            <w:vAlign w:val="center"/>
          </w:tcPr>
          <w:p w14:paraId="4318544D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Bases de configuração (Tecnologia da Informação)</w:t>
            </w:r>
          </w:p>
        </w:tc>
        <w:tc>
          <w:tcPr>
            <w:tcW w:w="2126" w:type="dxa"/>
            <w:vMerge/>
            <w:shd w:val="clear" w:color="auto" w:fill="auto"/>
          </w:tcPr>
          <w:p w14:paraId="1766F095" w14:textId="77777777" w:rsidR="00535A31" w:rsidRPr="000C0521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19238466" w14:textId="33B95095" w:rsidR="00535A31" w:rsidRPr="00D122F6" w:rsidRDefault="00535A31" w:rsidP="0050307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0C0521">
              <w:rPr>
                <w:rFonts w:asciiTheme="minorHAnsi" w:eastAsiaTheme="minorHAnsi" w:hAnsiTheme="minorHAnsi" w:cstheme="minorHAnsi"/>
                <w:noProof/>
              </w:rPr>
              <w:t>Dados qualificados pelo MInfra como não acessíveis ao público, por se tratar de informação sigilosa (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4º, III) nos termos do </w:t>
            </w:r>
            <w:r w:rsidR="00540EA5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rt. 23, VII, Lei nº</w:t>
            </w:r>
            <w:r w:rsidR="00503076">
              <w:rPr>
                <w:rFonts w:asciiTheme="minorHAnsi" w:eastAsiaTheme="minorHAnsi" w:hAnsiTheme="minorHAnsi" w:cstheme="minorHAnsi"/>
                <w:noProof/>
              </w:rPr>
              <w:t xml:space="preserve">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12.527/2011 e da Portaria MTPA nº 922/2017,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>a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 xml:space="preserve">rt. 13 e </w:t>
            </w:r>
            <w:r w:rsidR="00007E06">
              <w:rPr>
                <w:rFonts w:asciiTheme="minorHAnsi" w:eastAsiaTheme="minorHAnsi" w:hAnsiTheme="minorHAnsi" w:cstheme="minorHAnsi"/>
                <w:noProof/>
              </w:rPr>
              <w:t xml:space="preserve">art. </w:t>
            </w:r>
            <w:r w:rsidRPr="000C0521">
              <w:rPr>
                <w:rFonts w:asciiTheme="minorHAnsi" w:eastAsiaTheme="minorHAnsi" w:hAnsiTheme="minorHAnsi" w:cstheme="minorHAnsi"/>
                <w:noProof/>
              </w:rPr>
              <w:t>15.</w:t>
            </w:r>
          </w:p>
        </w:tc>
      </w:tr>
      <w:tr w:rsidR="00535A31" w:rsidRPr="00C1052C" w14:paraId="108685CC" w14:textId="77777777" w:rsidTr="00592D54">
        <w:tblPrEx>
          <w:shd w:val="clear" w:color="auto" w:fill="auto"/>
        </w:tblPrEx>
        <w:trPr>
          <w:trHeight w:val="232"/>
        </w:trPr>
        <w:tc>
          <w:tcPr>
            <w:tcW w:w="5427" w:type="dxa"/>
            <w:shd w:val="clear" w:color="auto" w:fill="auto"/>
            <w:vAlign w:val="center"/>
          </w:tcPr>
          <w:p w14:paraId="0C1EADB0" w14:textId="77777777" w:rsidR="00535A31" w:rsidRPr="00C1052C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C1052C">
              <w:rPr>
                <w:rFonts w:asciiTheme="minorHAnsi" w:eastAsiaTheme="minorHAnsi" w:hAnsiTheme="minorHAnsi" w:cstheme="minorHAnsi"/>
                <w:noProof/>
              </w:rPr>
              <w:t>Conjuntos de regras de segurança (Tecnologia da Informação)</w:t>
            </w:r>
          </w:p>
        </w:tc>
        <w:tc>
          <w:tcPr>
            <w:tcW w:w="2126" w:type="dxa"/>
            <w:vMerge/>
            <w:shd w:val="clear" w:color="auto" w:fill="auto"/>
          </w:tcPr>
          <w:p w14:paraId="0FF9E4A0" w14:textId="77777777" w:rsidR="00535A31" w:rsidRPr="00C1052C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00C494A1" w14:textId="77777777" w:rsidR="00535A31" w:rsidRPr="00C1052C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  <w:tr w:rsidR="00535A31" w:rsidRPr="00C1052C" w14:paraId="3F973BA9" w14:textId="77777777" w:rsidTr="00592D54">
        <w:tblPrEx>
          <w:shd w:val="clear" w:color="auto" w:fill="auto"/>
        </w:tblPrEx>
        <w:trPr>
          <w:trHeight w:val="232"/>
        </w:trPr>
        <w:tc>
          <w:tcPr>
            <w:tcW w:w="5427" w:type="dxa"/>
            <w:shd w:val="clear" w:color="auto" w:fill="auto"/>
            <w:vAlign w:val="center"/>
          </w:tcPr>
          <w:p w14:paraId="13C79FC5" w14:textId="77777777" w:rsidR="00535A31" w:rsidRPr="00C1052C" w:rsidRDefault="00535A31" w:rsidP="00007E06">
            <w:pPr>
              <w:jc w:val="both"/>
              <w:rPr>
                <w:rFonts w:asciiTheme="minorHAnsi" w:eastAsiaTheme="minorHAnsi" w:hAnsiTheme="minorHAnsi" w:cstheme="minorHAnsi"/>
                <w:noProof/>
              </w:rPr>
            </w:pPr>
            <w:r w:rsidRPr="00C1052C">
              <w:rPr>
                <w:rFonts w:asciiTheme="minorHAnsi" w:eastAsiaTheme="minorHAnsi" w:hAnsiTheme="minorHAnsi" w:cstheme="minorHAnsi"/>
                <w:noProof/>
              </w:rPr>
              <w:t>Registro de auditoria de sistemas (Tecnologia da Informação)</w:t>
            </w:r>
          </w:p>
        </w:tc>
        <w:tc>
          <w:tcPr>
            <w:tcW w:w="2126" w:type="dxa"/>
            <w:vMerge/>
            <w:shd w:val="clear" w:color="auto" w:fill="auto"/>
          </w:tcPr>
          <w:p w14:paraId="6C48F5D2" w14:textId="77777777" w:rsidR="00535A31" w:rsidRPr="00C1052C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14:paraId="460B6E67" w14:textId="77777777" w:rsidR="00535A31" w:rsidRPr="00C1052C" w:rsidRDefault="00535A31" w:rsidP="00592D54">
            <w:pPr>
              <w:rPr>
                <w:rFonts w:asciiTheme="minorHAnsi" w:eastAsiaTheme="minorHAnsi" w:hAnsiTheme="minorHAnsi" w:cstheme="minorHAnsi"/>
                <w:noProof/>
              </w:rPr>
            </w:pPr>
          </w:p>
        </w:tc>
      </w:tr>
    </w:tbl>
    <w:p w14:paraId="447A7D38" w14:textId="5684257C" w:rsidR="009D7D7B" w:rsidRDefault="009D7D7B" w:rsidP="00941CB4">
      <w:pPr>
        <w:jc w:val="center"/>
        <w:rPr>
          <w:rFonts w:asciiTheme="minorHAnsi" w:hAnsiTheme="minorHAnsi" w:cstheme="minorHAnsi"/>
          <w:noProof/>
        </w:rPr>
      </w:pPr>
    </w:p>
    <w:p w14:paraId="5F00F8B9" w14:textId="001237F8" w:rsidR="005B0443" w:rsidRPr="009E6317" w:rsidRDefault="005B0443" w:rsidP="00941CB4">
      <w:pPr>
        <w:jc w:val="center"/>
        <w:rPr>
          <w:rFonts w:asciiTheme="minorHAnsi" w:hAnsiTheme="minorHAnsi" w:cstheme="minorHAnsi"/>
          <w:noProof/>
        </w:rPr>
      </w:pPr>
      <w:r w:rsidRPr="009E6317">
        <w:rPr>
          <w:rFonts w:asciiTheme="minorHAnsi" w:hAnsiTheme="minorHAnsi" w:cstheme="minorHAnsi"/>
          <w:noProof/>
        </w:rPr>
        <w:t>Brasília, 6 de outubro de 2021</w:t>
      </w:r>
    </w:p>
    <w:p w14:paraId="1020D47B" w14:textId="77777777" w:rsidR="009D7D7B" w:rsidRPr="009E6317" w:rsidRDefault="009D7D7B" w:rsidP="00941CB4">
      <w:pPr>
        <w:jc w:val="center"/>
        <w:rPr>
          <w:rFonts w:asciiTheme="minorHAnsi" w:hAnsiTheme="minorHAnsi" w:cstheme="minorHAnsi"/>
          <w:noProof/>
        </w:rPr>
      </w:pPr>
    </w:p>
    <w:p w14:paraId="59AABA8A" w14:textId="4B6919E9" w:rsidR="007A29E9" w:rsidRDefault="007A29E9" w:rsidP="00941CB4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>AUTORIDADE DE MONITORAMENTO DA LAI</w:t>
      </w:r>
    </w:p>
    <w:p w14:paraId="1A13DDFB" w14:textId="35F62A94" w:rsidR="00134AC1" w:rsidRDefault="00134AC1" w:rsidP="00941CB4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>Ministério da Infraestrutura</w:t>
      </w:r>
    </w:p>
    <w:sectPr w:rsidR="00134AC1" w:rsidSect="009E2703">
      <w:pgSz w:w="16838" w:h="11906" w:orient="landscape"/>
      <w:pgMar w:top="170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FF"/>
    <w:rsid w:val="00001836"/>
    <w:rsid w:val="00007E06"/>
    <w:rsid w:val="00013146"/>
    <w:rsid w:val="0003119B"/>
    <w:rsid w:val="00035B81"/>
    <w:rsid w:val="000550C5"/>
    <w:rsid w:val="00060984"/>
    <w:rsid w:val="00081FDE"/>
    <w:rsid w:val="000839DE"/>
    <w:rsid w:val="000C0521"/>
    <w:rsid w:val="000C69F8"/>
    <w:rsid w:val="000E1FC5"/>
    <w:rsid w:val="000F2108"/>
    <w:rsid w:val="00134AC1"/>
    <w:rsid w:val="00142E23"/>
    <w:rsid w:val="001739F2"/>
    <w:rsid w:val="00175FE2"/>
    <w:rsid w:val="0019682A"/>
    <w:rsid w:val="001B2497"/>
    <w:rsid w:val="001B29B1"/>
    <w:rsid w:val="001C42BE"/>
    <w:rsid w:val="001F6A58"/>
    <w:rsid w:val="001F7970"/>
    <w:rsid w:val="00207EEB"/>
    <w:rsid w:val="00222002"/>
    <w:rsid w:val="00237921"/>
    <w:rsid w:val="002615B4"/>
    <w:rsid w:val="00275997"/>
    <w:rsid w:val="00284DF1"/>
    <w:rsid w:val="00287898"/>
    <w:rsid w:val="002878F0"/>
    <w:rsid w:val="0029094C"/>
    <w:rsid w:val="00297676"/>
    <w:rsid w:val="002A172F"/>
    <w:rsid w:val="002A4592"/>
    <w:rsid w:val="002A68CA"/>
    <w:rsid w:val="002B62A2"/>
    <w:rsid w:val="002C3202"/>
    <w:rsid w:val="002D59E6"/>
    <w:rsid w:val="002E453E"/>
    <w:rsid w:val="002F3E19"/>
    <w:rsid w:val="00305860"/>
    <w:rsid w:val="00310201"/>
    <w:rsid w:val="00327F03"/>
    <w:rsid w:val="00374E41"/>
    <w:rsid w:val="00380A37"/>
    <w:rsid w:val="00383DD1"/>
    <w:rsid w:val="00396DF2"/>
    <w:rsid w:val="003B0331"/>
    <w:rsid w:val="003C05AE"/>
    <w:rsid w:val="003C6101"/>
    <w:rsid w:val="003F48D1"/>
    <w:rsid w:val="00407B9E"/>
    <w:rsid w:val="0041573E"/>
    <w:rsid w:val="00421315"/>
    <w:rsid w:val="00446D0F"/>
    <w:rsid w:val="00455601"/>
    <w:rsid w:val="00462A72"/>
    <w:rsid w:val="004747B9"/>
    <w:rsid w:val="0049556E"/>
    <w:rsid w:val="00497F78"/>
    <w:rsid w:val="004B119C"/>
    <w:rsid w:val="004C04F0"/>
    <w:rsid w:val="004E0B6F"/>
    <w:rsid w:val="004E7208"/>
    <w:rsid w:val="00503076"/>
    <w:rsid w:val="005100DD"/>
    <w:rsid w:val="005342A3"/>
    <w:rsid w:val="00535A31"/>
    <w:rsid w:val="00540EA5"/>
    <w:rsid w:val="00545573"/>
    <w:rsid w:val="00574E21"/>
    <w:rsid w:val="00581066"/>
    <w:rsid w:val="00592694"/>
    <w:rsid w:val="005A46D1"/>
    <w:rsid w:val="005B0443"/>
    <w:rsid w:val="005C287B"/>
    <w:rsid w:val="005C6E9C"/>
    <w:rsid w:val="0060680F"/>
    <w:rsid w:val="00606D17"/>
    <w:rsid w:val="006407FA"/>
    <w:rsid w:val="00674F23"/>
    <w:rsid w:val="00684551"/>
    <w:rsid w:val="006927FE"/>
    <w:rsid w:val="006C3706"/>
    <w:rsid w:val="006F62EC"/>
    <w:rsid w:val="00701B37"/>
    <w:rsid w:val="00702795"/>
    <w:rsid w:val="007065D2"/>
    <w:rsid w:val="00732067"/>
    <w:rsid w:val="007404D5"/>
    <w:rsid w:val="00740C53"/>
    <w:rsid w:val="00746307"/>
    <w:rsid w:val="00750B03"/>
    <w:rsid w:val="00756CB3"/>
    <w:rsid w:val="00762FAC"/>
    <w:rsid w:val="007A039A"/>
    <w:rsid w:val="007A29E9"/>
    <w:rsid w:val="007C19F6"/>
    <w:rsid w:val="007C218A"/>
    <w:rsid w:val="007C331B"/>
    <w:rsid w:val="007D1CC8"/>
    <w:rsid w:val="007D3AF6"/>
    <w:rsid w:val="007D3BB5"/>
    <w:rsid w:val="007E4A58"/>
    <w:rsid w:val="007E71E8"/>
    <w:rsid w:val="007F3450"/>
    <w:rsid w:val="00811096"/>
    <w:rsid w:val="0083153D"/>
    <w:rsid w:val="00864CB6"/>
    <w:rsid w:val="00867C83"/>
    <w:rsid w:val="00871227"/>
    <w:rsid w:val="00886770"/>
    <w:rsid w:val="0089294E"/>
    <w:rsid w:val="008A2C55"/>
    <w:rsid w:val="008A6FCA"/>
    <w:rsid w:val="008C0D23"/>
    <w:rsid w:val="008C23BC"/>
    <w:rsid w:val="008E0A3C"/>
    <w:rsid w:val="008E0C45"/>
    <w:rsid w:val="009366F9"/>
    <w:rsid w:val="00941CB4"/>
    <w:rsid w:val="009421B8"/>
    <w:rsid w:val="00951522"/>
    <w:rsid w:val="00974859"/>
    <w:rsid w:val="009847BB"/>
    <w:rsid w:val="009B5BD2"/>
    <w:rsid w:val="009C740F"/>
    <w:rsid w:val="009D7D7B"/>
    <w:rsid w:val="009E2703"/>
    <w:rsid w:val="009E5D35"/>
    <w:rsid w:val="009E6317"/>
    <w:rsid w:val="009F0881"/>
    <w:rsid w:val="00A04528"/>
    <w:rsid w:val="00A14D4E"/>
    <w:rsid w:val="00A2009A"/>
    <w:rsid w:val="00A23BCD"/>
    <w:rsid w:val="00A52217"/>
    <w:rsid w:val="00A536FA"/>
    <w:rsid w:val="00A614A1"/>
    <w:rsid w:val="00A64CE8"/>
    <w:rsid w:val="00A66346"/>
    <w:rsid w:val="00A67FC0"/>
    <w:rsid w:val="00A70126"/>
    <w:rsid w:val="00A813A2"/>
    <w:rsid w:val="00A97E1E"/>
    <w:rsid w:val="00AB6D75"/>
    <w:rsid w:val="00AB735A"/>
    <w:rsid w:val="00AB7FE5"/>
    <w:rsid w:val="00AC6B3C"/>
    <w:rsid w:val="00AF1C2C"/>
    <w:rsid w:val="00AF31F5"/>
    <w:rsid w:val="00B367F3"/>
    <w:rsid w:val="00B44681"/>
    <w:rsid w:val="00B81751"/>
    <w:rsid w:val="00B91290"/>
    <w:rsid w:val="00B93AFF"/>
    <w:rsid w:val="00B941C4"/>
    <w:rsid w:val="00B943FC"/>
    <w:rsid w:val="00B96159"/>
    <w:rsid w:val="00BA18AF"/>
    <w:rsid w:val="00BA2495"/>
    <w:rsid w:val="00BA5805"/>
    <w:rsid w:val="00BA682B"/>
    <w:rsid w:val="00BD7DB1"/>
    <w:rsid w:val="00C20DDF"/>
    <w:rsid w:val="00C30D12"/>
    <w:rsid w:val="00C37AF8"/>
    <w:rsid w:val="00C41FEC"/>
    <w:rsid w:val="00C466E0"/>
    <w:rsid w:val="00C56206"/>
    <w:rsid w:val="00C70F06"/>
    <w:rsid w:val="00C72DCE"/>
    <w:rsid w:val="00CA241B"/>
    <w:rsid w:val="00CB4FC7"/>
    <w:rsid w:val="00CC0318"/>
    <w:rsid w:val="00CF437A"/>
    <w:rsid w:val="00D06E72"/>
    <w:rsid w:val="00D1134B"/>
    <w:rsid w:val="00D122F6"/>
    <w:rsid w:val="00D41D9A"/>
    <w:rsid w:val="00D430D8"/>
    <w:rsid w:val="00D6169C"/>
    <w:rsid w:val="00D65F9C"/>
    <w:rsid w:val="00D66529"/>
    <w:rsid w:val="00D6695B"/>
    <w:rsid w:val="00D723CA"/>
    <w:rsid w:val="00D779EC"/>
    <w:rsid w:val="00D84769"/>
    <w:rsid w:val="00DA3293"/>
    <w:rsid w:val="00DE1B26"/>
    <w:rsid w:val="00DE736A"/>
    <w:rsid w:val="00E14166"/>
    <w:rsid w:val="00E24D78"/>
    <w:rsid w:val="00E67C28"/>
    <w:rsid w:val="00E85438"/>
    <w:rsid w:val="00EA24E6"/>
    <w:rsid w:val="00ED0681"/>
    <w:rsid w:val="00EF265C"/>
    <w:rsid w:val="00F057CC"/>
    <w:rsid w:val="00F2596E"/>
    <w:rsid w:val="00F36EC8"/>
    <w:rsid w:val="00F46BD2"/>
    <w:rsid w:val="00F51CD4"/>
    <w:rsid w:val="00F57357"/>
    <w:rsid w:val="00F97E23"/>
    <w:rsid w:val="00FB208D"/>
    <w:rsid w:val="00FC129F"/>
    <w:rsid w:val="00FD40C7"/>
    <w:rsid w:val="00FD5A44"/>
    <w:rsid w:val="00FE2042"/>
    <w:rsid w:val="00FF6241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D82"/>
  <w15:docId w15:val="{6FC07097-386F-449C-BAB8-9CF797E4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FF"/>
    <w:pPr>
      <w:spacing w:after="0" w:line="240" w:lineRule="auto"/>
    </w:pPr>
    <w:rPr>
      <w:rFonts w:ascii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56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56CB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AF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AFF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DD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17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D1CC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756C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56C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F0881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al"/>
    <w:rsid w:val="00B941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raestrutura.gov.br/poligonais.html).catalogar" TargetMode="External"/><Relationship Id="rId5" Type="http://schemas.openxmlformats.org/officeDocument/2006/relationships/hyperlink" Target="https://dados.gov.br/dataset/acessos-aos-por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89B2-9B55-4758-8A61-B301873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2145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antonio.silva</dc:creator>
  <cp:lastModifiedBy>Antonio Afonso da Silva</cp:lastModifiedBy>
  <cp:revision>11</cp:revision>
  <dcterms:created xsi:type="dcterms:W3CDTF">2021-10-05T19:04:00Z</dcterms:created>
  <dcterms:modified xsi:type="dcterms:W3CDTF">2021-10-06T19:43:00Z</dcterms:modified>
</cp:coreProperties>
</file>