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74E86" w14:textId="77777777" w:rsidR="008B55F3" w:rsidRDefault="008B55F3" w:rsidP="002947B4">
      <w:pPr>
        <w:spacing w:after="60" w:line="240" w:lineRule="auto"/>
        <w:jc w:val="center"/>
        <w:rPr>
          <w:b/>
          <w:sz w:val="28"/>
          <w:szCs w:val="28"/>
        </w:rPr>
      </w:pPr>
      <w:r w:rsidRPr="00B459D5">
        <w:rPr>
          <w:b/>
          <w:sz w:val="28"/>
          <w:szCs w:val="28"/>
        </w:rPr>
        <w:t>MINISTÉRIO D</w:t>
      </w:r>
      <w:r>
        <w:rPr>
          <w:b/>
          <w:sz w:val="28"/>
          <w:szCs w:val="28"/>
        </w:rPr>
        <w:t>A ECONOMIA</w:t>
      </w:r>
    </w:p>
    <w:p w14:paraId="4FCC54C7" w14:textId="77777777" w:rsidR="008B55F3" w:rsidRPr="009E7E07" w:rsidRDefault="008B55F3" w:rsidP="002947B4">
      <w:pPr>
        <w:spacing w:after="60" w:line="240" w:lineRule="auto"/>
        <w:jc w:val="center"/>
        <w:rPr>
          <w:b/>
          <w:sz w:val="26"/>
          <w:szCs w:val="26"/>
        </w:rPr>
      </w:pPr>
      <w:r w:rsidRPr="009E7E07">
        <w:rPr>
          <w:b/>
          <w:sz w:val="26"/>
          <w:szCs w:val="26"/>
        </w:rPr>
        <w:t>SECRETARIA ESPECIAL DE FAZENDA</w:t>
      </w:r>
    </w:p>
    <w:p w14:paraId="6CDD37EC" w14:textId="77777777" w:rsidR="008B55F3" w:rsidRPr="009E7E07" w:rsidRDefault="008B55F3" w:rsidP="002947B4">
      <w:pPr>
        <w:spacing w:after="60" w:line="240" w:lineRule="auto"/>
        <w:jc w:val="center"/>
        <w:rPr>
          <w:sz w:val="26"/>
          <w:szCs w:val="26"/>
        </w:rPr>
      </w:pPr>
      <w:r w:rsidRPr="009E7E07">
        <w:rPr>
          <w:sz w:val="26"/>
          <w:szCs w:val="26"/>
        </w:rPr>
        <w:t>SECRETARIA DE ORÇAMENTO FEDERAL</w:t>
      </w:r>
    </w:p>
    <w:p w14:paraId="7DB74C92" w14:textId="77777777" w:rsidR="008B55F3" w:rsidRPr="00A9308D" w:rsidRDefault="008B55F3" w:rsidP="002947B4">
      <w:pPr>
        <w:spacing w:after="6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SUBSECRETARIA</w:t>
      </w:r>
      <w:proofErr w:type="gramEnd"/>
      <w:r>
        <w:rPr>
          <w:sz w:val="24"/>
          <w:szCs w:val="24"/>
        </w:rPr>
        <w:t xml:space="preserve"> DE ESTUDOS ORÇAMENTÁRIOS, RELAÇÕES INSTITUCIONAIS E TECNOLOGIA DA INFORMAÇÃO</w:t>
      </w:r>
    </w:p>
    <w:p w14:paraId="7C017632" w14:textId="77777777" w:rsidR="008B55F3" w:rsidRPr="00CF2807" w:rsidRDefault="008B55F3" w:rsidP="002947B4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Coordenação-Geral de Estudos de Políticas Públicas</w:t>
      </w:r>
    </w:p>
    <w:p w14:paraId="294F86F7" w14:textId="77777777" w:rsidR="008B55F3" w:rsidRDefault="008B55F3" w:rsidP="002947B4">
      <w:pPr>
        <w:jc w:val="center"/>
        <w:rPr>
          <w:b/>
          <w:sz w:val="24"/>
          <w:szCs w:val="24"/>
        </w:rPr>
      </w:pPr>
    </w:p>
    <w:p w14:paraId="2C56825B" w14:textId="79D4E083" w:rsidR="00160B0E" w:rsidRPr="002947B4" w:rsidRDefault="00195CA1" w:rsidP="002947B4">
      <w:pPr>
        <w:jc w:val="center"/>
        <w:rPr>
          <w:b/>
          <w:sz w:val="24"/>
          <w:szCs w:val="24"/>
        </w:rPr>
      </w:pPr>
      <w:r w:rsidRPr="002947B4">
        <w:rPr>
          <w:b/>
          <w:sz w:val="24"/>
          <w:szCs w:val="24"/>
        </w:rPr>
        <w:t xml:space="preserve">Nota </w:t>
      </w:r>
      <w:r w:rsidR="00FC7210" w:rsidRPr="002947B4">
        <w:rPr>
          <w:b/>
          <w:sz w:val="24"/>
          <w:szCs w:val="24"/>
        </w:rPr>
        <w:t>Exp</w:t>
      </w:r>
      <w:r w:rsidR="007647A5" w:rsidRPr="002947B4">
        <w:rPr>
          <w:b/>
          <w:sz w:val="24"/>
          <w:szCs w:val="24"/>
        </w:rPr>
        <w:t>l</w:t>
      </w:r>
      <w:r w:rsidR="00FC7210" w:rsidRPr="002947B4">
        <w:rPr>
          <w:b/>
          <w:sz w:val="24"/>
          <w:szCs w:val="24"/>
        </w:rPr>
        <w:t xml:space="preserve">icativa: </w:t>
      </w:r>
      <w:r w:rsidR="00160B0E" w:rsidRPr="002947B4">
        <w:rPr>
          <w:b/>
          <w:sz w:val="24"/>
          <w:szCs w:val="24"/>
        </w:rPr>
        <w:t>Revisão das Naturezas de Despesas</w:t>
      </w:r>
      <w:r w:rsidRPr="002947B4">
        <w:rPr>
          <w:b/>
          <w:sz w:val="24"/>
          <w:szCs w:val="24"/>
        </w:rPr>
        <w:t xml:space="preserve"> do Custeio Administrativo</w:t>
      </w:r>
    </w:p>
    <w:p w14:paraId="75E0A6C6" w14:textId="153B05C6" w:rsidR="008B55F3" w:rsidRPr="002947B4" w:rsidRDefault="008B55F3" w:rsidP="008B55F3">
      <w:pPr>
        <w:jc w:val="right"/>
        <w:rPr>
          <w:sz w:val="20"/>
          <w:szCs w:val="20"/>
        </w:rPr>
      </w:pPr>
      <w:r w:rsidRPr="002947B4">
        <w:rPr>
          <w:sz w:val="20"/>
          <w:szCs w:val="20"/>
        </w:rPr>
        <w:t>Fevereiro/2021</w:t>
      </w:r>
    </w:p>
    <w:p w14:paraId="608D71B6" w14:textId="77777777" w:rsidR="009317EF" w:rsidRDefault="009317EF" w:rsidP="008B55F3">
      <w:pPr>
        <w:jc w:val="both"/>
      </w:pPr>
    </w:p>
    <w:p w14:paraId="7E729F7D" w14:textId="04249D22" w:rsidR="008B55F3" w:rsidRPr="00F90F8F" w:rsidRDefault="008B55F3" w:rsidP="008B55F3">
      <w:pPr>
        <w:jc w:val="both"/>
      </w:pPr>
      <w:r w:rsidRPr="00F90F8F">
        <w:t>Esta Nota tem por objetivo explicitar a</w:t>
      </w:r>
      <w:r>
        <w:t xml:space="preserve"> revisão na</w:t>
      </w:r>
      <w:r w:rsidRPr="00F90F8F">
        <w:t xml:space="preserve"> metodologia de apuração das despesas de custeio administrativo </w:t>
      </w:r>
      <w:r>
        <w:t>do P</w:t>
      </w:r>
      <w:r w:rsidRPr="00F90F8F">
        <w:t>oder Executivo federal divulgadas no sítio do Ministério da Economia</w:t>
      </w:r>
      <w:r>
        <w:t>.</w:t>
      </w:r>
    </w:p>
    <w:p w14:paraId="0DD3AF1C" w14:textId="70083B7A" w:rsidR="00195CA1" w:rsidRDefault="002947B4" w:rsidP="00195CA1">
      <w:pPr>
        <w:jc w:val="both"/>
      </w:pPr>
      <w:r>
        <w:t>O Ministério da Economia consolida mensalmente as despesas de custeio administrativo do Poder Executivo Federal desde o exercício 2011 e, a partir setembro de 2015, passou a divulgar trimestralmente o Boletim de Custeio Administrativo</w:t>
      </w:r>
      <w:r w:rsidR="00195CA1">
        <w:t>. O parâmetro para definição d</w:t>
      </w:r>
      <w:r>
        <w:t>est</w:t>
      </w:r>
      <w:r w:rsidR="00195CA1">
        <w:t>as despesas é a</w:t>
      </w:r>
      <w:r w:rsidR="00446C41">
        <w:t xml:space="preserve"> análise da</w:t>
      </w:r>
      <w:r w:rsidR="00195CA1">
        <w:t xml:space="preserve"> </w:t>
      </w:r>
      <w:r w:rsidR="00195CA1" w:rsidRPr="00F15643">
        <w:t>classificação dos Gastos Públicos Federais por Natureza da Despesa</w:t>
      </w:r>
      <w:r w:rsidR="00195CA1" w:rsidRPr="00F15643">
        <w:rPr>
          <w:rStyle w:val="Refdenotaderodap"/>
        </w:rPr>
        <w:footnoteReference w:id="1"/>
      </w:r>
      <w:r w:rsidR="00195CA1" w:rsidRPr="00F15643">
        <w:t xml:space="preserve"> no seu maior nível de detalhamento, o </w:t>
      </w:r>
      <w:proofErr w:type="spellStart"/>
      <w:r w:rsidR="00195CA1" w:rsidRPr="00F15643">
        <w:t>subelemento</w:t>
      </w:r>
      <w:proofErr w:type="spellEnd"/>
      <w:r w:rsidR="00195CA1">
        <w:t xml:space="preserve">. </w:t>
      </w:r>
    </w:p>
    <w:p w14:paraId="0CF174AE" w14:textId="70C4140D" w:rsidR="00195CA1" w:rsidRDefault="00195CA1" w:rsidP="00195CA1">
      <w:pPr>
        <w:jc w:val="both"/>
      </w:pPr>
      <w:r>
        <w:t>A divulgação das despesas de custeio administrativo é acompanhada da Nota Metodológica, que apresenta o rol das naturezas de despesa mais representativas do custeio dos órgãos</w:t>
      </w:r>
      <w:r w:rsidR="002947B4">
        <w:t xml:space="preserve"> do Poder Executivo Federal</w:t>
      </w:r>
      <w:r w:rsidR="001E1BE9">
        <w:rPr>
          <w:rStyle w:val="Refdenotaderodap"/>
        </w:rPr>
        <w:footnoteReference w:id="2"/>
      </w:r>
      <w:r>
        <w:t>, consideradas na extração dos dados de execução.</w:t>
      </w:r>
    </w:p>
    <w:p w14:paraId="2615F0D5" w14:textId="77777777" w:rsidR="00160B0E" w:rsidRPr="00F15643" w:rsidRDefault="00195CA1" w:rsidP="00160B0E">
      <w:pPr>
        <w:jc w:val="both"/>
      </w:pPr>
      <w:r>
        <w:t>No entanto, a</w:t>
      </w:r>
      <w:r w:rsidR="00160B0E" w:rsidRPr="00F15643">
        <w:t xml:space="preserve">s naturezas de despesas sofrem constante atualização, principalmente no nível do elemento e </w:t>
      </w:r>
      <w:proofErr w:type="spellStart"/>
      <w:r w:rsidR="00160B0E" w:rsidRPr="00F15643">
        <w:t>subelemento</w:t>
      </w:r>
      <w:proofErr w:type="spellEnd"/>
      <w:r w:rsidR="00160B0E" w:rsidRPr="00F15643">
        <w:t xml:space="preserve"> de despesa, para melhor se adequarem às necessidades de identificação do objeto do gasto. Tais mudanças são comumente verificadas nas classificações das despesas de tecnologia da informação ao longo dos últimos anos.</w:t>
      </w:r>
    </w:p>
    <w:p w14:paraId="32C4E901" w14:textId="1D2381E1" w:rsidR="00160B0E" w:rsidRDefault="00160B0E" w:rsidP="00160B0E">
      <w:pPr>
        <w:jc w:val="both"/>
      </w:pPr>
      <w:r w:rsidRPr="00F15643">
        <w:t>Assim, pode ocorrer a simples alteração na descrição, de forma a atualizar a nomenclatura, tal como aconteceu nas seguintes naturezas de despesas de custeio</w:t>
      </w:r>
      <w:r w:rsidR="001E1BE9">
        <w:t xml:space="preserve"> do Quadro </w:t>
      </w:r>
      <w:proofErr w:type="gramStart"/>
      <w:r w:rsidR="001E1BE9">
        <w:t>1</w:t>
      </w:r>
      <w:proofErr w:type="gramEnd"/>
      <w:r w:rsidR="001E1BE9">
        <w:t xml:space="preserve"> abaixo.</w:t>
      </w:r>
    </w:p>
    <w:p w14:paraId="41F6B60F" w14:textId="7FA3F49C" w:rsidR="00472CFE" w:rsidRPr="002947B4" w:rsidRDefault="00472CFE" w:rsidP="00160B0E">
      <w:pPr>
        <w:jc w:val="both"/>
        <w:rPr>
          <w:b/>
          <w:sz w:val="20"/>
          <w:szCs w:val="20"/>
        </w:rPr>
      </w:pPr>
      <w:r w:rsidRPr="002947B4">
        <w:rPr>
          <w:b/>
          <w:sz w:val="20"/>
          <w:szCs w:val="20"/>
        </w:rPr>
        <w:t>Quadro 1 – Alteração na descrição da Natureza de Despesa Detalhada (NDD)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686"/>
        <w:gridCol w:w="3543"/>
      </w:tblGrid>
      <w:tr w:rsidR="00160B0E" w:rsidRPr="00F15643" w14:paraId="1C60E859" w14:textId="77777777" w:rsidTr="002947B4">
        <w:trPr>
          <w:trHeight w:val="300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AC18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01A9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Até 2017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B4A4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 partir de 2018</w:t>
            </w:r>
          </w:p>
        </w:tc>
      </w:tr>
      <w:tr w:rsidR="00160B0E" w:rsidRPr="00F15643" w14:paraId="16C2C2F8" w14:textId="77777777" w:rsidTr="002947B4">
        <w:trPr>
          <w:trHeight w:val="300"/>
          <w:tblHeader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E5FF8" w14:textId="7EB72722" w:rsidR="00160B0E" w:rsidRPr="003C1FE8" w:rsidRDefault="00160B0E" w:rsidP="00320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Cód. NDD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48B6E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Descrição NDD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15C8BD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Descrição NDD</w:t>
            </w:r>
          </w:p>
        </w:tc>
      </w:tr>
      <w:tr w:rsidR="00160B0E" w:rsidRPr="00F15643" w14:paraId="59DE6EDA" w14:textId="77777777" w:rsidTr="001B249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26F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AF5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Material de Processamento de Dados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2A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Material de TIC (consumo)</w:t>
            </w:r>
          </w:p>
        </w:tc>
      </w:tr>
      <w:tr w:rsidR="00160B0E" w:rsidRPr="00F15643" w14:paraId="3D745C3C" w14:textId="77777777" w:rsidTr="001B249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76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33903504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49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Consultoria em Tecnologia da Informação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BE5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Consultoria em tecnologia da informação e comunicação</w:t>
            </w:r>
          </w:p>
        </w:tc>
      </w:tr>
    </w:tbl>
    <w:p w14:paraId="052C59F0" w14:textId="77777777" w:rsidR="001E1BE9" w:rsidRDefault="001E1BE9" w:rsidP="001E1BE9">
      <w:pPr>
        <w:spacing w:before="120"/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34033001" w14:textId="77777777" w:rsidR="00160B0E" w:rsidRPr="00F15643" w:rsidRDefault="00160B0E" w:rsidP="00160B0E">
      <w:pPr>
        <w:jc w:val="both"/>
      </w:pPr>
    </w:p>
    <w:p w14:paraId="795577C4" w14:textId="4EED4F85" w:rsidR="00160B0E" w:rsidRDefault="00160B0E" w:rsidP="00160B0E">
      <w:pPr>
        <w:jc w:val="both"/>
      </w:pPr>
      <w:r w:rsidRPr="00F15643">
        <w:t xml:space="preserve">Em outros casos, observa-se a completa alteração da </w:t>
      </w:r>
      <w:r w:rsidR="00472CFE">
        <w:t>Natureza de Despesa Detalhada (</w:t>
      </w:r>
      <w:r w:rsidRPr="00F15643">
        <w:t>NDD</w:t>
      </w:r>
      <w:r w:rsidR="00472CFE">
        <w:t>)</w:t>
      </w:r>
      <w:r w:rsidRPr="00F15643">
        <w:t xml:space="preserve"> em consequência de novas classificações. Isto ocorreu com as despesas de TI a partir da criação, em 2018, do elemento </w:t>
      </w:r>
      <w:r w:rsidR="001E1BE9">
        <w:t>“</w:t>
      </w:r>
      <w:r w:rsidRPr="00F15643">
        <w:t>40</w:t>
      </w:r>
      <w:r w:rsidR="00472CFE">
        <w:t xml:space="preserve"> - </w:t>
      </w:r>
      <w:r w:rsidR="00472CFE" w:rsidRPr="003C1FE8">
        <w:rPr>
          <w:rFonts w:eastAsia="Times New Roman" w:cs="Times New Roman"/>
          <w:color w:val="000000"/>
          <w:lang w:eastAsia="pt-BR"/>
        </w:rPr>
        <w:t>Servi</w:t>
      </w:r>
      <w:r w:rsidR="00472CFE" w:rsidRPr="003C1FE8">
        <w:rPr>
          <w:rFonts w:eastAsia="Times New Roman" w:cs="Times New Roman" w:hint="eastAsia"/>
          <w:color w:val="000000"/>
          <w:lang w:eastAsia="pt-BR"/>
        </w:rPr>
        <w:t>ç</w:t>
      </w:r>
      <w:r w:rsidR="00472CFE" w:rsidRPr="003C1FE8">
        <w:rPr>
          <w:rFonts w:eastAsia="Times New Roman" w:cs="Times New Roman"/>
          <w:color w:val="000000"/>
          <w:lang w:eastAsia="pt-BR"/>
        </w:rPr>
        <w:t>os de Tecnologia da Informa</w:t>
      </w:r>
      <w:r w:rsidR="00472CFE" w:rsidRPr="003C1FE8">
        <w:rPr>
          <w:rFonts w:eastAsia="Times New Roman" w:cs="Times New Roman" w:hint="eastAsia"/>
          <w:color w:val="000000"/>
          <w:lang w:eastAsia="pt-BR"/>
        </w:rPr>
        <w:t>çã</w:t>
      </w:r>
      <w:r w:rsidR="00472CFE" w:rsidRPr="003C1FE8">
        <w:rPr>
          <w:rFonts w:eastAsia="Times New Roman" w:cs="Times New Roman"/>
          <w:color w:val="000000"/>
          <w:lang w:eastAsia="pt-BR"/>
        </w:rPr>
        <w:t>o e Comunica</w:t>
      </w:r>
      <w:r w:rsidR="00472CFE" w:rsidRPr="003C1FE8">
        <w:rPr>
          <w:rFonts w:eastAsia="Times New Roman" w:cs="Times New Roman" w:hint="eastAsia"/>
          <w:color w:val="000000"/>
          <w:lang w:eastAsia="pt-BR"/>
        </w:rPr>
        <w:t>çã</w:t>
      </w:r>
      <w:r w:rsidR="00472CFE" w:rsidRPr="003C1FE8">
        <w:rPr>
          <w:rFonts w:eastAsia="Times New Roman" w:cs="Times New Roman"/>
          <w:color w:val="000000"/>
          <w:lang w:eastAsia="pt-BR"/>
        </w:rPr>
        <w:t>o - Pessoa Jur</w:t>
      </w:r>
      <w:r w:rsidR="00472CFE" w:rsidRPr="003C1FE8">
        <w:rPr>
          <w:rFonts w:eastAsia="Times New Roman" w:cs="Times New Roman" w:hint="eastAsia"/>
          <w:color w:val="000000"/>
          <w:lang w:eastAsia="pt-BR"/>
        </w:rPr>
        <w:t>í</w:t>
      </w:r>
      <w:r w:rsidR="00472CFE" w:rsidRPr="003C1FE8">
        <w:rPr>
          <w:rFonts w:eastAsia="Times New Roman" w:cs="Times New Roman"/>
          <w:color w:val="000000"/>
          <w:lang w:eastAsia="pt-BR"/>
        </w:rPr>
        <w:t>dica</w:t>
      </w:r>
      <w:r w:rsidR="001E1BE9">
        <w:rPr>
          <w:rFonts w:eastAsia="Times New Roman" w:cs="Times New Roman"/>
          <w:color w:val="000000"/>
          <w:lang w:eastAsia="pt-BR"/>
        </w:rPr>
        <w:t>”</w:t>
      </w:r>
      <w:r w:rsidRPr="00F15643">
        <w:t xml:space="preserve">, </w:t>
      </w:r>
      <w:proofErr w:type="gramStart"/>
      <w:r w:rsidRPr="00F15643">
        <w:t>destinado a especificar os serviços de TI prestados por pessoas jurídicas</w:t>
      </w:r>
      <w:proofErr w:type="gramEnd"/>
      <w:r w:rsidRPr="00F15643">
        <w:t xml:space="preserve">. A partir de então, estas despesas deixaram de ser classificadas no elemento </w:t>
      </w:r>
      <w:r w:rsidR="001E1BE9">
        <w:t>“</w:t>
      </w:r>
      <w:r w:rsidRPr="00F15643">
        <w:t>39</w:t>
      </w:r>
      <w:r w:rsidR="00472CFE">
        <w:t xml:space="preserve"> </w:t>
      </w:r>
      <w:r w:rsidR="001E1BE9">
        <w:t>-</w:t>
      </w:r>
      <w:r w:rsidR="00472CFE">
        <w:t xml:space="preserve"> Outros Serviços de Terceiros </w:t>
      </w:r>
      <w:r w:rsidR="001E1BE9">
        <w:t>-</w:t>
      </w:r>
      <w:r w:rsidR="00472CFE">
        <w:t xml:space="preserve"> Pessoa Jurídica</w:t>
      </w:r>
      <w:r w:rsidR="001E1BE9">
        <w:t xml:space="preserve">”, conforme se observa na definição dos elementos de despesa do Quadro </w:t>
      </w:r>
      <w:proofErr w:type="gramStart"/>
      <w:r w:rsidR="001E1BE9">
        <w:t>2</w:t>
      </w:r>
      <w:proofErr w:type="gramEnd"/>
      <w:r w:rsidR="001E1BE9">
        <w:t xml:space="preserve"> abaixo.</w:t>
      </w:r>
      <w:r w:rsidRPr="00F15643">
        <w:t xml:space="preserve"> </w:t>
      </w:r>
    </w:p>
    <w:p w14:paraId="530D554A" w14:textId="728CF288" w:rsidR="00472CFE" w:rsidRPr="002947B4" w:rsidRDefault="00472CFE" w:rsidP="00472CFE">
      <w:pPr>
        <w:jc w:val="both"/>
        <w:rPr>
          <w:b/>
          <w:sz w:val="20"/>
          <w:szCs w:val="20"/>
        </w:rPr>
      </w:pPr>
      <w:r w:rsidRPr="002947B4">
        <w:rPr>
          <w:b/>
          <w:sz w:val="20"/>
          <w:szCs w:val="20"/>
        </w:rPr>
        <w:t>Quadro 2 – Alteração nos elementos de despesas de TI</w:t>
      </w: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693"/>
        <w:gridCol w:w="5953"/>
      </w:tblGrid>
      <w:tr w:rsidR="00160B0E" w:rsidRPr="00F15643" w14:paraId="6A53D0BB" w14:textId="77777777" w:rsidTr="001E1BE9">
        <w:trPr>
          <w:tblHeader/>
        </w:trPr>
        <w:tc>
          <w:tcPr>
            <w:tcW w:w="8516" w:type="dxa"/>
            <w:gridSpan w:val="3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EE09F80" w14:textId="77777777" w:rsidR="00160B0E" w:rsidRPr="002947B4" w:rsidRDefault="00446C41" w:rsidP="00294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947B4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Elemento de Despesa</w:t>
            </w:r>
          </w:p>
        </w:tc>
      </w:tr>
      <w:tr w:rsidR="00160B0E" w:rsidRPr="00F15643" w14:paraId="4129E44B" w14:textId="77777777" w:rsidTr="001E1BE9">
        <w:trPr>
          <w:tblHeader/>
        </w:trPr>
        <w:tc>
          <w:tcPr>
            <w:tcW w:w="870" w:type="dxa"/>
            <w:shd w:val="clear" w:color="auto" w:fill="F2F2F2" w:themeFill="background1" w:themeFillShade="F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C7B90F8" w14:textId="77777777" w:rsidR="00160B0E" w:rsidRPr="002947B4" w:rsidRDefault="00160B0E" w:rsidP="00294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947B4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Código</w:t>
            </w:r>
          </w:p>
        </w:tc>
        <w:tc>
          <w:tcPr>
            <w:tcW w:w="1693" w:type="dxa"/>
            <w:shd w:val="clear" w:color="auto" w:fill="F2F2F2" w:themeFill="background1" w:themeFillShade="F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B753750" w14:textId="77777777" w:rsidR="00160B0E" w:rsidRPr="002947B4" w:rsidRDefault="00160B0E" w:rsidP="00294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947B4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Título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AD7BAE5" w14:textId="77777777" w:rsidR="00160B0E" w:rsidRPr="002947B4" w:rsidRDefault="00160B0E" w:rsidP="00294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947B4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160B0E" w:rsidRPr="00F15643" w14:paraId="1800BF88" w14:textId="77777777" w:rsidTr="001E1BE9">
        <w:tc>
          <w:tcPr>
            <w:tcW w:w="87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27E9E2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39</w:t>
            </w:r>
          </w:p>
        </w:tc>
        <w:tc>
          <w:tcPr>
            <w:tcW w:w="1693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447EBC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3C1FE8">
              <w:rPr>
                <w:rFonts w:eastAsia="Times New Roman" w:cs="Times New Roman"/>
                <w:color w:val="000000"/>
                <w:lang w:eastAsia="pt-BR"/>
              </w:rPr>
              <w:t>Outros Servi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ç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os de Terceiros - Pessoa Jur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í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dica</w:t>
            </w:r>
            <w:proofErr w:type="gramEnd"/>
          </w:p>
        </w:tc>
        <w:tc>
          <w:tcPr>
            <w:tcW w:w="5953" w:type="dxa"/>
            <w:shd w:val="clear" w:color="auto" w:fill="FFFFFF"/>
          </w:tcPr>
          <w:p w14:paraId="13BEC10D" w14:textId="3C9E1AE1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Despesas orçamentárias decorrentes da prestação de serviços por pessoas jurídicas para órgãos públicos, exceto as relativas aos Serviços de Tecnologia da Informação e Comunicação – TIC</w:t>
            </w:r>
            <w:r w:rsidR="007A0256">
              <w:rPr>
                <w:rFonts w:eastAsia="Times New Roman" w:cs="Times New Roman"/>
                <w:color w:val="000000"/>
                <w:lang w:eastAsia="pt-BR"/>
              </w:rPr>
              <w:t>.</w:t>
            </w:r>
          </w:p>
        </w:tc>
      </w:tr>
      <w:tr w:rsidR="00160B0E" w:rsidRPr="00F15643" w14:paraId="0A93F742" w14:textId="77777777" w:rsidTr="001E1BE9">
        <w:tc>
          <w:tcPr>
            <w:tcW w:w="87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C07389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1693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51D324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Servi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ç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os de Tecnologia da Informa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çã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o e Comunica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çã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o - Pessoa Jur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í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dica</w:t>
            </w:r>
          </w:p>
        </w:tc>
        <w:tc>
          <w:tcPr>
            <w:tcW w:w="5953" w:type="dxa"/>
            <w:shd w:val="clear" w:color="auto" w:fill="FFFFFF"/>
          </w:tcPr>
          <w:p w14:paraId="0C1E89AA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Despesas orçamentárias decorrentes da prestação de serviços por pessoas jurídicas para órgãos e entidades da Administração Pública, relacionadas à Tecnologia da Informação e Comunicação – TIC, não classificadas em outros elementos de despesa.</w:t>
            </w:r>
          </w:p>
        </w:tc>
      </w:tr>
    </w:tbl>
    <w:p w14:paraId="698150CD" w14:textId="506ED5C1" w:rsidR="00160B0E" w:rsidRPr="001E1BE9" w:rsidRDefault="001E1BE9" w:rsidP="00160B0E">
      <w:pPr>
        <w:jc w:val="both"/>
        <w:rPr>
          <w:sz w:val="20"/>
          <w:szCs w:val="20"/>
        </w:rPr>
      </w:pPr>
      <w:r w:rsidRPr="001E1BE9">
        <w:rPr>
          <w:sz w:val="20"/>
          <w:szCs w:val="20"/>
        </w:rPr>
        <w:t xml:space="preserve">Fonte: </w:t>
      </w:r>
      <w:r>
        <w:t>Manual Técnico do Orçamento</w:t>
      </w:r>
      <w:r w:rsidRPr="001E1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1E1BE9">
        <w:rPr>
          <w:sz w:val="20"/>
          <w:szCs w:val="20"/>
        </w:rPr>
        <w:t>MTO 2020. Elaboração: SOF/FAZENDA/ME</w:t>
      </w:r>
    </w:p>
    <w:p w14:paraId="2105C0A9" w14:textId="3095D645" w:rsidR="00160B0E" w:rsidRDefault="00160B0E" w:rsidP="00160B0E">
      <w:pPr>
        <w:jc w:val="both"/>
      </w:pPr>
      <w:r w:rsidRPr="00F15643">
        <w:t>Assim, objetos de gasto</w:t>
      </w:r>
      <w:r>
        <w:t xml:space="preserve"> do</w:t>
      </w:r>
      <w:r w:rsidRPr="00F15643">
        <w:t xml:space="preserve"> custeio relacionados à tecnologia da informação tiveram a sua classificação alterada, como nos casos </w:t>
      </w:r>
      <w:r w:rsidR="00F13920">
        <w:t xml:space="preserve">explicitados no Quadro </w:t>
      </w:r>
      <w:proofErr w:type="gramStart"/>
      <w:r w:rsidR="00F13920">
        <w:t>3</w:t>
      </w:r>
      <w:proofErr w:type="gramEnd"/>
      <w:r w:rsidR="00F13920">
        <w:t xml:space="preserve"> </w:t>
      </w:r>
      <w:r w:rsidRPr="00F15643">
        <w:t>a seguir:</w:t>
      </w:r>
    </w:p>
    <w:p w14:paraId="1255F01D" w14:textId="7DF5DFE6" w:rsidR="00472CFE" w:rsidRPr="002947B4" w:rsidRDefault="00472CFE" w:rsidP="00472CFE">
      <w:pPr>
        <w:jc w:val="both"/>
        <w:rPr>
          <w:b/>
          <w:sz w:val="20"/>
          <w:szCs w:val="20"/>
        </w:rPr>
      </w:pPr>
      <w:r w:rsidRPr="002947B4">
        <w:rPr>
          <w:b/>
          <w:sz w:val="20"/>
          <w:szCs w:val="20"/>
        </w:rPr>
        <w:t xml:space="preserve">Quadro 3 </w:t>
      </w:r>
      <w:r w:rsidR="00340264">
        <w:rPr>
          <w:b/>
          <w:sz w:val="20"/>
          <w:szCs w:val="20"/>
        </w:rPr>
        <w:t>-</w:t>
      </w:r>
      <w:r w:rsidRPr="002947B4">
        <w:rPr>
          <w:b/>
          <w:sz w:val="20"/>
          <w:szCs w:val="20"/>
        </w:rPr>
        <w:t xml:space="preserve"> Equivalência entre Naturezas de Despesas Detalhadas após alteração em 2018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2888"/>
        <w:gridCol w:w="1334"/>
        <w:gridCol w:w="3060"/>
      </w:tblGrid>
      <w:tr w:rsidR="00160B0E" w:rsidRPr="00F15643" w14:paraId="21C2C96F" w14:textId="77777777" w:rsidTr="002947B4">
        <w:trPr>
          <w:trHeight w:val="300"/>
          <w:tblHeader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D45B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Até 2017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369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 partir de 2018</w:t>
            </w:r>
          </w:p>
        </w:tc>
      </w:tr>
      <w:tr w:rsidR="00160B0E" w:rsidRPr="00F15643" w14:paraId="2D1D6AAC" w14:textId="77777777" w:rsidTr="002947B4">
        <w:trPr>
          <w:trHeight w:val="300"/>
          <w:tblHeader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B67A32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Cód. NDD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7AA5F6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Descrição NDD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3D8105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Cód. NDD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8B6E91" w14:textId="77777777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Descrição NDD</w:t>
            </w:r>
          </w:p>
        </w:tc>
      </w:tr>
      <w:tr w:rsidR="00160B0E" w:rsidRPr="00F15643" w14:paraId="4B63EDD7" w14:textId="77777777" w:rsidTr="001B2496">
        <w:trPr>
          <w:trHeight w:val="6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129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33903908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F6F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Manutenção de Software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A01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33904007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4B7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 xml:space="preserve">Manutenção </w:t>
            </w:r>
            <w:proofErr w:type="gramStart"/>
            <w:r w:rsidRPr="003C1FE8">
              <w:rPr>
                <w:rFonts w:eastAsia="Times New Roman" w:cs="Times New Roman"/>
                <w:color w:val="000000"/>
                <w:lang w:eastAsia="pt-BR"/>
              </w:rPr>
              <w:t>corretiva/adaptativa</w:t>
            </w:r>
            <w:proofErr w:type="gramEnd"/>
            <w:r w:rsidRPr="003C1FE8">
              <w:rPr>
                <w:rFonts w:eastAsia="Times New Roman" w:cs="Times New Roman"/>
                <w:color w:val="000000"/>
                <w:lang w:eastAsia="pt-BR"/>
              </w:rPr>
              <w:t xml:space="preserve"> e sustentação softwares</w:t>
            </w:r>
          </w:p>
        </w:tc>
      </w:tr>
      <w:tr w:rsidR="00160B0E" w:rsidRPr="00F15643" w14:paraId="69754377" w14:textId="77777777" w:rsidTr="001B2496">
        <w:trPr>
          <w:trHeight w:val="9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3762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33903995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821D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Manutenção e Conservação de Equipamentos de Processamento de Dados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98B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33904012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410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Manutenção e conservação de equipamentos de TIC</w:t>
            </w:r>
          </w:p>
        </w:tc>
      </w:tr>
      <w:tr w:rsidR="00160B0E" w:rsidRPr="00F15643" w14:paraId="54A296D1" w14:textId="77777777" w:rsidTr="001B2496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1B4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33903997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2D9C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Comunicação de Dados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A11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33904013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35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Comunicação de dados e redes em geral</w:t>
            </w:r>
          </w:p>
        </w:tc>
      </w:tr>
      <w:tr w:rsidR="00160B0E" w:rsidRPr="00F15643" w14:paraId="7501E5F3" w14:textId="77777777" w:rsidTr="001B2496">
        <w:trPr>
          <w:trHeight w:val="6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230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33903957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BB6" w14:textId="77777777" w:rsidR="00160B0E" w:rsidRPr="003C1FE8" w:rsidRDefault="00446C41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Serviç</w:t>
            </w:r>
            <w:r>
              <w:rPr>
                <w:rFonts w:eastAsia="Times New Roman" w:cs="Times New Roman"/>
                <w:color w:val="000000"/>
                <w:lang w:eastAsia="pt-BR"/>
              </w:rPr>
              <w:t>os técnicos profissionais de TI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41E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33904021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E9C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Serviços técnicos profissionais de TIC</w:t>
            </w:r>
          </w:p>
        </w:tc>
      </w:tr>
    </w:tbl>
    <w:p w14:paraId="0A0542BE" w14:textId="77777777" w:rsidR="00F13920" w:rsidRDefault="00F13920" w:rsidP="00F13920">
      <w:pPr>
        <w:spacing w:before="120"/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6F2648FB" w14:textId="0B657147" w:rsidR="00160B0E" w:rsidRPr="00F15643" w:rsidRDefault="00160B0E" w:rsidP="00160B0E">
      <w:pPr>
        <w:jc w:val="both"/>
      </w:pPr>
      <w:r w:rsidRPr="00F15643">
        <w:t xml:space="preserve">Ressalte-se, ainda, que o Manual Técnico do Orçamento - MTO detalha anualmente as despesas de TI até o nível de </w:t>
      </w:r>
      <w:proofErr w:type="spellStart"/>
      <w:r w:rsidRPr="00F15643">
        <w:t>subelemento</w:t>
      </w:r>
      <w:proofErr w:type="spellEnd"/>
      <w:r w:rsidRPr="00F15643">
        <w:t>. Dentre estas, aquelas classificadas como 33.90.</w:t>
      </w:r>
      <w:r>
        <w:t>00.00</w:t>
      </w:r>
      <w:r w:rsidRPr="00F15643">
        <w:t xml:space="preserve"> (outras despesas correntes, aplicações diretas) compõem o rol das despesas de custeio administrativo</w:t>
      </w:r>
      <w:r w:rsidR="00901F24">
        <w:t xml:space="preserve">, à exceção da NDD </w:t>
      </w:r>
      <w:r w:rsidR="00901F24" w:rsidRPr="008D5615">
        <w:t>33904024</w:t>
      </w:r>
      <w:r w:rsidR="00901F24">
        <w:t xml:space="preserve"> (</w:t>
      </w:r>
      <w:r w:rsidR="00901F24" w:rsidRPr="008D5615">
        <w:t>Servi</w:t>
      </w:r>
      <w:r w:rsidR="00901F24" w:rsidRPr="008D5615">
        <w:rPr>
          <w:rFonts w:hint="eastAsia"/>
        </w:rPr>
        <w:t>ç</w:t>
      </w:r>
      <w:r w:rsidR="00901F24" w:rsidRPr="008D5615">
        <w:t>os de TIC - PJ de car</w:t>
      </w:r>
      <w:r w:rsidR="00901F24" w:rsidRPr="008D5615">
        <w:rPr>
          <w:rFonts w:hint="eastAsia"/>
        </w:rPr>
        <w:t>á</w:t>
      </w:r>
      <w:r w:rsidR="00901F24" w:rsidRPr="008D5615">
        <w:t>ter secreto ou reservado</w:t>
      </w:r>
      <w:r w:rsidR="00901F24">
        <w:t>)</w:t>
      </w:r>
      <w:r w:rsidR="00901F24" w:rsidRPr="00F15643">
        <w:t xml:space="preserve">. </w:t>
      </w:r>
      <w:r w:rsidR="00901F24">
        <w:t xml:space="preserve">No Quadro </w:t>
      </w:r>
      <w:proofErr w:type="gramStart"/>
      <w:r w:rsidR="00901F24">
        <w:t>4</w:t>
      </w:r>
      <w:proofErr w:type="gramEnd"/>
      <w:r w:rsidR="00901F24">
        <w:t xml:space="preserve"> a seguir, </w:t>
      </w:r>
      <w:r w:rsidR="00E9309B">
        <w:t>são listadas</w:t>
      </w:r>
      <w:r w:rsidR="00901F24">
        <w:t xml:space="preserve"> as despesas de TI referentes a 2021.</w:t>
      </w:r>
    </w:p>
    <w:p w14:paraId="2ACAB2BB" w14:textId="4A73845C" w:rsidR="00160B0E" w:rsidRPr="002947B4" w:rsidRDefault="00403C10" w:rsidP="00160B0E">
      <w:pPr>
        <w:jc w:val="both"/>
        <w:rPr>
          <w:b/>
          <w:sz w:val="20"/>
          <w:szCs w:val="20"/>
        </w:rPr>
      </w:pPr>
      <w:r w:rsidRPr="002947B4">
        <w:rPr>
          <w:b/>
          <w:sz w:val="20"/>
          <w:szCs w:val="20"/>
        </w:rPr>
        <w:t xml:space="preserve">Quadro 4 - </w:t>
      </w:r>
      <w:r w:rsidR="00160B0E" w:rsidRPr="002947B4">
        <w:rPr>
          <w:b/>
          <w:sz w:val="20"/>
          <w:szCs w:val="20"/>
        </w:rPr>
        <w:t>Despesas de custeio de TI constantes do MTO 2021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960"/>
      </w:tblGrid>
      <w:tr w:rsidR="00160B0E" w:rsidRPr="00F15643" w14:paraId="14295F93" w14:textId="77777777" w:rsidTr="002947B4">
        <w:trPr>
          <w:trHeight w:val="300"/>
          <w:tblHeader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8FD" w14:textId="3D60795C" w:rsidR="00160B0E" w:rsidRPr="003C1FE8" w:rsidRDefault="00160B0E" w:rsidP="001B24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lastRenderedPageBreak/>
              <w:t>Natureza de Despesa</w:t>
            </w:r>
            <w:r w:rsidR="00403C10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Detalhada</w:t>
            </w:r>
            <w:r w:rsidRPr="003C1FE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(NDD)</w:t>
            </w:r>
            <w:r w:rsidR="00E9309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até o nível de </w:t>
            </w:r>
            <w:proofErr w:type="spellStart"/>
            <w:r w:rsidR="00E9309B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subelemento</w:t>
            </w:r>
            <w:proofErr w:type="spellEnd"/>
          </w:p>
        </w:tc>
      </w:tr>
      <w:tr w:rsidR="00160B0E" w:rsidRPr="00F15643" w14:paraId="521E00B1" w14:textId="77777777" w:rsidTr="002947B4">
        <w:trPr>
          <w:trHeight w:val="31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12443FD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b/>
                <w:bCs/>
                <w:color w:val="000000"/>
                <w:lang w:eastAsia="pt-BR"/>
              </w:rPr>
              <w:t>Código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5F516F0C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160B0E" w:rsidRPr="00F15643" w14:paraId="6E4B45DF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5E4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33903017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39F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Material de TIC (consumo)</w:t>
            </w:r>
          </w:p>
        </w:tc>
      </w:tr>
      <w:tr w:rsidR="00160B0E" w:rsidRPr="00F15643" w14:paraId="3AD6BD8B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673C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33903504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3FF1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Consultoria em tecnologia da informação e comunicação</w:t>
            </w:r>
          </w:p>
        </w:tc>
      </w:tr>
      <w:tr w:rsidR="00160B0E" w:rsidRPr="00F15643" w14:paraId="151779CA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51CB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33903654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B07D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Manutenção e conservação de equipamentos de TIC</w:t>
            </w:r>
          </w:p>
        </w:tc>
      </w:tr>
      <w:tr w:rsidR="00160B0E" w:rsidRPr="00F15643" w14:paraId="7AE0E6D3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EDB5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33903657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22D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Serviços técnicos profissionais de TIC</w:t>
            </w:r>
          </w:p>
        </w:tc>
      </w:tr>
      <w:tr w:rsidR="00160B0E" w:rsidRPr="00F15643" w14:paraId="0241F39C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207E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54B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equipamentos de TIC - ativos de rede</w:t>
            </w:r>
          </w:p>
        </w:tc>
      </w:tr>
      <w:tr w:rsidR="00160B0E" w:rsidRPr="00F15643" w14:paraId="7A5CF5ED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563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DB0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equipamentos de TIC - computadores</w:t>
            </w:r>
          </w:p>
        </w:tc>
      </w:tr>
      <w:tr w:rsidR="00160B0E" w:rsidRPr="00F15643" w14:paraId="2B6D0D7B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7E41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78E1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equipamentos de TIC - servidores/</w:t>
            </w:r>
            <w:proofErr w:type="spellStart"/>
            <w:r w:rsidRPr="003C1FE8">
              <w:rPr>
                <w:rFonts w:eastAsia="Times New Roman" w:cs="Arial"/>
                <w:color w:val="000000"/>
                <w:lang w:eastAsia="pt-BR"/>
              </w:rPr>
              <w:t>storage</w:t>
            </w:r>
            <w:proofErr w:type="spellEnd"/>
          </w:p>
        </w:tc>
      </w:tr>
      <w:tr w:rsidR="00160B0E" w:rsidRPr="00F15643" w14:paraId="57FD2F74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F4F0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591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equipamentos de TIC - impressoras</w:t>
            </w:r>
          </w:p>
        </w:tc>
      </w:tr>
      <w:tr w:rsidR="00160B0E" w:rsidRPr="00F15643" w14:paraId="59C2DDC7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5128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211C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equipamentos de TIC - telefonia</w:t>
            </w:r>
          </w:p>
        </w:tc>
      </w:tr>
      <w:tr w:rsidR="00160B0E" w:rsidRPr="00F15643" w14:paraId="187EFBAA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F462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2C52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Locação de softwares</w:t>
            </w:r>
          </w:p>
        </w:tc>
      </w:tr>
      <w:tr w:rsidR="00160B0E" w:rsidRPr="00F15643" w14:paraId="0FFB406C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733C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B3C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 xml:space="preserve">Manutenção </w:t>
            </w:r>
            <w:proofErr w:type="gramStart"/>
            <w:r w:rsidRPr="003C1FE8">
              <w:rPr>
                <w:rFonts w:eastAsia="Times New Roman" w:cs="Arial"/>
                <w:color w:val="000000"/>
                <w:lang w:eastAsia="pt-BR"/>
              </w:rPr>
              <w:t>corretiva/adaptativa</w:t>
            </w:r>
            <w:proofErr w:type="gramEnd"/>
            <w:r w:rsidRPr="003C1FE8">
              <w:rPr>
                <w:rFonts w:eastAsia="Times New Roman" w:cs="Arial"/>
                <w:color w:val="000000"/>
                <w:lang w:eastAsia="pt-BR"/>
              </w:rPr>
              <w:t xml:space="preserve"> e sustentação softwares</w:t>
            </w:r>
          </w:p>
        </w:tc>
      </w:tr>
      <w:tr w:rsidR="00160B0E" w:rsidRPr="00F15643" w14:paraId="4DACA4D4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1706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05F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Desenvolvimento de software</w:t>
            </w:r>
          </w:p>
        </w:tc>
      </w:tr>
      <w:tr w:rsidR="00160B0E" w:rsidRPr="00F15643" w14:paraId="5083FA2B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3985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33904009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A1B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Hospedagens de sistemas</w:t>
            </w:r>
          </w:p>
        </w:tc>
      </w:tr>
      <w:tr w:rsidR="00160B0E" w:rsidRPr="00F15643" w14:paraId="1C2370B4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13CB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3A3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Suporte a usuários de TIC</w:t>
            </w:r>
          </w:p>
        </w:tc>
      </w:tr>
      <w:tr w:rsidR="00160B0E" w:rsidRPr="00F15643" w14:paraId="49E5E669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74B2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9932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Suporte de infraestrutura de TIC</w:t>
            </w:r>
          </w:p>
        </w:tc>
      </w:tr>
      <w:tr w:rsidR="00160B0E" w:rsidRPr="00F15643" w14:paraId="2A6B12C7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1C6B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F949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Manutenção e conservação de equipamentos de TIC</w:t>
            </w:r>
          </w:p>
        </w:tc>
      </w:tr>
      <w:tr w:rsidR="00160B0E" w:rsidRPr="00F15643" w14:paraId="523AEFC0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2B0A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1B2B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Comunicação de dados e redes em geral</w:t>
            </w:r>
          </w:p>
        </w:tc>
      </w:tr>
      <w:tr w:rsidR="00160B0E" w:rsidRPr="00F15643" w14:paraId="1D585C55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7C41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ABD9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Telefonia fixa e móvel - pacote de comunicação de dados</w:t>
            </w:r>
          </w:p>
        </w:tc>
      </w:tr>
      <w:tr w:rsidR="00160B0E" w:rsidRPr="00F15643" w14:paraId="7432A5BA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DAB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239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Digitalização/indexação de documentos</w:t>
            </w:r>
          </w:p>
        </w:tc>
      </w:tr>
      <w:tr w:rsidR="00160B0E" w:rsidRPr="00F15643" w14:paraId="56E2C90D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BCEA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500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Outsourcing de impressão</w:t>
            </w:r>
          </w:p>
        </w:tc>
      </w:tr>
      <w:tr w:rsidR="00160B0E" w:rsidRPr="00F15643" w14:paraId="388510D7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CD8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19F8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Computação em nuvem - infraestrutura como serviço (IAAS)</w:t>
            </w:r>
          </w:p>
        </w:tc>
      </w:tr>
      <w:tr w:rsidR="00160B0E" w:rsidRPr="00F15643" w14:paraId="490C9A5E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E876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E756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Computação em nuvem - plataforma como serviço (PAAS)</w:t>
            </w:r>
          </w:p>
        </w:tc>
      </w:tr>
      <w:tr w:rsidR="00160B0E" w:rsidRPr="00F15643" w14:paraId="507E96E7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F6F9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5460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Computação em nuvem - software como serviço (SAAS)</w:t>
            </w:r>
          </w:p>
        </w:tc>
      </w:tr>
      <w:tr w:rsidR="00160B0E" w:rsidRPr="00F15643" w14:paraId="29B42608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0651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2892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Treinamento/capacitação em TIC</w:t>
            </w:r>
          </w:p>
        </w:tc>
      </w:tr>
      <w:tr w:rsidR="00160B0E" w:rsidRPr="00F15643" w14:paraId="30A0B3EE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D532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ECA2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Serviços técnicos profissionais de TIC</w:t>
            </w:r>
          </w:p>
        </w:tc>
      </w:tr>
      <w:tr w:rsidR="00160B0E" w:rsidRPr="00F15643" w14:paraId="257464C1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8A54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7C5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Instalação de Equipamentos de TIC</w:t>
            </w:r>
          </w:p>
        </w:tc>
      </w:tr>
      <w:tr w:rsidR="00160B0E" w:rsidRPr="00F15643" w14:paraId="46B511A8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0977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13C4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Emissão de Certificados Digitais</w:t>
            </w:r>
          </w:p>
        </w:tc>
      </w:tr>
      <w:tr w:rsidR="00160B0E" w:rsidRPr="00F15643" w14:paraId="2C944CE3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3080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6980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C1FE8">
              <w:rPr>
                <w:rFonts w:eastAsia="Times New Roman" w:cs="Times New Roman"/>
                <w:color w:val="000000"/>
                <w:lang w:eastAsia="pt-BR"/>
              </w:rPr>
              <w:t>Servi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ç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os de TIC - PJ de car</w:t>
            </w:r>
            <w:r w:rsidRPr="003C1FE8">
              <w:rPr>
                <w:rFonts w:eastAsia="Times New Roman" w:cs="Times New Roman" w:hint="eastAsia"/>
                <w:color w:val="000000"/>
                <w:lang w:eastAsia="pt-BR"/>
              </w:rPr>
              <w:t>á</w:t>
            </w:r>
            <w:r w:rsidRPr="003C1FE8">
              <w:rPr>
                <w:rFonts w:eastAsia="Times New Roman" w:cs="Times New Roman"/>
                <w:color w:val="000000"/>
                <w:lang w:eastAsia="pt-BR"/>
              </w:rPr>
              <w:t>ter secreto ou reservado</w:t>
            </w:r>
          </w:p>
        </w:tc>
      </w:tr>
      <w:tr w:rsidR="00160B0E" w:rsidRPr="00F15643" w14:paraId="57B2FBAA" w14:textId="77777777" w:rsidTr="001B2496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5DD5" w14:textId="77777777" w:rsidR="00160B0E" w:rsidRPr="003C1FE8" w:rsidRDefault="00160B0E" w:rsidP="002947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33904096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8527" w14:textId="77777777" w:rsidR="00160B0E" w:rsidRPr="003C1FE8" w:rsidRDefault="00160B0E" w:rsidP="001B2496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 w:rsidRPr="003C1FE8">
              <w:rPr>
                <w:rFonts w:eastAsia="Times New Roman" w:cs="Arial"/>
                <w:color w:val="000000"/>
                <w:lang w:eastAsia="pt-BR"/>
              </w:rPr>
              <w:t>Serviços de TIC - pagamento antecipado</w:t>
            </w:r>
          </w:p>
        </w:tc>
      </w:tr>
    </w:tbl>
    <w:p w14:paraId="2CBBAA13" w14:textId="77777777" w:rsidR="00E9309B" w:rsidRDefault="00E9309B" w:rsidP="00E9309B">
      <w:pPr>
        <w:spacing w:before="120"/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MTO 2021.</w:t>
      </w:r>
      <w:r w:rsidRPr="006C2D8B">
        <w:rPr>
          <w:sz w:val="20"/>
        </w:rPr>
        <w:t xml:space="preserve"> Elaboração: SOF/FAZENDA/ME.</w:t>
      </w:r>
    </w:p>
    <w:p w14:paraId="79DDAE62" w14:textId="024EEADA" w:rsidR="00FC343C" w:rsidRDefault="00403C10" w:rsidP="005607F3">
      <w:pPr>
        <w:jc w:val="both"/>
      </w:pPr>
      <w:r>
        <w:t>Ao longo do processo de revisão</w:t>
      </w:r>
      <w:r w:rsidR="00160B0E" w:rsidRPr="00F15643">
        <w:t>,</w:t>
      </w:r>
      <w:r w:rsidR="005607F3">
        <w:t xml:space="preserve"> ve</w:t>
      </w:r>
      <w:r w:rsidR="00FC343C">
        <w:t>rificaram-se</w:t>
      </w:r>
      <w:r w:rsidR="009317EF">
        <w:t xml:space="preserve"> </w:t>
      </w:r>
      <w:r w:rsidR="00FC343C" w:rsidRPr="00F15643">
        <w:t xml:space="preserve">inconsistências nos dados </w:t>
      </w:r>
      <w:r w:rsidR="00FC343C">
        <w:t>divulgados relativos a</w:t>
      </w:r>
      <w:r w:rsidR="00FC343C" w:rsidRPr="00F15643">
        <w:t>os exercícios</w:t>
      </w:r>
      <w:r w:rsidR="00FC343C">
        <w:t xml:space="preserve"> de 2011 e 2012</w:t>
      </w:r>
      <w:r w:rsidR="00FC343C" w:rsidRPr="00F15643">
        <w:t xml:space="preserve">, </w:t>
      </w:r>
      <w:r w:rsidR="000B636F">
        <w:t xml:space="preserve">decorrente da duplicação da </w:t>
      </w:r>
      <w:r w:rsidR="00FC343C">
        <w:t>natureza “</w:t>
      </w:r>
      <w:r w:rsidR="00FC343C">
        <w:rPr>
          <w:rFonts w:ascii="Calibri" w:eastAsia="Times New Roman" w:hAnsi="Calibri" w:cs="Times New Roman"/>
          <w:color w:val="000000"/>
          <w:lang w:eastAsia="pt-BR"/>
        </w:rPr>
        <w:t>33900417</w:t>
      </w:r>
      <w:r w:rsidR="00FC343C">
        <w:t>”</w:t>
      </w:r>
      <w:r w:rsidR="000B636F">
        <w:t>, o que levou à necessidade de ajuste na série histórica</w:t>
      </w:r>
      <w:r w:rsidR="00172477">
        <w:t>, com redução de valor</w:t>
      </w:r>
      <w:r w:rsidR="009317EF">
        <w:t>, conforme a Tabela 2</w:t>
      </w:r>
      <w:r w:rsidR="00FC343C">
        <w:t>.</w:t>
      </w:r>
    </w:p>
    <w:p w14:paraId="3F070EE4" w14:textId="5D1E39F5" w:rsidR="00FC343C" w:rsidRPr="002947B4" w:rsidRDefault="00FC343C" w:rsidP="00FC343C">
      <w:pPr>
        <w:jc w:val="both"/>
        <w:rPr>
          <w:b/>
          <w:sz w:val="20"/>
          <w:szCs w:val="20"/>
        </w:rPr>
      </w:pPr>
      <w:r w:rsidRPr="002947B4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>2</w:t>
      </w:r>
      <w:r w:rsidRPr="002947B4">
        <w:rPr>
          <w:b/>
          <w:sz w:val="20"/>
          <w:szCs w:val="20"/>
        </w:rPr>
        <w:t xml:space="preserve"> - Ajuste </w:t>
      </w:r>
      <w:r>
        <w:rPr>
          <w:b/>
          <w:sz w:val="20"/>
          <w:szCs w:val="20"/>
        </w:rPr>
        <w:t xml:space="preserve">nominal </w:t>
      </w:r>
      <w:r w:rsidRPr="002947B4">
        <w:rPr>
          <w:b/>
          <w:sz w:val="20"/>
          <w:szCs w:val="20"/>
        </w:rPr>
        <w:t>da série histórica do custeio</w:t>
      </w:r>
      <w:r>
        <w:rPr>
          <w:b/>
          <w:sz w:val="20"/>
          <w:szCs w:val="20"/>
        </w:rPr>
        <w:t xml:space="preserve"> </w:t>
      </w:r>
      <w:r w:rsidR="00172477">
        <w:rPr>
          <w:b/>
          <w:sz w:val="20"/>
          <w:szCs w:val="20"/>
        </w:rPr>
        <w:t>para eliminar a duplicação da</w:t>
      </w:r>
      <w:r w:rsidR="000B636F">
        <w:rPr>
          <w:b/>
          <w:sz w:val="20"/>
          <w:szCs w:val="20"/>
        </w:rPr>
        <w:t xml:space="preserve"> natureza </w:t>
      </w:r>
      <w:r w:rsidR="000B636F" w:rsidRPr="000B636F">
        <w:rPr>
          <w:b/>
          <w:sz w:val="20"/>
          <w:szCs w:val="20"/>
        </w:rPr>
        <w:t>“33900417”</w:t>
      </w:r>
      <w:r w:rsidR="000B636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(2011</w:t>
      </w:r>
      <w:r w:rsidRPr="002947B4">
        <w:rPr>
          <w:b/>
          <w:sz w:val="20"/>
          <w:szCs w:val="20"/>
        </w:rPr>
        <w:t xml:space="preserve"> </w:t>
      </w:r>
      <w:r w:rsidR="000B636F">
        <w:rPr>
          <w:b/>
          <w:sz w:val="20"/>
          <w:szCs w:val="20"/>
        </w:rPr>
        <w:t>e</w:t>
      </w:r>
      <w:r w:rsidRPr="002947B4">
        <w:rPr>
          <w:b/>
          <w:sz w:val="20"/>
          <w:szCs w:val="20"/>
        </w:rPr>
        <w:t xml:space="preserve"> 201</w:t>
      </w:r>
      <w:r w:rsidR="000B636F">
        <w:rPr>
          <w:b/>
          <w:sz w:val="20"/>
          <w:szCs w:val="20"/>
        </w:rPr>
        <w:t>2</w:t>
      </w:r>
      <w:r w:rsidRPr="002947B4">
        <w:rPr>
          <w:b/>
          <w:sz w:val="20"/>
          <w:szCs w:val="20"/>
        </w:rPr>
        <w:t>)</w:t>
      </w:r>
    </w:p>
    <w:tbl>
      <w:tblPr>
        <w:tblW w:w="496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3734"/>
        <w:gridCol w:w="3718"/>
      </w:tblGrid>
      <w:tr w:rsidR="00172477" w:rsidRPr="002947B4" w14:paraId="3E2516B2" w14:textId="77777777" w:rsidTr="002E20B4">
        <w:trPr>
          <w:trHeight w:val="426"/>
          <w:jc w:val="center"/>
        </w:trPr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14:paraId="68D1E510" w14:textId="77777777" w:rsidR="00FC343C" w:rsidRPr="00945D5E" w:rsidRDefault="00FC343C" w:rsidP="00172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2177" w:type="pct"/>
            <w:shd w:val="clear" w:color="auto" w:fill="D9D9D9" w:themeFill="background1" w:themeFillShade="D9"/>
            <w:vAlign w:val="center"/>
          </w:tcPr>
          <w:p w14:paraId="574D7C6A" w14:textId="77777777" w:rsidR="00FC343C" w:rsidRPr="00945D5E" w:rsidRDefault="00FC343C" w:rsidP="00172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antiga (sem ajuste)</w:t>
            </w:r>
          </w:p>
        </w:tc>
        <w:tc>
          <w:tcPr>
            <w:tcW w:w="2169" w:type="pct"/>
            <w:shd w:val="clear" w:color="auto" w:fill="D9D9D9" w:themeFill="background1" w:themeFillShade="D9"/>
            <w:vAlign w:val="center"/>
          </w:tcPr>
          <w:p w14:paraId="7E953BD3" w14:textId="4E831CEE" w:rsidR="00FC343C" w:rsidRPr="00945D5E" w:rsidRDefault="00FC343C" w:rsidP="00172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antiga</w:t>
            </w:r>
            <w:r w:rsidR="00172477"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(ajustada)</w:t>
            </w:r>
          </w:p>
        </w:tc>
      </w:tr>
      <w:tr w:rsidR="00172477" w:rsidRPr="00172477" w14:paraId="07775150" w14:textId="77777777" w:rsidTr="000C7750">
        <w:trPr>
          <w:trHeight w:val="440"/>
          <w:jc w:val="center"/>
        </w:trPr>
        <w:tc>
          <w:tcPr>
            <w:tcW w:w="655" w:type="pct"/>
            <w:shd w:val="clear" w:color="auto" w:fill="auto"/>
            <w:noWrap/>
            <w:vAlign w:val="center"/>
          </w:tcPr>
          <w:p w14:paraId="2FE48D0C" w14:textId="77777777" w:rsidR="00FC343C" w:rsidRPr="00945D5E" w:rsidRDefault="00FC343C" w:rsidP="00CF6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6E03CBCA" w14:textId="77777777" w:rsidR="00FC343C" w:rsidRPr="00945D5E" w:rsidRDefault="00FC343C" w:rsidP="00CF6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26.386.937.437,54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22ADFAB2" w14:textId="77777777" w:rsidR="00FC343C" w:rsidRPr="00945D5E" w:rsidRDefault="00FC343C" w:rsidP="00CF6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26.317.492.602,55</w:t>
            </w:r>
          </w:p>
        </w:tc>
      </w:tr>
      <w:tr w:rsidR="00172477" w:rsidRPr="00172477" w14:paraId="29AEB398" w14:textId="77777777" w:rsidTr="000C7750">
        <w:trPr>
          <w:trHeight w:val="440"/>
          <w:jc w:val="center"/>
        </w:trPr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07772AF4" w14:textId="77777777" w:rsidR="00FC343C" w:rsidRPr="00945D5E" w:rsidRDefault="00FC343C" w:rsidP="00CF6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01B791A9" w14:textId="77777777" w:rsidR="00FC343C" w:rsidRPr="00945D5E" w:rsidRDefault="00FC343C" w:rsidP="00CF6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29.032.291.576,75 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7A5BAAA7" w14:textId="77777777" w:rsidR="00FC343C" w:rsidRPr="00945D5E" w:rsidRDefault="00FC343C" w:rsidP="00CF63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28.927.728.321,37</w:t>
            </w:r>
          </w:p>
        </w:tc>
      </w:tr>
    </w:tbl>
    <w:p w14:paraId="2E2CA06B" w14:textId="77777777" w:rsidR="00FC343C" w:rsidRDefault="00FC343C" w:rsidP="0032003D">
      <w:pPr>
        <w:jc w:val="both"/>
      </w:pPr>
    </w:p>
    <w:p w14:paraId="16FB2192" w14:textId="5657CDF9" w:rsidR="00216C26" w:rsidRDefault="00624853" w:rsidP="0032003D">
      <w:pPr>
        <w:jc w:val="both"/>
      </w:pPr>
      <w:r>
        <w:lastRenderedPageBreak/>
        <w:t xml:space="preserve">Além da revisão do histórico de marcações, </w:t>
      </w:r>
      <w:r w:rsidR="007D72B4">
        <w:t xml:space="preserve">realizou-se um estudo comparativo entre a metodologia de definição do custeio administrativo utilizada pela </w:t>
      </w:r>
      <w:r w:rsidR="00E03982">
        <w:t>Secretaria de Orçamento Federal (</w:t>
      </w:r>
      <w:r w:rsidR="007D72B4" w:rsidRPr="00FC7210">
        <w:t>SOF</w:t>
      </w:r>
      <w:r w:rsidR="00E03982">
        <w:t>)</w:t>
      </w:r>
      <w:r w:rsidR="007D72B4" w:rsidRPr="00FC7210">
        <w:t xml:space="preserve"> e </w:t>
      </w:r>
      <w:r w:rsidR="00216C26" w:rsidRPr="002947B4">
        <w:t>o</w:t>
      </w:r>
      <w:r w:rsidR="00DE5268">
        <w:t xml:space="preserve">s custos de funcionamento </w:t>
      </w:r>
      <w:r w:rsidR="00E03982" w:rsidRPr="0032003D">
        <w:t>divulgado</w:t>
      </w:r>
      <w:r w:rsidR="00DE5268">
        <w:t>s</w:t>
      </w:r>
      <w:r w:rsidR="00E03982" w:rsidRPr="0032003D">
        <w:t xml:space="preserve"> pel</w:t>
      </w:r>
      <w:r w:rsidR="00E03982">
        <w:t>a Secretaria do</w:t>
      </w:r>
      <w:r w:rsidR="00216C26" w:rsidRPr="002947B4">
        <w:t xml:space="preserve"> Tesouro Nacional</w:t>
      </w:r>
      <w:r w:rsidR="00E03982">
        <w:t xml:space="preserve"> (STN</w:t>
      </w:r>
      <w:r w:rsidR="00DE5268">
        <w:t>)</w:t>
      </w:r>
      <w:r w:rsidR="00DE5268" w:rsidRPr="00DE5268">
        <w:t xml:space="preserve"> </w:t>
      </w:r>
      <w:r w:rsidR="00DE5268">
        <w:t>no Portal de Custos do Governo Federal</w:t>
      </w:r>
      <w:r w:rsidR="00DE5268">
        <w:rPr>
          <w:rStyle w:val="Refdenotaderodap"/>
        </w:rPr>
        <w:footnoteReference w:id="3"/>
      </w:r>
      <w:r w:rsidR="007D72B4" w:rsidRPr="00FC7210">
        <w:t xml:space="preserve">. </w:t>
      </w:r>
      <w:r w:rsidR="00E03982">
        <w:t xml:space="preserve">Assim, foram inseridas </w:t>
      </w:r>
      <w:r w:rsidR="00AC1D02">
        <w:t xml:space="preserve">109 </w:t>
      </w:r>
      <w:r w:rsidR="00E03982">
        <w:t>novas n</w:t>
      </w:r>
      <w:r w:rsidR="007D72B4">
        <w:t>aturezas</w:t>
      </w:r>
      <w:r w:rsidR="00E03982">
        <w:t xml:space="preserve"> de despesas n</w:t>
      </w:r>
      <w:r w:rsidR="00D874A0">
        <w:t>a análise da SOF</w:t>
      </w:r>
      <w:r w:rsidR="00E03982">
        <w:t xml:space="preserve">. Desse modo, a nova lista de naturezas passa a ser </w:t>
      </w:r>
      <w:r w:rsidR="00D874A0">
        <w:t>aplicada aos exercícios passados a fim de manter a coerência histórica.</w:t>
      </w:r>
      <w:r w:rsidR="00433BE7">
        <w:t xml:space="preserve"> </w:t>
      </w:r>
      <w:r w:rsidR="00AC1D02">
        <w:t xml:space="preserve">Essas novas naturezas de despesas incluídas no custeio administrativo em fevereiro de 2021 e com impacto retroativo no custeio administrativo de 2011 a 2020 estão listadas no Anexo I desta Nota Explicativa. </w:t>
      </w:r>
      <w:r w:rsidR="00433BE7">
        <w:t>Cabe ressaltar que a análise da STN relaciona-se à visão contábil de custo</w:t>
      </w:r>
      <w:r w:rsidR="00216C26">
        <w:t xml:space="preserve">, portanto, trata-se de um escopo mais abrangente que o do custeio administrativo. </w:t>
      </w:r>
    </w:p>
    <w:p w14:paraId="3EEE5F6D" w14:textId="1FDB1AB5" w:rsidR="00216C26" w:rsidRDefault="00216C26" w:rsidP="00216C26">
      <w:pPr>
        <w:jc w:val="both"/>
      </w:pPr>
      <w:r>
        <w:t xml:space="preserve">De acordo com o manual do Portal de Custos do Governo Federal, para a composição dos itens de custo utiliza-se a Natureza de Despesa Detalhada, por se tratar do atributo que melhor especifica a natureza dos recursos consumidos vinculados diretamente à execução orçamentária. Porém, com relação aos custos decorrentes de fatos </w:t>
      </w:r>
      <w:proofErr w:type="spellStart"/>
      <w:r>
        <w:t>extraorçamentários</w:t>
      </w:r>
      <w:proofErr w:type="spellEnd"/>
      <w:r>
        <w:t>, verifica-se o movimento líquido de contas contábeis, conforme o item de custo.</w:t>
      </w:r>
    </w:p>
    <w:p w14:paraId="1A888188" w14:textId="17B32EE0" w:rsidR="00781AE3" w:rsidRDefault="00AC1D02" w:rsidP="00446C41">
      <w:pPr>
        <w:jc w:val="both"/>
      </w:pPr>
      <w:r>
        <w:t>Após a inclusão das novas naturezas de despesa, o</w:t>
      </w:r>
      <w:r w:rsidR="00E82790">
        <w:t xml:space="preserve"> resultado d</w:t>
      </w:r>
      <w:r w:rsidR="00781AE3">
        <w:t>a revisão</w:t>
      </w:r>
      <w:r>
        <w:t xml:space="preserve"> do custeio administrativo, em</w:t>
      </w:r>
      <w:r w:rsidR="00781AE3">
        <w:t xml:space="preserve"> valores nominais</w:t>
      </w:r>
      <w:r>
        <w:t xml:space="preserve">, </w:t>
      </w:r>
      <w:r w:rsidR="00E82790">
        <w:t xml:space="preserve">é demonstrado </w:t>
      </w:r>
      <w:r w:rsidR="00457379">
        <w:t xml:space="preserve">na </w:t>
      </w:r>
      <w:r>
        <w:t>T</w:t>
      </w:r>
      <w:r w:rsidR="00457379">
        <w:t xml:space="preserve">abela </w:t>
      </w:r>
      <w:r w:rsidR="009317EF">
        <w:t>3</w:t>
      </w:r>
      <w:r w:rsidR="0032003D">
        <w:t xml:space="preserve"> a seguir</w:t>
      </w:r>
      <w:r w:rsidR="00781AE3">
        <w:t xml:space="preserve">. Na </w:t>
      </w:r>
      <w:r w:rsidR="00E03982">
        <w:t xml:space="preserve">segunda </w:t>
      </w:r>
      <w:r w:rsidR="00781AE3">
        <w:t>coluna</w:t>
      </w:r>
      <w:r>
        <w:t xml:space="preserve"> </w:t>
      </w:r>
      <w:r w:rsidR="00C447E9">
        <w:t>(</w:t>
      </w:r>
      <w:r>
        <w:t>Metodologia antiga ajustada)</w:t>
      </w:r>
      <w:r w:rsidR="00781AE3">
        <w:t xml:space="preserve">, aponta-se o custeio administrativo </w:t>
      </w:r>
      <w:r w:rsidR="00C447E9">
        <w:t>acrescido dos valores das naturezas incluídas em 2017</w:t>
      </w:r>
      <w:r w:rsidR="009317EF">
        <w:t>, com a correção da natureza duplicada</w:t>
      </w:r>
      <w:r w:rsidR="00781AE3">
        <w:t xml:space="preserve">. A </w:t>
      </w:r>
      <w:r w:rsidR="00E03982">
        <w:t xml:space="preserve">terceira </w:t>
      </w:r>
      <w:r w:rsidR="00781AE3">
        <w:t>coluna</w:t>
      </w:r>
      <w:r w:rsidR="00C447E9">
        <w:t xml:space="preserve"> (Incluído pela nova metodologia)</w:t>
      </w:r>
      <w:r w:rsidR="00781AE3">
        <w:t xml:space="preserve"> </w:t>
      </w:r>
      <w:r w:rsidR="00C447E9">
        <w:t>apresenta os valores nominais acrescentados pelas novas naturezas de despesas con</w:t>
      </w:r>
      <w:r w:rsidR="00FC343C">
        <w:t>s</w:t>
      </w:r>
      <w:r w:rsidR="00C447E9">
        <w:t>ideradas no ano de 2021</w:t>
      </w:r>
      <w:r w:rsidR="00781AE3">
        <w:t xml:space="preserve">. Na </w:t>
      </w:r>
      <w:r w:rsidR="00E03982">
        <w:t>última coluna</w:t>
      </w:r>
      <w:r w:rsidR="00C447E9">
        <w:t xml:space="preserve"> (Total do Novo Custeio)</w:t>
      </w:r>
      <w:r w:rsidR="00E03982">
        <w:t>,</w:t>
      </w:r>
      <w:r w:rsidR="00781AE3">
        <w:t xml:space="preserve"> explicita-se o valor nominal da série histórica acumulada do custeio administrativo depois das mudanças.</w:t>
      </w:r>
    </w:p>
    <w:p w14:paraId="5F6FCA6E" w14:textId="11C19776" w:rsidR="00457379" w:rsidRDefault="00457379" w:rsidP="00446C41">
      <w:pPr>
        <w:jc w:val="both"/>
        <w:rPr>
          <w:b/>
          <w:sz w:val="20"/>
          <w:szCs w:val="20"/>
        </w:rPr>
      </w:pPr>
      <w:proofErr w:type="gramStart"/>
      <w:r w:rsidRPr="002947B4">
        <w:rPr>
          <w:b/>
          <w:sz w:val="20"/>
          <w:szCs w:val="20"/>
        </w:rPr>
        <w:t xml:space="preserve">Tabela </w:t>
      </w:r>
      <w:r w:rsidR="009317EF">
        <w:rPr>
          <w:b/>
          <w:sz w:val="20"/>
          <w:szCs w:val="20"/>
        </w:rPr>
        <w:t>3</w:t>
      </w:r>
      <w:r w:rsidR="0032003D" w:rsidRPr="002947B4">
        <w:rPr>
          <w:b/>
          <w:sz w:val="20"/>
          <w:szCs w:val="20"/>
        </w:rPr>
        <w:t xml:space="preserve"> - </w:t>
      </w:r>
      <w:r w:rsidRPr="002947B4">
        <w:rPr>
          <w:b/>
          <w:sz w:val="20"/>
          <w:szCs w:val="20"/>
        </w:rPr>
        <w:t xml:space="preserve">Comparativo da nova </w:t>
      </w:r>
      <w:r w:rsidR="00AD739E" w:rsidRPr="002947B4">
        <w:rPr>
          <w:b/>
          <w:sz w:val="20"/>
          <w:szCs w:val="20"/>
        </w:rPr>
        <w:t xml:space="preserve">metodologia do </w:t>
      </w:r>
      <w:r w:rsidRPr="002947B4">
        <w:rPr>
          <w:b/>
          <w:sz w:val="20"/>
          <w:szCs w:val="20"/>
        </w:rPr>
        <w:t>Custeio Administrativo</w:t>
      </w:r>
      <w:proofErr w:type="gramEnd"/>
      <w:r w:rsidRPr="002947B4">
        <w:rPr>
          <w:b/>
          <w:sz w:val="20"/>
          <w:szCs w:val="20"/>
        </w:rPr>
        <w:t xml:space="preserve"> </w:t>
      </w:r>
      <w:r w:rsidR="00AD739E" w:rsidRPr="002947B4">
        <w:rPr>
          <w:b/>
          <w:sz w:val="20"/>
          <w:szCs w:val="20"/>
        </w:rPr>
        <w:t>(valores nominais)</w:t>
      </w:r>
    </w:p>
    <w:p w14:paraId="2BDE8844" w14:textId="77777777" w:rsidR="00356092" w:rsidRPr="00356092" w:rsidRDefault="00356092" w:rsidP="00356092">
      <w:pPr>
        <w:spacing w:after="0"/>
        <w:jc w:val="right"/>
        <w:rPr>
          <w:sz w:val="20"/>
          <w:szCs w:val="20"/>
        </w:rPr>
      </w:pPr>
      <w:r w:rsidRPr="00356092">
        <w:rPr>
          <w:sz w:val="20"/>
          <w:szCs w:val="20"/>
        </w:rPr>
        <w:t>Em R$ 1,00</w:t>
      </w:r>
    </w:p>
    <w:tbl>
      <w:tblPr>
        <w:tblW w:w="4838" w:type="pct"/>
        <w:tblInd w:w="2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549"/>
        <w:gridCol w:w="2411"/>
        <w:gridCol w:w="2409"/>
      </w:tblGrid>
      <w:tr w:rsidR="000C7750" w:rsidRPr="00457379" w14:paraId="27F1D302" w14:textId="77777777" w:rsidTr="002E20B4">
        <w:trPr>
          <w:trHeight w:val="631"/>
        </w:trPr>
        <w:tc>
          <w:tcPr>
            <w:tcW w:w="595" w:type="pct"/>
            <w:shd w:val="clear" w:color="auto" w:fill="D9D9D9" w:themeFill="background1" w:themeFillShade="D9"/>
            <w:vAlign w:val="center"/>
            <w:hideMark/>
          </w:tcPr>
          <w:p w14:paraId="6C46ED9C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31C9591B" w14:textId="11534AEE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antiga</w:t>
            </w:r>
          </w:p>
          <w:p w14:paraId="27FBB53A" w14:textId="250DF9B1" w:rsidR="000C7750" w:rsidRPr="00945D5E" w:rsidRDefault="000C7750" w:rsidP="00AC1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(ajustada)</w:t>
            </w:r>
          </w:p>
        </w:tc>
        <w:tc>
          <w:tcPr>
            <w:tcW w:w="1441" w:type="pct"/>
            <w:shd w:val="clear" w:color="auto" w:fill="D9D9D9" w:themeFill="background1" w:themeFillShade="D9"/>
            <w:vAlign w:val="center"/>
          </w:tcPr>
          <w:p w14:paraId="22D87D9B" w14:textId="607FCAC9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Incluído pela nova metodologia</w:t>
            </w:r>
          </w:p>
        </w:tc>
        <w:tc>
          <w:tcPr>
            <w:tcW w:w="1440" w:type="pct"/>
            <w:shd w:val="clear" w:color="auto" w:fill="D9D9D9" w:themeFill="background1" w:themeFillShade="D9"/>
            <w:vAlign w:val="center"/>
            <w:hideMark/>
          </w:tcPr>
          <w:p w14:paraId="19B74C2B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do Novo Custeio</w:t>
            </w:r>
          </w:p>
        </w:tc>
      </w:tr>
      <w:tr w:rsidR="000C7750" w:rsidRPr="000C7750" w14:paraId="4E03206B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</w:tcPr>
          <w:p w14:paraId="7CDEF678" w14:textId="68FF7AEA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40AC09A6" w14:textId="665447BC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26.317.492.602,55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22FB0F41" w14:textId="4A50E404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3.351.099.201,88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</w:tcPr>
          <w:p w14:paraId="14850450" w14:textId="1C485CCD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29.668.591.804,43</w:t>
            </w:r>
          </w:p>
        </w:tc>
      </w:tr>
      <w:tr w:rsidR="000C7750" w:rsidRPr="000C7750" w14:paraId="14E30417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0338AED9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64688D5D" w14:textId="301C9C62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28.927.728.321,37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4260CF65" w14:textId="513722D4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4.529.908.733,69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392D2B4D" w14:textId="73095AE5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33.457.637.055,06</w:t>
            </w:r>
          </w:p>
        </w:tc>
      </w:tr>
      <w:tr w:rsidR="000C7750" w:rsidRPr="000C7750" w14:paraId="71C0C0F9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64209509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2A21608D" w14:textId="61DF82A4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30.618.914.197,49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237DC699" w14:textId="6453EC40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5.497.703.018,24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367997C9" w14:textId="186AE285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36.116.617.215,73</w:t>
            </w:r>
          </w:p>
        </w:tc>
      </w:tr>
      <w:tr w:rsidR="000C7750" w:rsidRPr="000C7750" w14:paraId="65EC6BA8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0AB81130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5A08831F" w14:textId="008065A0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32.322.994.768,09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363C2872" w14:textId="7118278D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5.488.502.804,72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73B79C19" w14:textId="3E3C8506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37.811.497.572,81</w:t>
            </w:r>
          </w:p>
        </w:tc>
      </w:tr>
      <w:tr w:rsidR="000C7750" w:rsidRPr="000C7750" w14:paraId="36A2321F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39EB008C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40CB282F" w14:textId="40671CCF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33.196.853.379,35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3D33CA49" w14:textId="0F608B56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5.501.878.346,68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7C467923" w14:textId="50AAC86B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38.698.731.726,03</w:t>
            </w:r>
          </w:p>
        </w:tc>
      </w:tr>
      <w:tr w:rsidR="000C7750" w:rsidRPr="000C7750" w14:paraId="416E0B0C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0769933A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1AB64E63" w14:textId="60E5E5D1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34.873.313.266,62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7A7557DE" w14:textId="3209FE4C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5.824.129.322,66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5CBC5DF9" w14:textId="39559912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40.697.442.589,28</w:t>
            </w:r>
          </w:p>
        </w:tc>
      </w:tr>
      <w:tr w:rsidR="000C7750" w:rsidRPr="000C7750" w14:paraId="7F1DBB93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35AAB349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4FC8A5B8" w14:textId="190736B1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35.570.587.894,21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07541842" w14:textId="11981A3D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6.085.920.311,53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2CA633CB" w14:textId="345FE413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41.656.508.205,74</w:t>
            </w:r>
          </w:p>
        </w:tc>
      </w:tr>
      <w:tr w:rsidR="000C7750" w:rsidRPr="000C7750" w14:paraId="62C9400D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32B1E586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5A9A8FD9" w14:textId="486315AA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35.715.270.460,62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0D9585A0" w14:textId="4FF91FE4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7.179.678.039,91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60602070" w14:textId="4E6EAFDC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42.894.948.500,53</w:t>
            </w:r>
          </w:p>
        </w:tc>
      </w:tr>
      <w:tr w:rsidR="000C7750" w:rsidRPr="000C7750" w14:paraId="481D1013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5DAB2AFB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28716EEA" w14:textId="26598E38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36.956.868.534,03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33421A08" w14:textId="420104F5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6.909.993.262,27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220C2CBD" w14:textId="66B05FBE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43.866.861.796,30</w:t>
            </w:r>
          </w:p>
        </w:tc>
      </w:tr>
      <w:tr w:rsidR="000C7750" w:rsidRPr="000C7750" w14:paraId="5EDF4001" w14:textId="77777777" w:rsidTr="00945D5E">
        <w:trPr>
          <w:trHeight w:val="440"/>
        </w:trPr>
        <w:tc>
          <w:tcPr>
            <w:tcW w:w="595" w:type="pct"/>
            <w:shd w:val="clear" w:color="auto" w:fill="FFFFFF" w:themeFill="background1"/>
            <w:noWrap/>
            <w:vAlign w:val="center"/>
            <w:hideMark/>
          </w:tcPr>
          <w:p w14:paraId="1DFE7256" w14:textId="77777777" w:rsidR="000C7750" w:rsidRPr="00945D5E" w:rsidRDefault="000C7750" w:rsidP="00457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26CDD694" w14:textId="54E8BAB6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38.273.636.104,32</w:t>
            </w:r>
          </w:p>
        </w:tc>
        <w:tc>
          <w:tcPr>
            <w:tcW w:w="1441" w:type="pct"/>
            <w:shd w:val="clear" w:color="auto" w:fill="FFFFFF" w:themeFill="background1"/>
            <w:vAlign w:val="center"/>
          </w:tcPr>
          <w:p w14:paraId="7392202E" w14:textId="325BF3CB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6.862.725.735,34</w:t>
            </w:r>
          </w:p>
        </w:tc>
        <w:tc>
          <w:tcPr>
            <w:tcW w:w="1440" w:type="pct"/>
            <w:shd w:val="clear" w:color="auto" w:fill="FFFFFF" w:themeFill="background1"/>
            <w:noWrap/>
            <w:vAlign w:val="center"/>
            <w:hideMark/>
          </w:tcPr>
          <w:p w14:paraId="1A9B9CE8" w14:textId="1ECC3283" w:rsidR="000C7750" w:rsidRPr="00945D5E" w:rsidRDefault="000C7750" w:rsidP="000C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t-BR"/>
              </w:rPr>
              <w:t>45.136.361.839,66</w:t>
            </w:r>
          </w:p>
        </w:tc>
      </w:tr>
    </w:tbl>
    <w:p w14:paraId="3952364F" w14:textId="77777777" w:rsidR="00846D01" w:rsidRDefault="00846D01" w:rsidP="00846D01">
      <w:pPr>
        <w:spacing w:before="120"/>
        <w:rPr>
          <w:sz w:val="20"/>
        </w:rPr>
      </w:pPr>
      <w:r w:rsidRPr="006C2D8B">
        <w:rPr>
          <w:sz w:val="20"/>
        </w:rPr>
        <w:lastRenderedPageBreak/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5E890862" w14:textId="591113E5" w:rsidR="00781AE3" w:rsidRPr="000C7750" w:rsidRDefault="00781AE3" w:rsidP="00781AE3">
      <w:pPr>
        <w:jc w:val="both"/>
      </w:pPr>
      <w:r>
        <w:t xml:space="preserve">Outro ponto de destaque é a variação </w:t>
      </w:r>
      <w:r w:rsidRPr="000C7750">
        <w:t>nominal dos valores</w:t>
      </w:r>
      <w:r w:rsidR="00F87796" w:rsidRPr="000C7750">
        <w:t xml:space="preserve"> entre 2011</w:t>
      </w:r>
      <w:r w:rsidR="00AD739E" w:rsidRPr="000C7750">
        <w:t xml:space="preserve"> e 2020</w:t>
      </w:r>
      <w:r w:rsidRPr="000C7750">
        <w:t xml:space="preserve">. </w:t>
      </w:r>
      <w:r w:rsidR="00AD739E" w:rsidRPr="000C7750">
        <w:t>Na série original (</w:t>
      </w:r>
      <w:r w:rsidR="00F87796" w:rsidRPr="000C7750">
        <w:t xml:space="preserve">segunda </w:t>
      </w:r>
      <w:r w:rsidR="00AD739E" w:rsidRPr="000C7750">
        <w:t xml:space="preserve">coluna), houve incremento de </w:t>
      </w:r>
      <w:r w:rsidR="00F87796" w:rsidRPr="000C7750">
        <w:t>2,11</w:t>
      </w:r>
      <w:r w:rsidR="00AD739E" w:rsidRPr="000C7750">
        <w:t>% dos valores observados de custeio</w:t>
      </w:r>
      <w:r w:rsidR="00F87796" w:rsidRPr="000C7750">
        <w:t xml:space="preserve"> administrativo em relação à metodologia antiga</w:t>
      </w:r>
      <w:r w:rsidR="00AD739E" w:rsidRPr="000C7750">
        <w:t xml:space="preserve">. Por sua vez, </w:t>
      </w:r>
      <w:r w:rsidR="00F87796" w:rsidRPr="000C7750">
        <w:t xml:space="preserve">a série final ampliada </w:t>
      </w:r>
      <w:r w:rsidR="00AD739E" w:rsidRPr="000C7750">
        <w:t xml:space="preserve">teve incremento de </w:t>
      </w:r>
      <w:r w:rsidR="00F87796" w:rsidRPr="000C7750">
        <w:t>17</w:t>
      </w:r>
      <w:r w:rsidR="00AD739E" w:rsidRPr="000C7750">
        <w:t>,</w:t>
      </w:r>
      <w:r w:rsidR="00F87796" w:rsidRPr="000C7750">
        <w:t>56</w:t>
      </w:r>
      <w:r w:rsidR="00AD739E" w:rsidRPr="000C7750">
        <w:t xml:space="preserve">% no mesmo período. </w:t>
      </w:r>
    </w:p>
    <w:p w14:paraId="15653817" w14:textId="752DC06B" w:rsidR="00E82790" w:rsidRDefault="00AD739E" w:rsidP="00446C41">
      <w:pPr>
        <w:jc w:val="both"/>
      </w:pPr>
      <w:r w:rsidRPr="000C7750">
        <w:t xml:space="preserve">Na </w:t>
      </w:r>
      <w:r w:rsidR="00E27C6A" w:rsidRPr="000C7750">
        <w:t>T</w:t>
      </w:r>
      <w:r w:rsidRPr="000C7750">
        <w:t xml:space="preserve">abela </w:t>
      </w:r>
      <w:r w:rsidR="009317EF">
        <w:t>4</w:t>
      </w:r>
      <w:r w:rsidRPr="000C7750">
        <w:t>, os dados do custeio são apresentados em valores reais (</w:t>
      </w:r>
      <w:r w:rsidR="00E27C6A" w:rsidRPr="000C7750">
        <w:t>a preços d</w:t>
      </w:r>
      <w:r w:rsidRPr="000C7750">
        <w:t xml:space="preserve">e dezembro de 2020) de acordo com o Índice de Preços ao Consumidor Amplo (IPCA). </w:t>
      </w:r>
      <w:r w:rsidR="00E82790" w:rsidRPr="000C7750">
        <w:t xml:space="preserve">Em valores reais, a variação percentual entre </w:t>
      </w:r>
      <w:r w:rsidRPr="000C7750">
        <w:t>201</w:t>
      </w:r>
      <w:r w:rsidR="00E27C6A" w:rsidRPr="000C7750">
        <w:t>1</w:t>
      </w:r>
      <w:r w:rsidRPr="000C7750">
        <w:t xml:space="preserve"> </w:t>
      </w:r>
      <w:r w:rsidR="00E27C6A" w:rsidRPr="000C7750">
        <w:t>e 2020 foi</w:t>
      </w:r>
      <w:r w:rsidR="00E82790" w:rsidRPr="000C7750">
        <w:t xml:space="preserve"> de </w:t>
      </w:r>
      <w:r w:rsidR="00E27C6A" w:rsidRPr="000C7750">
        <w:t>2,07</w:t>
      </w:r>
      <w:r w:rsidR="00E82790" w:rsidRPr="000C7750">
        <w:t xml:space="preserve">% </w:t>
      </w:r>
      <w:r w:rsidR="00E27C6A" w:rsidRPr="000C7750">
        <w:t>ao aferir o incremento de valores de custeio administrativo com a metodologia antiga ajustada, e de 17,32% com a metodologia</w:t>
      </w:r>
      <w:r w:rsidR="00E27C6A">
        <w:t xml:space="preserve"> nova que ampliou a seleção das naturezas de despesa, todos em relação à metodologia antiga</w:t>
      </w:r>
      <w:r w:rsidR="00CF63CB">
        <w:t xml:space="preserve"> com a correção da natureza duplicada</w:t>
      </w:r>
      <w:r w:rsidR="007D72B4">
        <w:t>.</w:t>
      </w:r>
    </w:p>
    <w:p w14:paraId="7D6949AA" w14:textId="2B1B8EF5" w:rsidR="0032003D" w:rsidRDefault="009317EF" w:rsidP="0032003D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Tabela 4</w:t>
      </w:r>
      <w:r w:rsidR="0032003D" w:rsidRPr="002947B4">
        <w:rPr>
          <w:b/>
          <w:sz w:val="20"/>
          <w:szCs w:val="20"/>
        </w:rPr>
        <w:t xml:space="preserve"> - Comparativo da nova metodologia do Custeio Administrativo</w:t>
      </w:r>
      <w:proofErr w:type="gramEnd"/>
      <w:r w:rsidR="0032003D" w:rsidRPr="002947B4">
        <w:rPr>
          <w:b/>
          <w:sz w:val="20"/>
          <w:szCs w:val="20"/>
        </w:rPr>
        <w:t xml:space="preserve"> (valores reais de dezembro de 2020)</w:t>
      </w:r>
    </w:p>
    <w:p w14:paraId="130C9D03" w14:textId="65F026B9" w:rsidR="00356092" w:rsidRPr="00356092" w:rsidRDefault="00356092" w:rsidP="00356092">
      <w:pPr>
        <w:spacing w:after="0"/>
        <w:jc w:val="right"/>
        <w:rPr>
          <w:sz w:val="20"/>
          <w:szCs w:val="20"/>
        </w:rPr>
      </w:pPr>
      <w:r w:rsidRPr="00356092">
        <w:rPr>
          <w:sz w:val="20"/>
          <w:szCs w:val="20"/>
        </w:rPr>
        <w:t>Em R$ 1,00</w:t>
      </w:r>
    </w:p>
    <w:tbl>
      <w:tblPr>
        <w:tblW w:w="4859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2411"/>
        <w:gridCol w:w="2303"/>
        <w:gridCol w:w="2515"/>
      </w:tblGrid>
      <w:tr w:rsidR="009317EF" w:rsidRPr="00457379" w14:paraId="20A8BE08" w14:textId="77777777" w:rsidTr="009317EF">
        <w:trPr>
          <w:trHeight w:val="649"/>
          <w:jc w:val="center"/>
        </w:trPr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C08BF" w14:textId="77777777" w:rsidR="000B52DB" w:rsidRPr="00945D5E" w:rsidRDefault="000B52DB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43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83C11" w14:textId="2C95BEC7" w:rsidR="000B52DB" w:rsidRPr="00945D5E" w:rsidRDefault="000B52DB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Metodologia antiga</w:t>
            </w:r>
          </w:p>
          <w:p w14:paraId="49B4FFE3" w14:textId="77777777" w:rsidR="000B52DB" w:rsidRPr="00945D5E" w:rsidRDefault="000B52DB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(ajustada)</w:t>
            </w:r>
          </w:p>
        </w:tc>
        <w:tc>
          <w:tcPr>
            <w:tcW w:w="137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8BA5" w14:textId="77777777" w:rsidR="000B52DB" w:rsidRPr="00945D5E" w:rsidRDefault="000B52DB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Incluído pela nova metodologia</w:t>
            </w:r>
          </w:p>
        </w:tc>
        <w:tc>
          <w:tcPr>
            <w:tcW w:w="14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FF0D29" w14:textId="77777777" w:rsidR="000B52DB" w:rsidRPr="00945D5E" w:rsidRDefault="000B52DB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do Novo Custeio</w:t>
            </w:r>
          </w:p>
        </w:tc>
      </w:tr>
      <w:tr w:rsidR="009317EF" w:rsidRPr="00457379" w14:paraId="76DA8AF9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</w:tcPr>
          <w:p w14:paraId="4D4D4C1E" w14:textId="39125A3C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7D6664E5" w14:textId="61D4BCAA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43.620.991.632,43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5C39944F" w14:textId="39569F73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5.537.510.626,48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</w:tcPr>
          <w:p w14:paraId="27FB82ED" w14:textId="4B2FC283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49.158.502.258,91</w:t>
            </w:r>
          </w:p>
        </w:tc>
      </w:tr>
      <w:tr w:rsidR="000B52DB" w:rsidRPr="00457379" w14:paraId="5FD21231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048EEE1C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7A515A4C" w14:textId="5210412F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45.441.596.791,73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1E02034F" w14:textId="51F3A2D7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7.103.836.499,76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4E459E2D" w14:textId="3F1D1E8B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52.545.433.291,49</w:t>
            </w:r>
          </w:p>
        </w:tc>
      </w:tr>
      <w:tr w:rsidR="000B52DB" w:rsidRPr="00457379" w14:paraId="40B74F9D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1910C695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339F015F" w14:textId="66AAC7B6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45.350.377.717,31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760458AC" w14:textId="1B67FC40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8.130.465.478,29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1FCAC369" w14:textId="115E332E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53.480.843.195,60</w:t>
            </w:r>
          </w:p>
        </w:tc>
      </w:tr>
      <w:tr w:rsidR="000B52DB" w:rsidRPr="00457379" w14:paraId="2DE6770E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537603EA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71810597" w14:textId="1947991B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45.018.351.903,29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7DC06D09" w14:textId="4C2E5E1A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7.640.955.496,51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5A23E3C9" w14:textId="188907E3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52.659.307.399,80</w:t>
            </w:r>
          </w:p>
        </w:tc>
      </w:tr>
      <w:tr w:rsidR="000B52DB" w:rsidRPr="00457379" w14:paraId="0DFE9497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7D72102D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1BE3821D" w14:textId="12179D96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42.158.296.805,05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02035E71" w14:textId="77F2048E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6.982.289.533,06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564AC89A" w14:textId="5F846FC5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49.140.586.338,11</w:t>
            </w:r>
          </w:p>
        </w:tc>
      </w:tr>
      <w:tr w:rsidR="000B52DB" w:rsidRPr="00457379" w14:paraId="0C285405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7A972AC3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145066BD" w14:textId="5DE73F25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41.047.736.081,96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6B8229B7" w14:textId="2202B661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6.849.394.033,48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7B872F23" w14:textId="02257A19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47.897.130.115,44</w:t>
            </w:r>
          </w:p>
        </w:tc>
      </w:tr>
      <w:tr w:rsidR="000B52DB" w:rsidRPr="00457379" w14:paraId="08D5009D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022BF280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6B02D231" w14:textId="4204EDEF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40.580.702.473,58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66469CC2" w14:textId="00182BBF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6.941.057.660,05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3DF8B217" w14:textId="197D4F53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47.521.760.133,62</w:t>
            </w:r>
          </w:p>
        </w:tc>
      </w:tr>
      <w:tr w:rsidR="000B52DB" w:rsidRPr="00457379" w14:paraId="46D2ED70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6E853BDB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085642F0" w14:textId="299E4897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39.260.263.357,60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7052A6C2" w14:textId="768212CA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7.889.870.423,05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2DD45BCF" w14:textId="64E2DD80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47.150.133.780,64</w:t>
            </w:r>
          </w:p>
        </w:tc>
      </w:tr>
      <w:tr w:rsidR="000B52DB" w:rsidRPr="00457379" w14:paraId="670B9502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24EBC857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0471859B" w14:textId="4EFB73D8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39.129.276.699,97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121F302D" w14:textId="25414A57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7.312.625.244,07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5187EFE9" w14:textId="701A71C3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46.441.901.944,04</w:t>
            </w:r>
          </w:p>
        </w:tc>
      </w:tr>
      <w:tr w:rsidR="000B52DB" w:rsidRPr="00457379" w14:paraId="636FA2E3" w14:textId="77777777" w:rsidTr="00945D5E">
        <w:trPr>
          <w:trHeight w:val="453"/>
          <w:jc w:val="center"/>
        </w:trPr>
        <w:tc>
          <w:tcPr>
            <w:tcW w:w="697" w:type="pct"/>
            <w:shd w:val="clear" w:color="auto" w:fill="FFFFFF" w:themeFill="background1"/>
            <w:noWrap/>
            <w:vAlign w:val="center"/>
            <w:hideMark/>
          </w:tcPr>
          <w:p w14:paraId="426065FD" w14:textId="77777777" w:rsidR="000B52DB" w:rsidRPr="00945D5E" w:rsidRDefault="000B52DB" w:rsidP="00AD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435" w:type="pct"/>
            <w:shd w:val="clear" w:color="auto" w:fill="FFFFFF" w:themeFill="background1"/>
            <w:vAlign w:val="center"/>
          </w:tcPr>
          <w:p w14:paraId="073562D8" w14:textId="16756C78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39.095.145.344,12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14:paraId="261DBA55" w14:textId="6E755129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7.008.028.662,12</w:t>
            </w:r>
          </w:p>
        </w:tc>
        <w:tc>
          <w:tcPr>
            <w:tcW w:w="1497" w:type="pct"/>
            <w:shd w:val="clear" w:color="auto" w:fill="FFFFFF" w:themeFill="background1"/>
            <w:noWrap/>
            <w:vAlign w:val="center"/>
            <w:hideMark/>
          </w:tcPr>
          <w:p w14:paraId="5D821BC1" w14:textId="0B11216D" w:rsidR="000B52DB" w:rsidRPr="00945D5E" w:rsidRDefault="000B52DB" w:rsidP="002947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45D5E">
              <w:rPr>
                <w:rFonts w:ascii="Calibri" w:hAnsi="Calibri" w:cs="Calibri"/>
                <w:color w:val="000000"/>
                <w:sz w:val="20"/>
                <w:szCs w:val="20"/>
              </w:rPr>
              <w:t>46.103.174.006,24</w:t>
            </w:r>
          </w:p>
        </w:tc>
      </w:tr>
    </w:tbl>
    <w:p w14:paraId="67257882" w14:textId="13352E82" w:rsidR="00E82790" w:rsidRDefault="00AD739E" w:rsidP="00846D01">
      <w:pPr>
        <w:spacing w:after="0"/>
        <w:jc w:val="both"/>
        <w:rPr>
          <w:sz w:val="20"/>
          <w:szCs w:val="20"/>
        </w:rPr>
      </w:pPr>
      <w:r w:rsidRPr="002947B4">
        <w:rPr>
          <w:sz w:val="20"/>
          <w:szCs w:val="20"/>
        </w:rPr>
        <w:t>Nota: deflator IPCA mensal</w:t>
      </w:r>
      <w:r w:rsidR="00AC29D5">
        <w:rPr>
          <w:sz w:val="20"/>
          <w:szCs w:val="20"/>
        </w:rPr>
        <w:t xml:space="preserve"> a preços de dez/2020</w:t>
      </w:r>
      <w:r w:rsidRPr="002947B4">
        <w:rPr>
          <w:sz w:val="20"/>
          <w:szCs w:val="20"/>
        </w:rPr>
        <w:t>.</w:t>
      </w:r>
    </w:p>
    <w:p w14:paraId="1C4F2B0F" w14:textId="77777777" w:rsidR="00846D01" w:rsidRDefault="00846D01" w:rsidP="00846D01">
      <w:pPr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3C66A0CF" w14:textId="6874CF78" w:rsidR="00AD739E" w:rsidRPr="00356092" w:rsidRDefault="00AD739E" w:rsidP="00446C41">
      <w:pPr>
        <w:jc w:val="both"/>
      </w:pPr>
      <w:r>
        <w:t xml:space="preserve">O gráfico </w:t>
      </w:r>
      <w:proofErr w:type="gramStart"/>
      <w:r>
        <w:t>1</w:t>
      </w:r>
      <w:proofErr w:type="gramEnd"/>
      <w:r>
        <w:t xml:space="preserve"> apresenta o histórico do custeio administrativo </w:t>
      </w:r>
      <w:r w:rsidR="00C1696F">
        <w:t xml:space="preserve">em valores reais e aponta redução entre 2013 (pico dos gastos com custeio) e 2020 (menor valor da série) das despesas </w:t>
      </w:r>
      <w:r w:rsidR="00C1696F" w:rsidRPr="00356092">
        <w:t xml:space="preserve">administrativas consideradas na metodologia.  </w:t>
      </w:r>
    </w:p>
    <w:p w14:paraId="68AEF707" w14:textId="772B36B2" w:rsidR="005B2B76" w:rsidRPr="002947B4" w:rsidRDefault="005B2B76" w:rsidP="00446C41">
      <w:pPr>
        <w:jc w:val="both"/>
        <w:rPr>
          <w:b/>
          <w:sz w:val="20"/>
          <w:szCs w:val="20"/>
        </w:rPr>
      </w:pPr>
      <w:r w:rsidRPr="00356092">
        <w:rPr>
          <w:b/>
          <w:sz w:val="20"/>
          <w:szCs w:val="20"/>
        </w:rPr>
        <w:t>Gráfico 1</w:t>
      </w:r>
      <w:r w:rsidR="0032003D" w:rsidRPr="00356092">
        <w:rPr>
          <w:b/>
          <w:sz w:val="20"/>
          <w:szCs w:val="20"/>
        </w:rPr>
        <w:t xml:space="preserve"> - </w:t>
      </w:r>
      <w:r w:rsidRPr="00356092">
        <w:rPr>
          <w:b/>
          <w:sz w:val="20"/>
          <w:szCs w:val="20"/>
        </w:rPr>
        <w:t>Evolução das despesas de custeio administrativo entre 201</w:t>
      </w:r>
      <w:r w:rsidR="00CF63CB">
        <w:rPr>
          <w:b/>
          <w:sz w:val="20"/>
          <w:szCs w:val="20"/>
        </w:rPr>
        <w:t>1</w:t>
      </w:r>
      <w:r w:rsidRPr="00356092">
        <w:rPr>
          <w:b/>
          <w:sz w:val="20"/>
          <w:szCs w:val="20"/>
        </w:rPr>
        <w:t xml:space="preserve"> e 2020</w:t>
      </w:r>
    </w:p>
    <w:p w14:paraId="6032A283" w14:textId="3D957541" w:rsidR="00356092" w:rsidRDefault="00356092" w:rsidP="002947B4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29C0013A" wp14:editId="0649F88F">
            <wp:extent cx="5073650" cy="2679700"/>
            <wp:effectExtent l="0" t="0" r="0" b="635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DC8AB74-7D2F-46C2-A8B4-B2E64AEE50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B0DC8A" w14:textId="77777777" w:rsidR="00356092" w:rsidRDefault="00356092" w:rsidP="00356092">
      <w:pPr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1BD3C24F" w14:textId="06DEAC1C" w:rsidR="00053AF7" w:rsidRDefault="002A1525" w:rsidP="00053AF7">
      <w:pPr>
        <w:jc w:val="both"/>
        <w:rPr>
          <w:b/>
          <w:bCs/>
        </w:rPr>
      </w:pPr>
      <w:r>
        <w:t xml:space="preserve">As mudanças apresentadas nesta Nota permitem uma visão acurada e historicamente consistente das despesas de custeio administrativo. </w:t>
      </w:r>
      <w:r w:rsidR="00D874A0" w:rsidRPr="00356092">
        <w:t xml:space="preserve">A fim de dar transparência às alterações constantes da nova </w:t>
      </w:r>
      <w:r w:rsidR="00D503D5">
        <w:t xml:space="preserve">metodologia de aferição </w:t>
      </w:r>
      <w:r w:rsidR="00D874A0" w:rsidRPr="00356092">
        <w:t>do custeio, serão mantidas n</w:t>
      </w:r>
      <w:r w:rsidRPr="00356092">
        <w:t xml:space="preserve">a página </w:t>
      </w:r>
      <w:r w:rsidR="00D874A0" w:rsidRPr="00356092">
        <w:t>do Ministério da Economia as</w:t>
      </w:r>
      <w:r w:rsidR="00160B0E" w:rsidRPr="00356092">
        <w:t xml:space="preserve"> planilhas divulgadas mensalmente</w:t>
      </w:r>
      <w:r w:rsidR="00D503D5">
        <w:t xml:space="preserve"> desde 2011</w:t>
      </w:r>
      <w:r w:rsidR="00356092" w:rsidRPr="00356092">
        <w:t>,</w:t>
      </w:r>
      <w:r w:rsidR="005B2B76" w:rsidRPr="00356092">
        <w:t xml:space="preserve"> agregadas por item de custeio</w:t>
      </w:r>
      <w:r w:rsidR="00D503D5">
        <w:t xml:space="preserve">. A série histórica </w:t>
      </w:r>
      <w:r w:rsidR="00053AF7">
        <w:t xml:space="preserve">atualizada, </w:t>
      </w:r>
      <w:r w:rsidR="00D503D5">
        <w:t xml:space="preserve">sob a ótica da </w:t>
      </w:r>
      <w:r w:rsidR="00D503D5" w:rsidRPr="00053AF7">
        <w:t>revisão</w:t>
      </w:r>
      <w:r w:rsidR="0084546F" w:rsidRPr="00053AF7">
        <w:t xml:space="preserve"> das naturezas de despesa</w:t>
      </w:r>
      <w:r w:rsidR="00D874A0" w:rsidRPr="00053AF7">
        <w:t xml:space="preserve">, contendo os dados mensais </w:t>
      </w:r>
      <w:r w:rsidR="0084546F" w:rsidRPr="00053AF7">
        <w:t>de 2011 a 2020</w:t>
      </w:r>
      <w:r w:rsidR="00053AF7" w:rsidRPr="00053AF7">
        <w:t>, será apresentada na planilha relativa a dezembro de 2020 (Custeio administrativo (inclui obrigatórias) Janeiro/2020 - divulgação</w:t>
      </w:r>
      <w:proofErr w:type="gramStart"/>
      <w:r w:rsidR="00053AF7" w:rsidRPr="00053AF7">
        <w:t>)</w:t>
      </w:r>
      <w:proofErr w:type="gramEnd"/>
      <w:r w:rsidR="00053AF7">
        <w:rPr>
          <w:rStyle w:val="Refdenotaderodap"/>
        </w:rPr>
        <w:footnoteReference w:id="4"/>
      </w:r>
      <w:r w:rsidR="00053AF7" w:rsidRPr="00053AF7">
        <w:t>.</w:t>
      </w:r>
    </w:p>
    <w:p w14:paraId="25D2109D" w14:textId="77777777" w:rsidR="00053AF7" w:rsidRDefault="00053AF7" w:rsidP="00D503D5">
      <w:pPr>
        <w:jc w:val="both"/>
        <w:rPr>
          <w:b/>
          <w:bCs/>
        </w:rPr>
      </w:pPr>
      <w:bookmarkStart w:id="0" w:name="_GoBack"/>
      <w:bookmarkEnd w:id="0"/>
    </w:p>
    <w:p w14:paraId="59B42369" w14:textId="13A4CE82" w:rsidR="00D503D5" w:rsidRPr="008D5615" w:rsidRDefault="00D503D5" w:rsidP="00D503D5">
      <w:pPr>
        <w:jc w:val="both"/>
        <w:rPr>
          <w:b/>
          <w:bCs/>
        </w:rPr>
      </w:pPr>
      <w:r w:rsidRPr="008D5615">
        <w:rPr>
          <w:b/>
          <w:bCs/>
        </w:rPr>
        <w:t xml:space="preserve">ANEXO I: Naturezas Detalhadas de Despesas incluídas no </w:t>
      </w:r>
      <w:r>
        <w:rPr>
          <w:b/>
          <w:bCs/>
        </w:rPr>
        <w:t>Cu</w:t>
      </w:r>
      <w:r w:rsidRPr="008D5615">
        <w:rPr>
          <w:b/>
          <w:bCs/>
        </w:rPr>
        <w:t xml:space="preserve">steio </w:t>
      </w:r>
      <w:r>
        <w:rPr>
          <w:b/>
          <w:bCs/>
        </w:rPr>
        <w:t>A</w:t>
      </w:r>
      <w:r w:rsidRPr="008D5615">
        <w:rPr>
          <w:b/>
          <w:bCs/>
        </w:rPr>
        <w:t xml:space="preserve">dministrativo em </w:t>
      </w:r>
      <w:proofErr w:type="spellStart"/>
      <w:r w:rsidRPr="008D5615">
        <w:rPr>
          <w:b/>
          <w:bCs/>
        </w:rPr>
        <w:t>fev</w:t>
      </w:r>
      <w:proofErr w:type="spellEnd"/>
      <w:r w:rsidRPr="008D5615">
        <w:rPr>
          <w:b/>
          <w:bCs/>
        </w:rPr>
        <w:t>/2021</w:t>
      </w:r>
      <w:r>
        <w:rPr>
          <w:b/>
          <w:bCs/>
        </w:rPr>
        <w:t xml:space="preserve">.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311"/>
      </w:tblGrid>
      <w:tr w:rsidR="00D503D5" w:rsidRPr="00AE6D0B" w14:paraId="5434770A" w14:textId="77777777" w:rsidTr="00C900B5">
        <w:trPr>
          <w:trHeight w:val="580"/>
          <w:tblHeader/>
        </w:trPr>
        <w:tc>
          <w:tcPr>
            <w:tcW w:w="3189" w:type="dxa"/>
            <w:shd w:val="clear" w:color="auto" w:fill="D9D9D9" w:themeFill="background1" w:themeFillShade="D9"/>
            <w:vAlign w:val="center"/>
            <w:hideMark/>
          </w:tcPr>
          <w:p w14:paraId="6EBF48B6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Natureza detalhada </w:t>
            </w:r>
            <w:r w:rsidRPr="00D503D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  <w:t xml:space="preserve">até o nível de </w:t>
            </w:r>
            <w:proofErr w:type="spellStart"/>
            <w:r w:rsidRPr="00D503D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subelemento</w:t>
            </w:r>
            <w:proofErr w:type="spellEnd"/>
          </w:p>
        </w:tc>
        <w:tc>
          <w:tcPr>
            <w:tcW w:w="5311" w:type="dxa"/>
            <w:shd w:val="clear" w:color="auto" w:fill="D9D9D9" w:themeFill="background1" w:themeFillShade="D9"/>
            <w:noWrap/>
            <w:vAlign w:val="center"/>
            <w:hideMark/>
          </w:tcPr>
          <w:p w14:paraId="3B55589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 de custeio</w:t>
            </w:r>
          </w:p>
        </w:tc>
      </w:tr>
      <w:tr w:rsidR="00D503D5" w:rsidRPr="00AE6D0B" w14:paraId="14CEB4E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BC7A0D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33900417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472024B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2 - Contratação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Temporária</w:t>
            </w:r>
          </w:p>
        </w:tc>
      </w:tr>
      <w:tr w:rsidR="00D503D5" w:rsidRPr="00AE6D0B" w14:paraId="569CB4C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8FF3B4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33903004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2926E4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1FDB195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4D088E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33903015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F21698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2ADD29A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367232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33903019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6BB4F48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754A9BE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194348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33903020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DB0DE3D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57CA87D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A4BFF24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33903021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087E0D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793D856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FCAA2E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33903022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BD8DA5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1FBB0F8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83306F3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33903025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89E65F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3A91416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64F4A24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33903029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ADC2557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313B5E6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1874BE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33903030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E78F427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02D6FA3E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DA14DF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039C21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190479A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C4ADDD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33903042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F2E29C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1328503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BBB5D6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DFC4D2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68EC6CE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C995A2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223F7F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4F89A03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11A161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lastRenderedPageBreak/>
              <w:t>33903046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0CEFB3F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64C35E5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DD523D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4CCED9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00D91DB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607416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33903049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F656B7B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2CB0B22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455824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33903050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F745368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0943524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1AF83D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33903096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562C59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0424A52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6B8438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33903099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602CAA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62012E5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CE0D67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33903304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8911C8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58D1E29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25B35F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33903305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03127D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5BD9A7C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6EE3D8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33903307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CBC38BD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57D8619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806D74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33903308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97CE7E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2966817F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32539F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33903310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62EB87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38E53B1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C82B2B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33903399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D0DE3B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  <w:tr w:rsidR="00D503D5" w:rsidRPr="00AE6D0B" w14:paraId="6D0F7DC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D18E53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33903601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F1ED64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CD178A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659B55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33903611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A8E369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5523FAB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B0F70A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33903613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A6238A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563F6ED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0552F9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33903614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F0FA52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37F0ED8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A8CAF6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33903616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2321F8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5 - Locação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de Máquinas e Equipamentos</w:t>
            </w:r>
          </w:p>
        </w:tc>
      </w:tr>
      <w:tr w:rsidR="00D503D5" w:rsidRPr="00AE6D0B" w14:paraId="741B27F0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0D4A883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33903620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9516EF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8 - Locações de Mão-de-Obra e Terceirização</w:t>
            </w:r>
          </w:p>
        </w:tc>
      </w:tr>
      <w:tr w:rsidR="00D503D5" w:rsidRPr="00AE6D0B" w14:paraId="4AFC31C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0D8081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33903621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ABB356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7 - Manutenção e Conservação de Equipamentos</w:t>
            </w:r>
          </w:p>
        </w:tc>
      </w:tr>
      <w:tr w:rsidR="00D503D5" w:rsidRPr="00AE6D0B" w14:paraId="6E777F6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80E106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33903623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E9753D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20 - Material de Consumo</w:t>
            </w:r>
            <w:proofErr w:type="gramEnd"/>
          </w:p>
        </w:tc>
      </w:tr>
      <w:tr w:rsidR="00D503D5" w:rsidRPr="00AE6D0B" w14:paraId="4C61B25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9602DC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33903626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9C9C39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14 - Serviços de Limpeza e Conservação</w:t>
            </w:r>
          </w:p>
        </w:tc>
      </w:tr>
      <w:tr w:rsidR="00D503D5" w:rsidRPr="00AE6D0B" w14:paraId="166F738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B040494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33903628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430927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C252CC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CB0313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33903636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E5D4B7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14 - Serviços de Limpeza e Conservação</w:t>
            </w:r>
          </w:p>
        </w:tc>
      </w:tr>
      <w:tr w:rsidR="00D503D5" w:rsidRPr="00AE6D0B" w14:paraId="763F0B8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933EDF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33903637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83CF99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45B2E09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BAA7B2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33903638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642A4A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1667A1F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A5F302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33903639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0C87CC7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59D7A83E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0BCE84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33903647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A28C9F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133B75D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15E4B3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33903654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979082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2E900A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B24D4F4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33903654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F0A8DA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61CB1B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FCA0CE9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33903657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55E1A1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2B57359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5DA718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33903657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8421CC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47AB11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BAEE0C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33903659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EF1273B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62A7C42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1E98599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33903663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6B6ECCF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58A3A4A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91DD03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33903666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7CA582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E175A63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8F0A37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33903669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2BCBFCF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0E5C079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0F38146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33903680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8B33743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22 - Diárias</w:t>
            </w:r>
          </w:p>
        </w:tc>
      </w:tr>
      <w:tr w:rsidR="00D503D5" w:rsidRPr="00AE6D0B" w14:paraId="70EB64C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B9B13A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33903689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74EB11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6 - Manutenção e Conservação de Bens Imóveis</w:t>
            </w:r>
          </w:p>
        </w:tc>
      </w:tr>
      <w:tr w:rsidR="00D503D5" w:rsidRPr="00AE6D0B" w14:paraId="77B7C6F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186792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33903699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EE2392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4C20240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059C3B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33903707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EB6C57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8 - Locações de Mão-de-Obra e Terceirização</w:t>
            </w:r>
          </w:p>
        </w:tc>
      </w:tr>
      <w:tr w:rsidR="00D503D5" w:rsidRPr="00AE6D0B" w14:paraId="65F0F48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1DD4EE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33903708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228E54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8 - Locações de Mão-de-Obra e Terceirização</w:t>
            </w:r>
          </w:p>
        </w:tc>
      </w:tr>
      <w:tr w:rsidR="00D503D5" w:rsidRPr="00AE6D0B" w14:paraId="68F581F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7E235D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33903709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C39300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0148701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D86FA4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33903727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E3D509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1404FB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300082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33903728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345A10D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608DC1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B3EA06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33903790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C9B89F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4EA11440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CF12963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lastRenderedPageBreak/>
              <w:t>33903805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ACDA78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6 - Manutenção e Conservação de Bens Imóveis</w:t>
            </w:r>
          </w:p>
        </w:tc>
      </w:tr>
      <w:tr w:rsidR="00D503D5" w:rsidRPr="00AE6D0B" w14:paraId="36284F5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492C12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33903904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D08D03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1B1C933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3782DB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33903909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47DD9E1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25CBFF3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249406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33903911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F39C1C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748AEBA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E0B51A7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33903914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34837A1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5 - Locação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de Máquinas e Equipamentos</w:t>
            </w:r>
          </w:p>
        </w:tc>
      </w:tr>
      <w:tr w:rsidR="00D503D5" w:rsidRPr="00AE6D0B" w14:paraId="27581BF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07F99E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33903922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A3ED403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5A8940E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A35479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9075D0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0E8BA24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E8B591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2E6E27D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6FF74C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DDDB24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D0DD70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5154AC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12F971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9C4FC7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349A988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CE271F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63AB0B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9051507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9DB2FE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33903928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8CA03E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7AE300BE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3049266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33903930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1711943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5508DEC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1A07E5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33903931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51AEF0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4C75B4E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E61814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33903945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DA98C3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343B693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AAA23B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33903946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C27F6FF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14 - Serviços de Limpeza e Conservação</w:t>
            </w:r>
          </w:p>
        </w:tc>
      </w:tr>
      <w:tr w:rsidR="00D503D5" w:rsidRPr="00AE6D0B" w14:paraId="2955C5C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640D90B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33903948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0D36851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0519675A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A91B27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33903949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278888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6F5FCCF7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A9E9AC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33903956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1A5594D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6117E1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947127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33903959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69B7CD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71D3D57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81E98A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33903963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8D36B9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3B8C9B0C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6B17DB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33903966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22FB70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35B969C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C24F49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33903968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0C8783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14 - Serviços de Limpeza e Conservação</w:t>
            </w:r>
          </w:p>
        </w:tc>
      </w:tr>
      <w:tr w:rsidR="00D503D5" w:rsidRPr="00AE6D0B" w14:paraId="681C51F7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51C5BF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33903969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C014762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8FFD31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18168F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33903970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CA5A03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56849BF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952F2D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33903971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E3B5DA7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2463667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385F694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33903975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F57BFB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0B5F59F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45DBA0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33903976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AB70C4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18 - Serviços de Consultoria</w:t>
            </w:r>
          </w:p>
        </w:tc>
      </w:tr>
      <w:tr w:rsidR="00D503D5" w:rsidRPr="00AE6D0B" w14:paraId="3338B71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40BEFF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33903980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90295C7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22 - Diárias</w:t>
            </w:r>
          </w:p>
        </w:tc>
      </w:tr>
      <w:tr w:rsidR="00D503D5" w:rsidRPr="00AE6D0B" w14:paraId="17EDB1A7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1D5490C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33903982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E601AB8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23E0032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4C51EF9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33903986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941FEF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82FDA8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63E5E7C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33903988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05FA8E4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7640CE4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EDE7BFA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33903989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846FC11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6 - Manutenção e Conservação de Bens Imóveis</w:t>
            </w:r>
          </w:p>
        </w:tc>
      </w:tr>
      <w:tr w:rsidR="00D503D5" w:rsidRPr="00AE6D0B" w14:paraId="66A284D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F3632D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33903990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D48383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19D8B85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3CE9ED9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33903991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8B0988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11 - Serviços de Comunicação em Geral</w:t>
            </w:r>
          </w:p>
        </w:tc>
      </w:tr>
      <w:tr w:rsidR="00D503D5" w:rsidRPr="00AE6D0B" w14:paraId="43368EC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A24525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33903994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E76EB88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C1087CE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F106859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33903999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37FE211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D503D5">
              <w:rPr>
                <w:rFonts w:eastAsia="Times New Roman" w:cstheme="minorHAnsi"/>
                <w:color w:val="000000"/>
                <w:lang w:eastAsia="pt-BR"/>
              </w:rPr>
              <w:t>19 - Apoio</w:t>
            </w:r>
            <w:proofErr w:type="gramEnd"/>
            <w:r w:rsidRPr="00D503D5">
              <w:rPr>
                <w:rFonts w:eastAsia="Times New Roman" w:cstheme="minorHAnsi"/>
                <w:color w:val="000000"/>
                <w:lang w:eastAsia="pt-BR"/>
              </w:rPr>
              <w:t xml:space="preserve"> Administrativo, Técnico e Operacional</w:t>
            </w:r>
          </w:p>
        </w:tc>
      </w:tr>
      <w:tr w:rsidR="00D503D5" w:rsidRPr="00AE6D0B" w14:paraId="60CF70C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136DDA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0E308A5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53F4D8B3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1125EC5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33904002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6E896F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24ECB1F7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32A29CF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392E1C9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05B45E5B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7741152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33904004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AC9404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5C882B2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3948C1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33904005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4D04A8B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2A7C386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584ADC73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33904006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4AF8164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159C6489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A8BA1C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33904008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59C92BA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12AE8025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2BC99E75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lastRenderedPageBreak/>
              <w:t>33904009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0D0BB4E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3110E456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B76D8FE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33904010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296F620A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483C3C14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01494C0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33904011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609B7DF6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0B16D01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49D9B2D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33904017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3FADD6D0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658D76E1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538E23D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33904018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724BEB44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074C114D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7F167438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33904019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B758A6C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15 - Serviços de Processamento de Dados</w:t>
            </w:r>
          </w:p>
        </w:tc>
      </w:tr>
      <w:tr w:rsidR="00D503D5" w:rsidRPr="00AE6D0B" w14:paraId="726E2538" w14:textId="77777777" w:rsidTr="00D503D5">
        <w:trPr>
          <w:trHeight w:val="290"/>
        </w:trPr>
        <w:tc>
          <w:tcPr>
            <w:tcW w:w="3189" w:type="dxa"/>
            <w:shd w:val="clear" w:color="auto" w:fill="FFFFFF" w:themeFill="background1"/>
            <w:noWrap/>
            <w:vAlign w:val="center"/>
            <w:hideMark/>
          </w:tcPr>
          <w:p w14:paraId="0C407611" w14:textId="77777777" w:rsidR="00D503D5" w:rsidRPr="00D503D5" w:rsidRDefault="00D503D5" w:rsidP="004E4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33904903</w:t>
            </w:r>
          </w:p>
        </w:tc>
        <w:tc>
          <w:tcPr>
            <w:tcW w:w="5311" w:type="dxa"/>
            <w:shd w:val="clear" w:color="auto" w:fill="FFFFFF" w:themeFill="background1"/>
            <w:noWrap/>
            <w:vAlign w:val="center"/>
            <w:hideMark/>
          </w:tcPr>
          <w:p w14:paraId="1FFE1B68" w14:textId="77777777" w:rsidR="00D503D5" w:rsidRPr="00D503D5" w:rsidRDefault="00D503D5" w:rsidP="004E42B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503D5">
              <w:rPr>
                <w:rFonts w:eastAsia="Times New Roman" w:cstheme="minorHAnsi"/>
                <w:color w:val="000000"/>
                <w:lang w:eastAsia="pt-BR"/>
              </w:rPr>
              <w:t>23 - Passagens e Despesas com Locomoção</w:t>
            </w:r>
          </w:p>
        </w:tc>
      </w:tr>
    </w:tbl>
    <w:p w14:paraId="0696B747" w14:textId="77777777" w:rsidR="00D503D5" w:rsidRDefault="00D503D5" w:rsidP="00D503D5">
      <w:pPr>
        <w:spacing w:before="120"/>
        <w:rPr>
          <w:sz w:val="20"/>
        </w:rPr>
      </w:pPr>
      <w:r w:rsidRPr="006C2D8B">
        <w:rPr>
          <w:sz w:val="20"/>
        </w:rPr>
        <w:t>Fonte</w:t>
      </w:r>
      <w:r>
        <w:rPr>
          <w:sz w:val="20"/>
        </w:rPr>
        <w:t>: SIOP e SIAFI.</w:t>
      </w:r>
      <w:r w:rsidRPr="006C2D8B">
        <w:rPr>
          <w:sz w:val="20"/>
        </w:rPr>
        <w:t xml:space="preserve"> Elaboração: SOF/FAZENDA/ME.</w:t>
      </w:r>
    </w:p>
    <w:p w14:paraId="5F01E1DA" w14:textId="77777777" w:rsidR="00D503D5" w:rsidRDefault="00D503D5" w:rsidP="00D503D5"/>
    <w:p w14:paraId="04736346" w14:textId="77777777" w:rsidR="00D503D5" w:rsidRDefault="00D503D5" w:rsidP="00160B0E">
      <w:pPr>
        <w:jc w:val="both"/>
        <w:rPr>
          <w:highlight w:val="yellow"/>
        </w:rPr>
      </w:pPr>
    </w:p>
    <w:p w14:paraId="6F50A914" w14:textId="77777777" w:rsidR="00D503D5" w:rsidRPr="002947B4" w:rsidRDefault="00D503D5" w:rsidP="00160B0E">
      <w:pPr>
        <w:jc w:val="both"/>
        <w:rPr>
          <w:highlight w:val="yellow"/>
        </w:rPr>
      </w:pPr>
    </w:p>
    <w:sectPr w:rsidR="00D503D5" w:rsidRPr="0029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0653B" w14:textId="77777777" w:rsidR="009B4A4F" w:rsidRDefault="009B4A4F" w:rsidP="00195CA1">
      <w:pPr>
        <w:spacing w:after="0" w:line="240" w:lineRule="auto"/>
      </w:pPr>
      <w:r>
        <w:separator/>
      </w:r>
    </w:p>
  </w:endnote>
  <w:endnote w:type="continuationSeparator" w:id="0">
    <w:p w14:paraId="5CA42837" w14:textId="77777777" w:rsidR="009B4A4F" w:rsidRDefault="009B4A4F" w:rsidP="0019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C5404" w14:textId="77777777" w:rsidR="009B4A4F" w:rsidRDefault="009B4A4F" w:rsidP="00195CA1">
      <w:pPr>
        <w:spacing w:after="0" w:line="240" w:lineRule="auto"/>
      </w:pPr>
      <w:r>
        <w:separator/>
      </w:r>
    </w:p>
  </w:footnote>
  <w:footnote w:type="continuationSeparator" w:id="0">
    <w:p w14:paraId="48EC2436" w14:textId="77777777" w:rsidR="009B4A4F" w:rsidRDefault="009B4A4F" w:rsidP="00195CA1">
      <w:pPr>
        <w:spacing w:after="0" w:line="240" w:lineRule="auto"/>
      </w:pPr>
      <w:r>
        <w:continuationSeparator/>
      </w:r>
    </w:p>
  </w:footnote>
  <w:footnote w:id="1">
    <w:p w14:paraId="07F2D234" w14:textId="5449A9CE" w:rsidR="00CF63CB" w:rsidRDefault="00CF63CB" w:rsidP="00C873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Conforme apresentado no Manual Técnico do Orçamento, 2020, item “</w:t>
      </w:r>
      <w:r w:rsidRPr="00EF6DE6">
        <w:t>4.6.2.1 Natureza da despesa</w:t>
      </w:r>
      <w:r>
        <w:t xml:space="preserve">”, no endereço: </w:t>
      </w:r>
      <w:hyperlink r:id="rId1" w:history="1">
        <w:r>
          <w:rPr>
            <w:rStyle w:val="Hyperlink"/>
          </w:rPr>
          <w:t>https://www1.siop.planejamento.gov.br/mto/doku.php/mto2020:cap4</w:t>
        </w:r>
      </w:hyperlink>
    </w:p>
  </w:footnote>
  <w:footnote w:id="2">
    <w:p w14:paraId="2D4219B4" w14:textId="628242C9" w:rsidR="00CF63CB" w:rsidRDefault="00CF63CB" w:rsidP="00C8734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Excluem-se as despesas dos órgãos e entidades dos poderes Legislativo e Judiciário, o Tribunal de Contas da União, a Defensoria Pública da União, o Ministério Público da União e o Conselho Nacional do Ministério </w:t>
      </w:r>
      <w:proofErr w:type="gramStart"/>
      <w:r>
        <w:t>Público</w:t>
      </w:r>
      <w:proofErr w:type="gramEnd"/>
    </w:p>
  </w:footnote>
  <w:footnote w:id="3">
    <w:p w14:paraId="60AE9CCF" w14:textId="246FDAAB" w:rsidR="00CF63CB" w:rsidRDefault="00CF63CB" w:rsidP="00C87346">
      <w:pPr>
        <w:pStyle w:val="Textodenotaderodap"/>
      </w:pPr>
      <w:r>
        <w:rPr>
          <w:rStyle w:val="Refdenotaderodap"/>
        </w:rPr>
        <w:footnoteRef/>
      </w:r>
      <w:r>
        <w:t xml:space="preserve"> Página do Portal de Custos do Governo Federal: </w:t>
      </w:r>
      <w:proofErr w:type="gramStart"/>
      <w:r w:rsidRPr="00DE5268">
        <w:t>https</w:t>
      </w:r>
      <w:proofErr w:type="gramEnd"/>
      <w:r w:rsidRPr="00DE5268">
        <w:t>://www.tesourotransparente.gov.br/visualizacao/portal-de-custos-do-governo-federal</w:t>
      </w:r>
    </w:p>
    <w:p w14:paraId="692A9F88" w14:textId="77777777" w:rsidR="00CF63CB" w:rsidRDefault="00CF63CB">
      <w:pPr>
        <w:pStyle w:val="Textodenotaderodap"/>
      </w:pPr>
    </w:p>
  </w:footnote>
  <w:footnote w:id="4">
    <w:p w14:paraId="30EF9E57" w14:textId="0D8E4C35" w:rsidR="00CF63CB" w:rsidRDefault="00CF63CB">
      <w:pPr>
        <w:pStyle w:val="Textodenotaderodap"/>
      </w:pPr>
      <w:r>
        <w:rPr>
          <w:rStyle w:val="Refdenotaderodap"/>
        </w:rPr>
        <w:footnoteRef/>
      </w:r>
      <w:r>
        <w:t xml:space="preserve"> Página do Boletim do Custeio Administrativo: </w:t>
      </w:r>
      <w:proofErr w:type="gramStart"/>
      <w:r w:rsidRPr="00053AF7">
        <w:t>https</w:t>
      </w:r>
      <w:proofErr w:type="gramEnd"/>
      <w:r w:rsidRPr="00053AF7">
        <w:t>://www.gov.br/economia/pt-br/centrais-de-conteudo/publicacoes/boletins/boletim-de-custeio-administrativo/series-historicas-de-despesas/2020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elo">
    <w15:presenceInfo w15:providerId="Windows Live" w15:userId="e426a64883dd4265"/>
  </w15:person>
  <w15:person w15:author="Rejane Carvalho">
    <w15:presenceInfo w15:providerId="Windows Live" w15:userId="be3177468e2d65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0E"/>
    <w:rsid w:val="00027AD8"/>
    <w:rsid w:val="00045BE0"/>
    <w:rsid w:val="00053AF7"/>
    <w:rsid w:val="000B32CB"/>
    <w:rsid w:val="000B52DB"/>
    <w:rsid w:val="000B636F"/>
    <w:rsid w:val="000C7750"/>
    <w:rsid w:val="000E2BA4"/>
    <w:rsid w:val="000F4942"/>
    <w:rsid w:val="000F59C0"/>
    <w:rsid w:val="00156555"/>
    <w:rsid w:val="00160B0E"/>
    <w:rsid w:val="00171937"/>
    <w:rsid w:val="00172477"/>
    <w:rsid w:val="00195CA1"/>
    <w:rsid w:val="001B2496"/>
    <w:rsid w:val="001B51E1"/>
    <w:rsid w:val="001E1BE9"/>
    <w:rsid w:val="00216C26"/>
    <w:rsid w:val="002376E7"/>
    <w:rsid w:val="002947B4"/>
    <w:rsid w:val="002A1525"/>
    <w:rsid w:val="002B2800"/>
    <w:rsid w:val="002E20B4"/>
    <w:rsid w:val="00314F7F"/>
    <w:rsid w:val="0032003D"/>
    <w:rsid w:val="00325663"/>
    <w:rsid w:val="00340264"/>
    <w:rsid w:val="00356092"/>
    <w:rsid w:val="00361408"/>
    <w:rsid w:val="00375916"/>
    <w:rsid w:val="003854B0"/>
    <w:rsid w:val="003B7597"/>
    <w:rsid w:val="00403C10"/>
    <w:rsid w:val="00433BE7"/>
    <w:rsid w:val="00446C41"/>
    <w:rsid w:val="00457379"/>
    <w:rsid w:val="00472CFE"/>
    <w:rsid w:val="0047738A"/>
    <w:rsid w:val="004E10F8"/>
    <w:rsid w:val="004E42B7"/>
    <w:rsid w:val="004F4BF0"/>
    <w:rsid w:val="0055679B"/>
    <w:rsid w:val="005607F3"/>
    <w:rsid w:val="00596411"/>
    <w:rsid w:val="005B2B76"/>
    <w:rsid w:val="005B7BA4"/>
    <w:rsid w:val="005E0B6D"/>
    <w:rsid w:val="005E3960"/>
    <w:rsid w:val="006122EF"/>
    <w:rsid w:val="00624853"/>
    <w:rsid w:val="0063064D"/>
    <w:rsid w:val="00666655"/>
    <w:rsid w:val="00684BD0"/>
    <w:rsid w:val="00720B30"/>
    <w:rsid w:val="007647A5"/>
    <w:rsid w:val="00775194"/>
    <w:rsid w:val="00781AE3"/>
    <w:rsid w:val="00793B8D"/>
    <w:rsid w:val="007A0256"/>
    <w:rsid w:val="007D72B4"/>
    <w:rsid w:val="007E7BA5"/>
    <w:rsid w:val="007F1987"/>
    <w:rsid w:val="00826250"/>
    <w:rsid w:val="0084546F"/>
    <w:rsid w:val="00846D01"/>
    <w:rsid w:val="00863BD2"/>
    <w:rsid w:val="008B55F3"/>
    <w:rsid w:val="008B7D15"/>
    <w:rsid w:val="00901F24"/>
    <w:rsid w:val="009317EF"/>
    <w:rsid w:val="009419B9"/>
    <w:rsid w:val="00945D5E"/>
    <w:rsid w:val="009527B1"/>
    <w:rsid w:val="00955522"/>
    <w:rsid w:val="009B4A4F"/>
    <w:rsid w:val="00A23F12"/>
    <w:rsid w:val="00A575C7"/>
    <w:rsid w:val="00AC1D02"/>
    <w:rsid w:val="00AC29D5"/>
    <w:rsid w:val="00AD1C96"/>
    <w:rsid w:val="00AD739E"/>
    <w:rsid w:val="00B91727"/>
    <w:rsid w:val="00BA0302"/>
    <w:rsid w:val="00C1696F"/>
    <w:rsid w:val="00C442E3"/>
    <w:rsid w:val="00C447E9"/>
    <w:rsid w:val="00C737AB"/>
    <w:rsid w:val="00C87346"/>
    <w:rsid w:val="00C900B5"/>
    <w:rsid w:val="00CA518A"/>
    <w:rsid w:val="00CF63CB"/>
    <w:rsid w:val="00D30BC2"/>
    <w:rsid w:val="00D503D5"/>
    <w:rsid w:val="00D55B87"/>
    <w:rsid w:val="00D874A0"/>
    <w:rsid w:val="00DA574B"/>
    <w:rsid w:val="00DE5268"/>
    <w:rsid w:val="00E00DFE"/>
    <w:rsid w:val="00E03982"/>
    <w:rsid w:val="00E1777B"/>
    <w:rsid w:val="00E27C6A"/>
    <w:rsid w:val="00E64F61"/>
    <w:rsid w:val="00E82790"/>
    <w:rsid w:val="00E9309B"/>
    <w:rsid w:val="00EC074B"/>
    <w:rsid w:val="00F13920"/>
    <w:rsid w:val="00F32763"/>
    <w:rsid w:val="00F452F0"/>
    <w:rsid w:val="00F52EEF"/>
    <w:rsid w:val="00F87796"/>
    <w:rsid w:val="00FC343C"/>
    <w:rsid w:val="00FC7210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2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0E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053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60B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0B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0B0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B0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5C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5CA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5CA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A1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2B76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053A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4E42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0E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053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60B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0B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0B0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B0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5C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5CA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5CA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A1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2B76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053A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4E4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siop.planejamento.gov.br/mto/doku.php/mto2020:cap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ejane\Documents\Home_Office\Projetos\Custeio_Adm\REVISAO\Dados_Revisados\Tabelas_valores_nota_tecnic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'Tabela 3 NT - Valores Reais'!$H$31</c:f>
              <c:strCache>
                <c:ptCount val="1"/>
                <c:pt idx="0">
                  <c:v> Total do Custeio Administrativo
(bilhões de R$)</c:v>
                </c:pt>
              </c:strCache>
            </c:strRef>
          </c:tx>
          <c:spPr>
            <a:ln w="38100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53894764249165E-3"/>
                  <c:y val="7.12520948671755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2-4E01-BDFE-9D9E6F3C9050}"/>
                </c:ext>
              </c:extLst>
            </c:dLbl>
            <c:dLbl>
              <c:idx val="4"/>
              <c:layout>
                <c:manualLayout>
                  <c:x val="-2.9086451211472592E-2"/>
                  <c:y val="-5.8142732158480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42-4E01-BDFE-9D9E6F3C905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'Tabela 3 NT - Valores Reais'!$G$32:$G$41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xVal>
          <c:yVal>
            <c:numRef>
              <c:f>'Tabela 3 NT - Valores Reais'!$H$32:$H$41</c:f>
              <c:numCache>
                <c:formatCode>#,#00</c:formatCode>
                <c:ptCount val="10"/>
                <c:pt idx="0">
                  <c:v>49.158502258911682</c:v>
                </c:pt>
                <c:pt idx="1">
                  <c:v>52.54543329149115</c:v>
                </c:pt>
                <c:pt idx="2">
                  <c:v>53.480843195597011</c:v>
                </c:pt>
                <c:pt idx="3">
                  <c:v>52.659307399798529</c:v>
                </c:pt>
                <c:pt idx="4">
                  <c:v>49.140586338108641</c:v>
                </c:pt>
                <c:pt idx="5">
                  <c:v>47.897130115442131</c:v>
                </c:pt>
                <c:pt idx="6">
                  <c:v>47.521760133624717</c:v>
                </c:pt>
                <c:pt idx="7">
                  <c:v>47.15013378064171</c:v>
                </c:pt>
                <c:pt idx="8">
                  <c:v>46.441901944039998</c:v>
                </c:pt>
                <c:pt idx="9">
                  <c:v>46.103174006237616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842-4E01-BDFE-9D9E6F3C9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116992"/>
        <c:axId val="126118912"/>
      </c:scatterChart>
      <c:valAx>
        <c:axId val="126116992"/>
        <c:scaling>
          <c:orientation val="minMax"/>
          <c:max val="2020"/>
          <c:min val="201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800">
                    <a:solidFill>
                      <a:sysClr val="windowText" lastClr="000000"/>
                    </a:solidFill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118912"/>
        <c:crosses val="autoZero"/>
        <c:crossBetween val="midCat"/>
      </c:valAx>
      <c:valAx>
        <c:axId val="12611891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800" b="0" i="0" baseline="0">
                    <a:solidFill>
                      <a:sysClr val="windowText" lastClr="000000"/>
                    </a:solidFill>
                    <a:effectLst/>
                  </a:rPr>
                  <a:t>Total do Custeio Adm.</a:t>
                </a:r>
              </a:p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800" b="0" i="0" baseline="0">
                    <a:solidFill>
                      <a:sysClr val="windowText" lastClr="000000"/>
                    </a:solidFill>
                    <a:effectLst/>
                  </a:rPr>
                  <a:t> </a:t>
                </a:r>
                <a:r>
                  <a:rPr lang="en-US" sz="800" b="0" i="0" baseline="0">
                    <a:solidFill>
                      <a:sysClr val="windowText" lastClr="000000"/>
                    </a:solidFill>
                    <a:effectLst/>
                  </a:rPr>
                  <a:t>(bilhões de R$)</a:t>
                </a:r>
                <a:endParaRPr lang="pt-BR" sz="800">
                  <a:solidFill>
                    <a:sysClr val="windowText" lastClr="000000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116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D657-2DF0-44C2-BCEF-3096B47F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2750</Words>
  <Characters>14854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Aquino</dc:creator>
  <cp:lastModifiedBy>Pedro Aquino</cp:lastModifiedBy>
  <cp:revision>4</cp:revision>
  <dcterms:created xsi:type="dcterms:W3CDTF">2021-02-26T20:30:00Z</dcterms:created>
  <dcterms:modified xsi:type="dcterms:W3CDTF">2021-02-26T20:32:00Z</dcterms:modified>
</cp:coreProperties>
</file>