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8BC" w:rsidRPr="005B6D19" w:rsidRDefault="00D108BC" w:rsidP="007C11E1">
      <w:pPr>
        <w:pStyle w:val="Ttulo"/>
        <w:rPr>
          <w:rFonts w:asciiTheme="minorHAnsi" w:hAnsiTheme="minorHAnsi" w:cstheme="minorHAnsi"/>
          <w:sz w:val="28"/>
        </w:rPr>
      </w:pPr>
      <w:r w:rsidRPr="005B6D19">
        <w:rPr>
          <w:rFonts w:asciiTheme="minorHAnsi" w:hAnsiTheme="minorHAnsi" w:cstheme="minorHAnsi"/>
          <w:sz w:val="28"/>
        </w:rPr>
        <w:t>Anexo IV</w:t>
      </w:r>
    </w:p>
    <w:p w:rsidR="00D108BC" w:rsidRPr="005B6D19" w:rsidRDefault="00D108BC" w:rsidP="00D108BC">
      <w:pPr>
        <w:pStyle w:val="Ttulo"/>
        <w:rPr>
          <w:rFonts w:asciiTheme="minorHAnsi" w:hAnsiTheme="minorHAnsi" w:cstheme="minorHAnsi"/>
          <w:sz w:val="28"/>
        </w:rPr>
      </w:pPr>
      <w:r w:rsidRPr="005B6D19">
        <w:rPr>
          <w:rFonts w:asciiTheme="minorHAnsi" w:hAnsiTheme="minorHAnsi" w:cstheme="minorHAnsi"/>
          <w:sz w:val="28"/>
        </w:rPr>
        <w:t>Metas Fiscais</w:t>
      </w:r>
    </w:p>
    <w:p w:rsidR="00D108BC" w:rsidRPr="005B6D19" w:rsidRDefault="00D108BC" w:rsidP="00D108BC">
      <w:pPr>
        <w:pStyle w:val="Ttulo"/>
        <w:rPr>
          <w:rFonts w:asciiTheme="minorHAnsi" w:hAnsiTheme="minorHAnsi" w:cstheme="minorHAnsi"/>
          <w:sz w:val="28"/>
        </w:rPr>
      </w:pPr>
      <w:r w:rsidRPr="005B6D19">
        <w:rPr>
          <w:rFonts w:asciiTheme="minorHAnsi" w:hAnsiTheme="minorHAnsi" w:cstheme="minorHAnsi"/>
          <w:sz w:val="28"/>
        </w:rPr>
        <w:t>IV.3. Avaliação do Cumprimento das Metas do Ano Anterior - 201</w:t>
      </w:r>
      <w:r w:rsidR="005B6D19" w:rsidRPr="005B6D19">
        <w:rPr>
          <w:rFonts w:asciiTheme="minorHAnsi" w:hAnsiTheme="minorHAnsi" w:cstheme="minorHAnsi"/>
          <w:sz w:val="28"/>
        </w:rPr>
        <w:t>7</w:t>
      </w:r>
    </w:p>
    <w:p w:rsidR="00D108BC" w:rsidRPr="005B6D19" w:rsidRDefault="00D108BC" w:rsidP="00D108BC">
      <w:pPr>
        <w:pStyle w:val="Ttulo"/>
        <w:rPr>
          <w:rFonts w:asciiTheme="minorHAnsi" w:hAnsiTheme="minorHAnsi" w:cstheme="minorHAnsi"/>
          <w:b w:val="0"/>
          <w:sz w:val="24"/>
          <w:szCs w:val="24"/>
        </w:rPr>
      </w:pPr>
      <w:r w:rsidRPr="005B6D19">
        <w:rPr>
          <w:rFonts w:asciiTheme="minorHAnsi" w:hAnsiTheme="minorHAnsi" w:cstheme="minorHAnsi"/>
          <w:b w:val="0"/>
          <w:sz w:val="24"/>
          <w:szCs w:val="24"/>
        </w:rPr>
        <w:t>(Art. 4º, § 2º, inciso I, da Lei Complementar nº 101, de 4 de maio de 2000)</w:t>
      </w:r>
    </w:p>
    <w:p w:rsidR="00D108BC" w:rsidRPr="005B6D19" w:rsidRDefault="00D108BC" w:rsidP="00D108BC">
      <w:pPr>
        <w:pStyle w:val="Ttulo2"/>
        <w:pBdr>
          <w:top w:val="single" w:sz="4" w:space="1" w:color="auto"/>
        </w:pBdr>
        <w:rPr>
          <w:rFonts w:asciiTheme="minorHAnsi" w:hAnsiTheme="minorHAnsi" w:cstheme="minorHAnsi"/>
          <w:color w:val="auto"/>
          <w:sz w:val="24"/>
          <w:szCs w:val="24"/>
        </w:rPr>
      </w:pPr>
    </w:p>
    <w:p w:rsidR="005B6D19" w:rsidRPr="005B6D19" w:rsidRDefault="005B6D19" w:rsidP="005B6D19">
      <w:pPr>
        <w:pStyle w:val="textojustificado"/>
        <w:ind w:firstLine="709"/>
        <w:jc w:val="both"/>
        <w:rPr>
          <w:rFonts w:asciiTheme="minorHAnsi" w:hAnsiTheme="minorHAnsi" w:cstheme="minorHAnsi"/>
        </w:rPr>
      </w:pPr>
      <w:r w:rsidRPr="005B6D19">
        <w:rPr>
          <w:rFonts w:asciiTheme="minorHAnsi" w:hAnsiTheme="minorHAnsi" w:cstheme="minorHAnsi"/>
        </w:rPr>
        <w:t>A Lei nº 13.408, de 26 de dezembro de 2016 (Lei de Diretrizes Orçamentárias – LDO 2017), estabeleceu, inicialmente, meta de R$ 143,1 bilhões para o déficit primário do setor público consolidado, sendo meta de déficit primário de R$ 139,0 bilhões para o Governo Central e de R$ 3,0 bilhões para</w:t>
      </w:r>
      <w:r>
        <w:rPr>
          <w:rFonts w:asciiTheme="minorHAnsi" w:hAnsiTheme="minorHAnsi" w:cstheme="minorHAnsi"/>
        </w:rPr>
        <w:t xml:space="preserve"> as Empresas Estatais Federais.</w:t>
      </w:r>
      <w:r w:rsidRPr="005B6D19">
        <w:rPr>
          <w:rFonts w:asciiTheme="minorHAnsi" w:hAnsiTheme="minorHAnsi" w:cstheme="minorHAnsi"/>
        </w:rPr>
        <w:t xml:space="preserve"> A LDO 2017 também estimou a meta de déficit primário para os Estados, o Distrito Federal e os Municípios em R$ 1,1 bilhão e estabeleceu que “</w:t>
      </w:r>
      <w:r w:rsidRPr="005B6D19">
        <w:rPr>
          <w:rFonts w:asciiTheme="minorHAnsi" w:hAnsiTheme="minorHAnsi" w:cstheme="minorHAnsi"/>
          <w:i/>
          <w:iCs/>
        </w:rPr>
        <w:t>poderá haver, durante a execução orçamentária de 2017, compensação entre as metas estabelecidas para os Orçamentos Fiscal e da Seguridade Social e para o Programa de Dispêndios Globais de que trata o art. 11, inciso VI, desta Lei e para os Estados, o Distrito Federal e os Municípios</w:t>
      </w:r>
      <w:r w:rsidRPr="005B6D19">
        <w:rPr>
          <w:rFonts w:asciiTheme="minorHAnsi" w:hAnsiTheme="minorHAnsi" w:cstheme="minorHAnsi"/>
        </w:rPr>
        <w:t>".</w:t>
      </w:r>
    </w:p>
    <w:p w:rsidR="005B6D19" w:rsidRPr="005B6D19" w:rsidRDefault="005B6D19" w:rsidP="005B6D19">
      <w:pPr>
        <w:pStyle w:val="textojustificado"/>
        <w:ind w:firstLine="709"/>
        <w:jc w:val="both"/>
        <w:rPr>
          <w:rFonts w:asciiTheme="minorHAnsi" w:hAnsiTheme="minorHAnsi" w:cstheme="minorHAnsi"/>
        </w:rPr>
      </w:pPr>
      <w:r w:rsidRPr="005B6D19">
        <w:rPr>
          <w:rFonts w:asciiTheme="minorHAnsi" w:hAnsiTheme="minorHAnsi" w:cstheme="minorHAnsi"/>
        </w:rPr>
        <w:t>O art. 57 da LDO 2017 estabelece que os Poderes, o Ministério Público da União e a Defensoria Pública da União deverão elaborar e publicar por ato próprio, até trinta dias após a publicação da LOA, cronograma anual de desembolso mensal, por órgão, nos termos do art. 8º da Lei de Responsabilidade Fiscal, com vistas ao cumprimento da meta de resultado primário estabelecida nesta Lei. Dessa forma, em 16 de janeiro do mesmo ano, o Poder Executivo publicou o Decreto nº 8.961/2017, dispondo sobre a programação orçamentária e financeira para 2017, estabelecendo seu cronograma mensal de desembolso, bem como as metas quadrimestrais.</w:t>
      </w:r>
    </w:p>
    <w:p w:rsidR="005B6D19" w:rsidRPr="005B6D19" w:rsidRDefault="005B6D19" w:rsidP="005B6D19">
      <w:pPr>
        <w:pStyle w:val="textojustificado"/>
        <w:ind w:firstLine="709"/>
        <w:jc w:val="both"/>
        <w:rPr>
          <w:rFonts w:asciiTheme="minorHAnsi" w:hAnsiTheme="minorHAnsi" w:cstheme="minorHAnsi"/>
        </w:rPr>
      </w:pPr>
      <w:r w:rsidRPr="005B6D19">
        <w:rPr>
          <w:rFonts w:asciiTheme="minorHAnsi" w:hAnsiTheme="minorHAnsi" w:cstheme="minorHAnsi"/>
        </w:rPr>
        <w:t xml:space="preserve">Concluído o 1º bimestre, procedeu-se em março à reavaliação das receitas e despesas primárias do Governo Federal, conforme art. 9º da LRF e art. 58 da LDO 2017, a partir dos dados realizados até o mês de fevereiro, bem como parâmetros econômicos atualizados, compatíveis com o cenário econômico vigente. Nessa avaliação, foi recomendada a limitação das despesas discricionárias em R$ 58,2 bilhões em relação ao estabelecido no Decreto n° 8.961/2017. </w:t>
      </w:r>
    </w:p>
    <w:p w:rsidR="005B6D19" w:rsidRPr="005B6D19" w:rsidRDefault="005B6D19" w:rsidP="005B6D19">
      <w:pPr>
        <w:pStyle w:val="textojustificado"/>
        <w:ind w:firstLine="709"/>
        <w:jc w:val="both"/>
        <w:rPr>
          <w:rFonts w:asciiTheme="minorHAnsi" w:hAnsiTheme="minorHAnsi" w:cstheme="minorHAnsi"/>
        </w:rPr>
      </w:pPr>
      <w:r w:rsidRPr="005B6D19">
        <w:rPr>
          <w:rFonts w:asciiTheme="minorHAnsi" w:hAnsiTheme="minorHAnsi" w:cstheme="minorHAnsi"/>
        </w:rPr>
        <w:t>Não obstante, considerando o impacto da implementação da limitação indicada acima no funcionamento de políticas públicas relevantes, o Governo editou o Decreto nº 9.017/2017 e a Medida Provisória nº 774, ambos de 30 de março de 2017, visando à recuperação de algumas receitas tributárias. Isso – somado à perspectiva de arrecadação com concessões devido à continuidade dos procedimentos licitatórios de determinadas Usinas Hidrelétricas – UHEs – atenuou a limitação acima citada, de modo a tornar viável a execução da LOA 2017, sem comprometer o alcance da meta de resultado primário. Nesse contexto, não foi efetivado o contingenciamento de R$ 58,2 bilhões apontado no Relatório da Avaliação do 1º bimestre.</w:t>
      </w:r>
    </w:p>
    <w:p w:rsidR="005B6D19" w:rsidRPr="005B6D19" w:rsidRDefault="005B6D19" w:rsidP="005B6D19">
      <w:pPr>
        <w:pStyle w:val="textojustificado"/>
        <w:ind w:firstLine="709"/>
        <w:jc w:val="both"/>
        <w:rPr>
          <w:rFonts w:asciiTheme="minorHAnsi" w:hAnsiTheme="minorHAnsi" w:cstheme="minorHAnsi"/>
        </w:rPr>
      </w:pPr>
      <w:r w:rsidRPr="005B6D19">
        <w:rPr>
          <w:rFonts w:asciiTheme="minorHAnsi" w:hAnsiTheme="minorHAnsi" w:cstheme="minorHAnsi"/>
        </w:rPr>
        <w:t>Em decorrência dos acontecimentos supramencionados, e em conformidade com o § 6º do art. 58 da LDO 2017, foi publicado um Relatório Extemporâneo de Avaliação de Receitas e Despesas Primárias, ainda em março de 2017, que mudou a necessidade de contingenciamento em relação ao relatório referente ao 1º Bimestre, de R$ 58,2 bilhões para R$ 42,1 bilhões. Esse contingenciamento foi realizado por meio do Decreto nº 9.018/2017, posteriormente retificado pelo Decreto nº 9.040/2017.</w:t>
      </w:r>
    </w:p>
    <w:p w:rsidR="005B6D19" w:rsidRPr="005B6D19" w:rsidRDefault="005B6D19" w:rsidP="005B6D19">
      <w:pPr>
        <w:pStyle w:val="textojustificado"/>
        <w:ind w:firstLine="709"/>
        <w:jc w:val="both"/>
        <w:rPr>
          <w:rFonts w:asciiTheme="minorHAnsi" w:hAnsiTheme="minorHAnsi" w:cstheme="minorHAnsi"/>
        </w:rPr>
      </w:pPr>
      <w:r w:rsidRPr="005B6D19">
        <w:rPr>
          <w:rFonts w:asciiTheme="minorHAnsi" w:hAnsiTheme="minorHAnsi" w:cstheme="minorHAnsi"/>
        </w:rPr>
        <w:lastRenderedPageBreak/>
        <w:t>Findo o 2</w:t>
      </w:r>
      <w:r w:rsidR="00F439CC">
        <w:rPr>
          <w:rFonts w:asciiTheme="minorHAnsi" w:hAnsiTheme="minorHAnsi" w:cstheme="minorHAnsi"/>
        </w:rPr>
        <w:t>º</w:t>
      </w:r>
      <w:r w:rsidRPr="005B6D19">
        <w:rPr>
          <w:rFonts w:asciiTheme="minorHAnsi" w:hAnsiTheme="minorHAnsi" w:cstheme="minorHAnsi"/>
        </w:rPr>
        <w:t xml:space="preserve"> bimestre, foram reavaliadas as estimativas das receitas e despesas primárias do Governo Federal, observando a arrecadação das receitas federais e a realização das despesas primárias até o mês de abril de 2017, em sua maioria, bem como parâmetros macroeconômicos atualizados, compatíveis com o cenário econômico vigente. Nessa avaliação, mostrou-se a necessidade de compensação da meta de resultado primário das Estatais Federais em R$ 242,6 milhões, realizada a partir da elevação da meta de resultado primário do Governo Central em mesmo montante, além de demonstrar possiblidade de ampliação das despesas discricionárias em R$ 3,1 bilhões, em relação ao estabelecido pelo Decreto nº 9.040/2017. Tais medidas foram implementadas por meio do Decreto </w:t>
      </w:r>
      <w:r>
        <w:rPr>
          <w:rFonts w:asciiTheme="minorHAnsi" w:hAnsiTheme="minorHAnsi" w:cstheme="minorHAnsi"/>
        </w:rPr>
        <w:br/>
      </w:r>
      <w:r w:rsidRPr="005B6D19">
        <w:rPr>
          <w:rFonts w:asciiTheme="minorHAnsi" w:hAnsiTheme="minorHAnsi" w:cstheme="minorHAnsi"/>
        </w:rPr>
        <w:t>nº 9.062/2017.</w:t>
      </w:r>
    </w:p>
    <w:p w:rsidR="005B6D19" w:rsidRPr="005B6D19" w:rsidRDefault="005B6D19" w:rsidP="005B6D19">
      <w:pPr>
        <w:pStyle w:val="textojustificado"/>
        <w:ind w:firstLine="709"/>
        <w:jc w:val="both"/>
        <w:rPr>
          <w:rFonts w:asciiTheme="minorHAnsi" w:hAnsiTheme="minorHAnsi" w:cstheme="minorHAnsi"/>
        </w:rPr>
      </w:pPr>
      <w:r w:rsidRPr="005B6D19">
        <w:rPr>
          <w:rFonts w:asciiTheme="minorHAnsi" w:hAnsiTheme="minorHAnsi" w:cstheme="minorHAnsi"/>
        </w:rPr>
        <w:t>Posteriormente, concluído o 3º bimestre, em cumprimento ao art. 9º da LRF, foram reavaliadas as estimativas das receitas e despesas primárias do Governo Federal, observando a arrecadação das receitas federais e a realização das despesas primárias até o mês de junho de 2017, em sua maioria, bem como parâmetros macroeconômicos atualizados, compatíveis com o cenário econômico vigente. Desse modo, diante da combinação dos fatores citados e retirando-se a necessidade de compensação de déficit das empresas estatais federais por parte do Governo Central, mostrou-se necessária a redução do limite de gastos de Despesas Discricionárias em R$ 6,0 bilhões, medida que foi implementada pelo Decreto nº 9.113/2017.</w:t>
      </w:r>
    </w:p>
    <w:p w:rsidR="005B6D19" w:rsidRPr="005B6D19" w:rsidRDefault="005B6D19" w:rsidP="005B6D19">
      <w:pPr>
        <w:pStyle w:val="textojustificado"/>
        <w:ind w:firstLine="709"/>
        <w:jc w:val="both"/>
        <w:rPr>
          <w:rFonts w:asciiTheme="minorHAnsi" w:hAnsiTheme="minorHAnsi" w:cstheme="minorHAnsi"/>
        </w:rPr>
      </w:pPr>
      <w:r w:rsidRPr="005B6D19">
        <w:rPr>
          <w:rFonts w:asciiTheme="minorHAnsi" w:hAnsiTheme="minorHAnsi" w:cstheme="minorHAnsi"/>
        </w:rPr>
        <w:t>Contudo, em 13 de setembro de 2017, foi publicada a Lei nº 13.480 que modificou a Lei nº 13.408/2016 estabelecendo nova meta de déficit primário para o setor público consolidado de R$ 163,1 bilhões, sendo R$ 159 bilhões de déficit para o Governo Central, R$ 3 bilhões para as Empresas Estatais Federais e R$ 1,1 bilhão de déficit para os Estados, o Distrito Federal e os Municípios.</w:t>
      </w:r>
    </w:p>
    <w:p w:rsidR="005B6D19" w:rsidRPr="005B6D19" w:rsidRDefault="005B6D19" w:rsidP="005B6D19">
      <w:pPr>
        <w:pStyle w:val="textojustificado"/>
        <w:ind w:firstLine="709"/>
        <w:jc w:val="both"/>
        <w:rPr>
          <w:rFonts w:asciiTheme="minorHAnsi" w:hAnsiTheme="minorHAnsi" w:cstheme="minorHAnsi"/>
        </w:rPr>
      </w:pPr>
      <w:r w:rsidRPr="005B6D19">
        <w:rPr>
          <w:rFonts w:asciiTheme="minorHAnsi" w:hAnsiTheme="minorHAnsi" w:cstheme="minorHAnsi"/>
        </w:rPr>
        <w:t>Findo o 4º bimestre, procedeu-se à reavaliação das receitas e despesas primárias realizadas até agosto de 2017, considerando a alteração da meta de resultado primário realizada pela Lei nº 13.480/2017 e a atualização dos parâmetros macroeconômicos, que indicou a possibilidade de elevação de valores no montante de R$ 12,8 bilhões nas despesas discricionárias dos Poderes da União, do MPU e do DPU. A implementação do ajuste se deu por meio do Decreto nº 9.164, de 29 de setembro de 2017.</w:t>
      </w:r>
    </w:p>
    <w:p w:rsidR="005B6D19" w:rsidRPr="005B6D19" w:rsidRDefault="005B6D19" w:rsidP="005B6D19">
      <w:pPr>
        <w:pStyle w:val="textojustificado"/>
        <w:ind w:firstLine="709"/>
        <w:jc w:val="both"/>
        <w:rPr>
          <w:rFonts w:asciiTheme="minorHAnsi" w:hAnsiTheme="minorHAnsi" w:cstheme="minorHAnsi"/>
        </w:rPr>
      </w:pPr>
      <w:r w:rsidRPr="005B6D19">
        <w:rPr>
          <w:rFonts w:asciiTheme="minorHAnsi" w:hAnsiTheme="minorHAnsi" w:cstheme="minorHAnsi"/>
        </w:rPr>
        <w:t>Ao fim do 5º bimestre, o Relatório de Avaliação de Receitas e Despesas Primárias, com dados realizados até outubro, indicou folga fiscal que possibilitaria a ampliação de R$ 7,5 bilhões nas despesas discricionárias de todos os poderes. Tal medida foi implementada por meio do Decreto nº 9.205, de 29 de novembro de 2017.</w:t>
      </w:r>
    </w:p>
    <w:p w:rsidR="005B6D19" w:rsidRPr="005B6D19" w:rsidRDefault="005B6D19" w:rsidP="005B6D19">
      <w:pPr>
        <w:pStyle w:val="textojustificado"/>
        <w:ind w:firstLine="709"/>
        <w:jc w:val="both"/>
        <w:rPr>
          <w:rFonts w:asciiTheme="minorHAnsi" w:hAnsiTheme="minorHAnsi" w:cstheme="minorHAnsi"/>
        </w:rPr>
      </w:pPr>
      <w:r w:rsidRPr="005B6D19">
        <w:rPr>
          <w:rFonts w:asciiTheme="minorHAnsi" w:hAnsiTheme="minorHAnsi" w:cstheme="minorHAnsi"/>
        </w:rPr>
        <w:t xml:space="preserve">Por fim, em dezembro de 2017, foi realizada nova avaliação de receitas e despesas primárias, consubstanciadas no relatório extemporâneo de dezembro de 2017. Tal reavaliação ampliou a possibilidade de aumento nas despesas discricionárias de todos os poderes em R$ 5,0 bilhões. Tal ampliação se deu por meio do Decreto nº 9.248, de 22 de dezembro de 2017. </w:t>
      </w:r>
    </w:p>
    <w:p w:rsidR="005B6D19" w:rsidRPr="005B6D19" w:rsidRDefault="005B6D19" w:rsidP="005B6D19">
      <w:pPr>
        <w:pStyle w:val="textojustificado"/>
        <w:ind w:firstLine="709"/>
        <w:jc w:val="both"/>
        <w:rPr>
          <w:rFonts w:asciiTheme="minorHAnsi" w:hAnsiTheme="minorHAnsi" w:cstheme="minorHAnsi"/>
        </w:rPr>
      </w:pPr>
      <w:r w:rsidRPr="005B6D19">
        <w:rPr>
          <w:rFonts w:asciiTheme="minorHAnsi" w:hAnsiTheme="minorHAnsi" w:cstheme="minorHAnsi"/>
        </w:rPr>
        <w:t>Finalizado o exercício de 2017, verificou-se que o Governo Federal atingiu déficit primário de R$ 119,4 bilhões, composto de déficits do Governo Central de R$ 118,4 bilhões e déficit das Empresas Estatais Federais de R$ 952 milhões, inferior ao máximo estabelecido na LDO 2017 (déficit de R$ 162,0 bilhões). Dessa forma, fica comprovado o cumprimento da meta de resultado primário do Governo Federal no exercício de 2017.</w:t>
      </w:r>
    </w:p>
    <w:p w:rsidR="005B6D19" w:rsidRPr="005B6D19" w:rsidRDefault="005B6D19" w:rsidP="005B6D19">
      <w:pPr>
        <w:pStyle w:val="textojustificado"/>
        <w:ind w:firstLine="709"/>
        <w:jc w:val="both"/>
        <w:rPr>
          <w:rFonts w:asciiTheme="minorHAnsi" w:hAnsiTheme="minorHAnsi" w:cstheme="minorHAnsi"/>
        </w:rPr>
      </w:pPr>
      <w:r w:rsidRPr="005B6D19">
        <w:rPr>
          <w:rFonts w:asciiTheme="minorHAnsi" w:hAnsiTheme="minorHAnsi" w:cstheme="minorHAnsi"/>
        </w:rPr>
        <w:lastRenderedPageBreak/>
        <w:t>Os Entes S</w:t>
      </w:r>
      <w:r w:rsidR="00F439CC">
        <w:rPr>
          <w:rFonts w:asciiTheme="minorHAnsi" w:hAnsiTheme="minorHAnsi" w:cstheme="minorHAnsi"/>
        </w:rPr>
        <w:t>ubnacionais, por sua vez, tivera</w:t>
      </w:r>
      <w:bookmarkStart w:id="0" w:name="_GoBack"/>
      <w:bookmarkEnd w:id="0"/>
      <w:r w:rsidRPr="005B6D19">
        <w:rPr>
          <w:rFonts w:asciiTheme="minorHAnsi" w:hAnsiTheme="minorHAnsi" w:cstheme="minorHAnsi"/>
        </w:rPr>
        <w:t>m resultado superavitário de R$ 8,8 bilhões. Assim, o resultado de 2017 para o Setor Público ficou em déficit de R$ 110,6 bilhões, inferior ao máximo previsto na LDO-2017 (déficit de R$ 163,1 bilhões). Dessa forma, fica comprovado o atendimento ao artigo 2º da LDO-2017.</w:t>
      </w:r>
    </w:p>
    <w:p w:rsidR="005B6D19" w:rsidRPr="005B6D19" w:rsidRDefault="005B6D19" w:rsidP="005B6D19">
      <w:pPr>
        <w:pStyle w:val="textojustificado"/>
        <w:ind w:firstLine="709"/>
        <w:jc w:val="both"/>
        <w:rPr>
          <w:rFonts w:asciiTheme="minorHAnsi" w:hAnsiTheme="minorHAnsi" w:cstheme="minorHAnsi"/>
        </w:rPr>
      </w:pPr>
      <w:r w:rsidRPr="005B6D19">
        <w:rPr>
          <w:rFonts w:asciiTheme="minorHAnsi" w:hAnsiTheme="minorHAnsi" w:cstheme="minorHAnsi"/>
        </w:rPr>
        <w:t>Ao longo de 2017 a programação orçamentária e financeira também observou a Emenda Constitucional nº 95 (EC 95), de 15 de dezembro de 2016, que instituiu o Novo Regime Fiscal (NRF), que vigorará por vinte exercícios financeiros. Em relação ao exercício de 2017, cada um dos limites individualizados, segundo o inciso I do § 1º do art. 107 do ADCT, é equivalente à despesa primária paga no exercício de 2016, incluídos os restos a pagar pagos e demais operações que afetam o resultado primário, corrigida em 7,2% (sete inteiros e dois décimos por cento) totalizando R$ 1.308,6 bilhões. Até dezembro, as despesas que estão englobadas nesses limites, atingiram R$ 1.258,9 bilhões.</w:t>
      </w:r>
    </w:p>
    <w:p w:rsidR="005B6D19" w:rsidRPr="005B6D19" w:rsidRDefault="005B6D19" w:rsidP="005B6D19">
      <w:pPr>
        <w:pStyle w:val="textojustificado"/>
        <w:ind w:firstLine="709"/>
        <w:jc w:val="both"/>
        <w:rPr>
          <w:rFonts w:asciiTheme="minorHAnsi" w:hAnsiTheme="minorHAnsi" w:cstheme="minorHAnsi"/>
        </w:rPr>
      </w:pPr>
      <w:r w:rsidRPr="005B6D19">
        <w:rPr>
          <w:rFonts w:asciiTheme="minorHAnsi" w:hAnsiTheme="minorHAnsi" w:cstheme="minorHAnsi"/>
        </w:rPr>
        <w:t>Como os valores das despesas primárias aprovadas na LOA 2017 dos demais poderes e órgãos – exceto o Poder Executivo e o Superior Tribunal de Justiça – superaram os limites individualizados estabelecidos pelo NRF em R$ 2,5 bilhões, e este excesso de despesas primárias enquadra-se no montante passível de compensação conforme §7º do art. 107 do ADCT, considera-se que as dotações da LOA 2017 representam os valores máximos de programação compatíveis com os limites individualizados, e que o valor de R$ 2,5 bilhões representa a compensação do Poder Executivo para 2017.</w:t>
      </w:r>
    </w:p>
    <w:p w:rsidR="005B6D19" w:rsidRPr="005B6D19" w:rsidRDefault="005B6D19" w:rsidP="005B6D19">
      <w:pPr>
        <w:pStyle w:val="textojustificado"/>
        <w:ind w:firstLine="709"/>
        <w:jc w:val="both"/>
        <w:rPr>
          <w:rFonts w:asciiTheme="minorHAnsi" w:hAnsiTheme="minorHAnsi" w:cstheme="minorHAnsi"/>
        </w:rPr>
      </w:pPr>
      <w:r w:rsidRPr="005B6D19">
        <w:rPr>
          <w:rFonts w:asciiTheme="minorHAnsi" w:hAnsiTheme="minorHAnsi" w:cstheme="minorHAnsi"/>
        </w:rPr>
        <w:t>Apurou-se que a despesa primária paga por cada Poder e Órgão ano de 2017, inclusive restos a pagar pagos, foi inferior ao respectivo valor máximo de programação, considerando-se a compensação do Poder Executivo aos Demais Órgãos estabelecida na LOA 2017. Dessa forma, fica comprovado o cumprimento do NRF por todos os Órgãos e Poderes no ano de 2017.</w:t>
      </w:r>
    </w:p>
    <w:p w:rsidR="00D108BC" w:rsidRPr="005B6D19" w:rsidRDefault="00D108BC" w:rsidP="005B6D19">
      <w:pPr>
        <w:spacing w:after="200" w:line="360" w:lineRule="auto"/>
        <w:jc w:val="both"/>
        <w:rPr>
          <w:rFonts w:asciiTheme="minorHAnsi" w:hAnsiTheme="minorHAnsi" w:cstheme="minorHAnsi"/>
          <w:szCs w:val="24"/>
        </w:rPr>
      </w:pPr>
      <w:r w:rsidRPr="005B6D19">
        <w:rPr>
          <w:rFonts w:asciiTheme="minorHAnsi" w:hAnsiTheme="minorHAnsi" w:cstheme="minorHAnsi"/>
        </w:rPr>
        <w:br w:type="page"/>
      </w:r>
    </w:p>
    <w:tbl>
      <w:tblPr>
        <w:tblW w:w="8931" w:type="dxa"/>
        <w:jc w:val="center"/>
        <w:tblCellMar>
          <w:left w:w="70" w:type="dxa"/>
          <w:right w:w="70" w:type="dxa"/>
        </w:tblCellMar>
        <w:tblLook w:val="04A0" w:firstRow="1" w:lastRow="0" w:firstColumn="1" w:lastColumn="0" w:noHBand="0" w:noVBand="1"/>
      </w:tblPr>
      <w:tblGrid>
        <w:gridCol w:w="8931"/>
      </w:tblGrid>
      <w:tr w:rsidR="00D108BC" w:rsidRPr="005B6D19" w:rsidTr="00193C93">
        <w:trPr>
          <w:trHeight w:val="315"/>
          <w:jc w:val="center"/>
        </w:trPr>
        <w:tc>
          <w:tcPr>
            <w:tcW w:w="8931" w:type="dxa"/>
            <w:tcBorders>
              <w:top w:val="nil"/>
              <w:left w:val="nil"/>
              <w:bottom w:val="nil"/>
              <w:right w:val="nil"/>
            </w:tcBorders>
            <w:shd w:val="clear" w:color="auto" w:fill="auto"/>
            <w:noWrap/>
            <w:vAlign w:val="bottom"/>
            <w:hideMark/>
          </w:tcPr>
          <w:p w:rsidR="00D108BC" w:rsidRPr="005B6D19" w:rsidRDefault="00D108BC" w:rsidP="00193C93">
            <w:pPr>
              <w:jc w:val="center"/>
              <w:rPr>
                <w:rFonts w:asciiTheme="minorHAnsi" w:hAnsiTheme="minorHAnsi" w:cstheme="minorHAnsi"/>
                <w:b/>
                <w:bCs/>
              </w:rPr>
            </w:pPr>
            <w:r w:rsidRPr="005B6D19">
              <w:rPr>
                <w:rFonts w:asciiTheme="minorHAnsi" w:hAnsiTheme="minorHAnsi" w:cstheme="minorHAnsi"/>
                <w:b/>
                <w:bCs/>
              </w:rPr>
              <w:lastRenderedPageBreak/>
              <w:t>Anexo de Metas Fiscais</w:t>
            </w:r>
          </w:p>
        </w:tc>
      </w:tr>
      <w:tr w:rsidR="00D108BC" w:rsidRPr="005B6D19" w:rsidTr="00193C93">
        <w:trPr>
          <w:trHeight w:val="315"/>
          <w:jc w:val="center"/>
        </w:trPr>
        <w:tc>
          <w:tcPr>
            <w:tcW w:w="8931" w:type="dxa"/>
            <w:tcBorders>
              <w:top w:val="nil"/>
              <w:left w:val="nil"/>
              <w:bottom w:val="nil"/>
              <w:right w:val="nil"/>
            </w:tcBorders>
            <w:shd w:val="clear" w:color="auto" w:fill="auto"/>
            <w:noWrap/>
            <w:vAlign w:val="bottom"/>
            <w:hideMark/>
          </w:tcPr>
          <w:p w:rsidR="00D108BC" w:rsidRPr="005B6D19" w:rsidRDefault="00D108BC" w:rsidP="005B6D19">
            <w:pPr>
              <w:jc w:val="center"/>
              <w:rPr>
                <w:rFonts w:asciiTheme="minorHAnsi" w:hAnsiTheme="minorHAnsi" w:cstheme="minorHAnsi"/>
                <w:b/>
                <w:bCs/>
              </w:rPr>
            </w:pPr>
            <w:r w:rsidRPr="005B6D19">
              <w:rPr>
                <w:rFonts w:asciiTheme="minorHAnsi" w:hAnsiTheme="minorHAnsi" w:cstheme="minorHAnsi"/>
                <w:b/>
                <w:bCs/>
              </w:rPr>
              <w:t>Lei de Diretrizes Orçamentárias para 201</w:t>
            </w:r>
            <w:r w:rsidR="005B6D19">
              <w:rPr>
                <w:rFonts w:asciiTheme="minorHAnsi" w:hAnsiTheme="minorHAnsi" w:cstheme="minorHAnsi"/>
                <w:b/>
                <w:bCs/>
              </w:rPr>
              <w:t>9</w:t>
            </w:r>
          </w:p>
        </w:tc>
      </w:tr>
      <w:tr w:rsidR="00D108BC" w:rsidRPr="005B6D19" w:rsidTr="00193C93">
        <w:trPr>
          <w:trHeight w:val="315"/>
          <w:jc w:val="center"/>
        </w:trPr>
        <w:tc>
          <w:tcPr>
            <w:tcW w:w="8931" w:type="dxa"/>
            <w:tcBorders>
              <w:top w:val="nil"/>
              <w:left w:val="nil"/>
              <w:bottom w:val="single" w:sz="4" w:space="0" w:color="auto"/>
              <w:right w:val="nil"/>
            </w:tcBorders>
            <w:shd w:val="clear" w:color="auto" w:fill="auto"/>
            <w:noWrap/>
            <w:vAlign w:val="bottom"/>
            <w:hideMark/>
          </w:tcPr>
          <w:p w:rsidR="00D108BC" w:rsidRPr="005B6D19" w:rsidRDefault="00D108BC" w:rsidP="00193C93">
            <w:pPr>
              <w:jc w:val="center"/>
              <w:rPr>
                <w:rFonts w:asciiTheme="minorHAnsi" w:hAnsiTheme="minorHAnsi" w:cstheme="minorHAnsi"/>
              </w:rPr>
            </w:pPr>
            <w:r w:rsidRPr="005B6D19">
              <w:rPr>
                <w:rFonts w:asciiTheme="minorHAnsi" w:hAnsiTheme="minorHAnsi" w:cstheme="minorHAnsi"/>
              </w:rPr>
              <w:t>(Art. 4º, § 2º, inciso II, da Lei Complementar nº 101, de 4 de maio de 2000)</w:t>
            </w:r>
          </w:p>
        </w:tc>
      </w:tr>
    </w:tbl>
    <w:p w:rsidR="00D108BC" w:rsidRDefault="00D108BC" w:rsidP="00D108BC">
      <w:pPr>
        <w:pStyle w:val="Texto10"/>
        <w:tabs>
          <w:tab w:val="left" w:pos="851"/>
        </w:tabs>
        <w:jc w:val="center"/>
        <w:rPr>
          <w:rFonts w:asciiTheme="minorHAnsi" w:hAnsiTheme="minorHAnsi" w:cstheme="minorHAnsi"/>
          <w:b/>
          <w:bCs/>
        </w:rPr>
      </w:pPr>
      <w:r w:rsidRPr="005B6D19">
        <w:rPr>
          <w:rFonts w:asciiTheme="minorHAnsi" w:hAnsiTheme="minorHAnsi" w:cstheme="minorHAnsi"/>
          <w:b/>
          <w:bCs/>
        </w:rPr>
        <w:t>Anexo IV.3 - Anexo de Metas Anuais Fixadas nos Três Ex</w:t>
      </w:r>
      <w:r w:rsidR="00711863" w:rsidRPr="005B6D19">
        <w:rPr>
          <w:rFonts w:asciiTheme="minorHAnsi" w:hAnsiTheme="minorHAnsi" w:cstheme="minorHAnsi"/>
          <w:b/>
          <w:bCs/>
        </w:rPr>
        <w:t>e</w:t>
      </w:r>
      <w:r w:rsidRPr="005B6D19">
        <w:rPr>
          <w:rFonts w:asciiTheme="minorHAnsi" w:hAnsiTheme="minorHAnsi" w:cstheme="minorHAnsi"/>
          <w:b/>
          <w:bCs/>
        </w:rPr>
        <w:t>rcícios Anteriores</w:t>
      </w:r>
    </w:p>
    <w:p w:rsidR="00FC680C" w:rsidRPr="005B6D19" w:rsidRDefault="00FC680C" w:rsidP="00D108BC">
      <w:pPr>
        <w:pStyle w:val="Texto10"/>
        <w:tabs>
          <w:tab w:val="left" w:pos="851"/>
        </w:tabs>
        <w:jc w:val="center"/>
        <w:rPr>
          <w:rFonts w:asciiTheme="minorHAnsi" w:hAnsiTheme="minorHAnsi" w:cstheme="minorHAnsi"/>
          <w:b/>
          <w:bCs/>
        </w:rPr>
      </w:pPr>
      <w:r w:rsidRPr="00FC680C">
        <w:rPr>
          <w:noProof/>
        </w:rPr>
        <w:drawing>
          <wp:inline distT="0" distB="0" distL="0" distR="0">
            <wp:extent cx="5760720" cy="5086181"/>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086181"/>
                    </a:xfrm>
                    <a:prstGeom prst="rect">
                      <a:avLst/>
                    </a:prstGeom>
                    <a:noFill/>
                    <a:ln>
                      <a:noFill/>
                    </a:ln>
                  </pic:spPr>
                </pic:pic>
              </a:graphicData>
            </a:graphic>
          </wp:inline>
        </w:drawing>
      </w:r>
    </w:p>
    <w:sectPr w:rsidR="00FC680C" w:rsidRPr="005B6D19" w:rsidSect="00D108BC">
      <w:pgSz w:w="11907" w:h="16840" w:code="9"/>
      <w:pgMar w:top="1837" w:right="1134" w:bottom="992" w:left="1701" w:header="1185" w:footer="55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9A5" w:rsidRDefault="002339A5" w:rsidP="00281B42">
      <w:r>
        <w:separator/>
      </w:r>
    </w:p>
  </w:endnote>
  <w:endnote w:type="continuationSeparator" w:id="0">
    <w:p w:rsidR="002339A5" w:rsidRDefault="002339A5" w:rsidP="0028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9A5" w:rsidRDefault="002339A5" w:rsidP="00281B42">
      <w:r>
        <w:separator/>
      </w:r>
    </w:p>
  </w:footnote>
  <w:footnote w:type="continuationSeparator" w:id="0">
    <w:p w:rsidR="002339A5" w:rsidRDefault="002339A5" w:rsidP="00281B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6297"/>
    <w:multiLevelType w:val="multilevel"/>
    <w:tmpl w:val="52445DE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1804EF"/>
    <w:multiLevelType w:val="hybridMultilevel"/>
    <w:tmpl w:val="0A7236A6"/>
    <w:lvl w:ilvl="0" w:tplc="B87626C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8A65160"/>
    <w:multiLevelType w:val="hybridMultilevel"/>
    <w:tmpl w:val="4C1A08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EAD793B"/>
    <w:multiLevelType w:val="hybridMultilevel"/>
    <w:tmpl w:val="2A9267B2"/>
    <w:lvl w:ilvl="0" w:tplc="04160001">
      <w:start w:val="1"/>
      <w:numFmt w:val="bullet"/>
      <w:lvlText w:val=""/>
      <w:lvlJc w:val="left"/>
      <w:pPr>
        <w:ind w:left="360" w:hanging="360"/>
      </w:pPr>
      <w:rPr>
        <w:rFonts w:ascii="Symbol" w:hAnsi="Symbo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01D3BB0"/>
    <w:multiLevelType w:val="hybridMultilevel"/>
    <w:tmpl w:val="39608894"/>
    <w:lvl w:ilvl="0" w:tplc="6CE632EE">
      <w:start w:val="1"/>
      <w:numFmt w:val="decimal"/>
      <w:lvlText w:val="Tabela %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0C7BA9"/>
    <w:multiLevelType w:val="hybridMultilevel"/>
    <w:tmpl w:val="A734E9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EC070E"/>
    <w:multiLevelType w:val="multilevel"/>
    <w:tmpl w:val="415CDD08"/>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543EDF"/>
    <w:multiLevelType w:val="hybridMultilevel"/>
    <w:tmpl w:val="76FC4456"/>
    <w:lvl w:ilvl="0" w:tplc="164017B4">
      <w:start w:val="1"/>
      <w:numFmt w:val="decimal"/>
      <w:lvlText w:val="Tabela %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58E76CE"/>
    <w:multiLevelType w:val="hybridMultilevel"/>
    <w:tmpl w:val="88827AA8"/>
    <w:lvl w:ilvl="0" w:tplc="3584918A">
      <w:start w:val="1"/>
      <w:numFmt w:val="decimal"/>
      <w:lvlText w:val="Tabela %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C457BAD"/>
    <w:multiLevelType w:val="hybridMultilevel"/>
    <w:tmpl w:val="E38ABB6C"/>
    <w:lvl w:ilvl="0" w:tplc="D850F344">
      <w:start w:val="1"/>
      <w:numFmt w:val="decimal"/>
      <w:lvlText w:val="%1."/>
      <w:lvlJc w:val="left"/>
      <w:pPr>
        <w:ind w:left="360" w:hanging="360"/>
      </w:pPr>
      <w:rPr>
        <w:rFonts w:ascii="Times New Roman" w:hAnsi="Times New Roman" w:cs="Times New Roman"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D9F5D04"/>
    <w:multiLevelType w:val="hybridMultilevel"/>
    <w:tmpl w:val="455C2C58"/>
    <w:lvl w:ilvl="0" w:tplc="04160001">
      <w:start w:val="1"/>
      <w:numFmt w:val="bullet"/>
      <w:lvlText w:val=""/>
      <w:lvlJc w:val="left"/>
      <w:pPr>
        <w:ind w:left="360" w:hanging="360"/>
      </w:pPr>
      <w:rPr>
        <w:rFonts w:ascii="Symbol" w:hAnsi="Symbol"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12F27D7"/>
    <w:multiLevelType w:val="multilevel"/>
    <w:tmpl w:val="375C5532"/>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5734248"/>
    <w:multiLevelType w:val="hybridMultilevel"/>
    <w:tmpl w:val="232CD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65F0F76"/>
    <w:multiLevelType w:val="hybridMultilevel"/>
    <w:tmpl w:val="9958426C"/>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288014A"/>
    <w:multiLevelType w:val="hybridMultilevel"/>
    <w:tmpl w:val="3684D3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A244EBF"/>
    <w:multiLevelType w:val="hybridMultilevel"/>
    <w:tmpl w:val="6C0680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0BF3C12"/>
    <w:multiLevelType w:val="hybridMultilevel"/>
    <w:tmpl w:val="9A6CA1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19B40D5"/>
    <w:multiLevelType w:val="hybridMultilevel"/>
    <w:tmpl w:val="CD38733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nsid w:val="64E914AE"/>
    <w:multiLevelType w:val="hybridMultilevel"/>
    <w:tmpl w:val="F1F4B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8930DC9"/>
    <w:multiLevelType w:val="hybridMultilevel"/>
    <w:tmpl w:val="906AC612"/>
    <w:lvl w:ilvl="0" w:tplc="5646312A">
      <w:start w:val="20"/>
      <w:numFmt w:val="decimal"/>
      <w:lvlText w:val="%1."/>
      <w:lvlJc w:val="left"/>
      <w:pPr>
        <w:ind w:left="720" w:hanging="360"/>
      </w:pPr>
      <w:rPr>
        <w:rFonts w:eastAsiaTheme="minorHAnsi" w:hint="default"/>
        <w:b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54D5659"/>
    <w:multiLevelType w:val="hybridMultilevel"/>
    <w:tmpl w:val="DC6E27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67C4DBF"/>
    <w:multiLevelType w:val="hybridMultilevel"/>
    <w:tmpl w:val="C25E3482"/>
    <w:lvl w:ilvl="0" w:tplc="164017B4">
      <w:start w:val="1"/>
      <w:numFmt w:val="decimal"/>
      <w:lvlText w:val="Tabela %1 -"/>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nsid w:val="78C335CC"/>
    <w:multiLevelType w:val="hybridMultilevel"/>
    <w:tmpl w:val="13F85C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A3A569A"/>
    <w:multiLevelType w:val="hybridMultilevel"/>
    <w:tmpl w:val="57CCBB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CBC1E82"/>
    <w:multiLevelType w:val="hybridMultilevel"/>
    <w:tmpl w:val="1576B2FE"/>
    <w:lvl w:ilvl="0" w:tplc="3584918A">
      <w:start w:val="1"/>
      <w:numFmt w:val="decimal"/>
      <w:lvlText w:val="Tabela %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CF47AA3"/>
    <w:multiLevelType w:val="hybridMultilevel"/>
    <w:tmpl w:val="57CCBB06"/>
    <w:lvl w:ilvl="0" w:tplc="0416000F">
      <w:start w:val="1"/>
      <w:numFmt w:val="decimal"/>
      <w:lvlText w:val="%1."/>
      <w:lvlJc w:val="left"/>
      <w:pPr>
        <w:ind w:left="107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E7A6CC4"/>
    <w:multiLevelType w:val="hybridMultilevel"/>
    <w:tmpl w:val="D850FED6"/>
    <w:lvl w:ilvl="0" w:tplc="B87626C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13"/>
  </w:num>
  <w:num w:numId="3">
    <w:abstractNumId w:val="6"/>
  </w:num>
  <w:num w:numId="4">
    <w:abstractNumId w:val="23"/>
  </w:num>
  <w:num w:numId="5">
    <w:abstractNumId w:val="25"/>
  </w:num>
  <w:num w:numId="6">
    <w:abstractNumId w:val="9"/>
  </w:num>
  <w:num w:numId="7">
    <w:abstractNumId w:val="11"/>
  </w:num>
  <w:num w:numId="8">
    <w:abstractNumId w:val="0"/>
  </w:num>
  <w:num w:numId="9">
    <w:abstractNumId w:val="14"/>
  </w:num>
  <w:num w:numId="10">
    <w:abstractNumId w:val="20"/>
  </w:num>
  <w:num w:numId="11">
    <w:abstractNumId w:val="18"/>
  </w:num>
  <w:num w:numId="12">
    <w:abstractNumId w:val="17"/>
  </w:num>
  <w:num w:numId="13">
    <w:abstractNumId w:val="3"/>
  </w:num>
  <w:num w:numId="14">
    <w:abstractNumId w:val="15"/>
  </w:num>
  <w:num w:numId="15">
    <w:abstractNumId w:val="19"/>
  </w:num>
  <w:num w:numId="16">
    <w:abstractNumId w:val="10"/>
  </w:num>
  <w:num w:numId="17">
    <w:abstractNumId w:val="4"/>
  </w:num>
  <w:num w:numId="18">
    <w:abstractNumId w:val="7"/>
  </w:num>
  <w:num w:numId="19">
    <w:abstractNumId w:val="21"/>
  </w:num>
  <w:num w:numId="20">
    <w:abstractNumId w:val="24"/>
  </w:num>
  <w:num w:numId="21">
    <w:abstractNumId w:val="8"/>
  </w:num>
  <w:num w:numId="22">
    <w:abstractNumId w:val="26"/>
  </w:num>
  <w:num w:numId="23">
    <w:abstractNumId w:val="1"/>
  </w:num>
  <w:num w:numId="24">
    <w:abstractNumId w:val="16"/>
  </w:num>
  <w:num w:numId="25">
    <w:abstractNumId w:val="5"/>
  </w:num>
  <w:num w:numId="26">
    <w:abstractNumId w:val="2"/>
  </w:num>
  <w:num w:numId="2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defaultTabStop w:val="709"/>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80C"/>
    <w:rsid w:val="00000B5A"/>
    <w:rsid w:val="0000180D"/>
    <w:rsid w:val="000027DE"/>
    <w:rsid w:val="00004C27"/>
    <w:rsid w:val="000052CD"/>
    <w:rsid w:val="000053FE"/>
    <w:rsid w:val="0000702A"/>
    <w:rsid w:val="00011964"/>
    <w:rsid w:val="00012AEF"/>
    <w:rsid w:val="0001474B"/>
    <w:rsid w:val="00015E8F"/>
    <w:rsid w:val="00015F88"/>
    <w:rsid w:val="00016036"/>
    <w:rsid w:val="00016D08"/>
    <w:rsid w:val="00017A80"/>
    <w:rsid w:val="0002007A"/>
    <w:rsid w:val="0002036C"/>
    <w:rsid w:val="00020D3D"/>
    <w:rsid w:val="00020F29"/>
    <w:rsid w:val="000228A3"/>
    <w:rsid w:val="00024735"/>
    <w:rsid w:val="000250C0"/>
    <w:rsid w:val="00032039"/>
    <w:rsid w:val="00032103"/>
    <w:rsid w:val="000326A1"/>
    <w:rsid w:val="00032CA1"/>
    <w:rsid w:val="00033337"/>
    <w:rsid w:val="000342D3"/>
    <w:rsid w:val="0003536C"/>
    <w:rsid w:val="000371C2"/>
    <w:rsid w:val="00041551"/>
    <w:rsid w:val="00041806"/>
    <w:rsid w:val="0004379E"/>
    <w:rsid w:val="000460EB"/>
    <w:rsid w:val="00054785"/>
    <w:rsid w:val="000606FC"/>
    <w:rsid w:val="00062759"/>
    <w:rsid w:val="00064EC2"/>
    <w:rsid w:val="00064F33"/>
    <w:rsid w:val="0006680F"/>
    <w:rsid w:val="00070F47"/>
    <w:rsid w:val="00072515"/>
    <w:rsid w:val="00072BA9"/>
    <w:rsid w:val="000754AA"/>
    <w:rsid w:val="00080328"/>
    <w:rsid w:val="0008121C"/>
    <w:rsid w:val="00081974"/>
    <w:rsid w:val="000829D0"/>
    <w:rsid w:val="00083A58"/>
    <w:rsid w:val="00083CE9"/>
    <w:rsid w:val="00083D14"/>
    <w:rsid w:val="00083DA2"/>
    <w:rsid w:val="0009041F"/>
    <w:rsid w:val="00090D84"/>
    <w:rsid w:val="00090F26"/>
    <w:rsid w:val="000934BC"/>
    <w:rsid w:val="00095154"/>
    <w:rsid w:val="00096848"/>
    <w:rsid w:val="000A36BB"/>
    <w:rsid w:val="000A4089"/>
    <w:rsid w:val="000A68C6"/>
    <w:rsid w:val="000A6ADA"/>
    <w:rsid w:val="000A7D28"/>
    <w:rsid w:val="000B038B"/>
    <w:rsid w:val="000B0858"/>
    <w:rsid w:val="000B1439"/>
    <w:rsid w:val="000B29B4"/>
    <w:rsid w:val="000B3208"/>
    <w:rsid w:val="000B43A4"/>
    <w:rsid w:val="000B5C9B"/>
    <w:rsid w:val="000B713B"/>
    <w:rsid w:val="000C06C1"/>
    <w:rsid w:val="000C209A"/>
    <w:rsid w:val="000C2D4B"/>
    <w:rsid w:val="000C3A47"/>
    <w:rsid w:val="000C3E15"/>
    <w:rsid w:val="000C4CB4"/>
    <w:rsid w:val="000C6CE2"/>
    <w:rsid w:val="000D1A96"/>
    <w:rsid w:val="000D302A"/>
    <w:rsid w:val="000D35F8"/>
    <w:rsid w:val="000D5855"/>
    <w:rsid w:val="000D7B21"/>
    <w:rsid w:val="000E15A6"/>
    <w:rsid w:val="000E1AAB"/>
    <w:rsid w:val="000E233B"/>
    <w:rsid w:val="000E2DF0"/>
    <w:rsid w:val="000E34BE"/>
    <w:rsid w:val="000E61A0"/>
    <w:rsid w:val="000E77E9"/>
    <w:rsid w:val="000E7DF9"/>
    <w:rsid w:val="000F0230"/>
    <w:rsid w:val="000F0C5B"/>
    <w:rsid w:val="000F128A"/>
    <w:rsid w:val="000F1ADE"/>
    <w:rsid w:val="000F3011"/>
    <w:rsid w:val="000F3A84"/>
    <w:rsid w:val="000F3E20"/>
    <w:rsid w:val="000F5CF5"/>
    <w:rsid w:val="000F727F"/>
    <w:rsid w:val="000F762A"/>
    <w:rsid w:val="00101CEF"/>
    <w:rsid w:val="001050AB"/>
    <w:rsid w:val="0010526F"/>
    <w:rsid w:val="0010557A"/>
    <w:rsid w:val="001057B3"/>
    <w:rsid w:val="00105A1D"/>
    <w:rsid w:val="001065D1"/>
    <w:rsid w:val="001067B3"/>
    <w:rsid w:val="001076CB"/>
    <w:rsid w:val="00107AC2"/>
    <w:rsid w:val="001104A7"/>
    <w:rsid w:val="00111591"/>
    <w:rsid w:val="00112F52"/>
    <w:rsid w:val="00114B64"/>
    <w:rsid w:val="0011544C"/>
    <w:rsid w:val="001154A0"/>
    <w:rsid w:val="001207F1"/>
    <w:rsid w:val="00121965"/>
    <w:rsid w:val="00122191"/>
    <w:rsid w:val="00124C75"/>
    <w:rsid w:val="00124CF2"/>
    <w:rsid w:val="00124F52"/>
    <w:rsid w:val="00127ADE"/>
    <w:rsid w:val="001312A1"/>
    <w:rsid w:val="0013133F"/>
    <w:rsid w:val="00133097"/>
    <w:rsid w:val="00133BD2"/>
    <w:rsid w:val="00134146"/>
    <w:rsid w:val="001359B1"/>
    <w:rsid w:val="00135AD5"/>
    <w:rsid w:val="00137476"/>
    <w:rsid w:val="00137588"/>
    <w:rsid w:val="0013799E"/>
    <w:rsid w:val="00142674"/>
    <w:rsid w:val="001427D2"/>
    <w:rsid w:val="00144D87"/>
    <w:rsid w:val="00145F77"/>
    <w:rsid w:val="0014646B"/>
    <w:rsid w:val="0014773F"/>
    <w:rsid w:val="0014785A"/>
    <w:rsid w:val="00147B37"/>
    <w:rsid w:val="00151286"/>
    <w:rsid w:val="0015137E"/>
    <w:rsid w:val="00151BE2"/>
    <w:rsid w:val="0015360B"/>
    <w:rsid w:val="00153A9B"/>
    <w:rsid w:val="00154AB9"/>
    <w:rsid w:val="00156E71"/>
    <w:rsid w:val="00162732"/>
    <w:rsid w:val="001639E6"/>
    <w:rsid w:val="001656B7"/>
    <w:rsid w:val="00165796"/>
    <w:rsid w:val="00165A43"/>
    <w:rsid w:val="00165E84"/>
    <w:rsid w:val="00165FA4"/>
    <w:rsid w:val="00170897"/>
    <w:rsid w:val="001719E8"/>
    <w:rsid w:val="001721C6"/>
    <w:rsid w:val="00173CE0"/>
    <w:rsid w:val="001741DD"/>
    <w:rsid w:val="001752E4"/>
    <w:rsid w:val="00175F70"/>
    <w:rsid w:val="0017670E"/>
    <w:rsid w:val="00177F0F"/>
    <w:rsid w:val="001802E2"/>
    <w:rsid w:val="00180531"/>
    <w:rsid w:val="0018157C"/>
    <w:rsid w:val="00184632"/>
    <w:rsid w:val="00184DBA"/>
    <w:rsid w:val="00191431"/>
    <w:rsid w:val="00193314"/>
    <w:rsid w:val="00194BD9"/>
    <w:rsid w:val="0019506F"/>
    <w:rsid w:val="00195EF5"/>
    <w:rsid w:val="0019698D"/>
    <w:rsid w:val="001A0046"/>
    <w:rsid w:val="001A08CD"/>
    <w:rsid w:val="001A136A"/>
    <w:rsid w:val="001A18F6"/>
    <w:rsid w:val="001A4A56"/>
    <w:rsid w:val="001A6CED"/>
    <w:rsid w:val="001A7B0A"/>
    <w:rsid w:val="001B465C"/>
    <w:rsid w:val="001B661B"/>
    <w:rsid w:val="001B6B54"/>
    <w:rsid w:val="001C014C"/>
    <w:rsid w:val="001C06D8"/>
    <w:rsid w:val="001C3596"/>
    <w:rsid w:val="001C3FCC"/>
    <w:rsid w:val="001C40F3"/>
    <w:rsid w:val="001C67D0"/>
    <w:rsid w:val="001C7FDE"/>
    <w:rsid w:val="001D0AED"/>
    <w:rsid w:val="001D1129"/>
    <w:rsid w:val="001D139D"/>
    <w:rsid w:val="001D153B"/>
    <w:rsid w:val="001D29AE"/>
    <w:rsid w:val="001D362E"/>
    <w:rsid w:val="001D3973"/>
    <w:rsid w:val="001D494A"/>
    <w:rsid w:val="001D5EA5"/>
    <w:rsid w:val="001D79B0"/>
    <w:rsid w:val="001E0677"/>
    <w:rsid w:val="001E072C"/>
    <w:rsid w:val="001E07D2"/>
    <w:rsid w:val="001E20FD"/>
    <w:rsid w:val="001E4B66"/>
    <w:rsid w:val="001E5249"/>
    <w:rsid w:val="001E67A7"/>
    <w:rsid w:val="001E6E45"/>
    <w:rsid w:val="001F0593"/>
    <w:rsid w:val="001F0C0D"/>
    <w:rsid w:val="001F1473"/>
    <w:rsid w:val="001F24CD"/>
    <w:rsid w:val="001F268C"/>
    <w:rsid w:val="001F36DA"/>
    <w:rsid w:val="001F461F"/>
    <w:rsid w:val="001F4ED6"/>
    <w:rsid w:val="001F5A2D"/>
    <w:rsid w:val="001F6126"/>
    <w:rsid w:val="001F6210"/>
    <w:rsid w:val="001F787C"/>
    <w:rsid w:val="001F7CB2"/>
    <w:rsid w:val="00200694"/>
    <w:rsid w:val="002032F6"/>
    <w:rsid w:val="002033E8"/>
    <w:rsid w:val="00204EE7"/>
    <w:rsid w:val="002055BC"/>
    <w:rsid w:val="00210536"/>
    <w:rsid w:val="00211C09"/>
    <w:rsid w:val="00211DD7"/>
    <w:rsid w:val="00212B6B"/>
    <w:rsid w:val="00213135"/>
    <w:rsid w:val="0021344C"/>
    <w:rsid w:val="00215452"/>
    <w:rsid w:val="0021738D"/>
    <w:rsid w:val="00220635"/>
    <w:rsid w:val="00220D6F"/>
    <w:rsid w:val="002217CB"/>
    <w:rsid w:val="00222E5D"/>
    <w:rsid w:val="00224DD1"/>
    <w:rsid w:val="00225097"/>
    <w:rsid w:val="00225956"/>
    <w:rsid w:val="00225BDC"/>
    <w:rsid w:val="00225DE8"/>
    <w:rsid w:val="00225EA3"/>
    <w:rsid w:val="00226EA3"/>
    <w:rsid w:val="0023076F"/>
    <w:rsid w:val="002339A5"/>
    <w:rsid w:val="0023492E"/>
    <w:rsid w:val="00234C52"/>
    <w:rsid w:val="00234C73"/>
    <w:rsid w:val="00235B00"/>
    <w:rsid w:val="0023629A"/>
    <w:rsid w:val="00240868"/>
    <w:rsid w:val="00241311"/>
    <w:rsid w:val="0024278C"/>
    <w:rsid w:val="00245B93"/>
    <w:rsid w:val="00245EFC"/>
    <w:rsid w:val="002462B1"/>
    <w:rsid w:val="00247F2D"/>
    <w:rsid w:val="0025074F"/>
    <w:rsid w:val="00251AA2"/>
    <w:rsid w:val="00252C57"/>
    <w:rsid w:val="00254944"/>
    <w:rsid w:val="00254BF4"/>
    <w:rsid w:val="00254FA5"/>
    <w:rsid w:val="00260BB6"/>
    <w:rsid w:val="00261EC6"/>
    <w:rsid w:val="00262138"/>
    <w:rsid w:val="00262CA6"/>
    <w:rsid w:val="00262F22"/>
    <w:rsid w:val="002630A7"/>
    <w:rsid w:val="00263553"/>
    <w:rsid w:val="00265E5D"/>
    <w:rsid w:val="002666DF"/>
    <w:rsid w:val="00270BA3"/>
    <w:rsid w:val="0027195F"/>
    <w:rsid w:val="00271D7C"/>
    <w:rsid w:val="00273D0A"/>
    <w:rsid w:val="00273DB3"/>
    <w:rsid w:val="00276FAD"/>
    <w:rsid w:val="00277E0B"/>
    <w:rsid w:val="002803FA"/>
    <w:rsid w:val="00281B42"/>
    <w:rsid w:val="002820D7"/>
    <w:rsid w:val="00282B08"/>
    <w:rsid w:val="00283C9F"/>
    <w:rsid w:val="00283F37"/>
    <w:rsid w:val="00284853"/>
    <w:rsid w:val="0029021B"/>
    <w:rsid w:val="00290B20"/>
    <w:rsid w:val="002915D0"/>
    <w:rsid w:val="00291BC8"/>
    <w:rsid w:val="00292374"/>
    <w:rsid w:val="002944B4"/>
    <w:rsid w:val="002A09E6"/>
    <w:rsid w:val="002A13A4"/>
    <w:rsid w:val="002A1C4F"/>
    <w:rsid w:val="002A3350"/>
    <w:rsid w:val="002A6335"/>
    <w:rsid w:val="002A7560"/>
    <w:rsid w:val="002A764C"/>
    <w:rsid w:val="002A7A37"/>
    <w:rsid w:val="002B28F0"/>
    <w:rsid w:val="002C02B7"/>
    <w:rsid w:val="002C1177"/>
    <w:rsid w:val="002C4DDA"/>
    <w:rsid w:val="002C648B"/>
    <w:rsid w:val="002C6882"/>
    <w:rsid w:val="002D0941"/>
    <w:rsid w:val="002D0C4E"/>
    <w:rsid w:val="002D27D0"/>
    <w:rsid w:val="002D2B23"/>
    <w:rsid w:val="002D5880"/>
    <w:rsid w:val="002D58DB"/>
    <w:rsid w:val="002D5D25"/>
    <w:rsid w:val="002D6263"/>
    <w:rsid w:val="002D6881"/>
    <w:rsid w:val="002E0FDC"/>
    <w:rsid w:val="002E519A"/>
    <w:rsid w:val="002E5863"/>
    <w:rsid w:val="002E5A96"/>
    <w:rsid w:val="002E5F3C"/>
    <w:rsid w:val="002E7567"/>
    <w:rsid w:val="002E7CE8"/>
    <w:rsid w:val="002F169B"/>
    <w:rsid w:val="002F176A"/>
    <w:rsid w:val="002F2960"/>
    <w:rsid w:val="002F2993"/>
    <w:rsid w:val="002F4C6F"/>
    <w:rsid w:val="002F5586"/>
    <w:rsid w:val="002F63CD"/>
    <w:rsid w:val="002F6A40"/>
    <w:rsid w:val="0030070D"/>
    <w:rsid w:val="0030127E"/>
    <w:rsid w:val="00304540"/>
    <w:rsid w:val="00305DCF"/>
    <w:rsid w:val="0031464B"/>
    <w:rsid w:val="00321347"/>
    <w:rsid w:val="00322EFF"/>
    <w:rsid w:val="003238B2"/>
    <w:rsid w:val="003243D3"/>
    <w:rsid w:val="0032533B"/>
    <w:rsid w:val="00326758"/>
    <w:rsid w:val="003300F8"/>
    <w:rsid w:val="003303CF"/>
    <w:rsid w:val="00330663"/>
    <w:rsid w:val="00330C98"/>
    <w:rsid w:val="00330DBE"/>
    <w:rsid w:val="003364E1"/>
    <w:rsid w:val="00340CC6"/>
    <w:rsid w:val="0034727D"/>
    <w:rsid w:val="003505E8"/>
    <w:rsid w:val="00351233"/>
    <w:rsid w:val="00351B4E"/>
    <w:rsid w:val="0035323A"/>
    <w:rsid w:val="00353BBD"/>
    <w:rsid w:val="00355DD9"/>
    <w:rsid w:val="003563F1"/>
    <w:rsid w:val="003567E1"/>
    <w:rsid w:val="003600EE"/>
    <w:rsid w:val="00360AC5"/>
    <w:rsid w:val="00360AF2"/>
    <w:rsid w:val="00362D8F"/>
    <w:rsid w:val="0037074A"/>
    <w:rsid w:val="00371A9A"/>
    <w:rsid w:val="003729FD"/>
    <w:rsid w:val="003741CF"/>
    <w:rsid w:val="00374AAF"/>
    <w:rsid w:val="00375E48"/>
    <w:rsid w:val="00375E87"/>
    <w:rsid w:val="00377990"/>
    <w:rsid w:val="003800A8"/>
    <w:rsid w:val="00381F0A"/>
    <w:rsid w:val="00382610"/>
    <w:rsid w:val="00382711"/>
    <w:rsid w:val="00383C3C"/>
    <w:rsid w:val="00385449"/>
    <w:rsid w:val="003869A8"/>
    <w:rsid w:val="00387EE8"/>
    <w:rsid w:val="00390D93"/>
    <w:rsid w:val="00394985"/>
    <w:rsid w:val="003961CD"/>
    <w:rsid w:val="003967B2"/>
    <w:rsid w:val="003A2C72"/>
    <w:rsid w:val="003A368F"/>
    <w:rsid w:val="003A54E0"/>
    <w:rsid w:val="003A7285"/>
    <w:rsid w:val="003B0946"/>
    <w:rsid w:val="003B0B4D"/>
    <w:rsid w:val="003B0D82"/>
    <w:rsid w:val="003B1011"/>
    <w:rsid w:val="003B1561"/>
    <w:rsid w:val="003B1ECA"/>
    <w:rsid w:val="003B4408"/>
    <w:rsid w:val="003B5EC4"/>
    <w:rsid w:val="003B67B8"/>
    <w:rsid w:val="003C0D1D"/>
    <w:rsid w:val="003C0D72"/>
    <w:rsid w:val="003C12CA"/>
    <w:rsid w:val="003C1874"/>
    <w:rsid w:val="003C1C0E"/>
    <w:rsid w:val="003C2A63"/>
    <w:rsid w:val="003C4862"/>
    <w:rsid w:val="003C4C1E"/>
    <w:rsid w:val="003D209C"/>
    <w:rsid w:val="003D37A1"/>
    <w:rsid w:val="003D44E4"/>
    <w:rsid w:val="003D4903"/>
    <w:rsid w:val="003D4DF0"/>
    <w:rsid w:val="003D613E"/>
    <w:rsid w:val="003D6D1D"/>
    <w:rsid w:val="003D7D72"/>
    <w:rsid w:val="003E0BC2"/>
    <w:rsid w:val="003E137B"/>
    <w:rsid w:val="003E143D"/>
    <w:rsid w:val="003E201F"/>
    <w:rsid w:val="003E265E"/>
    <w:rsid w:val="003E371F"/>
    <w:rsid w:val="003E5B1F"/>
    <w:rsid w:val="003E6CC0"/>
    <w:rsid w:val="003E7D95"/>
    <w:rsid w:val="003F4E18"/>
    <w:rsid w:val="003F571E"/>
    <w:rsid w:val="003F5DB8"/>
    <w:rsid w:val="00400754"/>
    <w:rsid w:val="0041024D"/>
    <w:rsid w:val="004109B8"/>
    <w:rsid w:val="00411A3C"/>
    <w:rsid w:val="0041254A"/>
    <w:rsid w:val="00412B9B"/>
    <w:rsid w:val="00412FF7"/>
    <w:rsid w:val="00413376"/>
    <w:rsid w:val="0041353D"/>
    <w:rsid w:val="00413579"/>
    <w:rsid w:val="004147F6"/>
    <w:rsid w:val="00415559"/>
    <w:rsid w:val="0041601F"/>
    <w:rsid w:val="004169EA"/>
    <w:rsid w:val="00417067"/>
    <w:rsid w:val="004170B0"/>
    <w:rsid w:val="004175A4"/>
    <w:rsid w:val="00422B1F"/>
    <w:rsid w:val="004233F6"/>
    <w:rsid w:val="0042507F"/>
    <w:rsid w:val="004257BF"/>
    <w:rsid w:val="00427688"/>
    <w:rsid w:val="0042793E"/>
    <w:rsid w:val="00430078"/>
    <w:rsid w:val="00430568"/>
    <w:rsid w:val="0043242A"/>
    <w:rsid w:val="00432BF7"/>
    <w:rsid w:val="00433E64"/>
    <w:rsid w:val="0043459F"/>
    <w:rsid w:val="004370E0"/>
    <w:rsid w:val="00437387"/>
    <w:rsid w:val="0043795D"/>
    <w:rsid w:val="00440ED5"/>
    <w:rsid w:val="004426FE"/>
    <w:rsid w:val="004458BB"/>
    <w:rsid w:val="004465C8"/>
    <w:rsid w:val="00446841"/>
    <w:rsid w:val="00447D5E"/>
    <w:rsid w:val="00450278"/>
    <w:rsid w:val="0045077D"/>
    <w:rsid w:val="00454A4C"/>
    <w:rsid w:val="0045514A"/>
    <w:rsid w:val="0045630D"/>
    <w:rsid w:val="00460EF9"/>
    <w:rsid w:val="0046160D"/>
    <w:rsid w:val="00461717"/>
    <w:rsid w:val="00461C14"/>
    <w:rsid w:val="0046225F"/>
    <w:rsid w:val="004627EE"/>
    <w:rsid w:val="00462C2F"/>
    <w:rsid w:val="00463E07"/>
    <w:rsid w:val="0046400C"/>
    <w:rsid w:val="0046447F"/>
    <w:rsid w:val="00464C07"/>
    <w:rsid w:val="00465856"/>
    <w:rsid w:val="00466231"/>
    <w:rsid w:val="004668BC"/>
    <w:rsid w:val="00467DA2"/>
    <w:rsid w:val="00470D3A"/>
    <w:rsid w:val="00471461"/>
    <w:rsid w:val="00471AD1"/>
    <w:rsid w:val="00473C7E"/>
    <w:rsid w:val="00475644"/>
    <w:rsid w:val="00477373"/>
    <w:rsid w:val="00477581"/>
    <w:rsid w:val="00480486"/>
    <w:rsid w:val="00481C67"/>
    <w:rsid w:val="00482903"/>
    <w:rsid w:val="00483109"/>
    <w:rsid w:val="0048668F"/>
    <w:rsid w:val="00486CBC"/>
    <w:rsid w:val="00487FF1"/>
    <w:rsid w:val="004904B2"/>
    <w:rsid w:val="0049072A"/>
    <w:rsid w:val="004918B6"/>
    <w:rsid w:val="00493B40"/>
    <w:rsid w:val="00493C6E"/>
    <w:rsid w:val="0049430D"/>
    <w:rsid w:val="004967DE"/>
    <w:rsid w:val="004A08FC"/>
    <w:rsid w:val="004A1F83"/>
    <w:rsid w:val="004A211C"/>
    <w:rsid w:val="004A3893"/>
    <w:rsid w:val="004A578D"/>
    <w:rsid w:val="004A59CE"/>
    <w:rsid w:val="004A7E9D"/>
    <w:rsid w:val="004B1955"/>
    <w:rsid w:val="004B2BD9"/>
    <w:rsid w:val="004B4F08"/>
    <w:rsid w:val="004B5ACD"/>
    <w:rsid w:val="004B5F9A"/>
    <w:rsid w:val="004C05F5"/>
    <w:rsid w:val="004C08F0"/>
    <w:rsid w:val="004C155F"/>
    <w:rsid w:val="004C210C"/>
    <w:rsid w:val="004C2135"/>
    <w:rsid w:val="004C69E1"/>
    <w:rsid w:val="004C6CE5"/>
    <w:rsid w:val="004C6EFD"/>
    <w:rsid w:val="004D0AC2"/>
    <w:rsid w:val="004D4D4A"/>
    <w:rsid w:val="004D4D6A"/>
    <w:rsid w:val="004D617A"/>
    <w:rsid w:val="004E0CFC"/>
    <w:rsid w:val="004E0DBC"/>
    <w:rsid w:val="004E0FB1"/>
    <w:rsid w:val="004E1773"/>
    <w:rsid w:val="004E1B05"/>
    <w:rsid w:val="004E203A"/>
    <w:rsid w:val="004E5554"/>
    <w:rsid w:val="004E71B7"/>
    <w:rsid w:val="004E78CF"/>
    <w:rsid w:val="004F04E3"/>
    <w:rsid w:val="004F1DD7"/>
    <w:rsid w:val="004F2074"/>
    <w:rsid w:val="004F3346"/>
    <w:rsid w:val="004F341F"/>
    <w:rsid w:val="0050205B"/>
    <w:rsid w:val="00502C44"/>
    <w:rsid w:val="00502E9D"/>
    <w:rsid w:val="005034E2"/>
    <w:rsid w:val="00504126"/>
    <w:rsid w:val="005066B2"/>
    <w:rsid w:val="00510237"/>
    <w:rsid w:val="00513484"/>
    <w:rsid w:val="005144A0"/>
    <w:rsid w:val="005157B8"/>
    <w:rsid w:val="0052043D"/>
    <w:rsid w:val="005208A5"/>
    <w:rsid w:val="00521925"/>
    <w:rsid w:val="00521E9B"/>
    <w:rsid w:val="0052275F"/>
    <w:rsid w:val="005258BC"/>
    <w:rsid w:val="00525B25"/>
    <w:rsid w:val="005263C7"/>
    <w:rsid w:val="00527205"/>
    <w:rsid w:val="005328D3"/>
    <w:rsid w:val="00532D7E"/>
    <w:rsid w:val="00534730"/>
    <w:rsid w:val="00536D13"/>
    <w:rsid w:val="00537EF1"/>
    <w:rsid w:val="00537F99"/>
    <w:rsid w:val="005449B1"/>
    <w:rsid w:val="00551413"/>
    <w:rsid w:val="00551E9E"/>
    <w:rsid w:val="00553CC2"/>
    <w:rsid w:val="00555430"/>
    <w:rsid w:val="00556E67"/>
    <w:rsid w:val="00557500"/>
    <w:rsid w:val="00557D33"/>
    <w:rsid w:val="00560AB1"/>
    <w:rsid w:val="00562320"/>
    <w:rsid w:val="0057050C"/>
    <w:rsid w:val="00572DA9"/>
    <w:rsid w:val="00573805"/>
    <w:rsid w:val="00573B9A"/>
    <w:rsid w:val="00577AFD"/>
    <w:rsid w:val="005801AD"/>
    <w:rsid w:val="0058023C"/>
    <w:rsid w:val="00584CAB"/>
    <w:rsid w:val="0058555C"/>
    <w:rsid w:val="005869F7"/>
    <w:rsid w:val="00586CDC"/>
    <w:rsid w:val="00590E46"/>
    <w:rsid w:val="00591CDC"/>
    <w:rsid w:val="00591FD5"/>
    <w:rsid w:val="00592ED6"/>
    <w:rsid w:val="00593EB8"/>
    <w:rsid w:val="005A3873"/>
    <w:rsid w:val="005A65A1"/>
    <w:rsid w:val="005A670D"/>
    <w:rsid w:val="005B0AFA"/>
    <w:rsid w:val="005B0B30"/>
    <w:rsid w:val="005B0D2E"/>
    <w:rsid w:val="005B407F"/>
    <w:rsid w:val="005B41B1"/>
    <w:rsid w:val="005B4DDE"/>
    <w:rsid w:val="005B5D8D"/>
    <w:rsid w:val="005B6463"/>
    <w:rsid w:val="005B6D19"/>
    <w:rsid w:val="005B7817"/>
    <w:rsid w:val="005B7C7D"/>
    <w:rsid w:val="005C0323"/>
    <w:rsid w:val="005C0348"/>
    <w:rsid w:val="005C492E"/>
    <w:rsid w:val="005C5BA7"/>
    <w:rsid w:val="005C5E79"/>
    <w:rsid w:val="005C604D"/>
    <w:rsid w:val="005D0B1D"/>
    <w:rsid w:val="005D3D18"/>
    <w:rsid w:val="005D4586"/>
    <w:rsid w:val="005E1013"/>
    <w:rsid w:val="005E1CA5"/>
    <w:rsid w:val="005E2420"/>
    <w:rsid w:val="005E2DE3"/>
    <w:rsid w:val="005E37A3"/>
    <w:rsid w:val="005E3D85"/>
    <w:rsid w:val="005E67A4"/>
    <w:rsid w:val="005E71E3"/>
    <w:rsid w:val="005F0116"/>
    <w:rsid w:val="005F0376"/>
    <w:rsid w:val="005F48FA"/>
    <w:rsid w:val="005F6D9F"/>
    <w:rsid w:val="005F73EB"/>
    <w:rsid w:val="006009F2"/>
    <w:rsid w:val="006023E9"/>
    <w:rsid w:val="00603474"/>
    <w:rsid w:val="00605763"/>
    <w:rsid w:val="00606ED2"/>
    <w:rsid w:val="006077E3"/>
    <w:rsid w:val="00607F55"/>
    <w:rsid w:val="006101C3"/>
    <w:rsid w:val="00610923"/>
    <w:rsid w:val="006113EE"/>
    <w:rsid w:val="0061438A"/>
    <w:rsid w:val="00615AB2"/>
    <w:rsid w:val="00616595"/>
    <w:rsid w:val="00616757"/>
    <w:rsid w:val="00617856"/>
    <w:rsid w:val="00617B39"/>
    <w:rsid w:val="00625963"/>
    <w:rsid w:val="00626F08"/>
    <w:rsid w:val="00627B52"/>
    <w:rsid w:val="00635515"/>
    <w:rsid w:val="00636DF3"/>
    <w:rsid w:val="00637EB9"/>
    <w:rsid w:val="00643236"/>
    <w:rsid w:val="0064350B"/>
    <w:rsid w:val="0064468E"/>
    <w:rsid w:val="00646633"/>
    <w:rsid w:val="00654593"/>
    <w:rsid w:val="006552DD"/>
    <w:rsid w:val="00655713"/>
    <w:rsid w:val="00660220"/>
    <w:rsid w:val="006612D7"/>
    <w:rsid w:val="006615F3"/>
    <w:rsid w:val="00661C7F"/>
    <w:rsid w:val="00664F28"/>
    <w:rsid w:val="00665737"/>
    <w:rsid w:val="0067074D"/>
    <w:rsid w:val="00672A1B"/>
    <w:rsid w:val="006731A6"/>
    <w:rsid w:val="0067371A"/>
    <w:rsid w:val="00673B34"/>
    <w:rsid w:val="00674607"/>
    <w:rsid w:val="0067580B"/>
    <w:rsid w:val="0067605B"/>
    <w:rsid w:val="006765E1"/>
    <w:rsid w:val="00682986"/>
    <w:rsid w:val="0068353C"/>
    <w:rsid w:val="006845CA"/>
    <w:rsid w:val="006845FE"/>
    <w:rsid w:val="0068611A"/>
    <w:rsid w:val="00686709"/>
    <w:rsid w:val="00691B29"/>
    <w:rsid w:val="00691BA5"/>
    <w:rsid w:val="00692F94"/>
    <w:rsid w:val="00694E59"/>
    <w:rsid w:val="00696BBC"/>
    <w:rsid w:val="00696BCE"/>
    <w:rsid w:val="006A1477"/>
    <w:rsid w:val="006A1868"/>
    <w:rsid w:val="006A7079"/>
    <w:rsid w:val="006A7392"/>
    <w:rsid w:val="006B0E40"/>
    <w:rsid w:val="006B0F6C"/>
    <w:rsid w:val="006B2355"/>
    <w:rsid w:val="006B4579"/>
    <w:rsid w:val="006B48C8"/>
    <w:rsid w:val="006C3931"/>
    <w:rsid w:val="006C53F1"/>
    <w:rsid w:val="006C5E93"/>
    <w:rsid w:val="006C5F32"/>
    <w:rsid w:val="006C613F"/>
    <w:rsid w:val="006C6F72"/>
    <w:rsid w:val="006C7152"/>
    <w:rsid w:val="006D03EB"/>
    <w:rsid w:val="006D121B"/>
    <w:rsid w:val="006D1A65"/>
    <w:rsid w:val="006D38CB"/>
    <w:rsid w:val="006D3BB2"/>
    <w:rsid w:val="006D7AC5"/>
    <w:rsid w:val="006E0DFB"/>
    <w:rsid w:val="006E4436"/>
    <w:rsid w:val="006E5922"/>
    <w:rsid w:val="006E5A34"/>
    <w:rsid w:val="006E7BBA"/>
    <w:rsid w:val="006F08F2"/>
    <w:rsid w:val="006F1A07"/>
    <w:rsid w:val="006F2004"/>
    <w:rsid w:val="006F2CC1"/>
    <w:rsid w:val="006F3547"/>
    <w:rsid w:val="006F60E3"/>
    <w:rsid w:val="006F7A5D"/>
    <w:rsid w:val="00700065"/>
    <w:rsid w:val="007019E6"/>
    <w:rsid w:val="00701B22"/>
    <w:rsid w:val="00702F81"/>
    <w:rsid w:val="0070429E"/>
    <w:rsid w:val="0070433E"/>
    <w:rsid w:val="007047EE"/>
    <w:rsid w:val="0070673F"/>
    <w:rsid w:val="00711390"/>
    <w:rsid w:val="00711863"/>
    <w:rsid w:val="0071242A"/>
    <w:rsid w:val="00716458"/>
    <w:rsid w:val="00717608"/>
    <w:rsid w:val="007211BD"/>
    <w:rsid w:val="00722410"/>
    <w:rsid w:val="00722E80"/>
    <w:rsid w:val="0073138D"/>
    <w:rsid w:val="00731EFB"/>
    <w:rsid w:val="007325E4"/>
    <w:rsid w:val="0073327F"/>
    <w:rsid w:val="00737156"/>
    <w:rsid w:val="00746943"/>
    <w:rsid w:val="00747017"/>
    <w:rsid w:val="0075074C"/>
    <w:rsid w:val="00750D95"/>
    <w:rsid w:val="00751577"/>
    <w:rsid w:val="00755731"/>
    <w:rsid w:val="00756A5E"/>
    <w:rsid w:val="00756BBC"/>
    <w:rsid w:val="00756DF7"/>
    <w:rsid w:val="0076083D"/>
    <w:rsid w:val="00762560"/>
    <w:rsid w:val="00762626"/>
    <w:rsid w:val="00764006"/>
    <w:rsid w:val="007654E9"/>
    <w:rsid w:val="00765A7A"/>
    <w:rsid w:val="00765CA6"/>
    <w:rsid w:val="00766448"/>
    <w:rsid w:val="007670C5"/>
    <w:rsid w:val="007673A9"/>
    <w:rsid w:val="007673AF"/>
    <w:rsid w:val="00767C19"/>
    <w:rsid w:val="007711E1"/>
    <w:rsid w:val="0077135F"/>
    <w:rsid w:val="00772279"/>
    <w:rsid w:val="007773BD"/>
    <w:rsid w:val="007801B1"/>
    <w:rsid w:val="007811C9"/>
    <w:rsid w:val="00783C3C"/>
    <w:rsid w:val="00785139"/>
    <w:rsid w:val="00785164"/>
    <w:rsid w:val="007873C1"/>
    <w:rsid w:val="00787561"/>
    <w:rsid w:val="00787649"/>
    <w:rsid w:val="00787A3E"/>
    <w:rsid w:val="0079042A"/>
    <w:rsid w:val="00791458"/>
    <w:rsid w:val="0079322D"/>
    <w:rsid w:val="007941F1"/>
    <w:rsid w:val="00794CA5"/>
    <w:rsid w:val="0079594D"/>
    <w:rsid w:val="007A03A8"/>
    <w:rsid w:val="007A2664"/>
    <w:rsid w:val="007A5AF2"/>
    <w:rsid w:val="007B2CBC"/>
    <w:rsid w:val="007B5568"/>
    <w:rsid w:val="007B6B64"/>
    <w:rsid w:val="007C06E7"/>
    <w:rsid w:val="007C0852"/>
    <w:rsid w:val="007C111D"/>
    <w:rsid w:val="007C11E1"/>
    <w:rsid w:val="007C2D21"/>
    <w:rsid w:val="007C2E26"/>
    <w:rsid w:val="007C305D"/>
    <w:rsid w:val="007C3B67"/>
    <w:rsid w:val="007C4834"/>
    <w:rsid w:val="007C5A80"/>
    <w:rsid w:val="007C5AA5"/>
    <w:rsid w:val="007D297F"/>
    <w:rsid w:val="007D3F07"/>
    <w:rsid w:val="007D5A82"/>
    <w:rsid w:val="007D5D5B"/>
    <w:rsid w:val="007D666B"/>
    <w:rsid w:val="007D66E9"/>
    <w:rsid w:val="007D76F9"/>
    <w:rsid w:val="007D77DB"/>
    <w:rsid w:val="007E0063"/>
    <w:rsid w:val="007E2F33"/>
    <w:rsid w:val="007E3153"/>
    <w:rsid w:val="007E5326"/>
    <w:rsid w:val="007E7B16"/>
    <w:rsid w:val="007F4E50"/>
    <w:rsid w:val="007F52CA"/>
    <w:rsid w:val="007F53C9"/>
    <w:rsid w:val="007F5E0C"/>
    <w:rsid w:val="008009CE"/>
    <w:rsid w:val="00802105"/>
    <w:rsid w:val="00802C74"/>
    <w:rsid w:val="00802CD2"/>
    <w:rsid w:val="0080346A"/>
    <w:rsid w:val="00805031"/>
    <w:rsid w:val="008055F2"/>
    <w:rsid w:val="008076B4"/>
    <w:rsid w:val="0081131A"/>
    <w:rsid w:val="00811E77"/>
    <w:rsid w:val="00815157"/>
    <w:rsid w:val="00817143"/>
    <w:rsid w:val="00817C81"/>
    <w:rsid w:val="008212EA"/>
    <w:rsid w:val="0082235D"/>
    <w:rsid w:val="00823084"/>
    <w:rsid w:val="008261E3"/>
    <w:rsid w:val="0082680E"/>
    <w:rsid w:val="00827C6E"/>
    <w:rsid w:val="00832912"/>
    <w:rsid w:val="008336D0"/>
    <w:rsid w:val="00834D76"/>
    <w:rsid w:val="00835557"/>
    <w:rsid w:val="008364EF"/>
    <w:rsid w:val="00837653"/>
    <w:rsid w:val="0084179D"/>
    <w:rsid w:val="008417D8"/>
    <w:rsid w:val="00841B84"/>
    <w:rsid w:val="00841C07"/>
    <w:rsid w:val="008424E7"/>
    <w:rsid w:val="00843D73"/>
    <w:rsid w:val="00843DDA"/>
    <w:rsid w:val="008472E4"/>
    <w:rsid w:val="00847796"/>
    <w:rsid w:val="00851582"/>
    <w:rsid w:val="00851662"/>
    <w:rsid w:val="00851B79"/>
    <w:rsid w:val="00852207"/>
    <w:rsid w:val="00852A16"/>
    <w:rsid w:val="008624BE"/>
    <w:rsid w:val="0086668C"/>
    <w:rsid w:val="008679C5"/>
    <w:rsid w:val="00867C28"/>
    <w:rsid w:val="00867FAC"/>
    <w:rsid w:val="00871ECF"/>
    <w:rsid w:val="0087378B"/>
    <w:rsid w:val="008751BF"/>
    <w:rsid w:val="008758AD"/>
    <w:rsid w:val="008764B8"/>
    <w:rsid w:val="008779DE"/>
    <w:rsid w:val="00881DE6"/>
    <w:rsid w:val="00882200"/>
    <w:rsid w:val="008831BC"/>
    <w:rsid w:val="00883A26"/>
    <w:rsid w:val="008841F3"/>
    <w:rsid w:val="008872D0"/>
    <w:rsid w:val="0088747A"/>
    <w:rsid w:val="00887514"/>
    <w:rsid w:val="00887CAB"/>
    <w:rsid w:val="00890120"/>
    <w:rsid w:val="008921B2"/>
    <w:rsid w:val="008940EE"/>
    <w:rsid w:val="00894CFE"/>
    <w:rsid w:val="00895451"/>
    <w:rsid w:val="00895AC5"/>
    <w:rsid w:val="008A2582"/>
    <w:rsid w:val="008A2F9A"/>
    <w:rsid w:val="008A2FBF"/>
    <w:rsid w:val="008A31A3"/>
    <w:rsid w:val="008A5939"/>
    <w:rsid w:val="008A597E"/>
    <w:rsid w:val="008B0AF1"/>
    <w:rsid w:val="008B157D"/>
    <w:rsid w:val="008B188C"/>
    <w:rsid w:val="008B52AA"/>
    <w:rsid w:val="008B7F72"/>
    <w:rsid w:val="008C1F92"/>
    <w:rsid w:val="008C2533"/>
    <w:rsid w:val="008C5234"/>
    <w:rsid w:val="008C632D"/>
    <w:rsid w:val="008C6C05"/>
    <w:rsid w:val="008D0969"/>
    <w:rsid w:val="008D1470"/>
    <w:rsid w:val="008D166F"/>
    <w:rsid w:val="008D4A35"/>
    <w:rsid w:val="008D4BC6"/>
    <w:rsid w:val="008D6A7A"/>
    <w:rsid w:val="008D7A50"/>
    <w:rsid w:val="008D7AB9"/>
    <w:rsid w:val="008E02D2"/>
    <w:rsid w:val="008E1CB3"/>
    <w:rsid w:val="008E1DF9"/>
    <w:rsid w:val="008E2831"/>
    <w:rsid w:val="008E2FDD"/>
    <w:rsid w:val="008E3B89"/>
    <w:rsid w:val="008E4F8A"/>
    <w:rsid w:val="008F109D"/>
    <w:rsid w:val="008F58CB"/>
    <w:rsid w:val="008F6045"/>
    <w:rsid w:val="009001BB"/>
    <w:rsid w:val="00902B7C"/>
    <w:rsid w:val="009065BE"/>
    <w:rsid w:val="009078F2"/>
    <w:rsid w:val="00907984"/>
    <w:rsid w:val="00907C7D"/>
    <w:rsid w:val="00912781"/>
    <w:rsid w:val="00912787"/>
    <w:rsid w:val="00912FA3"/>
    <w:rsid w:val="00913749"/>
    <w:rsid w:val="0091400E"/>
    <w:rsid w:val="00915723"/>
    <w:rsid w:val="00915BFD"/>
    <w:rsid w:val="00916AC3"/>
    <w:rsid w:val="00917501"/>
    <w:rsid w:val="00917D08"/>
    <w:rsid w:val="00920B01"/>
    <w:rsid w:val="00920DEC"/>
    <w:rsid w:val="0092107D"/>
    <w:rsid w:val="00921C55"/>
    <w:rsid w:val="00925191"/>
    <w:rsid w:val="0092530D"/>
    <w:rsid w:val="009264F6"/>
    <w:rsid w:val="00931466"/>
    <w:rsid w:val="00933221"/>
    <w:rsid w:val="00934304"/>
    <w:rsid w:val="00934D0C"/>
    <w:rsid w:val="0094019C"/>
    <w:rsid w:val="0094156D"/>
    <w:rsid w:val="009422AA"/>
    <w:rsid w:val="00942E9D"/>
    <w:rsid w:val="00944CB8"/>
    <w:rsid w:val="00945DF4"/>
    <w:rsid w:val="00946947"/>
    <w:rsid w:val="00946A17"/>
    <w:rsid w:val="0094701F"/>
    <w:rsid w:val="0095068A"/>
    <w:rsid w:val="009516CA"/>
    <w:rsid w:val="009522A2"/>
    <w:rsid w:val="00953863"/>
    <w:rsid w:val="009538B9"/>
    <w:rsid w:val="0095649C"/>
    <w:rsid w:val="00956CD5"/>
    <w:rsid w:val="00961ED7"/>
    <w:rsid w:val="00963415"/>
    <w:rsid w:val="0096543D"/>
    <w:rsid w:val="00966BBE"/>
    <w:rsid w:val="009700C7"/>
    <w:rsid w:val="00970B6B"/>
    <w:rsid w:val="00972861"/>
    <w:rsid w:val="00972952"/>
    <w:rsid w:val="009747FA"/>
    <w:rsid w:val="00976AF7"/>
    <w:rsid w:val="00980703"/>
    <w:rsid w:val="00981523"/>
    <w:rsid w:val="009821BC"/>
    <w:rsid w:val="00985D37"/>
    <w:rsid w:val="0098713B"/>
    <w:rsid w:val="00987388"/>
    <w:rsid w:val="00990B9C"/>
    <w:rsid w:val="00993909"/>
    <w:rsid w:val="00995A88"/>
    <w:rsid w:val="009973D6"/>
    <w:rsid w:val="00997528"/>
    <w:rsid w:val="00997DEE"/>
    <w:rsid w:val="009A0ECF"/>
    <w:rsid w:val="009A120F"/>
    <w:rsid w:val="009A3688"/>
    <w:rsid w:val="009A3883"/>
    <w:rsid w:val="009A6247"/>
    <w:rsid w:val="009A67D0"/>
    <w:rsid w:val="009A6E4A"/>
    <w:rsid w:val="009A7080"/>
    <w:rsid w:val="009A7B2E"/>
    <w:rsid w:val="009B0626"/>
    <w:rsid w:val="009B11AA"/>
    <w:rsid w:val="009B213F"/>
    <w:rsid w:val="009B286E"/>
    <w:rsid w:val="009B2B13"/>
    <w:rsid w:val="009B323A"/>
    <w:rsid w:val="009B4008"/>
    <w:rsid w:val="009B47B6"/>
    <w:rsid w:val="009B5645"/>
    <w:rsid w:val="009B714D"/>
    <w:rsid w:val="009B7C55"/>
    <w:rsid w:val="009C009C"/>
    <w:rsid w:val="009C37FD"/>
    <w:rsid w:val="009C3926"/>
    <w:rsid w:val="009C3BDF"/>
    <w:rsid w:val="009C431A"/>
    <w:rsid w:val="009C4FE5"/>
    <w:rsid w:val="009C5473"/>
    <w:rsid w:val="009C666C"/>
    <w:rsid w:val="009D2FBD"/>
    <w:rsid w:val="009D3FDC"/>
    <w:rsid w:val="009D4614"/>
    <w:rsid w:val="009D4B0B"/>
    <w:rsid w:val="009D4F8C"/>
    <w:rsid w:val="009D6B36"/>
    <w:rsid w:val="009E0A54"/>
    <w:rsid w:val="009E2A65"/>
    <w:rsid w:val="009E2B48"/>
    <w:rsid w:val="009E2C70"/>
    <w:rsid w:val="009E3912"/>
    <w:rsid w:val="009E3D43"/>
    <w:rsid w:val="009E5942"/>
    <w:rsid w:val="009F1702"/>
    <w:rsid w:val="009F240B"/>
    <w:rsid w:val="009F33FD"/>
    <w:rsid w:val="009F36BD"/>
    <w:rsid w:val="009F4E60"/>
    <w:rsid w:val="009F6C7D"/>
    <w:rsid w:val="009F6D09"/>
    <w:rsid w:val="00A00A34"/>
    <w:rsid w:val="00A01AD6"/>
    <w:rsid w:val="00A024B8"/>
    <w:rsid w:val="00A05496"/>
    <w:rsid w:val="00A05BEF"/>
    <w:rsid w:val="00A05EB9"/>
    <w:rsid w:val="00A065F9"/>
    <w:rsid w:val="00A06EFE"/>
    <w:rsid w:val="00A079C2"/>
    <w:rsid w:val="00A11E9A"/>
    <w:rsid w:val="00A13179"/>
    <w:rsid w:val="00A135C5"/>
    <w:rsid w:val="00A13D4E"/>
    <w:rsid w:val="00A153A1"/>
    <w:rsid w:val="00A161BC"/>
    <w:rsid w:val="00A246BA"/>
    <w:rsid w:val="00A24710"/>
    <w:rsid w:val="00A277E4"/>
    <w:rsid w:val="00A3166C"/>
    <w:rsid w:val="00A319C8"/>
    <w:rsid w:val="00A32074"/>
    <w:rsid w:val="00A3377F"/>
    <w:rsid w:val="00A35D98"/>
    <w:rsid w:val="00A3652C"/>
    <w:rsid w:val="00A3692B"/>
    <w:rsid w:val="00A40589"/>
    <w:rsid w:val="00A410A2"/>
    <w:rsid w:val="00A42551"/>
    <w:rsid w:val="00A42D59"/>
    <w:rsid w:val="00A4325A"/>
    <w:rsid w:val="00A43AE7"/>
    <w:rsid w:val="00A43F91"/>
    <w:rsid w:val="00A44A27"/>
    <w:rsid w:val="00A47E36"/>
    <w:rsid w:val="00A509CC"/>
    <w:rsid w:val="00A51844"/>
    <w:rsid w:val="00A518BF"/>
    <w:rsid w:val="00A51D56"/>
    <w:rsid w:val="00A534BF"/>
    <w:rsid w:val="00A554A8"/>
    <w:rsid w:val="00A55C02"/>
    <w:rsid w:val="00A563BF"/>
    <w:rsid w:val="00A56876"/>
    <w:rsid w:val="00A60066"/>
    <w:rsid w:val="00A609F4"/>
    <w:rsid w:val="00A60D2F"/>
    <w:rsid w:val="00A61EC9"/>
    <w:rsid w:val="00A63812"/>
    <w:rsid w:val="00A64F6E"/>
    <w:rsid w:val="00A651F4"/>
    <w:rsid w:val="00A66E72"/>
    <w:rsid w:val="00A72852"/>
    <w:rsid w:val="00A73E17"/>
    <w:rsid w:val="00A73FC6"/>
    <w:rsid w:val="00A7571F"/>
    <w:rsid w:val="00A76BD7"/>
    <w:rsid w:val="00A77212"/>
    <w:rsid w:val="00A77669"/>
    <w:rsid w:val="00A80266"/>
    <w:rsid w:val="00A84167"/>
    <w:rsid w:val="00A857DC"/>
    <w:rsid w:val="00A85CCA"/>
    <w:rsid w:val="00A87D22"/>
    <w:rsid w:val="00A909A5"/>
    <w:rsid w:val="00A928CF"/>
    <w:rsid w:val="00A95043"/>
    <w:rsid w:val="00A9727D"/>
    <w:rsid w:val="00A97C09"/>
    <w:rsid w:val="00AA0E24"/>
    <w:rsid w:val="00AA3B88"/>
    <w:rsid w:val="00AA4961"/>
    <w:rsid w:val="00AA4E38"/>
    <w:rsid w:val="00AB03AE"/>
    <w:rsid w:val="00AB113A"/>
    <w:rsid w:val="00AB28C5"/>
    <w:rsid w:val="00AB33F0"/>
    <w:rsid w:val="00AB4D69"/>
    <w:rsid w:val="00AB4E20"/>
    <w:rsid w:val="00AB74A4"/>
    <w:rsid w:val="00AC05BF"/>
    <w:rsid w:val="00AC19B4"/>
    <w:rsid w:val="00AC1BC6"/>
    <w:rsid w:val="00AC26E2"/>
    <w:rsid w:val="00AC537D"/>
    <w:rsid w:val="00AD1A87"/>
    <w:rsid w:val="00AD2896"/>
    <w:rsid w:val="00AD2C2E"/>
    <w:rsid w:val="00AD3B10"/>
    <w:rsid w:val="00AD5023"/>
    <w:rsid w:val="00AD62D6"/>
    <w:rsid w:val="00AD79E6"/>
    <w:rsid w:val="00AE157C"/>
    <w:rsid w:val="00AE1856"/>
    <w:rsid w:val="00AE3106"/>
    <w:rsid w:val="00AE32DB"/>
    <w:rsid w:val="00AE4263"/>
    <w:rsid w:val="00AE4EDC"/>
    <w:rsid w:val="00AE4EF0"/>
    <w:rsid w:val="00AE6407"/>
    <w:rsid w:val="00AE641A"/>
    <w:rsid w:val="00AE65F8"/>
    <w:rsid w:val="00AF0163"/>
    <w:rsid w:val="00AF09C9"/>
    <w:rsid w:val="00AF1753"/>
    <w:rsid w:val="00AF2005"/>
    <w:rsid w:val="00AF24AC"/>
    <w:rsid w:val="00AF2620"/>
    <w:rsid w:val="00AF2AF9"/>
    <w:rsid w:val="00AF3D8A"/>
    <w:rsid w:val="00AF49EC"/>
    <w:rsid w:val="00AF4F84"/>
    <w:rsid w:val="00AF50F3"/>
    <w:rsid w:val="00AF51A4"/>
    <w:rsid w:val="00AF55FB"/>
    <w:rsid w:val="00B00F27"/>
    <w:rsid w:val="00B01586"/>
    <w:rsid w:val="00B0255C"/>
    <w:rsid w:val="00B02884"/>
    <w:rsid w:val="00B02DF2"/>
    <w:rsid w:val="00B03848"/>
    <w:rsid w:val="00B0432E"/>
    <w:rsid w:val="00B04916"/>
    <w:rsid w:val="00B07456"/>
    <w:rsid w:val="00B07A7E"/>
    <w:rsid w:val="00B07F5B"/>
    <w:rsid w:val="00B10988"/>
    <w:rsid w:val="00B12B67"/>
    <w:rsid w:val="00B13571"/>
    <w:rsid w:val="00B13A30"/>
    <w:rsid w:val="00B14F00"/>
    <w:rsid w:val="00B151EE"/>
    <w:rsid w:val="00B1531D"/>
    <w:rsid w:val="00B169C4"/>
    <w:rsid w:val="00B17114"/>
    <w:rsid w:val="00B17152"/>
    <w:rsid w:val="00B17191"/>
    <w:rsid w:val="00B1742B"/>
    <w:rsid w:val="00B22CE3"/>
    <w:rsid w:val="00B25287"/>
    <w:rsid w:val="00B271B4"/>
    <w:rsid w:val="00B272ED"/>
    <w:rsid w:val="00B30682"/>
    <w:rsid w:val="00B312EB"/>
    <w:rsid w:val="00B3154C"/>
    <w:rsid w:val="00B3311D"/>
    <w:rsid w:val="00B36393"/>
    <w:rsid w:val="00B3664A"/>
    <w:rsid w:val="00B36D85"/>
    <w:rsid w:val="00B42A6D"/>
    <w:rsid w:val="00B43591"/>
    <w:rsid w:val="00B45B9B"/>
    <w:rsid w:val="00B46E6E"/>
    <w:rsid w:val="00B52725"/>
    <w:rsid w:val="00B533D4"/>
    <w:rsid w:val="00B5444D"/>
    <w:rsid w:val="00B565AE"/>
    <w:rsid w:val="00B64A3E"/>
    <w:rsid w:val="00B651F3"/>
    <w:rsid w:val="00B65746"/>
    <w:rsid w:val="00B65E84"/>
    <w:rsid w:val="00B67124"/>
    <w:rsid w:val="00B67C7B"/>
    <w:rsid w:val="00B67C8D"/>
    <w:rsid w:val="00B67F95"/>
    <w:rsid w:val="00B70C28"/>
    <w:rsid w:val="00B70EBE"/>
    <w:rsid w:val="00B71E83"/>
    <w:rsid w:val="00B72DF3"/>
    <w:rsid w:val="00B73682"/>
    <w:rsid w:val="00B74293"/>
    <w:rsid w:val="00B759A1"/>
    <w:rsid w:val="00B81672"/>
    <w:rsid w:val="00B819C8"/>
    <w:rsid w:val="00B82BAD"/>
    <w:rsid w:val="00B8422B"/>
    <w:rsid w:val="00B869C5"/>
    <w:rsid w:val="00B86EF2"/>
    <w:rsid w:val="00B8788C"/>
    <w:rsid w:val="00B9078E"/>
    <w:rsid w:val="00B90FA4"/>
    <w:rsid w:val="00B9144C"/>
    <w:rsid w:val="00B92261"/>
    <w:rsid w:val="00B93DAB"/>
    <w:rsid w:val="00B955E6"/>
    <w:rsid w:val="00B96467"/>
    <w:rsid w:val="00B977C8"/>
    <w:rsid w:val="00BA11E9"/>
    <w:rsid w:val="00BA30A8"/>
    <w:rsid w:val="00BA31C7"/>
    <w:rsid w:val="00BA3509"/>
    <w:rsid w:val="00BA3EF6"/>
    <w:rsid w:val="00BA44C1"/>
    <w:rsid w:val="00BA62DA"/>
    <w:rsid w:val="00BA6317"/>
    <w:rsid w:val="00BA7055"/>
    <w:rsid w:val="00BB13EA"/>
    <w:rsid w:val="00BB1661"/>
    <w:rsid w:val="00BB192D"/>
    <w:rsid w:val="00BB4ED4"/>
    <w:rsid w:val="00BB58BA"/>
    <w:rsid w:val="00BB590E"/>
    <w:rsid w:val="00BB776B"/>
    <w:rsid w:val="00BB7EB3"/>
    <w:rsid w:val="00BC02F3"/>
    <w:rsid w:val="00BC0562"/>
    <w:rsid w:val="00BC0750"/>
    <w:rsid w:val="00BC0A0B"/>
    <w:rsid w:val="00BC7B11"/>
    <w:rsid w:val="00BD139D"/>
    <w:rsid w:val="00BD1F95"/>
    <w:rsid w:val="00BD4908"/>
    <w:rsid w:val="00BE36AF"/>
    <w:rsid w:val="00BE3899"/>
    <w:rsid w:val="00BE4119"/>
    <w:rsid w:val="00BE48B1"/>
    <w:rsid w:val="00BE6A11"/>
    <w:rsid w:val="00BE6FF2"/>
    <w:rsid w:val="00BE77F1"/>
    <w:rsid w:val="00BF03DA"/>
    <w:rsid w:val="00BF2EAB"/>
    <w:rsid w:val="00BF38D5"/>
    <w:rsid w:val="00BF4233"/>
    <w:rsid w:val="00BF4371"/>
    <w:rsid w:val="00BF4CAB"/>
    <w:rsid w:val="00BF597E"/>
    <w:rsid w:val="00BF68CD"/>
    <w:rsid w:val="00C01C6C"/>
    <w:rsid w:val="00C0365C"/>
    <w:rsid w:val="00C04334"/>
    <w:rsid w:val="00C0526C"/>
    <w:rsid w:val="00C072B6"/>
    <w:rsid w:val="00C076D2"/>
    <w:rsid w:val="00C10813"/>
    <w:rsid w:val="00C1243E"/>
    <w:rsid w:val="00C1280C"/>
    <w:rsid w:val="00C1400C"/>
    <w:rsid w:val="00C17B7B"/>
    <w:rsid w:val="00C2039F"/>
    <w:rsid w:val="00C22876"/>
    <w:rsid w:val="00C22D45"/>
    <w:rsid w:val="00C22EA8"/>
    <w:rsid w:val="00C236D6"/>
    <w:rsid w:val="00C247AC"/>
    <w:rsid w:val="00C252FF"/>
    <w:rsid w:val="00C25F66"/>
    <w:rsid w:val="00C30F18"/>
    <w:rsid w:val="00C31F5B"/>
    <w:rsid w:val="00C34ED9"/>
    <w:rsid w:val="00C3550C"/>
    <w:rsid w:val="00C358F0"/>
    <w:rsid w:val="00C364E7"/>
    <w:rsid w:val="00C40BBF"/>
    <w:rsid w:val="00C4124A"/>
    <w:rsid w:val="00C422A9"/>
    <w:rsid w:val="00C43EE4"/>
    <w:rsid w:val="00C44289"/>
    <w:rsid w:val="00C461EC"/>
    <w:rsid w:val="00C4769B"/>
    <w:rsid w:val="00C518DE"/>
    <w:rsid w:val="00C528B0"/>
    <w:rsid w:val="00C55A0C"/>
    <w:rsid w:val="00C566E5"/>
    <w:rsid w:val="00C61092"/>
    <w:rsid w:val="00C6168F"/>
    <w:rsid w:val="00C61EA9"/>
    <w:rsid w:val="00C62F2A"/>
    <w:rsid w:val="00C636B5"/>
    <w:rsid w:val="00C646CA"/>
    <w:rsid w:val="00C64F44"/>
    <w:rsid w:val="00C65010"/>
    <w:rsid w:val="00C70B51"/>
    <w:rsid w:val="00C713B9"/>
    <w:rsid w:val="00C72936"/>
    <w:rsid w:val="00C730CA"/>
    <w:rsid w:val="00C735AF"/>
    <w:rsid w:val="00C75C6C"/>
    <w:rsid w:val="00C807E0"/>
    <w:rsid w:val="00C80B0E"/>
    <w:rsid w:val="00C823F6"/>
    <w:rsid w:val="00C83C31"/>
    <w:rsid w:val="00C83F9E"/>
    <w:rsid w:val="00C8581F"/>
    <w:rsid w:val="00C878F8"/>
    <w:rsid w:val="00C8795C"/>
    <w:rsid w:val="00C87CF0"/>
    <w:rsid w:val="00C91EE3"/>
    <w:rsid w:val="00CA1540"/>
    <w:rsid w:val="00CA2CBC"/>
    <w:rsid w:val="00CA3989"/>
    <w:rsid w:val="00CA4238"/>
    <w:rsid w:val="00CA4A3C"/>
    <w:rsid w:val="00CA4CFA"/>
    <w:rsid w:val="00CA5656"/>
    <w:rsid w:val="00CA6C56"/>
    <w:rsid w:val="00CB012E"/>
    <w:rsid w:val="00CB075B"/>
    <w:rsid w:val="00CB0777"/>
    <w:rsid w:val="00CB41F5"/>
    <w:rsid w:val="00CB6323"/>
    <w:rsid w:val="00CB65E4"/>
    <w:rsid w:val="00CB6C02"/>
    <w:rsid w:val="00CB7553"/>
    <w:rsid w:val="00CB7564"/>
    <w:rsid w:val="00CC12D9"/>
    <w:rsid w:val="00CC1D9B"/>
    <w:rsid w:val="00CC35F5"/>
    <w:rsid w:val="00CC671C"/>
    <w:rsid w:val="00CC6EF2"/>
    <w:rsid w:val="00CC7B05"/>
    <w:rsid w:val="00CD0383"/>
    <w:rsid w:val="00CD03B0"/>
    <w:rsid w:val="00CD117D"/>
    <w:rsid w:val="00CD27A3"/>
    <w:rsid w:val="00CD27A7"/>
    <w:rsid w:val="00CD37BD"/>
    <w:rsid w:val="00CD5480"/>
    <w:rsid w:val="00CD5894"/>
    <w:rsid w:val="00CD58EE"/>
    <w:rsid w:val="00CD7E24"/>
    <w:rsid w:val="00CE0272"/>
    <w:rsid w:val="00CE1F6F"/>
    <w:rsid w:val="00CE291D"/>
    <w:rsid w:val="00CE2E9A"/>
    <w:rsid w:val="00CE3C60"/>
    <w:rsid w:val="00CE5699"/>
    <w:rsid w:val="00CE7022"/>
    <w:rsid w:val="00CF085A"/>
    <w:rsid w:val="00CF12AA"/>
    <w:rsid w:val="00CF1E0C"/>
    <w:rsid w:val="00CF2E92"/>
    <w:rsid w:val="00CF39B6"/>
    <w:rsid w:val="00CF67F7"/>
    <w:rsid w:val="00CF7408"/>
    <w:rsid w:val="00D01414"/>
    <w:rsid w:val="00D03EF2"/>
    <w:rsid w:val="00D0519C"/>
    <w:rsid w:val="00D072EA"/>
    <w:rsid w:val="00D108BC"/>
    <w:rsid w:val="00D10E32"/>
    <w:rsid w:val="00D1293E"/>
    <w:rsid w:val="00D17BA8"/>
    <w:rsid w:val="00D20296"/>
    <w:rsid w:val="00D22582"/>
    <w:rsid w:val="00D22B2B"/>
    <w:rsid w:val="00D22EBF"/>
    <w:rsid w:val="00D23B91"/>
    <w:rsid w:val="00D245FB"/>
    <w:rsid w:val="00D25D70"/>
    <w:rsid w:val="00D2637B"/>
    <w:rsid w:val="00D26B43"/>
    <w:rsid w:val="00D26BDF"/>
    <w:rsid w:val="00D3149E"/>
    <w:rsid w:val="00D314F8"/>
    <w:rsid w:val="00D32B29"/>
    <w:rsid w:val="00D34150"/>
    <w:rsid w:val="00D3524E"/>
    <w:rsid w:val="00D35CA6"/>
    <w:rsid w:val="00D3708F"/>
    <w:rsid w:val="00D37CFF"/>
    <w:rsid w:val="00D41397"/>
    <w:rsid w:val="00D44D76"/>
    <w:rsid w:val="00D468D0"/>
    <w:rsid w:val="00D46D05"/>
    <w:rsid w:val="00D513B9"/>
    <w:rsid w:val="00D5550A"/>
    <w:rsid w:val="00D57B6E"/>
    <w:rsid w:val="00D60A09"/>
    <w:rsid w:val="00D60DB4"/>
    <w:rsid w:val="00D62CFF"/>
    <w:rsid w:val="00D654DE"/>
    <w:rsid w:val="00D72778"/>
    <w:rsid w:val="00D72E28"/>
    <w:rsid w:val="00D72EF2"/>
    <w:rsid w:val="00D7380F"/>
    <w:rsid w:val="00D73F86"/>
    <w:rsid w:val="00D74C75"/>
    <w:rsid w:val="00D74CE9"/>
    <w:rsid w:val="00D75445"/>
    <w:rsid w:val="00D75EEF"/>
    <w:rsid w:val="00D761B6"/>
    <w:rsid w:val="00D764B9"/>
    <w:rsid w:val="00D81FF5"/>
    <w:rsid w:val="00D82FFD"/>
    <w:rsid w:val="00D83119"/>
    <w:rsid w:val="00D83999"/>
    <w:rsid w:val="00D84397"/>
    <w:rsid w:val="00D853A3"/>
    <w:rsid w:val="00D86615"/>
    <w:rsid w:val="00D87A7A"/>
    <w:rsid w:val="00D90659"/>
    <w:rsid w:val="00D90ACC"/>
    <w:rsid w:val="00D90DC3"/>
    <w:rsid w:val="00D91A6D"/>
    <w:rsid w:val="00D93AD6"/>
    <w:rsid w:val="00D94BFA"/>
    <w:rsid w:val="00DA1409"/>
    <w:rsid w:val="00DA268D"/>
    <w:rsid w:val="00DA2B93"/>
    <w:rsid w:val="00DA2FD1"/>
    <w:rsid w:val="00DA383E"/>
    <w:rsid w:val="00DA57B5"/>
    <w:rsid w:val="00DA6BD7"/>
    <w:rsid w:val="00DA7E44"/>
    <w:rsid w:val="00DB25ED"/>
    <w:rsid w:val="00DB309B"/>
    <w:rsid w:val="00DB384B"/>
    <w:rsid w:val="00DB422B"/>
    <w:rsid w:val="00DB5175"/>
    <w:rsid w:val="00DB6CED"/>
    <w:rsid w:val="00DB7817"/>
    <w:rsid w:val="00DC1D34"/>
    <w:rsid w:val="00DC1D80"/>
    <w:rsid w:val="00DC2BAB"/>
    <w:rsid w:val="00DC34B5"/>
    <w:rsid w:val="00DC3CEC"/>
    <w:rsid w:val="00DC4233"/>
    <w:rsid w:val="00DC44CF"/>
    <w:rsid w:val="00DC47D4"/>
    <w:rsid w:val="00DC4B37"/>
    <w:rsid w:val="00DC4D86"/>
    <w:rsid w:val="00DC6341"/>
    <w:rsid w:val="00DC6741"/>
    <w:rsid w:val="00DD03D8"/>
    <w:rsid w:val="00DD1DFB"/>
    <w:rsid w:val="00DD3C48"/>
    <w:rsid w:val="00DD4430"/>
    <w:rsid w:val="00DD513A"/>
    <w:rsid w:val="00DD5696"/>
    <w:rsid w:val="00DD7021"/>
    <w:rsid w:val="00DD7C12"/>
    <w:rsid w:val="00DE0723"/>
    <w:rsid w:val="00DE20CC"/>
    <w:rsid w:val="00DE2D97"/>
    <w:rsid w:val="00DE40B4"/>
    <w:rsid w:val="00DE58E6"/>
    <w:rsid w:val="00DF2D7C"/>
    <w:rsid w:val="00DF4972"/>
    <w:rsid w:val="00DF7760"/>
    <w:rsid w:val="00E00A56"/>
    <w:rsid w:val="00E00CA7"/>
    <w:rsid w:val="00E02245"/>
    <w:rsid w:val="00E02F6D"/>
    <w:rsid w:val="00E0648F"/>
    <w:rsid w:val="00E0795A"/>
    <w:rsid w:val="00E115A8"/>
    <w:rsid w:val="00E1221E"/>
    <w:rsid w:val="00E14665"/>
    <w:rsid w:val="00E1644F"/>
    <w:rsid w:val="00E17328"/>
    <w:rsid w:val="00E217C6"/>
    <w:rsid w:val="00E22054"/>
    <w:rsid w:val="00E220DA"/>
    <w:rsid w:val="00E22A64"/>
    <w:rsid w:val="00E25078"/>
    <w:rsid w:val="00E258DD"/>
    <w:rsid w:val="00E30E41"/>
    <w:rsid w:val="00E32BD6"/>
    <w:rsid w:val="00E33799"/>
    <w:rsid w:val="00E34D57"/>
    <w:rsid w:val="00E34F60"/>
    <w:rsid w:val="00E367AC"/>
    <w:rsid w:val="00E37FAD"/>
    <w:rsid w:val="00E446F1"/>
    <w:rsid w:val="00E451FD"/>
    <w:rsid w:val="00E4538C"/>
    <w:rsid w:val="00E45CFB"/>
    <w:rsid w:val="00E45FE6"/>
    <w:rsid w:val="00E478DF"/>
    <w:rsid w:val="00E47C11"/>
    <w:rsid w:val="00E50B2A"/>
    <w:rsid w:val="00E50BB1"/>
    <w:rsid w:val="00E5219B"/>
    <w:rsid w:val="00E52310"/>
    <w:rsid w:val="00E543E5"/>
    <w:rsid w:val="00E55C7E"/>
    <w:rsid w:val="00E60C35"/>
    <w:rsid w:val="00E60D0D"/>
    <w:rsid w:val="00E63E82"/>
    <w:rsid w:val="00E640C4"/>
    <w:rsid w:val="00E6431D"/>
    <w:rsid w:val="00E65747"/>
    <w:rsid w:val="00E66706"/>
    <w:rsid w:val="00E71D11"/>
    <w:rsid w:val="00E75F5D"/>
    <w:rsid w:val="00E77B8F"/>
    <w:rsid w:val="00E77D5B"/>
    <w:rsid w:val="00E77E3F"/>
    <w:rsid w:val="00E83678"/>
    <w:rsid w:val="00E85E17"/>
    <w:rsid w:val="00E86A59"/>
    <w:rsid w:val="00E86D31"/>
    <w:rsid w:val="00E8738E"/>
    <w:rsid w:val="00E87B3C"/>
    <w:rsid w:val="00E87CA7"/>
    <w:rsid w:val="00E903F9"/>
    <w:rsid w:val="00E90D3B"/>
    <w:rsid w:val="00E91274"/>
    <w:rsid w:val="00E91C22"/>
    <w:rsid w:val="00E92D3B"/>
    <w:rsid w:val="00E93B16"/>
    <w:rsid w:val="00E9584C"/>
    <w:rsid w:val="00E962BE"/>
    <w:rsid w:val="00EA0905"/>
    <w:rsid w:val="00EA097D"/>
    <w:rsid w:val="00EA1EE1"/>
    <w:rsid w:val="00EA3176"/>
    <w:rsid w:val="00EA561D"/>
    <w:rsid w:val="00EA5D66"/>
    <w:rsid w:val="00EA703D"/>
    <w:rsid w:val="00EA787F"/>
    <w:rsid w:val="00EB0B14"/>
    <w:rsid w:val="00EB3D7E"/>
    <w:rsid w:val="00EB4DD0"/>
    <w:rsid w:val="00EB547D"/>
    <w:rsid w:val="00EB7253"/>
    <w:rsid w:val="00EC13F4"/>
    <w:rsid w:val="00EC1FD6"/>
    <w:rsid w:val="00EC2F4A"/>
    <w:rsid w:val="00EC3CDA"/>
    <w:rsid w:val="00EC3F82"/>
    <w:rsid w:val="00EC52A5"/>
    <w:rsid w:val="00EC7B3D"/>
    <w:rsid w:val="00ED1928"/>
    <w:rsid w:val="00ED1AF6"/>
    <w:rsid w:val="00ED353F"/>
    <w:rsid w:val="00ED3D3E"/>
    <w:rsid w:val="00ED3D9E"/>
    <w:rsid w:val="00ED4643"/>
    <w:rsid w:val="00ED77F7"/>
    <w:rsid w:val="00EE2009"/>
    <w:rsid w:val="00EE25B3"/>
    <w:rsid w:val="00EE449D"/>
    <w:rsid w:val="00EE4E27"/>
    <w:rsid w:val="00EE660A"/>
    <w:rsid w:val="00EE7A74"/>
    <w:rsid w:val="00EF0347"/>
    <w:rsid w:val="00EF15B0"/>
    <w:rsid w:val="00EF237D"/>
    <w:rsid w:val="00EF39B6"/>
    <w:rsid w:val="00EF3E2B"/>
    <w:rsid w:val="00EF5B4B"/>
    <w:rsid w:val="00EF7C85"/>
    <w:rsid w:val="00F001CD"/>
    <w:rsid w:val="00F0252B"/>
    <w:rsid w:val="00F02959"/>
    <w:rsid w:val="00F03793"/>
    <w:rsid w:val="00F07CDA"/>
    <w:rsid w:val="00F111C0"/>
    <w:rsid w:val="00F22697"/>
    <w:rsid w:val="00F238C2"/>
    <w:rsid w:val="00F25540"/>
    <w:rsid w:val="00F26C21"/>
    <w:rsid w:val="00F302E7"/>
    <w:rsid w:val="00F30D94"/>
    <w:rsid w:val="00F32FF1"/>
    <w:rsid w:val="00F34226"/>
    <w:rsid w:val="00F36454"/>
    <w:rsid w:val="00F3665F"/>
    <w:rsid w:val="00F36E4B"/>
    <w:rsid w:val="00F36E54"/>
    <w:rsid w:val="00F42AF7"/>
    <w:rsid w:val="00F439CC"/>
    <w:rsid w:val="00F448E9"/>
    <w:rsid w:val="00F47DC6"/>
    <w:rsid w:val="00F51475"/>
    <w:rsid w:val="00F52E71"/>
    <w:rsid w:val="00F53C11"/>
    <w:rsid w:val="00F5524E"/>
    <w:rsid w:val="00F55423"/>
    <w:rsid w:val="00F5669F"/>
    <w:rsid w:val="00F56CCF"/>
    <w:rsid w:val="00F61309"/>
    <w:rsid w:val="00F620F9"/>
    <w:rsid w:val="00F6246D"/>
    <w:rsid w:val="00F6574A"/>
    <w:rsid w:val="00F659A6"/>
    <w:rsid w:val="00F66D6E"/>
    <w:rsid w:val="00F714D1"/>
    <w:rsid w:val="00F716F7"/>
    <w:rsid w:val="00F7209A"/>
    <w:rsid w:val="00F7268D"/>
    <w:rsid w:val="00F72F22"/>
    <w:rsid w:val="00F755ED"/>
    <w:rsid w:val="00F75CC5"/>
    <w:rsid w:val="00F76CED"/>
    <w:rsid w:val="00F77C19"/>
    <w:rsid w:val="00F80CB7"/>
    <w:rsid w:val="00F814F3"/>
    <w:rsid w:val="00F82113"/>
    <w:rsid w:val="00F821EA"/>
    <w:rsid w:val="00F82EF6"/>
    <w:rsid w:val="00F83D89"/>
    <w:rsid w:val="00F84577"/>
    <w:rsid w:val="00F85F9E"/>
    <w:rsid w:val="00F87168"/>
    <w:rsid w:val="00F92B8A"/>
    <w:rsid w:val="00F93137"/>
    <w:rsid w:val="00F9398A"/>
    <w:rsid w:val="00F9515E"/>
    <w:rsid w:val="00F97B22"/>
    <w:rsid w:val="00FA01B1"/>
    <w:rsid w:val="00FA028E"/>
    <w:rsid w:val="00FA0E9C"/>
    <w:rsid w:val="00FA1574"/>
    <w:rsid w:val="00FA193B"/>
    <w:rsid w:val="00FA2B72"/>
    <w:rsid w:val="00FA2E2E"/>
    <w:rsid w:val="00FA309F"/>
    <w:rsid w:val="00FA5174"/>
    <w:rsid w:val="00FA5FE2"/>
    <w:rsid w:val="00FB0FA3"/>
    <w:rsid w:val="00FB17CE"/>
    <w:rsid w:val="00FB2289"/>
    <w:rsid w:val="00FB47BC"/>
    <w:rsid w:val="00FB4CEF"/>
    <w:rsid w:val="00FB6E3A"/>
    <w:rsid w:val="00FB7AAF"/>
    <w:rsid w:val="00FC55F5"/>
    <w:rsid w:val="00FC63B9"/>
    <w:rsid w:val="00FC680C"/>
    <w:rsid w:val="00FC6F88"/>
    <w:rsid w:val="00FC7DA1"/>
    <w:rsid w:val="00FD0391"/>
    <w:rsid w:val="00FD1027"/>
    <w:rsid w:val="00FD190E"/>
    <w:rsid w:val="00FD3F32"/>
    <w:rsid w:val="00FD7470"/>
    <w:rsid w:val="00FD76BE"/>
    <w:rsid w:val="00FE0977"/>
    <w:rsid w:val="00FE0B5F"/>
    <w:rsid w:val="00FE11B4"/>
    <w:rsid w:val="00FE1B50"/>
    <w:rsid w:val="00FE2E7B"/>
    <w:rsid w:val="00FE642D"/>
    <w:rsid w:val="00FF0F89"/>
    <w:rsid w:val="00FF38A4"/>
    <w:rsid w:val="00FF6629"/>
    <w:rsid w:val="00FF77D9"/>
    <w:rsid w:val="00FF7F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5A8D173-ACC0-4C23-915F-920959CC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17D"/>
    <w:pPr>
      <w:spacing w:after="0" w:line="240" w:lineRule="auto"/>
    </w:pPr>
    <w:rPr>
      <w:rFonts w:ascii="Arial" w:eastAsia="Times New Roman" w:hAnsi="Arial" w:cs="Times New Roman"/>
      <w:sz w:val="24"/>
      <w:szCs w:val="20"/>
      <w:lang w:eastAsia="pt-BR"/>
    </w:rPr>
  </w:style>
  <w:style w:type="paragraph" w:styleId="Ttulo1">
    <w:name w:val="heading 1"/>
    <w:basedOn w:val="Normal"/>
    <w:next w:val="Normal"/>
    <w:link w:val="Ttulo1Char"/>
    <w:uiPriority w:val="9"/>
    <w:qFormat/>
    <w:rsid w:val="003B67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1A6C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qFormat/>
    <w:rsid w:val="00CD58EE"/>
    <w:pPr>
      <w:keepNext/>
      <w:spacing w:line="26" w:lineRule="atLeast"/>
      <w:jc w:val="both"/>
      <w:outlineLvl w:val="3"/>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CD58EE"/>
    <w:rPr>
      <w:rFonts w:ascii="Arial" w:eastAsia="Times New Roman" w:hAnsi="Arial" w:cs="Times New Roman"/>
      <w:b/>
      <w:sz w:val="24"/>
      <w:szCs w:val="20"/>
      <w:lang w:eastAsia="pt-BR"/>
    </w:rPr>
  </w:style>
  <w:style w:type="paragraph" w:styleId="Cabealho">
    <w:name w:val="header"/>
    <w:basedOn w:val="Normal"/>
    <w:link w:val="CabealhoChar"/>
    <w:rsid w:val="00CD58EE"/>
    <w:pPr>
      <w:tabs>
        <w:tab w:val="center" w:pos="4320"/>
        <w:tab w:val="right" w:pos="8640"/>
      </w:tabs>
    </w:pPr>
  </w:style>
  <w:style w:type="character" w:customStyle="1" w:styleId="CabealhoChar">
    <w:name w:val="Cabeçalho Char"/>
    <w:basedOn w:val="Fontepargpadro"/>
    <w:link w:val="Cabealho"/>
    <w:rsid w:val="00CD58EE"/>
    <w:rPr>
      <w:rFonts w:ascii="Arial" w:eastAsia="Times New Roman" w:hAnsi="Arial" w:cs="Times New Roman"/>
      <w:sz w:val="24"/>
      <w:szCs w:val="20"/>
      <w:lang w:eastAsia="pt-BR"/>
    </w:rPr>
  </w:style>
  <w:style w:type="paragraph" w:styleId="Rodap">
    <w:name w:val="footer"/>
    <w:basedOn w:val="Normal"/>
    <w:link w:val="RodapChar"/>
    <w:rsid w:val="00CD58EE"/>
    <w:pPr>
      <w:tabs>
        <w:tab w:val="center" w:pos="4320"/>
        <w:tab w:val="right" w:pos="8640"/>
      </w:tabs>
    </w:pPr>
  </w:style>
  <w:style w:type="character" w:customStyle="1" w:styleId="RodapChar">
    <w:name w:val="Rodapé Char"/>
    <w:basedOn w:val="Fontepargpadro"/>
    <w:link w:val="Rodap"/>
    <w:rsid w:val="00CD58EE"/>
    <w:rPr>
      <w:rFonts w:ascii="Arial" w:eastAsia="Times New Roman" w:hAnsi="Arial" w:cs="Times New Roman"/>
      <w:sz w:val="24"/>
      <w:szCs w:val="20"/>
      <w:lang w:eastAsia="pt-BR"/>
    </w:rPr>
  </w:style>
  <w:style w:type="character" w:styleId="Nmerodepgina">
    <w:name w:val="page number"/>
    <w:basedOn w:val="Fontepargpadro"/>
    <w:rsid w:val="00CD58EE"/>
  </w:style>
  <w:style w:type="paragraph" w:styleId="Corpodetexto">
    <w:name w:val="Body Text"/>
    <w:basedOn w:val="Normal"/>
    <w:link w:val="CorpodetextoChar"/>
    <w:rsid w:val="00CD58EE"/>
    <w:pPr>
      <w:jc w:val="both"/>
    </w:pPr>
  </w:style>
  <w:style w:type="character" w:customStyle="1" w:styleId="CorpodetextoChar">
    <w:name w:val="Corpo de texto Char"/>
    <w:basedOn w:val="Fontepargpadro"/>
    <w:link w:val="Corpodetexto"/>
    <w:rsid w:val="00CD58EE"/>
    <w:rPr>
      <w:rFonts w:ascii="Arial" w:eastAsia="Times New Roman" w:hAnsi="Arial" w:cs="Times New Roman"/>
      <w:sz w:val="24"/>
      <w:szCs w:val="20"/>
      <w:lang w:eastAsia="pt-BR"/>
    </w:rPr>
  </w:style>
  <w:style w:type="paragraph" w:styleId="Recuodecorpodetexto">
    <w:name w:val="Body Text Indent"/>
    <w:basedOn w:val="Normal"/>
    <w:link w:val="RecuodecorpodetextoChar"/>
    <w:rsid w:val="00CD58EE"/>
    <w:pPr>
      <w:ind w:firstLine="1418"/>
      <w:jc w:val="both"/>
    </w:pPr>
  </w:style>
  <w:style w:type="character" w:customStyle="1" w:styleId="RecuodecorpodetextoChar">
    <w:name w:val="Recuo de corpo de texto Char"/>
    <w:basedOn w:val="Fontepargpadro"/>
    <w:link w:val="Recuodecorpodetexto"/>
    <w:rsid w:val="00CD58EE"/>
    <w:rPr>
      <w:rFonts w:ascii="Arial" w:eastAsia="Times New Roman" w:hAnsi="Arial" w:cs="Times New Roman"/>
      <w:sz w:val="24"/>
      <w:szCs w:val="20"/>
      <w:lang w:eastAsia="pt-BR"/>
    </w:rPr>
  </w:style>
  <w:style w:type="paragraph" w:customStyle="1" w:styleId="Assunto">
    <w:name w:val="Assunto"/>
    <w:basedOn w:val="Normal"/>
    <w:rsid w:val="00CD58EE"/>
    <w:pPr>
      <w:ind w:left="5387" w:firstLine="11"/>
      <w:jc w:val="both"/>
    </w:pPr>
    <w:rPr>
      <w:rFonts w:cs="Arial"/>
      <w:sz w:val="22"/>
      <w:szCs w:val="24"/>
    </w:rPr>
  </w:style>
  <w:style w:type="paragraph" w:customStyle="1" w:styleId="Assinatura-nome">
    <w:name w:val="Assinatura - nome"/>
    <w:basedOn w:val="Normal"/>
    <w:next w:val="Assinatura-cargo"/>
    <w:rsid w:val="00CD58EE"/>
    <w:pPr>
      <w:spacing w:line="240" w:lineRule="exact"/>
      <w:jc w:val="center"/>
    </w:pPr>
    <w:rPr>
      <w:rFonts w:cs="Arial"/>
      <w:b/>
      <w:bCs/>
      <w:caps/>
      <w:szCs w:val="24"/>
    </w:rPr>
  </w:style>
  <w:style w:type="paragraph" w:customStyle="1" w:styleId="Assinatura-cargo">
    <w:name w:val="Assinatura - cargo"/>
    <w:basedOn w:val="Assinatura-nome"/>
    <w:next w:val="Normal"/>
    <w:rsid w:val="00CD58EE"/>
    <w:rPr>
      <w:b w:val="0"/>
      <w:sz w:val="20"/>
    </w:rPr>
  </w:style>
  <w:style w:type="paragraph" w:styleId="Textodebalo">
    <w:name w:val="Balloon Text"/>
    <w:basedOn w:val="Normal"/>
    <w:link w:val="TextodebaloChar"/>
    <w:uiPriority w:val="99"/>
    <w:semiHidden/>
    <w:unhideWhenUsed/>
    <w:rsid w:val="00F87168"/>
    <w:rPr>
      <w:rFonts w:ascii="Tahoma" w:hAnsi="Tahoma" w:cs="Tahoma"/>
      <w:sz w:val="16"/>
      <w:szCs w:val="16"/>
    </w:rPr>
  </w:style>
  <w:style w:type="character" w:customStyle="1" w:styleId="TextodebaloChar">
    <w:name w:val="Texto de balão Char"/>
    <w:basedOn w:val="Fontepargpadro"/>
    <w:link w:val="Textodebalo"/>
    <w:uiPriority w:val="99"/>
    <w:semiHidden/>
    <w:rsid w:val="00F87168"/>
    <w:rPr>
      <w:rFonts w:ascii="Tahoma" w:eastAsia="Times New Roman" w:hAnsi="Tahoma" w:cs="Tahoma"/>
      <w:sz w:val="16"/>
      <w:szCs w:val="16"/>
      <w:lang w:eastAsia="pt-BR"/>
    </w:rPr>
  </w:style>
  <w:style w:type="paragraph" w:styleId="PargrafodaLista">
    <w:name w:val="List Paragraph"/>
    <w:basedOn w:val="Normal"/>
    <w:link w:val="PargrafodaListaChar"/>
    <w:uiPriority w:val="34"/>
    <w:qFormat/>
    <w:rsid w:val="007D76F9"/>
    <w:pPr>
      <w:ind w:left="720"/>
      <w:contextualSpacing/>
    </w:pPr>
  </w:style>
  <w:style w:type="character" w:styleId="Refdecomentrio">
    <w:name w:val="annotation reference"/>
    <w:basedOn w:val="Fontepargpadro"/>
    <w:uiPriority w:val="99"/>
    <w:semiHidden/>
    <w:unhideWhenUsed/>
    <w:rsid w:val="00997528"/>
    <w:rPr>
      <w:sz w:val="16"/>
      <w:szCs w:val="16"/>
    </w:rPr>
  </w:style>
  <w:style w:type="paragraph" w:styleId="Textodecomentrio">
    <w:name w:val="annotation text"/>
    <w:basedOn w:val="Normal"/>
    <w:link w:val="TextodecomentrioChar"/>
    <w:uiPriority w:val="99"/>
    <w:semiHidden/>
    <w:unhideWhenUsed/>
    <w:rsid w:val="00997528"/>
    <w:rPr>
      <w:sz w:val="20"/>
    </w:rPr>
  </w:style>
  <w:style w:type="character" w:customStyle="1" w:styleId="TextodecomentrioChar">
    <w:name w:val="Texto de comentário Char"/>
    <w:basedOn w:val="Fontepargpadro"/>
    <w:link w:val="Textodecomentrio"/>
    <w:uiPriority w:val="99"/>
    <w:semiHidden/>
    <w:rsid w:val="00997528"/>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97528"/>
    <w:rPr>
      <w:b/>
      <w:bCs/>
    </w:rPr>
  </w:style>
  <w:style w:type="character" w:customStyle="1" w:styleId="AssuntodocomentrioChar">
    <w:name w:val="Assunto do comentário Char"/>
    <w:basedOn w:val="TextodecomentrioChar"/>
    <w:link w:val="Assuntodocomentrio"/>
    <w:uiPriority w:val="99"/>
    <w:semiHidden/>
    <w:rsid w:val="00997528"/>
    <w:rPr>
      <w:rFonts w:ascii="Arial" w:eastAsia="Times New Roman" w:hAnsi="Arial" w:cs="Times New Roman"/>
      <w:b/>
      <w:bCs/>
      <w:sz w:val="20"/>
      <w:szCs w:val="20"/>
      <w:lang w:eastAsia="pt-BR"/>
    </w:rPr>
  </w:style>
  <w:style w:type="paragraph" w:styleId="Reviso">
    <w:name w:val="Revision"/>
    <w:hidden/>
    <w:uiPriority w:val="99"/>
    <w:semiHidden/>
    <w:rsid w:val="00BA7055"/>
    <w:pPr>
      <w:spacing w:after="0" w:line="240" w:lineRule="auto"/>
    </w:pPr>
    <w:rPr>
      <w:rFonts w:ascii="Arial" w:eastAsia="Times New Roman" w:hAnsi="Arial" w:cs="Times New Roman"/>
      <w:sz w:val="24"/>
      <w:szCs w:val="20"/>
      <w:lang w:eastAsia="pt-BR"/>
    </w:rPr>
  </w:style>
  <w:style w:type="paragraph" w:styleId="NormalWeb">
    <w:name w:val="Normal (Web)"/>
    <w:basedOn w:val="Normal"/>
    <w:uiPriority w:val="99"/>
    <w:unhideWhenUsed/>
    <w:rsid w:val="00D764B9"/>
    <w:pPr>
      <w:spacing w:before="100" w:beforeAutospacing="1" w:after="100" w:afterAutospacing="1"/>
    </w:pPr>
    <w:rPr>
      <w:rFonts w:ascii="Times New Roman" w:hAnsi="Times New Roman"/>
      <w:szCs w:val="24"/>
    </w:rPr>
  </w:style>
  <w:style w:type="character" w:styleId="Hyperlink">
    <w:name w:val="Hyperlink"/>
    <w:basedOn w:val="Fontepargpadro"/>
    <w:uiPriority w:val="99"/>
    <w:unhideWhenUsed/>
    <w:rsid w:val="00D764B9"/>
    <w:rPr>
      <w:color w:val="0080C0"/>
      <w:u w:val="single"/>
    </w:rPr>
  </w:style>
  <w:style w:type="paragraph" w:styleId="Textodenotaderodap">
    <w:name w:val="footnote text"/>
    <w:basedOn w:val="Normal"/>
    <w:link w:val="TextodenotaderodapChar"/>
    <w:uiPriority w:val="99"/>
    <w:unhideWhenUsed/>
    <w:rsid w:val="00F5669F"/>
    <w:rPr>
      <w:sz w:val="20"/>
    </w:rPr>
  </w:style>
  <w:style w:type="character" w:customStyle="1" w:styleId="TextodenotaderodapChar">
    <w:name w:val="Texto de nota de rodapé Char"/>
    <w:basedOn w:val="Fontepargpadro"/>
    <w:link w:val="Textodenotaderodap"/>
    <w:uiPriority w:val="99"/>
    <w:rsid w:val="00F5669F"/>
    <w:rPr>
      <w:rFonts w:ascii="Arial" w:eastAsia="Times New Roman" w:hAnsi="Arial" w:cs="Times New Roman"/>
      <w:sz w:val="20"/>
      <w:szCs w:val="20"/>
      <w:lang w:eastAsia="pt-BR"/>
    </w:rPr>
  </w:style>
  <w:style w:type="character" w:styleId="Refdenotaderodap">
    <w:name w:val="footnote reference"/>
    <w:basedOn w:val="Fontepargpadro"/>
    <w:uiPriority w:val="99"/>
    <w:semiHidden/>
    <w:unhideWhenUsed/>
    <w:rsid w:val="00F5669F"/>
    <w:rPr>
      <w:vertAlign w:val="superscript"/>
    </w:rPr>
  </w:style>
  <w:style w:type="paragraph" w:styleId="Textodenotadefim">
    <w:name w:val="endnote text"/>
    <w:basedOn w:val="Normal"/>
    <w:link w:val="TextodenotadefimChar"/>
    <w:uiPriority w:val="99"/>
    <w:semiHidden/>
    <w:unhideWhenUsed/>
    <w:rsid w:val="003F571E"/>
    <w:rPr>
      <w:sz w:val="20"/>
    </w:rPr>
  </w:style>
  <w:style w:type="character" w:customStyle="1" w:styleId="TextodenotadefimChar">
    <w:name w:val="Texto de nota de fim Char"/>
    <w:basedOn w:val="Fontepargpadro"/>
    <w:link w:val="Textodenotadefim"/>
    <w:uiPriority w:val="99"/>
    <w:semiHidden/>
    <w:rsid w:val="003F571E"/>
    <w:rPr>
      <w:rFonts w:ascii="Arial" w:eastAsia="Times New Roman" w:hAnsi="Arial" w:cs="Times New Roman"/>
      <w:sz w:val="20"/>
      <w:szCs w:val="20"/>
      <w:lang w:eastAsia="pt-BR"/>
    </w:rPr>
  </w:style>
  <w:style w:type="character" w:styleId="Refdenotadefim">
    <w:name w:val="endnote reference"/>
    <w:basedOn w:val="Fontepargpadro"/>
    <w:uiPriority w:val="99"/>
    <w:semiHidden/>
    <w:unhideWhenUsed/>
    <w:rsid w:val="003F571E"/>
    <w:rPr>
      <w:vertAlign w:val="superscript"/>
    </w:rPr>
  </w:style>
  <w:style w:type="table" w:styleId="Tabelacomgrade">
    <w:name w:val="Table Grid"/>
    <w:basedOn w:val="Tabelanormal"/>
    <w:uiPriority w:val="39"/>
    <w:rsid w:val="00B17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5C0323"/>
    <w:rPr>
      <w:i/>
      <w:iCs/>
    </w:rPr>
  </w:style>
  <w:style w:type="character" w:customStyle="1" w:styleId="highlightedsearchterm">
    <w:name w:val="highlightedsearchterm"/>
    <w:basedOn w:val="Fontepargpadro"/>
    <w:rsid w:val="00162732"/>
  </w:style>
  <w:style w:type="character" w:styleId="Forte">
    <w:name w:val="Strong"/>
    <w:basedOn w:val="Fontepargpadro"/>
    <w:qFormat/>
    <w:rsid w:val="00811E77"/>
    <w:rPr>
      <w:b/>
      <w:bCs/>
    </w:rPr>
  </w:style>
  <w:style w:type="character" w:customStyle="1" w:styleId="apple-tab-span">
    <w:name w:val="apple-tab-span"/>
    <w:basedOn w:val="Fontepargpadro"/>
    <w:rsid w:val="00AF0163"/>
  </w:style>
  <w:style w:type="paragraph" w:customStyle="1" w:styleId="western">
    <w:name w:val="western"/>
    <w:basedOn w:val="Normal"/>
    <w:rsid w:val="00883A26"/>
    <w:pPr>
      <w:spacing w:before="100" w:beforeAutospacing="1" w:after="100" w:afterAutospacing="1"/>
    </w:pPr>
    <w:rPr>
      <w:rFonts w:ascii="Times New Roman" w:hAnsi="Times New Roman"/>
      <w:szCs w:val="24"/>
    </w:rPr>
  </w:style>
  <w:style w:type="paragraph" w:customStyle="1" w:styleId="section1">
    <w:name w:val="section1"/>
    <w:basedOn w:val="Normal"/>
    <w:rsid w:val="0002036C"/>
    <w:pPr>
      <w:spacing w:before="100" w:beforeAutospacing="1" w:after="100" w:afterAutospacing="1"/>
    </w:pPr>
    <w:rPr>
      <w:rFonts w:ascii="Times New Roman" w:eastAsiaTheme="minorHAnsi" w:hAnsi="Times New Roman"/>
      <w:szCs w:val="24"/>
    </w:rPr>
  </w:style>
  <w:style w:type="paragraph" w:customStyle="1" w:styleId="texto1">
    <w:name w:val="texto1"/>
    <w:basedOn w:val="Normal"/>
    <w:rsid w:val="00F9515E"/>
    <w:pPr>
      <w:spacing w:before="100" w:beforeAutospacing="1" w:after="100" w:afterAutospacing="1"/>
    </w:pPr>
    <w:rPr>
      <w:rFonts w:ascii="Times New Roman" w:hAnsi="Times New Roman"/>
      <w:szCs w:val="24"/>
    </w:rPr>
  </w:style>
  <w:style w:type="character" w:customStyle="1" w:styleId="Ttulo1Char">
    <w:name w:val="Título 1 Char"/>
    <w:basedOn w:val="Fontepargpadro"/>
    <w:link w:val="Ttulo1"/>
    <w:uiPriority w:val="9"/>
    <w:rsid w:val="003B67B8"/>
    <w:rPr>
      <w:rFonts w:asciiTheme="majorHAnsi" w:eastAsiaTheme="majorEastAsia" w:hAnsiTheme="majorHAnsi" w:cstheme="majorBidi"/>
      <w:color w:val="365F91" w:themeColor="accent1" w:themeShade="BF"/>
      <w:sz w:val="32"/>
      <w:szCs w:val="32"/>
      <w:lang w:eastAsia="pt-BR"/>
    </w:rPr>
  </w:style>
  <w:style w:type="paragraph" w:customStyle="1" w:styleId="T1">
    <w:name w:val="T1"/>
    <w:basedOn w:val="PargrafodaLista"/>
    <w:link w:val="T1Char"/>
    <w:qFormat/>
    <w:rsid w:val="00F07CDA"/>
    <w:pPr>
      <w:autoSpaceDE w:val="0"/>
      <w:autoSpaceDN w:val="0"/>
      <w:adjustRightInd w:val="0"/>
      <w:spacing w:before="120" w:after="240" w:line="360" w:lineRule="auto"/>
      <w:ind w:left="0"/>
      <w:jc w:val="both"/>
    </w:pPr>
    <w:rPr>
      <w:rFonts w:ascii="Times New Roman" w:hAnsi="Times New Roman"/>
      <w:b/>
      <w:szCs w:val="24"/>
    </w:rPr>
  </w:style>
  <w:style w:type="paragraph" w:customStyle="1" w:styleId="T2">
    <w:name w:val="T2"/>
    <w:basedOn w:val="PargrafodaLista"/>
    <w:link w:val="T2Char"/>
    <w:qFormat/>
    <w:rsid w:val="00F07CDA"/>
    <w:pPr>
      <w:autoSpaceDE w:val="0"/>
      <w:autoSpaceDN w:val="0"/>
      <w:adjustRightInd w:val="0"/>
      <w:spacing w:before="120" w:after="240" w:line="360" w:lineRule="auto"/>
      <w:ind w:left="397"/>
      <w:jc w:val="both"/>
    </w:pPr>
    <w:rPr>
      <w:rFonts w:ascii="Times New Roman" w:hAnsi="Times New Roman"/>
      <w:b/>
      <w:szCs w:val="24"/>
    </w:rPr>
  </w:style>
  <w:style w:type="character" w:customStyle="1" w:styleId="PargrafodaListaChar">
    <w:name w:val="Parágrafo da Lista Char"/>
    <w:basedOn w:val="Fontepargpadro"/>
    <w:link w:val="PargrafodaLista"/>
    <w:uiPriority w:val="34"/>
    <w:rsid w:val="00F07CDA"/>
    <w:rPr>
      <w:rFonts w:ascii="Arial" w:eastAsia="Times New Roman" w:hAnsi="Arial" w:cs="Times New Roman"/>
      <w:sz w:val="24"/>
      <w:szCs w:val="20"/>
      <w:lang w:eastAsia="pt-BR"/>
    </w:rPr>
  </w:style>
  <w:style w:type="character" w:customStyle="1" w:styleId="T1Char">
    <w:name w:val="T1 Char"/>
    <w:basedOn w:val="PargrafodaListaChar"/>
    <w:link w:val="T1"/>
    <w:rsid w:val="00F07CDA"/>
    <w:rPr>
      <w:rFonts w:ascii="Times New Roman" w:eastAsia="Times New Roman" w:hAnsi="Times New Roman" w:cs="Times New Roman"/>
      <w:b/>
      <w:sz w:val="24"/>
      <w:szCs w:val="24"/>
      <w:lang w:eastAsia="pt-BR"/>
    </w:rPr>
  </w:style>
  <w:style w:type="paragraph" w:customStyle="1" w:styleId="Texto10">
    <w:name w:val="Texto 1"/>
    <w:basedOn w:val="Normal"/>
    <w:link w:val="Texto1Char"/>
    <w:qFormat/>
    <w:rsid w:val="00F07CDA"/>
    <w:pPr>
      <w:autoSpaceDE w:val="0"/>
      <w:autoSpaceDN w:val="0"/>
      <w:adjustRightInd w:val="0"/>
      <w:spacing w:before="120" w:after="240" w:line="360" w:lineRule="auto"/>
      <w:jc w:val="both"/>
    </w:pPr>
    <w:rPr>
      <w:rFonts w:ascii="Times New Roman" w:hAnsi="Times New Roman"/>
      <w:szCs w:val="24"/>
    </w:rPr>
  </w:style>
  <w:style w:type="character" w:customStyle="1" w:styleId="T2Char">
    <w:name w:val="T2 Char"/>
    <w:basedOn w:val="PargrafodaListaChar"/>
    <w:link w:val="T2"/>
    <w:rsid w:val="00F07CDA"/>
    <w:rPr>
      <w:rFonts w:ascii="Times New Roman" w:eastAsia="Times New Roman" w:hAnsi="Times New Roman" w:cs="Times New Roman"/>
      <w:b/>
      <w:sz w:val="24"/>
      <w:szCs w:val="24"/>
      <w:lang w:eastAsia="pt-BR"/>
    </w:rPr>
  </w:style>
  <w:style w:type="character" w:customStyle="1" w:styleId="Texto1Char">
    <w:name w:val="Texto 1 Char"/>
    <w:basedOn w:val="Fontepargpadro"/>
    <w:link w:val="Texto10"/>
    <w:rsid w:val="00F07CDA"/>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1A6CED"/>
    <w:rPr>
      <w:rFonts w:asciiTheme="majorHAnsi" w:eastAsiaTheme="majorEastAsia" w:hAnsiTheme="majorHAnsi" w:cstheme="majorBidi"/>
      <w:color w:val="365F91" w:themeColor="accent1" w:themeShade="BF"/>
      <w:sz w:val="26"/>
      <w:szCs w:val="26"/>
      <w:lang w:eastAsia="pt-BR"/>
    </w:rPr>
  </w:style>
  <w:style w:type="paragraph" w:styleId="Recuodecorpodetexto2">
    <w:name w:val="Body Text Indent 2"/>
    <w:basedOn w:val="Normal"/>
    <w:link w:val="Recuodecorpodetexto2Char"/>
    <w:uiPriority w:val="99"/>
    <w:semiHidden/>
    <w:unhideWhenUsed/>
    <w:rsid w:val="001A6CE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A6CED"/>
    <w:rPr>
      <w:rFonts w:ascii="Arial" w:eastAsia="Times New Roman" w:hAnsi="Arial" w:cs="Times New Roman"/>
      <w:sz w:val="24"/>
      <w:szCs w:val="20"/>
      <w:lang w:eastAsia="pt-BR"/>
    </w:rPr>
  </w:style>
  <w:style w:type="paragraph" w:styleId="Corpodetexto3">
    <w:name w:val="Body Text 3"/>
    <w:basedOn w:val="Normal"/>
    <w:link w:val="Corpodetexto3Char"/>
    <w:rsid w:val="004F2074"/>
    <w:pPr>
      <w:spacing w:after="120"/>
    </w:pPr>
    <w:rPr>
      <w:rFonts w:ascii="Times New Roman" w:hAnsi="Times New Roman"/>
      <w:sz w:val="16"/>
      <w:szCs w:val="16"/>
    </w:rPr>
  </w:style>
  <w:style w:type="character" w:customStyle="1" w:styleId="Corpodetexto3Char">
    <w:name w:val="Corpo de texto 3 Char"/>
    <w:basedOn w:val="Fontepargpadro"/>
    <w:link w:val="Corpodetexto3"/>
    <w:rsid w:val="004F2074"/>
    <w:rPr>
      <w:rFonts w:ascii="Times New Roman" w:eastAsia="Times New Roman" w:hAnsi="Times New Roman" w:cs="Times New Roman"/>
      <w:sz w:val="16"/>
      <w:szCs w:val="16"/>
      <w:lang w:eastAsia="pt-BR"/>
    </w:rPr>
  </w:style>
  <w:style w:type="paragraph" w:customStyle="1" w:styleId="PAFTexto1">
    <w:name w:val="PAF Texto1"/>
    <w:basedOn w:val="Normal"/>
    <w:link w:val="PAFTexto1Char"/>
    <w:qFormat/>
    <w:rsid w:val="00412B9B"/>
    <w:pPr>
      <w:spacing w:after="240" w:line="360" w:lineRule="auto"/>
      <w:jc w:val="both"/>
    </w:pPr>
    <w:rPr>
      <w:rFonts w:ascii="Trebuchet MS" w:eastAsiaTheme="minorHAnsi" w:hAnsi="Trebuchet MS" w:cstheme="minorBidi"/>
      <w:sz w:val="20"/>
      <w:lang w:eastAsia="en-US"/>
    </w:rPr>
  </w:style>
  <w:style w:type="character" w:customStyle="1" w:styleId="PAFTexto1Char">
    <w:name w:val="PAF Texto1 Char"/>
    <w:basedOn w:val="Fontepargpadro"/>
    <w:link w:val="PAFTexto1"/>
    <w:rsid w:val="00412B9B"/>
    <w:rPr>
      <w:rFonts w:ascii="Trebuchet MS" w:hAnsi="Trebuchet MS"/>
      <w:sz w:val="20"/>
      <w:szCs w:val="20"/>
    </w:rPr>
  </w:style>
  <w:style w:type="paragraph" w:customStyle="1" w:styleId="PAF-notas">
    <w:name w:val="PAF-notas"/>
    <w:basedOn w:val="Textodenotaderodap"/>
    <w:link w:val="PAF-notasChar"/>
    <w:qFormat/>
    <w:rsid w:val="00412B9B"/>
    <w:pPr>
      <w:spacing w:after="120"/>
      <w:jc w:val="both"/>
    </w:pPr>
    <w:rPr>
      <w:sz w:val="16"/>
      <w:szCs w:val="16"/>
    </w:rPr>
  </w:style>
  <w:style w:type="character" w:customStyle="1" w:styleId="PAF-notasChar">
    <w:name w:val="PAF-notas Char"/>
    <w:basedOn w:val="TextodenotaderodapChar"/>
    <w:link w:val="PAF-notas"/>
    <w:rsid w:val="00412B9B"/>
    <w:rPr>
      <w:rFonts w:ascii="Arial" w:eastAsia="Times New Roman" w:hAnsi="Arial" w:cs="Times New Roman"/>
      <w:sz w:val="16"/>
      <w:szCs w:val="16"/>
      <w:lang w:eastAsia="pt-BR"/>
    </w:rPr>
  </w:style>
  <w:style w:type="character" w:customStyle="1" w:styleId="apple-converted-space">
    <w:name w:val="apple-converted-space"/>
    <w:basedOn w:val="Fontepargpadro"/>
    <w:rsid w:val="00787561"/>
  </w:style>
  <w:style w:type="paragraph" w:customStyle="1" w:styleId="Tabela1">
    <w:name w:val="Tabela 1"/>
    <w:basedOn w:val="Texto10"/>
    <w:link w:val="Tabela1Char"/>
    <w:qFormat/>
    <w:rsid w:val="00C75C6C"/>
    <w:pPr>
      <w:tabs>
        <w:tab w:val="left" w:pos="851"/>
      </w:tabs>
      <w:jc w:val="center"/>
    </w:pPr>
    <w:rPr>
      <w:b/>
    </w:rPr>
  </w:style>
  <w:style w:type="character" w:customStyle="1" w:styleId="Tabela1Char">
    <w:name w:val="Tabela 1 Char"/>
    <w:basedOn w:val="Texto1Char"/>
    <w:link w:val="Tabela1"/>
    <w:rsid w:val="00C75C6C"/>
    <w:rPr>
      <w:rFonts w:ascii="Times New Roman" w:eastAsia="Times New Roman" w:hAnsi="Times New Roman" w:cs="Times New Roman"/>
      <w:b/>
      <w:sz w:val="24"/>
      <w:szCs w:val="24"/>
      <w:lang w:eastAsia="pt-BR"/>
    </w:rPr>
  </w:style>
  <w:style w:type="paragraph" w:styleId="Ttulo">
    <w:name w:val="Title"/>
    <w:basedOn w:val="Normal"/>
    <w:link w:val="TtuloChar"/>
    <w:qFormat/>
    <w:rsid w:val="00D108BC"/>
    <w:pPr>
      <w:autoSpaceDE w:val="0"/>
      <w:autoSpaceDN w:val="0"/>
      <w:adjustRightInd w:val="0"/>
      <w:jc w:val="center"/>
    </w:pPr>
    <w:rPr>
      <w:rFonts w:ascii="Times New Roman" w:hAnsi="Times New Roman"/>
      <w:b/>
      <w:bCs/>
      <w:sz w:val="23"/>
      <w:szCs w:val="23"/>
    </w:rPr>
  </w:style>
  <w:style w:type="character" w:customStyle="1" w:styleId="TtuloChar">
    <w:name w:val="Título Char"/>
    <w:basedOn w:val="Fontepargpadro"/>
    <w:link w:val="Ttulo"/>
    <w:rsid w:val="00D108BC"/>
    <w:rPr>
      <w:rFonts w:ascii="Times New Roman" w:eastAsia="Times New Roman" w:hAnsi="Times New Roman" w:cs="Times New Roman"/>
      <w:b/>
      <w:bCs/>
      <w:sz w:val="23"/>
      <w:szCs w:val="23"/>
      <w:lang w:eastAsia="pt-BR"/>
    </w:rPr>
  </w:style>
  <w:style w:type="paragraph" w:customStyle="1" w:styleId="textojustificado">
    <w:name w:val="texto_justificado"/>
    <w:basedOn w:val="Normal"/>
    <w:rsid w:val="005B6D19"/>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1602">
      <w:bodyDiv w:val="1"/>
      <w:marLeft w:val="0"/>
      <w:marRight w:val="0"/>
      <w:marTop w:val="0"/>
      <w:marBottom w:val="0"/>
      <w:divBdr>
        <w:top w:val="none" w:sz="0" w:space="0" w:color="auto"/>
        <w:left w:val="none" w:sz="0" w:space="0" w:color="auto"/>
        <w:bottom w:val="none" w:sz="0" w:space="0" w:color="auto"/>
        <w:right w:val="none" w:sz="0" w:space="0" w:color="auto"/>
      </w:divBdr>
    </w:div>
    <w:div w:id="21713362">
      <w:bodyDiv w:val="1"/>
      <w:marLeft w:val="0"/>
      <w:marRight w:val="0"/>
      <w:marTop w:val="0"/>
      <w:marBottom w:val="0"/>
      <w:divBdr>
        <w:top w:val="none" w:sz="0" w:space="0" w:color="auto"/>
        <w:left w:val="none" w:sz="0" w:space="0" w:color="auto"/>
        <w:bottom w:val="none" w:sz="0" w:space="0" w:color="auto"/>
        <w:right w:val="none" w:sz="0" w:space="0" w:color="auto"/>
      </w:divBdr>
    </w:div>
    <w:div w:id="40137987">
      <w:bodyDiv w:val="1"/>
      <w:marLeft w:val="0"/>
      <w:marRight w:val="0"/>
      <w:marTop w:val="0"/>
      <w:marBottom w:val="0"/>
      <w:divBdr>
        <w:top w:val="none" w:sz="0" w:space="0" w:color="auto"/>
        <w:left w:val="none" w:sz="0" w:space="0" w:color="auto"/>
        <w:bottom w:val="none" w:sz="0" w:space="0" w:color="auto"/>
        <w:right w:val="none" w:sz="0" w:space="0" w:color="auto"/>
      </w:divBdr>
    </w:div>
    <w:div w:id="48503701">
      <w:bodyDiv w:val="1"/>
      <w:marLeft w:val="0"/>
      <w:marRight w:val="0"/>
      <w:marTop w:val="0"/>
      <w:marBottom w:val="0"/>
      <w:divBdr>
        <w:top w:val="none" w:sz="0" w:space="0" w:color="auto"/>
        <w:left w:val="none" w:sz="0" w:space="0" w:color="auto"/>
        <w:bottom w:val="none" w:sz="0" w:space="0" w:color="auto"/>
        <w:right w:val="none" w:sz="0" w:space="0" w:color="auto"/>
      </w:divBdr>
    </w:div>
    <w:div w:id="81027139">
      <w:bodyDiv w:val="1"/>
      <w:marLeft w:val="0"/>
      <w:marRight w:val="0"/>
      <w:marTop w:val="0"/>
      <w:marBottom w:val="0"/>
      <w:divBdr>
        <w:top w:val="none" w:sz="0" w:space="0" w:color="auto"/>
        <w:left w:val="none" w:sz="0" w:space="0" w:color="auto"/>
        <w:bottom w:val="none" w:sz="0" w:space="0" w:color="auto"/>
        <w:right w:val="none" w:sz="0" w:space="0" w:color="auto"/>
      </w:divBdr>
      <w:divsChild>
        <w:div w:id="1408305414">
          <w:marLeft w:val="0"/>
          <w:marRight w:val="0"/>
          <w:marTop w:val="0"/>
          <w:marBottom w:val="0"/>
          <w:divBdr>
            <w:top w:val="none" w:sz="0" w:space="0" w:color="auto"/>
            <w:left w:val="none" w:sz="0" w:space="0" w:color="auto"/>
            <w:bottom w:val="none" w:sz="0" w:space="0" w:color="auto"/>
            <w:right w:val="none" w:sz="0" w:space="0" w:color="auto"/>
          </w:divBdr>
        </w:div>
        <w:div w:id="1157259595">
          <w:marLeft w:val="0"/>
          <w:marRight w:val="0"/>
          <w:marTop w:val="0"/>
          <w:marBottom w:val="0"/>
          <w:divBdr>
            <w:top w:val="none" w:sz="0" w:space="0" w:color="auto"/>
            <w:left w:val="none" w:sz="0" w:space="0" w:color="auto"/>
            <w:bottom w:val="none" w:sz="0" w:space="0" w:color="auto"/>
            <w:right w:val="none" w:sz="0" w:space="0" w:color="auto"/>
          </w:divBdr>
        </w:div>
        <w:div w:id="710375196">
          <w:marLeft w:val="0"/>
          <w:marRight w:val="0"/>
          <w:marTop w:val="0"/>
          <w:marBottom w:val="0"/>
          <w:divBdr>
            <w:top w:val="none" w:sz="0" w:space="0" w:color="auto"/>
            <w:left w:val="none" w:sz="0" w:space="0" w:color="auto"/>
            <w:bottom w:val="none" w:sz="0" w:space="0" w:color="auto"/>
            <w:right w:val="none" w:sz="0" w:space="0" w:color="auto"/>
          </w:divBdr>
        </w:div>
        <w:div w:id="659767943">
          <w:marLeft w:val="0"/>
          <w:marRight w:val="0"/>
          <w:marTop w:val="0"/>
          <w:marBottom w:val="0"/>
          <w:divBdr>
            <w:top w:val="none" w:sz="0" w:space="0" w:color="auto"/>
            <w:left w:val="none" w:sz="0" w:space="0" w:color="auto"/>
            <w:bottom w:val="none" w:sz="0" w:space="0" w:color="auto"/>
            <w:right w:val="none" w:sz="0" w:space="0" w:color="auto"/>
          </w:divBdr>
        </w:div>
        <w:div w:id="1542742914">
          <w:marLeft w:val="0"/>
          <w:marRight w:val="0"/>
          <w:marTop w:val="0"/>
          <w:marBottom w:val="0"/>
          <w:divBdr>
            <w:top w:val="none" w:sz="0" w:space="0" w:color="auto"/>
            <w:left w:val="none" w:sz="0" w:space="0" w:color="auto"/>
            <w:bottom w:val="none" w:sz="0" w:space="0" w:color="auto"/>
            <w:right w:val="none" w:sz="0" w:space="0" w:color="auto"/>
          </w:divBdr>
        </w:div>
      </w:divsChild>
    </w:div>
    <w:div w:id="101187773">
      <w:bodyDiv w:val="1"/>
      <w:marLeft w:val="0"/>
      <w:marRight w:val="0"/>
      <w:marTop w:val="0"/>
      <w:marBottom w:val="0"/>
      <w:divBdr>
        <w:top w:val="none" w:sz="0" w:space="0" w:color="auto"/>
        <w:left w:val="none" w:sz="0" w:space="0" w:color="auto"/>
        <w:bottom w:val="none" w:sz="0" w:space="0" w:color="auto"/>
        <w:right w:val="none" w:sz="0" w:space="0" w:color="auto"/>
      </w:divBdr>
    </w:div>
    <w:div w:id="140855799">
      <w:bodyDiv w:val="1"/>
      <w:marLeft w:val="0"/>
      <w:marRight w:val="0"/>
      <w:marTop w:val="0"/>
      <w:marBottom w:val="0"/>
      <w:divBdr>
        <w:top w:val="none" w:sz="0" w:space="0" w:color="auto"/>
        <w:left w:val="none" w:sz="0" w:space="0" w:color="auto"/>
        <w:bottom w:val="none" w:sz="0" w:space="0" w:color="auto"/>
        <w:right w:val="none" w:sz="0" w:space="0" w:color="auto"/>
      </w:divBdr>
    </w:div>
    <w:div w:id="154152589">
      <w:bodyDiv w:val="1"/>
      <w:marLeft w:val="0"/>
      <w:marRight w:val="0"/>
      <w:marTop w:val="0"/>
      <w:marBottom w:val="0"/>
      <w:divBdr>
        <w:top w:val="none" w:sz="0" w:space="0" w:color="auto"/>
        <w:left w:val="none" w:sz="0" w:space="0" w:color="auto"/>
        <w:bottom w:val="none" w:sz="0" w:space="0" w:color="auto"/>
        <w:right w:val="none" w:sz="0" w:space="0" w:color="auto"/>
      </w:divBdr>
    </w:div>
    <w:div w:id="164710628">
      <w:bodyDiv w:val="1"/>
      <w:marLeft w:val="0"/>
      <w:marRight w:val="0"/>
      <w:marTop w:val="0"/>
      <w:marBottom w:val="0"/>
      <w:divBdr>
        <w:top w:val="none" w:sz="0" w:space="0" w:color="auto"/>
        <w:left w:val="none" w:sz="0" w:space="0" w:color="auto"/>
        <w:bottom w:val="none" w:sz="0" w:space="0" w:color="auto"/>
        <w:right w:val="none" w:sz="0" w:space="0" w:color="auto"/>
      </w:divBdr>
    </w:div>
    <w:div w:id="173417730">
      <w:bodyDiv w:val="1"/>
      <w:marLeft w:val="0"/>
      <w:marRight w:val="0"/>
      <w:marTop w:val="0"/>
      <w:marBottom w:val="0"/>
      <w:divBdr>
        <w:top w:val="none" w:sz="0" w:space="0" w:color="auto"/>
        <w:left w:val="none" w:sz="0" w:space="0" w:color="auto"/>
        <w:bottom w:val="none" w:sz="0" w:space="0" w:color="auto"/>
        <w:right w:val="none" w:sz="0" w:space="0" w:color="auto"/>
      </w:divBdr>
      <w:divsChild>
        <w:div w:id="1561864101">
          <w:marLeft w:val="90"/>
          <w:marRight w:val="0"/>
          <w:marTop w:val="0"/>
          <w:marBottom w:val="0"/>
          <w:divBdr>
            <w:top w:val="none" w:sz="0" w:space="0" w:color="auto"/>
            <w:left w:val="none" w:sz="0" w:space="0" w:color="auto"/>
            <w:bottom w:val="none" w:sz="0" w:space="0" w:color="auto"/>
            <w:right w:val="none" w:sz="0" w:space="0" w:color="auto"/>
          </w:divBdr>
          <w:divsChild>
            <w:div w:id="1552570036">
              <w:marLeft w:val="18"/>
              <w:marRight w:val="0"/>
              <w:marTop w:val="27"/>
              <w:marBottom w:val="0"/>
              <w:divBdr>
                <w:top w:val="none" w:sz="0" w:space="0" w:color="auto"/>
                <w:left w:val="none" w:sz="0" w:space="0" w:color="auto"/>
                <w:bottom w:val="none" w:sz="0" w:space="0" w:color="auto"/>
                <w:right w:val="none" w:sz="0" w:space="0" w:color="auto"/>
              </w:divBdr>
              <w:divsChild>
                <w:div w:id="1133864152">
                  <w:marLeft w:val="0"/>
                  <w:marRight w:val="0"/>
                  <w:marTop w:val="0"/>
                  <w:marBottom w:val="0"/>
                  <w:divBdr>
                    <w:top w:val="none" w:sz="0" w:space="0" w:color="auto"/>
                    <w:left w:val="none" w:sz="0" w:space="0" w:color="auto"/>
                    <w:bottom w:val="none" w:sz="0" w:space="0" w:color="auto"/>
                    <w:right w:val="none" w:sz="0" w:space="0" w:color="auto"/>
                  </w:divBdr>
                  <w:divsChild>
                    <w:div w:id="1617639793">
                      <w:marLeft w:val="45"/>
                      <w:marRight w:val="45"/>
                      <w:marTop w:val="90"/>
                      <w:marBottom w:val="90"/>
                      <w:divBdr>
                        <w:top w:val="none" w:sz="0" w:space="0" w:color="auto"/>
                        <w:left w:val="none" w:sz="0" w:space="0" w:color="auto"/>
                        <w:bottom w:val="none" w:sz="0" w:space="0" w:color="auto"/>
                        <w:right w:val="none" w:sz="0" w:space="0" w:color="auto"/>
                      </w:divBdr>
                      <w:divsChild>
                        <w:div w:id="3202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539">
      <w:bodyDiv w:val="1"/>
      <w:marLeft w:val="0"/>
      <w:marRight w:val="0"/>
      <w:marTop w:val="0"/>
      <w:marBottom w:val="0"/>
      <w:divBdr>
        <w:top w:val="none" w:sz="0" w:space="0" w:color="auto"/>
        <w:left w:val="none" w:sz="0" w:space="0" w:color="auto"/>
        <w:bottom w:val="none" w:sz="0" w:space="0" w:color="auto"/>
        <w:right w:val="none" w:sz="0" w:space="0" w:color="auto"/>
      </w:divBdr>
    </w:div>
    <w:div w:id="188639549">
      <w:bodyDiv w:val="1"/>
      <w:marLeft w:val="0"/>
      <w:marRight w:val="0"/>
      <w:marTop w:val="0"/>
      <w:marBottom w:val="0"/>
      <w:divBdr>
        <w:top w:val="none" w:sz="0" w:space="0" w:color="auto"/>
        <w:left w:val="none" w:sz="0" w:space="0" w:color="auto"/>
        <w:bottom w:val="none" w:sz="0" w:space="0" w:color="auto"/>
        <w:right w:val="none" w:sz="0" w:space="0" w:color="auto"/>
      </w:divBdr>
    </w:div>
    <w:div w:id="189731359">
      <w:bodyDiv w:val="1"/>
      <w:marLeft w:val="0"/>
      <w:marRight w:val="0"/>
      <w:marTop w:val="0"/>
      <w:marBottom w:val="0"/>
      <w:divBdr>
        <w:top w:val="none" w:sz="0" w:space="0" w:color="auto"/>
        <w:left w:val="none" w:sz="0" w:space="0" w:color="auto"/>
        <w:bottom w:val="none" w:sz="0" w:space="0" w:color="auto"/>
        <w:right w:val="none" w:sz="0" w:space="0" w:color="auto"/>
      </w:divBdr>
    </w:div>
    <w:div w:id="214900025">
      <w:bodyDiv w:val="1"/>
      <w:marLeft w:val="0"/>
      <w:marRight w:val="0"/>
      <w:marTop w:val="0"/>
      <w:marBottom w:val="0"/>
      <w:divBdr>
        <w:top w:val="none" w:sz="0" w:space="0" w:color="auto"/>
        <w:left w:val="none" w:sz="0" w:space="0" w:color="auto"/>
        <w:bottom w:val="none" w:sz="0" w:space="0" w:color="auto"/>
        <w:right w:val="none" w:sz="0" w:space="0" w:color="auto"/>
      </w:divBdr>
    </w:div>
    <w:div w:id="269435432">
      <w:bodyDiv w:val="1"/>
      <w:marLeft w:val="0"/>
      <w:marRight w:val="0"/>
      <w:marTop w:val="0"/>
      <w:marBottom w:val="0"/>
      <w:divBdr>
        <w:top w:val="none" w:sz="0" w:space="0" w:color="auto"/>
        <w:left w:val="none" w:sz="0" w:space="0" w:color="auto"/>
        <w:bottom w:val="none" w:sz="0" w:space="0" w:color="auto"/>
        <w:right w:val="none" w:sz="0" w:space="0" w:color="auto"/>
      </w:divBdr>
    </w:div>
    <w:div w:id="295181979">
      <w:bodyDiv w:val="1"/>
      <w:marLeft w:val="0"/>
      <w:marRight w:val="0"/>
      <w:marTop w:val="0"/>
      <w:marBottom w:val="0"/>
      <w:divBdr>
        <w:top w:val="none" w:sz="0" w:space="0" w:color="auto"/>
        <w:left w:val="none" w:sz="0" w:space="0" w:color="auto"/>
        <w:bottom w:val="none" w:sz="0" w:space="0" w:color="auto"/>
        <w:right w:val="none" w:sz="0" w:space="0" w:color="auto"/>
      </w:divBdr>
    </w:div>
    <w:div w:id="300382715">
      <w:bodyDiv w:val="1"/>
      <w:marLeft w:val="0"/>
      <w:marRight w:val="0"/>
      <w:marTop w:val="0"/>
      <w:marBottom w:val="0"/>
      <w:divBdr>
        <w:top w:val="none" w:sz="0" w:space="0" w:color="auto"/>
        <w:left w:val="none" w:sz="0" w:space="0" w:color="auto"/>
        <w:bottom w:val="none" w:sz="0" w:space="0" w:color="auto"/>
        <w:right w:val="none" w:sz="0" w:space="0" w:color="auto"/>
      </w:divBdr>
    </w:div>
    <w:div w:id="301621268">
      <w:bodyDiv w:val="1"/>
      <w:marLeft w:val="0"/>
      <w:marRight w:val="0"/>
      <w:marTop w:val="0"/>
      <w:marBottom w:val="0"/>
      <w:divBdr>
        <w:top w:val="none" w:sz="0" w:space="0" w:color="auto"/>
        <w:left w:val="none" w:sz="0" w:space="0" w:color="auto"/>
        <w:bottom w:val="none" w:sz="0" w:space="0" w:color="auto"/>
        <w:right w:val="none" w:sz="0" w:space="0" w:color="auto"/>
      </w:divBdr>
    </w:div>
    <w:div w:id="353382689">
      <w:bodyDiv w:val="1"/>
      <w:marLeft w:val="0"/>
      <w:marRight w:val="0"/>
      <w:marTop w:val="0"/>
      <w:marBottom w:val="0"/>
      <w:divBdr>
        <w:top w:val="none" w:sz="0" w:space="0" w:color="auto"/>
        <w:left w:val="none" w:sz="0" w:space="0" w:color="auto"/>
        <w:bottom w:val="none" w:sz="0" w:space="0" w:color="auto"/>
        <w:right w:val="none" w:sz="0" w:space="0" w:color="auto"/>
      </w:divBdr>
    </w:div>
    <w:div w:id="448666710">
      <w:bodyDiv w:val="1"/>
      <w:marLeft w:val="0"/>
      <w:marRight w:val="0"/>
      <w:marTop w:val="0"/>
      <w:marBottom w:val="0"/>
      <w:divBdr>
        <w:top w:val="none" w:sz="0" w:space="0" w:color="auto"/>
        <w:left w:val="none" w:sz="0" w:space="0" w:color="auto"/>
        <w:bottom w:val="none" w:sz="0" w:space="0" w:color="auto"/>
        <w:right w:val="none" w:sz="0" w:space="0" w:color="auto"/>
      </w:divBdr>
    </w:div>
    <w:div w:id="452410250">
      <w:bodyDiv w:val="1"/>
      <w:marLeft w:val="0"/>
      <w:marRight w:val="0"/>
      <w:marTop w:val="0"/>
      <w:marBottom w:val="0"/>
      <w:divBdr>
        <w:top w:val="none" w:sz="0" w:space="0" w:color="auto"/>
        <w:left w:val="none" w:sz="0" w:space="0" w:color="auto"/>
        <w:bottom w:val="none" w:sz="0" w:space="0" w:color="auto"/>
        <w:right w:val="none" w:sz="0" w:space="0" w:color="auto"/>
      </w:divBdr>
    </w:div>
    <w:div w:id="461074091">
      <w:bodyDiv w:val="1"/>
      <w:marLeft w:val="0"/>
      <w:marRight w:val="0"/>
      <w:marTop w:val="0"/>
      <w:marBottom w:val="0"/>
      <w:divBdr>
        <w:top w:val="none" w:sz="0" w:space="0" w:color="auto"/>
        <w:left w:val="none" w:sz="0" w:space="0" w:color="auto"/>
        <w:bottom w:val="none" w:sz="0" w:space="0" w:color="auto"/>
        <w:right w:val="none" w:sz="0" w:space="0" w:color="auto"/>
      </w:divBdr>
    </w:div>
    <w:div w:id="505750808">
      <w:bodyDiv w:val="1"/>
      <w:marLeft w:val="0"/>
      <w:marRight w:val="0"/>
      <w:marTop w:val="0"/>
      <w:marBottom w:val="0"/>
      <w:divBdr>
        <w:top w:val="none" w:sz="0" w:space="0" w:color="auto"/>
        <w:left w:val="none" w:sz="0" w:space="0" w:color="auto"/>
        <w:bottom w:val="none" w:sz="0" w:space="0" w:color="auto"/>
        <w:right w:val="none" w:sz="0" w:space="0" w:color="auto"/>
      </w:divBdr>
    </w:div>
    <w:div w:id="549537746">
      <w:bodyDiv w:val="1"/>
      <w:marLeft w:val="0"/>
      <w:marRight w:val="0"/>
      <w:marTop w:val="0"/>
      <w:marBottom w:val="0"/>
      <w:divBdr>
        <w:top w:val="none" w:sz="0" w:space="0" w:color="auto"/>
        <w:left w:val="none" w:sz="0" w:space="0" w:color="auto"/>
        <w:bottom w:val="none" w:sz="0" w:space="0" w:color="auto"/>
        <w:right w:val="none" w:sz="0" w:space="0" w:color="auto"/>
      </w:divBdr>
      <w:divsChild>
        <w:div w:id="331445834">
          <w:marLeft w:val="0"/>
          <w:marRight w:val="0"/>
          <w:marTop w:val="0"/>
          <w:marBottom w:val="0"/>
          <w:divBdr>
            <w:top w:val="none" w:sz="0" w:space="0" w:color="auto"/>
            <w:left w:val="none" w:sz="0" w:space="0" w:color="auto"/>
            <w:bottom w:val="none" w:sz="0" w:space="0" w:color="auto"/>
            <w:right w:val="none" w:sz="0" w:space="0" w:color="auto"/>
          </w:divBdr>
        </w:div>
        <w:div w:id="617296376">
          <w:marLeft w:val="0"/>
          <w:marRight w:val="0"/>
          <w:marTop w:val="0"/>
          <w:marBottom w:val="0"/>
          <w:divBdr>
            <w:top w:val="none" w:sz="0" w:space="0" w:color="auto"/>
            <w:left w:val="none" w:sz="0" w:space="0" w:color="auto"/>
            <w:bottom w:val="none" w:sz="0" w:space="0" w:color="auto"/>
            <w:right w:val="none" w:sz="0" w:space="0" w:color="auto"/>
          </w:divBdr>
        </w:div>
      </w:divsChild>
    </w:div>
    <w:div w:id="575747592">
      <w:bodyDiv w:val="1"/>
      <w:marLeft w:val="0"/>
      <w:marRight w:val="0"/>
      <w:marTop w:val="0"/>
      <w:marBottom w:val="0"/>
      <w:divBdr>
        <w:top w:val="none" w:sz="0" w:space="0" w:color="auto"/>
        <w:left w:val="none" w:sz="0" w:space="0" w:color="auto"/>
        <w:bottom w:val="none" w:sz="0" w:space="0" w:color="auto"/>
        <w:right w:val="none" w:sz="0" w:space="0" w:color="auto"/>
      </w:divBdr>
    </w:div>
    <w:div w:id="600379028">
      <w:bodyDiv w:val="1"/>
      <w:marLeft w:val="0"/>
      <w:marRight w:val="0"/>
      <w:marTop w:val="0"/>
      <w:marBottom w:val="0"/>
      <w:divBdr>
        <w:top w:val="none" w:sz="0" w:space="0" w:color="auto"/>
        <w:left w:val="none" w:sz="0" w:space="0" w:color="auto"/>
        <w:bottom w:val="none" w:sz="0" w:space="0" w:color="auto"/>
        <w:right w:val="none" w:sz="0" w:space="0" w:color="auto"/>
      </w:divBdr>
    </w:div>
    <w:div w:id="610015059">
      <w:bodyDiv w:val="1"/>
      <w:marLeft w:val="0"/>
      <w:marRight w:val="0"/>
      <w:marTop w:val="0"/>
      <w:marBottom w:val="0"/>
      <w:divBdr>
        <w:top w:val="none" w:sz="0" w:space="0" w:color="auto"/>
        <w:left w:val="none" w:sz="0" w:space="0" w:color="auto"/>
        <w:bottom w:val="none" w:sz="0" w:space="0" w:color="auto"/>
        <w:right w:val="none" w:sz="0" w:space="0" w:color="auto"/>
      </w:divBdr>
    </w:div>
    <w:div w:id="615523697">
      <w:bodyDiv w:val="1"/>
      <w:marLeft w:val="0"/>
      <w:marRight w:val="0"/>
      <w:marTop w:val="0"/>
      <w:marBottom w:val="0"/>
      <w:divBdr>
        <w:top w:val="none" w:sz="0" w:space="0" w:color="auto"/>
        <w:left w:val="none" w:sz="0" w:space="0" w:color="auto"/>
        <w:bottom w:val="none" w:sz="0" w:space="0" w:color="auto"/>
        <w:right w:val="none" w:sz="0" w:space="0" w:color="auto"/>
      </w:divBdr>
    </w:div>
    <w:div w:id="646320910">
      <w:bodyDiv w:val="1"/>
      <w:marLeft w:val="0"/>
      <w:marRight w:val="0"/>
      <w:marTop w:val="0"/>
      <w:marBottom w:val="0"/>
      <w:divBdr>
        <w:top w:val="none" w:sz="0" w:space="0" w:color="auto"/>
        <w:left w:val="none" w:sz="0" w:space="0" w:color="auto"/>
        <w:bottom w:val="none" w:sz="0" w:space="0" w:color="auto"/>
        <w:right w:val="none" w:sz="0" w:space="0" w:color="auto"/>
      </w:divBdr>
    </w:div>
    <w:div w:id="648024389">
      <w:bodyDiv w:val="1"/>
      <w:marLeft w:val="0"/>
      <w:marRight w:val="0"/>
      <w:marTop w:val="0"/>
      <w:marBottom w:val="0"/>
      <w:divBdr>
        <w:top w:val="none" w:sz="0" w:space="0" w:color="auto"/>
        <w:left w:val="none" w:sz="0" w:space="0" w:color="auto"/>
        <w:bottom w:val="none" w:sz="0" w:space="0" w:color="auto"/>
        <w:right w:val="none" w:sz="0" w:space="0" w:color="auto"/>
      </w:divBdr>
    </w:div>
    <w:div w:id="648291900">
      <w:bodyDiv w:val="1"/>
      <w:marLeft w:val="0"/>
      <w:marRight w:val="0"/>
      <w:marTop w:val="0"/>
      <w:marBottom w:val="0"/>
      <w:divBdr>
        <w:top w:val="none" w:sz="0" w:space="0" w:color="auto"/>
        <w:left w:val="none" w:sz="0" w:space="0" w:color="auto"/>
        <w:bottom w:val="none" w:sz="0" w:space="0" w:color="auto"/>
        <w:right w:val="none" w:sz="0" w:space="0" w:color="auto"/>
      </w:divBdr>
    </w:div>
    <w:div w:id="688336852">
      <w:bodyDiv w:val="1"/>
      <w:marLeft w:val="0"/>
      <w:marRight w:val="0"/>
      <w:marTop w:val="0"/>
      <w:marBottom w:val="0"/>
      <w:divBdr>
        <w:top w:val="none" w:sz="0" w:space="0" w:color="auto"/>
        <w:left w:val="none" w:sz="0" w:space="0" w:color="auto"/>
        <w:bottom w:val="none" w:sz="0" w:space="0" w:color="auto"/>
        <w:right w:val="none" w:sz="0" w:space="0" w:color="auto"/>
      </w:divBdr>
      <w:divsChild>
        <w:div w:id="325207580">
          <w:marLeft w:val="0"/>
          <w:marRight w:val="0"/>
          <w:marTop w:val="0"/>
          <w:marBottom w:val="0"/>
          <w:divBdr>
            <w:top w:val="none" w:sz="0" w:space="0" w:color="auto"/>
            <w:left w:val="none" w:sz="0" w:space="0" w:color="auto"/>
            <w:bottom w:val="none" w:sz="0" w:space="0" w:color="auto"/>
            <w:right w:val="none" w:sz="0" w:space="0" w:color="auto"/>
          </w:divBdr>
        </w:div>
        <w:div w:id="1095591316">
          <w:marLeft w:val="0"/>
          <w:marRight w:val="0"/>
          <w:marTop w:val="0"/>
          <w:marBottom w:val="0"/>
          <w:divBdr>
            <w:top w:val="none" w:sz="0" w:space="0" w:color="auto"/>
            <w:left w:val="none" w:sz="0" w:space="0" w:color="auto"/>
            <w:bottom w:val="none" w:sz="0" w:space="0" w:color="auto"/>
            <w:right w:val="none" w:sz="0" w:space="0" w:color="auto"/>
          </w:divBdr>
        </w:div>
        <w:div w:id="2117365826">
          <w:marLeft w:val="0"/>
          <w:marRight w:val="0"/>
          <w:marTop w:val="0"/>
          <w:marBottom w:val="0"/>
          <w:divBdr>
            <w:top w:val="none" w:sz="0" w:space="0" w:color="auto"/>
            <w:left w:val="none" w:sz="0" w:space="0" w:color="auto"/>
            <w:bottom w:val="none" w:sz="0" w:space="0" w:color="auto"/>
            <w:right w:val="none" w:sz="0" w:space="0" w:color="auto"/>
          </w:divBdr>
        </w:div>
        <w:div w:id="1269317970">
          <w:marLeft w:val="0"/>
          <w:marRight w:val="0"/>
          <w:marTop w:val="0"/>
          <w:marBottom w:val="0"/>
          <w:divBdr>
            <w:top w:val="none" w:sz="0" w:space="0" w:color="auto"/>
            <w:left w:val="none" w:sz="0" w:space="0" w:color="auto"/>
            <w:bottom w:val="none" w:sz="0" w:space="0" w:color="auto"/>
            <w:right w:val="none" w:sz="0" w:space="0" w:color="auto"/>
          </w:divBdr>
        </w:div>
        <w:div w:id="142359687">
          <w:marLeft w:val="0"/>
          <w:marRight w:val="0"/>
          <w:marTop w:val="0"/>
          <w:marBottom w:val="0"/>
          <w:divBdr>
            <w:top w:val="none" w:sz="0" w:space="0" w:color="auto"/>
            <w:left w:val="none" w:sz="0" w:space="0" w:color="auto"/>
            <w:bottom w:val="none" w:sz="0" w:space="0" w:color="auto"/>
            <w:right w:val="none" w:sz="0" w:space="0" w:color="auto"/>
          </w:divBdr>
        </w:div>
      </w:divsChild>
    </w:div>
    <w:div w:id="766585425">
      <w:bodyDiv w:val="1"/>
      <w:marLeft w:val="0"/>
      <w:marRight w:val="0"/>
      <w:marTop w:val="0"/>
      <w:marBottom w:val="0"/>
      <w:divBdr>
        <w:top w:val="none" w:sz="0" w:space="0" w:color="auto"/>
        <w:left w:val="none" w:sz="0" w:space="0" w:color="auto"/>
        <w:bottom w:val="none" w:sz="0" w:space="0" w:color="auto"/>
        <w:right w:val="none" w:sz="0" w:space="0" w:color="auto"/>
      </w:divBdr>
    </w:div>
    <w:div w:id="771974482">
      <w:bodyDiv w:val="1"/>
      <w:marLeft w:val="0"/>
      <w:marRight w:val="0"/>
      <w:marTop w:val="0"/>
      <w:marBottom w:val="0"/>
      <w:divBdr>
        <w:top w:val="none" w:sz="0" w:space="0" w:color="auto"/>
        <w:left w:val="none" w:sz="0" w:space="0" w:color="auto"/>
        <w:bottom w:val="none" w:sz="0" w:space="0" w:color="auto"/>
        <w:right w:val="none" w:sz="0" w:space="0" w:color="auto"/>
      </w:divBdr>
    </w:div>
    <w:div w:id="830024744">
      <w:bodyDiv w:val="1"/>
      <w:marLeft w:val="0"/>
      <w:marRight w:val="0"/>
      <w:marTop w:val="0"/>
      <w:marBottom w:val="0"/>
      <w:divBdr>
        <w:top w:val="none" w:sz="0" w:space="0" w:color="auto"/>
        <w:left w:val="none" w:sz="0" w:space="0" w:color="auto"/>
        <w:bottom w:val="none" w:sz="0" w:space="0" w:color="auto"/>
        <w:right w:val="none" w:sz="0" w:space="0" w:color="auto"/>
      </w:divBdr>
      <w:divsChild>
        <w:div w:id="1699425071">
          <w:marLeft w:val="0"/>
          <w:marRight w:val="0"/>
          <w:marTop w:val="0"/>
          <w:marBottom w:val="0"/>
          <w:divBdr>
            <w:top w:val="none" w:sz="0" w:space="0" w:color="auto"/>
            <w:left w:val="none" w:sz="0" w:space="0" w:color="auto"/>
            <w:bottom w:val="none" w:sz="0" w:space="0" w:color="auto"/>
            <w:right w:val="none" w:sz="0" w:space="0" w:color="auto"/>
          </w:divBdr>
        </w:div>
        <w:div w:id="925842728">
          <w:marLeft w:val="0"/>
          <w:marRight w:val="0"/>
          <w:marTop w:val="0"/>
          <w:marBottom w:val="0"/>
          <w:divBdr>
            <w:top w:val="none" w:sz="0" w:space="0" w:color="auto"/>
            <w:left w:val="none" w:sz="0" w:space="0" w:color="auto"/>
            <w:bottom w:val="none" w:sz="0" w:space="0" w:color="auto"/>
            <w:right w:val="none" w:sz="0" w:space="0" w:color="auto"/>
          </w:divBdr>
        </w:div>
      </w:divsChild>
    </w:div>
    <w:div w:id="878320839">
      <w:bodyDiv w:val="1"/>
      <w:marLeft w:val="0"/>
      <w:marRight w:val="0"/>
      <w:marTop w:val="0"/>
      <w:marBottom w:val="0"/>
      <w:divBdr>
        <w:top w:val="none" w:sz="0" w:space="0" w:color="auto"/>
        <w:left w:val="none" w:sz="0" w:space="0" w:color="auto"/>
        <w:bottom w:val="none" w:sz="0" w:space="0" w:color="auto"/>
        <w:right w:val="none" w:sz="0" w:space="0" w:color="auto"/>
      </w:divBdr>
    </w:div>
    <w:div w:id="879322951">
      <w:bodyDiv w:val="1"/>
      <w:marLeft w:val="0"/>
      <w:marRight w:val="0"/>
      <w:marTop w:val="0"/>
      <w:marBottom w:val="0"/>
      <w:divBdr>
        <w:top w:val="none" w:sz="0" w:space="0" w:color="auto"/>
        <w:left w:val="none" w:sz="0" w:space="0" w:color="auto"/>
        <w:bottom w:val="none" w:sz="0" w:space="0" w:color="auto"/>
        <w:right w:val="none" w:sz="0" w:space="0" w:color="auto"/>
      </w:divBdr>
    </w:div>
    <w:div w:id="885988893">
      <w:bodyDiv w:val="1"/>
      <w:marLeft w:val="0"/>
      <w:marRight w:val="0"/>
      <w:marTop w:val="0"/>
      <w:marBottom w:val="0"/>
      <w:divBdr>
        <w:top w:val="none" w:sz="0" w:space="0" w:color="auto"/>
        <w:left w:val="none" w:sz="0" w:space="0" w:color="auto"/>
        <w:bottom w:val="none" w:sz="0" w:space="0" w:color="auto"/>
        <w:right w:val="none" w:sz="0" w:space="0" w:color="auto"/>
      </w:divBdr>
      <w:divsChild>
        <w:div w:id="478427">
          <w:marLeft w:val="0"/>
          <w:marRight w:val="0"/>
          <w:marTop w:val="0"/>
          <w:marBottom w:val="0"/>
          <w:divBdr>
            <w:top w:val="none" w:sz="0" w:space="0" w:color="auto"/>
            <w:left w:val="none" w:sz="0" w:space="0" w:color="auto"/>
            <w:bottom w:val="none" w:sz="0" w:space="0" w:color="auto"/>
            <w:right w:val="none" w:sz="0" w:space="0" w:color="auto"/>
          </w:divBdr>
        </w:div>
        <w:div w:id="123698039">
          <w:marLeft w:val="0"/>
          <w:marRight w:val="0"/>
          <w:marTop w:val="0"/>
          <w:marBottom w:val="0"/>
          <w:divBdr>
            <w:top w:val="none" w:sz="0" w:space="0" w:color="auto"/>
            <w:left w:val="none" w:sz="0" w:space="0" w:color="auto"/>
            <w:bottom w:val="none" w:sz="0" w:space="0" w:color="auto"/>
            <w:right w:val="none" w:sz="0" w:space="0" w:color="auto"/>
          </w:divBdr>
        </w:div>
      </w:divsChild>
    </w:div>
    <w:div w:id="889265588">
      <w:bodyDiv w:val="1"/>
      <w:marLeft w:val="0"/>
      <w:marRight w:val="0"/>
      <w:marTop w:val="0"/>
      <w:marBottom w:val="0"/>
      <w:divBdr>
        <w:top w:val="none" w:sz="0" w:space="0" w:color="auto"/>
        <w:left w:val="none" w:sz="0" w:space="0" w:color="auto"/>
        <w:bottom w:val="none" w:sz="0" w:space="0" w:color="auto"/>
        <w:right w:val="none" w:sz="0" w:space="0" w:color="auto"/>
      </w:divBdr>
    </w:div>
    <w:div w:id="909652042">
      <w:bodyDiv w:val="1"/>
      <w:marLeft w:val="0"/>
      <w:marRight w:val="0"/>
      <w:marTop w:val="0"/>
      <w:marBottom w:val="0"/>
      <w:divBdr>
        <w:top w:val="none" w:sz="0" w:space="0" w:color="auto"/>
        <w:left w:val="none" w:sz="0" w:space="0" w:color="auto"/>
        <w:bottom w:val="none" w:sz="0" w:space="0" w:color="auto"/>
        <w:right w:val="none" w:sz="0" w:space="0" w:color="auto"/>
      </w:divBdr>
    </w:div>
    <w:div w:id="991833985">
      <w:bodyDiv w:val="1"/>
      <w:marLeft w:val="0"/>
      <w:marRight w:val="0"/>
      <w:marTop w:val="0"/>
      <w:marBottom w:val="0"/>
      <w:divBdr>
        <w:top w:val="none" w:sz="0" w:space="0" w:color="auto"/>
        <w:left w:val="none" w:sz="0" w:space="0" w:color="auto"/>
        <w:bottom w:val="none" w:sz="0" w:space="0" w:color="auto"/>
        <w:right w:val="none" w:sz="0" w:space="0" w:color="auto"/>
      </w:divBdr>
    </w:div>
    <w:div w:id="1000700754">
      <w:bodyDiv w:val="1"/>
      <w:marLeft w:val="0"/>
      <w:marRight w:val="0"/>
      <w:marTop w:val="0"/>
      <w:marBottom w:val="0"/>
      <w:divBdr>
        <w:top w:val="none" w:sz="0" w:space="0" w:color="auto"/>
        <w:left w:val="none" w:sz="0" w:space="0" w:color="auto"/>
        <w:bottom w:val="none" w:sz="0" w:space="0" w:color="auto"/>
        <w:right w:val="none" w:sz="0" w:space="0" w:color="auto"/>
      </w:divBdr>
    </w:div>
    <w:div w:id="1008093342">
      <w:bodyDiv w:val="1"/>
      <w:marLeft w:val="0"/>
      <w:marRight w:val="0"/>
      <w:marTop w:val="0"/>
      <w:marBottom w:val="0"/>
      <w:divBdr>
        <w:top w:val="none" w:sz="0" w:space="0" w:color="auto"/>
        <w:left w:val="none" w:sz="0" w:space="0" w:color="auto"/>
        <w:bottom w:val="none" w:sz="0" w:space="0" w:color="auto"/>
        <w:right w:val="none" w:sz="0" w:space="0" w:color="auto"/>
      </w:divBdr>
    </w:div>
    <w:div w:id="1036270038">
      <w:bodyDiv w:val="1"/>
      <w:marLeft w:val="0"/>
      <w:marRight w:val="0"/>
      <w:marTop w:val="0"/>
      <w:marBottom w:val="0"/>
      <w:divBdr>
        <w:top w:val="none" w:sz="0" w:space="0" w:color="auto"/>
        <w:left w:val="none" w:sz="0" w:space="0" w:color="auto"/>
        <w:bottom w:val="none" w:sz="0" w:space="0" w:color="auto"/>
        <w:right w:val="none" w:sz="0" w:space="0" w:color="auto"/>
      </w:divBdr>
    </w:div>
    <w:div w:id="1046299475">
      <w:bodyDiv w:val="1"/>
      <w:marLeft w:val="0"/>
      <w:marRight w:val="0"/>
      <w:marTop w:val="0"/>
      <w:marBottom w:val="0"/>
      <w:divBdr>
        <w:top w:val="none" w:sz="0" w:space="0" w:color="auto"/>
        <w:left w:val="none" w:sz="0" w:space="0" w:color="auto"/>
        <w:bottom w:val="none" w:sz="0" w:space="0" w:color="auto"/>
        <w:right w:val="none" w:sz="0" w:space="0" w:color="auto"/>
      </w:divBdr>
    </w:div>
    <w:div w:id="1120301808">
      <w:bodyDiv w:val="1"/>
      <w:marLeft w:val="0"/>
      <w:marRight w:val="0"/>
      <w:marTop w:val="0"/>
      <w:marBottom w:val="0"/>
      <w:divBdr>
        <w:top w:val="none" w:sz="0" w:space="0" w:color="auto"/>
        <w:left w:val="none" w:sz="0" w:space="0" w:color="auto"/>
        <w:bottom w:val="none" w:sz="0" w:space="0" w:color="auto"/>
        <w:right w:val="none" w:sz="0" w:space="0" w:color="auto"/>
      </w:divBdr>
    </w:div>
    <w:div w:id="1121338780">
      <w:bodyDiv w:val="1"/>
      <w:marLeft w:val="0"/>
      <w:marRight w:val="0"/>
      <w:marTop w:val="0"/>
      <w:marBottom w:val="0"/>
      <w:divBdr>
        <w:top w:val="none" w:sz="0" w:space="0" w:color="auto"/>
        <w:left w:val="none" w:sz="0" w:space="0" w:color="auto"/>
        <w:bottom w:val="none" w:sz="0" w:space="0" w:color="auto"/>
        <w:right w:val="none" w:sz="0" w:space="0" w:color="auto"/>
      </w:divBdr>
    </w:div>
    <w:div w:id="1127697135">
      <w:bodyDiv w:val="1"/>
      <w:marLeft w:val="0"/>
      <w:marRight w:val="0"/>
      <w:marTop w:val="0"/>
      <w:marBottom w:val="0"/>
      <w:divBdr>
        <w:top w:val="none" w:sz="0" w:space="0" w:color="auto"/>
        <w:left w:val="none" w:sz="0" w:space="0" w:color="auto"/>
        <w:bottom w:val="none" w:sz="0" w:space="0" w:color="auto"/>
        <w:right w:val="none" w:sz="0" w:space="0" w:color="auto"/>
      </w:divBdr>
    </w:div>
    <w:div w:id="1150755545">
      <w:bodyDiv w:val="1"/>
      <w:marLeft w:val="0"/>
      <w:marRight w:val="0"/>
      <w:marTop w:val="0"/>
      <w:marBottom w:val="0"/>
      <w:divBdr>
        <w:top w:val="none" w:sz="0" w:space="0" w:color="auto"/>
        <w:left w:val="none" w:sz="0" w:space="0" w:color="auto"/>
        <w:bottom w:val="none" w:sz="0" w:space="0" w:color="auto"/>
        <w:right w:val="none" w:sz="0" w:space="0" w:color="auto"/>
      </w:divBdr>
    </w:div>
    <w:div w:id="1158349567">
      <w:bodyDiv w:val="1"/>
      <w:marLeft w:val="0"/>
      <w:marRight w:val="0"/>
      <w:marTop w:val="0"/>
      <w:marBottom w:val="0"/>
      <w:divBdr>
        <w:top w:val="none" w:sz="0" w:space="0" w:color="auto"/>
        <w:left w:val="none" w:sz="0" w:space="0" w:color="auto"/>
        <w:bottom w:val="none" w:sz="0" w:space="0" w:color="auto"/>
        <w:right w:val="none" w:sz="0" w:space="0" w:color="auto"/>
      </w:divBdr>
    </w:div>
    <w:div w:id="1165634751">
      <w:bodyDiv w:val="1"/>
      <w:marLeft w:val="0"/>
      <w:marRight w:val="0"/>
      <w:marTop w:val="0"/>
      <w:marBottom w:val="0"/>
      <w:divBdr>
        <w:top w:val="none" w:sz="0" w:space="0" w:color="auto"/>
        <w:left w:val="none" w:sz="0" w:space="0" w:color="auto"/>
        <w:bottom w:val="none" w:sz="0" w:space="0" w:color="auto"/>
        <w:right w:val="none" w:sz="0" w:space="0" w:color="auto"/>
      </w:divBdr>
    </w:div>
    <w:div w:id="1217814365">
      <w:bodyDiv w:val="1"/>
      <w:marLeft w:val="0"/>
      <w:marRight w:val="0"/>
      <w:marTop w:val="0"/>
      <w:marBottom w:val="0"/>
      <w:divBdr>
        <w:top w:val="none" w:sz="0" w:space="0" w:color="auto"/>
        <w:left w:val="none" w:sz="0" w:space="0" w:color="auto"/>
        <w:bottom w:val="none" w:sz="0" w:space="0" w:color="auto"/>
        <w:right w:val="none" w:sz="0" w:space="0" w:color="auto"/>
      </w:divBdr>
    </w:div>
    <w:div w:id="1222597834">
      <w:bodyDiv w:val="1"/>
      <w:marLeft w:val="0"/>
      <w:marRight w:val="0"/>
      <w:marTop w:val="0"/>
      <w:marBottom w:val="0"/>
      <w:divBdr>
        <w:top w:val="none" w:sz="0" w:space="0" w:color="auto"/>
        <w:left w:val="none" w:sz="0" w:space="0" w:color="auto"/>
        <w:bottom w:val="none" w:sz="0" w:space="0" w:color="auto"/>
        <w:right w:val="none" w:sz="0" w:space="0" w:color="auto"/>
      </w:divBdr>
    </w:div>
    <w:div w:id="1248614015">
      <w:bodyDiv w:val="1"/>
      <w:marLeft w:val="0"/>
      <w:marRight w:val="0"/>
      <w:marTop w:val="0"/>
      <w:marBottom w:val="0"/>
      <w:divBdr>
        <w:top w:val="none" w:sz="0" w:space="0" w:color="auto"/>
        <w:left w:val="none" w:sz="0" w:space="0" w:color="auto"/>
        <w:bottom w:val="none" w:sz="0" w:space="0" w:color="auto"/>
        <w:right w:val="none" w:sz="0" w:space="0" w:color="auto"/>
      </w:divBdr>
    </w:div>
    <w:div w:id="1296257276">
      <w:bodyDiv w:val="1"/>
      <w:marLeft w:val="0"/>
      <w:marRight w:val="0"/>
      <w:marTop w:val="0"/>
      <w:marBottom w:val="0"/>
      <w:divBdr>
        <w:top w:val="none" w:sz="0" w:space="0" w:color="auto"/>
        <w:left w:val="none" w:sz="0" w:space="0" w:color="auto"/>
        <w:bottom w:val="none" w:sz="0" w:space="0" w:color="auto"/>
        <w:right w:val="none" w:sz="0" w:space="0" w:color="auto"/>
      </w:divBdr>
    </w:div>
    <w:div w:id="1299266086">
      <w:bodyDiv w:val="1"/>
      <w:marLeft w:val="0"/>
      <w:marRight w:val="0"/>
      <w:marTop w:val="0"/>
      <w:marBottom w:val="0"/>
      <w:divBdr>
        <w:top w:val="none" w:sz="0" w:space="0" w:color="auto"/>
        <w:left w:val="none" w:sz="0" w:space="0" w:color="auto"/>
        <w:bottom w:val="none" w:sz="0" w:space="0" w:color="auto"/>
        <w:right w:val="none" w:sz="0" w:space="0" w:color="auto"/>
      </w:divBdr>
    </w:div>
    <w:div w:id="1363632207">
      <w:bodyDiv w:val="1"/>
      <w:marLeft w:val="0"/>
      <w:marRight w:val="0"/>
      <w:marTop w:val="0"/>
      <w:marBottom w:val="0"/>
      <w:divBdr>
        <w:top w:val="none" w:sz="0" w:space="0" w:color="auto"/>
        <w:left w:val="none" w:sz="0" w:space="0" w:color="auto"/>
        <w:bottom w:val="none" w:sz="0" w:space="0" w:color="auto"/>
        <w:right w:val="none" w:sz="0" w:space="0" w:color="auto"/>
      </w:divBdr>
    </w:div>
    <w:div w:id="1379206098">
      <w:bodyDiv w:val="1"/>
      <w:marLeft w:val="0"/>
      <w:marRight w:val="0"/>
      <w:marTop w:val="0"/>
      <w:marBottom w:val="0"/>
      <w:divBdr>
        <w:top w:val="none" w:sz="0" w:space="0" w:color="auto"/>
        <w:left w:val="none" w:sz="0" w:space="0" w:color="auto"/>
        <w:bottom w:val="none" w:sz="0" w:space="0" w:color="auto"/>
        <w:right w:val="none" w:sz="0" w:space="0" w:color="auto"/>
      </w:divBdr>
    </w:div>
    <w:div w:id="1412116276">
      <w:bodyDiv w:val="1"/>
      <w:marLeft w:val="0"/>
      <w:marRight w:val="0"/>
      <w:marTop w:val="0"/>
      <w:marBottom w:val="0"/>
      <w:divBdr>
        <w:top w:val="none" w:sz="0" w:space="0" w:color="auto"/>
        <w:left w:val="none" w:sz="0" w:space="0" w:color="auto"/>
        <w:bottom w:val="none" w:sz="0" w:space="0" w:color="auto"/>
        <w:right w:val="none" w:sz="0" w:space="0" w:color="auto"/>
      </w:divBdr>
    </w:div>
    <w:div w:id="1441027199">
      <w:bodyDiv w:val="1"/>
      <w:marLeft w:val="0"/>
      <w:marRight w:val="0"/>
      <w:marTop w:val="0"/>
      <w:marBottom w:val="0"/>
      <w:divBdr>
        <w:top w:val="none" w:sz="0" w:space="0" w:color="auto"/>
        <w:left w:val="none" w:sz="0" w:space="0" w:color="auto"/>
        <w:bottom w:val="none" w:sz="0" w:space="0" w:color="auto"/>
        <w:right w:val="none" w:sz="0" w:space="0" w:color="auto"/>
      </w:divBdr>
    </w:div>
    <w:div w:id="1483428837">
      <w:bodyDiv w:val="1"/>
      <w:marLeft w:val="0"/>
      <w:marRight w:val="0"/>
      <w:marTop w:val="0"/>
      <w:marBottom w:val="0"/>
      <w:divBdr>
        <w:top w:val="none" w:sz="0" w:space="0" w:color="auto"/>
        <w:left w:val="none" w:sz="0" w:space="0" w:color="auto"/>
        <w:bottom w:val="none" w:sz="0" w:space="0" w:color="auto"/>
        <w:right w:val="none" w:sz="0" w:space="0" w:color="auto"/>
      </w:divBdr>
    </w:div>
    <w:div w:id="1488135516">
      <w:bodyDiv w:val="1"/>
      <w:marLeft w:val="0"/>
      <w:marRight w:val="0"/>
      <w:marTop w:val="0"/>
      <w:marBottom w:val="0"/>
      <w:divBdr>
        <w:top w:val="none" w:sz="0" w:space="0" w:color="auto"/>
        <w:left w:val="none" w:sz="0" w:space="0" w:color="auto"/>
        <w:bottom w:val="none" w:sz="0" w:space="0" w:color="auto"/>
        <w:right w:val="none" w:sz="0" w:space="0" w:color="auto"/>
      </w:divBdr>
    </w:div>
    <w:div w:id="1518696264">
      <w:bodyDiv w:val="1"/>
      <w:marLeft w:val="0"/>
      <w:marRight w:val="0"/>
      <w:marTop w:val="0"/>
      <w:marBottom w:val="0"/>
      <w:divBdr>
        <w:top w:val="none" w:sz="0" w:space="0" w:color="auto"/>
        <w:left w:val="none" w:sz="0" w:space="0" w:color="auto"/>
        <w:bottom w:val="none" w:sz="0" w:space="0" w:color="auto"/>
        <w:right w:val="none" w:sz="0" w:space="0" w:color="auto"/>
      </w:divBdr>
    </w:div>
    <w:div w:id="1537960854">
      <w:bodyDiv w:val="1"/>
      <w:marLeft w:val="0"/>
      <w:marRight w:val="0"/>
      <w:marTop w:val="0"/>
      <w:marBottom w:val="0"/>
      <w:divBdr>
        <w:top w:val="none" w:sz="0" w:space="0" w:color="auto"/>
        <w:left w:val="none" w:sz="0" w:space="0" w:color="auto"/>
        <w:bottom w:val="none" w:sz="0" w:space="0" w:color="auto"/>
        <w:right w:val="none" w:sz="0" w:space="0" w:color="auto"/>
      </w:divBdr>
    </w:div>
    <w:div w:id="1565025004">
      <w:bodyDiv w:val="1"/>
      <w:marLeft w:val="0"/>
      <w:marRight w:val="0"/>
      <w:marTop w:val="0"/>
      <w:marBottom w:val="0"/>
      <w:divBdr>
        <w:top w:val="none" w:sz="0" w:space="0" w:color="auto"/>
        <w:left w:val="none" w:sz="0" w:space="0" w:color="auto"/>
        <w:bottom w:val="none" w:sz="0" w:space="0" w:color="auto"/>
        <w:right w:val="none" w:sz="0" w:space="0" w:color="auto"/>
      </w:divBdr>
    </w:div>
    <w:div w:id="1566261416">
      <w:bodyDiv w:val="1"/>
      <w:marLeft w:val="0"/>
      <w:marRight w:val="0"/>
      <w:marTop w:val="0"/>
      <w:marBottom w:val="0"/>
      <w:divBdr>
        <w:top w:val="none" w:sz="0" w:space="0" w:color="auto"/>
        <w:left w:val="none" w:sz="0" w:space="0" w:color="auto"/>
        <w:bottom w:val="none" w:sz="0" w:space="0" w:color="auto"/>
        <w:right w:val="none" w:sz="0" w:space="0" w:color="auto"/>
      </w:divBdr>
    </w:div>
    <w:div w:id="1572962270">
      <w:bodyDiv w:val="1"/>
      <w:marLeft w:val="0"/>
      <w:marRight w:val="0"/>
      <w:marTop w:val="0"/>
      <w:marBottom w:val="0"/>
      <w:divBdr>
        <w:top w:val="none" w:sz="0" w:space="0" w:color="auto"/>
        <w:left w:val="none" w:sz="0" w:space="0" w:color="auto"/>
        <w:bottom w:val="none" w:sz="0" w:space="0" w:color="auto"/>
        <w:right w:val="none" w:sz="0" w:space="0" w:color="auto"/>
      </w:divBdr>
    </w:div>
    <w:div w:id="1579704198">
      <w:bodyDiv w:val="1"/>
      <w:marLeft w:val="0"/>
      <w:marRight w:val="0"/>
      <w:marTop w:val="0"/>
      <w:marBottom w:val="0"/>
      <w:divBdr>
        <w:top w:val="none" w:sz="0" w:space="0" w:color="auto"/>
        <w:left w:val="none" w:sz="0" w:space="0" w:color="auto"/>
        <w:bottom w:val="none" w:sz="0" w:space="0" w:color="auto"/>
        <w:right w:val="none" w:sz="0" w:space="0" w:color="auto"/>
      </w:divBdr>
    </w:div>
    <w:div w:id="1599437027">
      <w:bodyDiv w:val="1"/>
      <w:marLeft w:val="0"/>
      <w:marRight w:val="0"/>
      <w:marTop w:val="0"/>
      <w:marBottom w:val="0"/>
      <w:divBdr>
        <w:top w:val="none" w:sz="0" w:space="0" w:color="auto"/>
        <w:left w:val="none" w:sz="0" w:space="0" w:color="auto"/>
        <w:bottom w:val="none" w:sz="0" w:space="0" w:color="auto"/>
        <w:right w:val="none" w:sz="0" w:space="0" w:color="auto"/>
      </w:divBdr>
    </w:div>
    <w:div w:id="1620606569">
      <w:bodyDiv w:val="1"/>
      <w:marLeft w:val="0"/>
      <w:marRight w:val="0"/>
      <w:marTop w:val="0"/>
      <w:marBottom w:val="0"/>
      <w:divBdr>
        <w:top w:val="none" w:sz="0" w:space="0" w:color="auto"/>
        <w:left w:val="none" w:sz="0" w:space="0" w:color="auto"/>
        <w:bottom w:val="none" w:sz="0" w:space="0" w:color="auto"/>
        <w:right w:val="none" w:sz="0" w:space="0" w:color="auto"/>
      </w:divBdr>
    </w:div>
    <w:div w:id="1633631877">
      <w:bodyDiv w:val="1"/>
      <w:marLeft w:val="0"/>
      <w:marRight w:val="0"/>
      <w:marTop w:val="0"/>
      <w:marBottom w:val="0"/>
      <w:divBdr>
        <w:top w:val="none" w:sz="0" w:space="0" w:color="auto"/>
        <w:left w:val="none" w:sz="0" w:space="0" w:color="auto"/>
        <w:bottom w:val="none" w:sz="0" w:space="0" w:color="auto"/>
        <w:right w:val="none" w:sz="0" w:space="0" w:color="auto"/>
      </w:divBdr>
    </w:div>
    <w:div w:id="1633974795">
      <w:bodyDiv w:val="1"/>
      <w:marLeft w:val="0"/>
      <w:marRight w:val="0"/>
      <w:marTop w:val="0"/>
      <w:marBottom w:val="0"/>
      <w:divBdr>
        <w:top w:val="none" w:sz="0" w:space="0" w:color="auto"/>
        <w:left w:val="none" w:sz="0" w:space="0" w:color="auto"/>
        <w:bottom w:val="none" w:sz="0" w:space="0" w:color="auto"/>
        <w:right w:val="none" w:sz="0" w:space="0" w:color="auto"/>
      </w:divBdr>
    </w:div>
    <w:div w:id="1663195013">
      <w:bodyDiv w:val="1"/>
      <w:marLeft w:val="0"/>
      <w:marRight w:val="0"/>
      <w:marTop w:val="0"/>
      <w:marBottom w:val="0"/>
      <w:divBdr>
        <w:top w:val="none" w:sz="0" w:space="0" w:color="auto"/>
        <w:left w:val="none" w:sz="0" w:space="0" w:color="auto"/>
        <w:bottom w:val="none" w:sz="0" w:space="0" w:color="auto"/>
        <w:right w:val="none" w:sz="0" w:space="0" w:color="auto"/>
      </w:divBdr>
    </w:div>
    <w:div w:id="1752849585">
      <w:bodyDiv w:val="1"/>
      <w:marLeft w:val="0"/>
      <w:marRight w:val="0"/>
      <w:marTop w:val="0"/>
      <w:marBottom w:val="0"/>
      <w:divBdr>
        <w:top w:val="none" w:sz="0" w:space="0" w:color="auto"/>
        <w:left w:val="none" w:sz="0" w:space="0" w:color="auto"/>
        <w:bottom w:val="none" w:sz="0" w:space="0" w:color="auto"/>
        <w:right w:val="none" w:sz="0" w:space="0" w:color="auto"/>
      </w:divBdr>
    </w:div>
    <w:div w:id="1817408751">
      <w:bodyDiv w:val="1"/>
      <w:marLeft w:val="0"/>
      <w:marRight w:val="0"/>
      <w:marTop w:val="0"/>
      <w:marBottom w:val="0"/>
      <w:divBdr>
        <w:top w:val="none" w:sz="0" w:space="0" w:color="auto"/>
        <w:left w:val="none" w:sz="0" w:space="0" w:color="auto"/>
        <w:bottom w:val="none" w:sz="0" w:space="0" w:color="auto"/>
        <w:right w:val="none" w:sz="0" w:space="0" w:color="auto"/>
      </w:divBdr>
    </w:div>
    <w:div w:id="1821072680">
      <w:bodyDiv w:val="1"/>
      <w:marLeft w:val="0"/>
      <w:marRight w:val="0"/>
      <w:marTop w:val="0"/>
      <w:marBottom w:val="0"/>
      <w:divBdr>
        <w:top w:val="none" w:sz="0" w:space="0" w:color="auto"/>
        <w:left w:val="none" w:sz="0" w:space="0" w:color="auto"/>
        <w:bottom w:val="none" w:sz="0" w:space="0" w:color="auto"/>
        <w:right w:val="none" w:sz="0" w:space="0" w:color="auto"/>
      </w:divBdr>
    </w:div>
    <w:div w:id="1861579023">
      <w:bodyDiv w:val="1"/>
      <w:marLeft w:val="0"/>
      <w:marRight w:val="0"/>
      <w:marTop w:val="0"/>
      <w:marBottom w:val="0"/>
      <w:divBdr>
        <w:top w:val="none" w:sz="0" w:space="0" w:color="auto"/>
        <w:left w:val="none" w:sz="0" w:space="0" w:color="auto"/>
        <w:bottom w:val="none" w:sz="0" w:space="0" w:color="auto"/>
        <w:right w:val="none" w:sz="0" w:space="0" w:color="auto"/>
      </w:divBdr>
    </w:div>
    <w:div w:id="1876648769">
      <w:bodyDiv w:val="1"/>
      <w:marLeft w:val="0"/>
      <w:marRight w:val="0"/>
      <w:marTop w:val="0"/>
      <w:marBottom w:val="0"/>
      <w:divBdr>
        <w:top w:val="none" w:sz="0" w:space="0" w:color="auto"/>
        <w:left w:val="none" w:sz="0" w:space="0" w:color="auto"/>
        <w:bottom w:val="none" w:sz="0" w:space="0" w:color="auto"/>
        <w:right w:val="none" w:sz="0" w:space="0" w:color="auto"/>
      </w:divBdr>
    </w:div>
    <w:div w:id="1913661705">
      <w:bodyDiv w:val="1"/>
      <w:marLeft w:val="0"/>
      <w:marRight w:val="0"/>
      <w:marTop w:val="0"/>
      <w:marBottom w:val="0"/>
      <w:divBdr>
        <w:top w:val="none" w:sz="0" w:space="0" w:color="auto"/>
        <w:left w:val="none" w:sz="0" w:space="0" w:color="auto"/>
        <w:bottom w:val="none" w:sz="0" w:space="0" w:color="auto"/>
        <w:right w:val="none" w:sz="0" w:space="0" w:color="auto"/>
      </w:divBdr>
    </w:div>
    <w:div w:id="1930232133">
      <w:bodyDiv w:val="1"/>
      <w:marLeft w:val="0"/>
      <w:marRight w:val="0"/>
      <w:marTop w:val="0"/>
      <w:marBottom w:val="0"/>
      <w:divBdr>
        <w:top w:val="none" w:sz="0" w:space="0" w:color="auto"/>
        <w:left w:val="none" w:sz="0" w:space="0" w:color="auto"/>
        <w:bottom w:val="none" w:sz="0" w:space="0" w:color="auto"/>
        <w:right w:val="none" w:sz="0" w:space="0" w:color="auto"/>
      </w:divBdr>
    </w:div>
    <w:div w:id="1936553369">
      <w:bodyDiv w:val="1"/>
      <w:marLeft w:val="0"/>
      <w:marRight w:val="0"/>
      <w:marTop w:val="0"/>
      <w:marBottom w:val="0"/>
      <w:divBdr>
        <w:top w:val="none" w:sz="0" w:space="0" w:color="auto"/>
        <w:left w:val="none" w:sz="0" w:space="0" w:color="auto"/>
        <w:bottom w:val="none" w:sz="0" w:space="0" w:color="auto"/>
        <w:right w:val="none" w:sz="0" w:space="0" w:color="auto"/>
      </w:divBdr>
    </w:div>
    <w:div w:id="1945843745">
      <w:bodyDiv w:val="1"/>
      <w:marLeft w:val="0"/>
      <w:marRight w:val="0"/>
      <w:marTop w:val="0"/>
      <w:marBottom w:val="0"/>
      <w:divBdr>
        <w:top w:val="none" w:sz="0" w:space="0" w:color="auto"/>
        <w:left w:val="none" w:sz="0" w:space="0" w:color="auto"/>
        <w:bottom w:val="none" w:sz="0" w:space="0" w:color="auto"/>
        <w:right w:val="none" w:sz="0" w:space="0" w:color="auto"/>
      </w:divBdr>
    </w:div>
    <w:div w:id="1963001635">
      <w:bodyDiv w:val="1"/>
      <w:marLeft w:val="0"/>
      <w:marRight w:val="0"/>
      <w:marTop w:val="0"/>
      <w:marBottom w:val="0"/>
      <w:divBdr>
        <w:top w:val="none" w:sz="0" w:space="0" w:color="auto"/>
        <w:left w:val="none" w:sz="0" w:space="0" w:color="auto"/>
        <w:bottom w:val="none" w:sz="0" w:space="0" w:color="auto"/>
        <w:right w:val="none" w:sz="0" w:space="0" w:color="auto"/>
      </w:divBdr>
    </w:div>
    <w:div w:id="1969630345">
      <w:bodyDiv w:val="1"/>
      <w:marLeft w:val="0"/>
      <w:marRight w:val="0"/>
      <w:marTop w:val="0"/>
      <w:marBottom w:val="0"/>
      <w:divBdr>
        <w:top w:val="none" w:sz="0" w:space="0" w:color="auto"/>
        <w:left w:val="none" w:sz="0" w:space="0" w:color="auto"/>
        <w:bottom w:val="none" w:sz="0" w:space="0" w:color="auto"/>
        <w:right w:val="none" w:sz="0" w:space="0" w:color="auto"/>
      </w:divBdr>
    </w:div>
    <w:div w:id="1975985750">
      <w:bodyDiv w:val="1"/>
      <w:marLeft w:val="0"/>
      <w:marRight w:val="0"/>
      <w:marTop w:val="0"/>
      <w:marBottom w:val="0"/>
      <w:divBdr>
        <w:top w:val="none" w:sz="0" w:space="0" w:color="auto"/>
        <w:left w:val="none" w:sz="0" w:space="0" w:color="auto"/>
        <w:bottom w:val="none" w:sz="0" w:space="0" w:color="auto"/>
        <w:right w:val="none" w:sz="0" w:space="0" w:color="auto"/>
      </w:divBdr>
    </w:div>
    <w:div w:id="1987195805">
      <w:bodyDiv w:val="1"/>
      <w:marLeft w:val="0"/>
      <w:marRight w:val="0"/>
      <w:marTop w:val="0"/>
      <w:marBottom w:val="0"/>
      <w:divBdr>
        <w:top w:val="none" w:sz="0" w:space="0" w:color="auto"/>
        <w:left w:val="none" w:sz="0" w:space="0" w:color="auto"/>
        <w:bottom w:val="none" w:sz="0" w:space="0" w:color="auto"/>
        <w:right w:val="none" w:sz="0" w:space="0" w:color="auto"/>
      </w:divBdr>
    </w:div>
    <w:div w:id="2019457212">
      <w:bodyDiv w:val="1"/>
      <w:marLeft w:val="0"/>
      <w:marRight w:val="0"/>
      <w:marTop w:val="0"/>
      <w:marBottom w:val="0"/>
      <w:divBdr>
        <w:top w:val="none" w:sz="0" w:space="0" w:color="auto"/>
        <w:left w:val="none" w:sz="0" w:space="0" w:color="auto"/>
        <w:bottom w:val="none" w:sz="0" w:space="0" w:color="auto"/>
        <w:right w:val="none" w:sz="0" w:space="0" w:color="auto"/>
      </w:divBdr>
    </w:div>
    <w:div w:id="2025205103">
      <w:bodyDiv w:val="1"/>
      <w:marLeft w:val="0"/>
      <w:marRight w:val="0"/>
      <w:marTop w:val="0"/>
      <w:marBottom w:val="0"/>
      <w:divBdr>
        <w:top w:val="none" w:sz="0" w:space="0" w:color="auto"/>
        <w:left w:val="none" w:sz="0" w:space="0" w:color="auto"/>
        <w:bottom w:val="none" w:sz="0" w:space="0" w:color="auto"/>
        <w:right w:val="none" w:sz="0" w:space="0" w:color="auto"/>
      </w:divBdr>
    </w:div>
    <w:div w:id="2030448458">
      <w:bodyDiv w:val="1"/>
      <w:marLeft w:val="0"/>
      <w:marRight w:val="0"/>
      <w:marTop w:val="0"/>
      <w:marBottom w:val="0"/>
      <w:divBdr>
        <w:top w:val="none" w:sz="0" w:space="0" w:color="auto"/>
        <w:left w:val="none" w:sz="0" w:space="0" w:color="auto"/>
        <w:bottom w:val="none" w:sz="0" w:space="0" w:color="auto"/>
        <w:right w:val="none" w:sz="0" w:space="0" w:color="auto"/>
      </w:divBdr>
    </w:div>
    <w:div w:id="2040625246">
      <w:bodyDiv w:val="1"/>
      <w:marLeft w:val="0"/>
      <w:marRight w:val="0"/>
      <w:marTop w:val="0"/>
      <w:marBottom w:val="0"/>
      <w:divBdr>
        <w:top w:val="none" w:sz="0" w:space="0" w:color="auto"/>
        <w:left w:val="none" w:sz="0" w:space="0" w:color="auto"/>
        <w:bottom w:val="none" w:sz="0" w:space="0" w:color="auto"/>
        <w:right w:val="none" w:sz="0" w:space="0" w:color="auto"/>
      </w:divBdr>
    </w:div>
    <w:div w:id="2071345555">
      <w:bodyDiv w:val="1"/>
      <w:marLeft w:val="0"/>
      <w:marRight w:val="0"/>
      <w:marTop w:val="0"/>
      <w:marBottom w:val="0"/>
      <w:divBdr>
        <w:top w:val="none" w:sz="0" w:space="0" w:color="auto"/>
        <w:left w:val="none" w:sz="0" w:space="0" w:color="auto"/>
        <w:bottom w:val="none" w:sz="0" w:space="0" w:color="auto"/>
        <w:right w:val="none" w:sz="0" w:space="0" w:color="auto"/>
      </w:divBdr>
    </w:div>
    <w:div w:id="2076052256">
      <w:bodyDiv w:val="1"/>
      <w:marLeft w:val="0"/>
      <w:marRight w:val="0"/>
      <w:marTop w:val="0"/>
      <w:marBottom w:val="0"/>
      <w:divBdr>
        <w:top w:val="none" w:sz="0" w:space="0" w:color="auto"/>
        <w:left w:val="none" w:sz="0" w:space="0" w:color="auto"/>
        <w:bottom w:val="none" w:sz="0" w:space="0" w:color="auto"/>
        <w:right w:val="none" w:sz="0" w:space="0" w:color="auto"/>
      </w:divBdr>
    </w:div>
    <w:div w:id="2085057585">
      <w:bodyDiv w:val="1"/>
      <w:marLeft w:val="0"/>
      <w:marRight w:val="0"/>
      <w:marTop w:val="0"/>
      <w:marBottom w:val="0"/>
      <w:divBdr>
        <w:top w:val="none" w:sz="0" w:space="0" w:color="auto"/>
        <w:left w:val="none" w:sz="0" w:space="0" w:color="auto"/>
        <w:bottom w:val="none" w:sz="0" w:space="0" w:color="auto"/>
        <w:right w:val="none" w:sz="0" w:space="0" w:color="auto"/>
      </w:divBdr>
      <w:divsChild>
        <w:div w:id="88042557">
          <w:marLeft w:val="0"/>
          <w:marRight w:val="0"/>
          <w:marTop w:val="0"/>
          <w:marBottom w:val="0"/>
          <w:divBdr>
            <w:top w:val="none" w:sz="0" w:space="0" w:color="auto"/>
            <w:left w:val="none" w:sz="0" w:space="0" w:color="auto"/>
            <w:bottom w:val="none" w:sz="0" w:space="0" w:color="auto"/>
            <w:right w:val="none" w:sz="0" w:space="0" w:color="auto"/>
          </w:divBdr>
        </w:div>
        <w:div w:id="1982080449">
          <w:marLeft w:val="0"/>
          <w:marRight w:val="0"/>
          <w:marTop w:val="0"/>
          <w:marBottom w:val="0"/>
          <w:divBdr>
            <w:top w:val="none" w:sz="0" w:space="0" w:color="auto"/>
            <w:left w:val="none" w:sz="0" w:space="0" w:color="auto"/>
            <w:bottom w:val="none" w:sz="0" w:space="0" w:color="auto"/>
            <w:right w:val="none" w:sz="0" w:space="0" w:color="auto"/>
          </w:divBdr>
        </w:div>
      </w:divsChild>
    </w:div>
    <w:div w:id="2096048922">
      <w:bodyDiv w:val="1"/>
      <w:marLeft w:val="0"/>
      <w:marRight w:val="0"/>
      <w:marTop w:val="0"/>
      <w:marBottom w:val="0"/>
      <w:divBdr>
        <w:top w:val="none" w:sz="0" w:space="0" w:color="auto"/>
        <w:left w:val="none" w:sz="0" w:space="0" w:color="auto"/>
        <w:bottom w:val="none" w:sz="0" w:space="0" w:color="auto"/>
        <w:right w:val="none" w:sz="0" w:space="0" w:color="auto"/>
      </w:divBdr>
    </w:div>
    <w:div w:id="2109228731">
      <w:bodyDiv w:val="1"/>
      <w:marLeft w:val="0"/>
      <w:marRight w:val="0"/>
      <w:marTop w:val="0"/>
      <w:marBottom w:val="0"/>
      <w:divBdr>
        <w:top w:val="none" w:sz="0" w:space="0" w:color="auto"/>
        <w:left w:val="none" w:sz="0" w:space="0" w:color="auto"/>
        <w:bottom w:val="none" w:sz="0" w:space="0" w:color="auto"/>
        <w:right w:val="none" w:sz="0" w:space="0" w:color="auto"/>
      </w:divBdr>
    </w:div>
    <w:div w:id="2133473808">
      <w:bodyDiv w:val="1"/>
      <w:marLeft w:val="0"/>
      <w:marRight w:val="0"/>
      <w:marTop w:val="0"/>
      <w:marBottom w:val="0"/>
      <w:divBdr>
        <w:top w:val="none" w:sz="0" w:space="0" w:color="auto"/>
        <w:left w:val="none" w:sz="0" w:space="0" w:color="auto"/>
        <w:bottom w:val="none" w:sz="0" w:space="0" w:color="auto"/>
        <w:right w:val="none" w:sz="0" w:space="0" w:color="auto"/>
      </w:divBdr>
    </w:div>
    <w:div w:id="213478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B5D55A2D8054143A1BE5EB6EE74E6E3" ma:contentTypeVersion="13" ma:contentTypeDescription="Crie um novo documento." ma:contentTypeScope="" ma:versionID="fb76fb126e619ce506051b330bb80a1e">
  <xsd:schema xmlns:xsd="http://www.w3.org/2001/XMLSchema" xmlns:xs="http://www.w3.org/2001/XMLSchema" xmlns:p="http://schemas.microsoft.com/office/2006/metadata/properties" xmlns:ns2="4e09d28d-3d83-4aa8-b3e0-7caed01e0baa" xmlns:ns3="3493a934-90ba-4468-9741-6ef2173017f0" targetNamespace="http://schemas.microsoft.com/office/2006/metadata/properties" ma:root="true" ma:fieldsID="7079616e8fcf76933edf6e5e40002ebe" ns2:_="" ns3:_="">
    <xsd:import namespace="4e09d28d-3d83-4aa8-b3e0-7caed01e0baa"/>
    <xsd:import namespace="3493a934-90ba-4468-9741-6ef2173017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9d28d-3d83-4aa8-b3e0-7caed01e0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3a934-90ba-4468-9741-6ef2173017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264718-a381-40cc-8537-b49af6afdc0e}" ma:internalName="TaxCatchAll" ma:showField="CatchAllData" ma:web="3493a934-90ba-4468-9741-6ef2173017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A8659-C44F-416A-ADA8-732903456421}">
  <ds:schemaRefs>
    <ds:schemaRef ds:uri="http://schemas.openxmlformats.org/officeDocument/2006/bibliography"/>
  </ds:schemaRefs>
</ds:datastoreItem>
</file>

<file path=customXml/itemProps2.xml><?xml version="1.0" encoding="utf-8"?>
<ds:datastoreItem xmlns:ds="http://schemas.openxmlformats.org/officeDocument/2006/customXml" ds:itemID="{8AEA4AF7-F72B-4CB5-A616-395B2BBE3AEC}"/>
</file>

<file path=customXml/itemProps3.xml><?xml version="1.0" encoding="utf-8"?>
<ds:datastoreItem xmlns:ds="http://schemas.openxmlformats.org/officeDocument/2006/customXml" ds:itemID="{86DA25CE-0B28-468A-9167-953F1510E053}"/>
</file>

<file path=docProps/app.xml><?xml version="1.0" encoding="utf-8"?>
<Properties xmlns="http://schemas.openxmlformats.org/officeDocument/2006/extended-properties" xmlns:vt="http://schemas.openxmlformats.org/officeDocument/2006/docPropsVTypes">
  <Template>Normal.dotm</Template>
  <TotalTime>221</TotalTime>
  <Pages>4</Pages>
  <Words>1371</Words>
  <Characters>7404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Secretaria do Tesouro Nacional</Company>
  <LinksUpToDate>false</LinksUpToDate>
  <CharactersWithSpaces>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Aurélio Santos de Souza</dc:creator>
  <cp:lastModifiedBy>Carolina Magalhães Tenorio Brito</cp:lastModifiedBy>
  <cp:revision>18</cp:revision>
  <cp:lastPrinted>2016-04-07T18:35:00Z</cp:lastPrinted>
  <dcterms:created xsi:type="dcterms:W3CDTF">2016-04-08T15:55:00Z</dcterms:created>
  <dcterms:modified xsi:type="dcterms:W3CDTF">2018-04-04T12:47:00Z</dcterms:modified>
</cp:coreProperties>
</file>