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399" w:type="dxa"/>
        <w:tblLayout w:type="fixed"/>
        <w:tblCellMar>
          <w:top w:w="40" w:type="dxa"/>
          <w:right w:w="31" w:type="dxa"/>
        </w:tblCellMar>
        <w:tblLook w:val="04A0" w:firstRow="1" w:lastRow="0" w:firstColumn="1" w:lastColumn="0" w:noHBand="0" w:noVBand="1"/>
      </w:tblPr>
      <w:tblGrid>
        <w:gridCol w:w="9807"/>
      </w:tblGrid>
      <w:tr w:rsidR="00EF7345" w14:paraId="4B3474E5" w14:textId="77777777" w:rsidTr="56A2F433">
        <w:trPr>
          <w:trHeight w:val="338"/>
          <w:tblHeader/>
        </w:trPr>
        <w:tc>
          <w:tcPr>
            <w:tcW w:w="9807" w:type="dxa"/>
            <w:tcBorders>
              <w:top w:val="nil"/>
              <w:left w:val="nil"/>
              <w:bottom w:val="nil"/>
              <w:right w:val="nil"/>
            </w:tcBorders>
            <w:shd w:val="clear" w:color="auto" w:fill="7D96AC"/>
          </w:tcPr>
          <w:p w14:paraId="1CB3E67C" w14:textId="1C02E439" w:rsidR="00306135" w:rsidRPr="00464ABF" w:rsidRDefault="00306135" w:rsidP="002717F6">
            <w:pPr>
              <w:ind w:left="119"/>
              <w:jc w:val="center"/>
              <w:rPr>
                <w:b/>
                <w:bCs/>
                <w:color w:val="auto"/>
                <w:sz w:val="28"/>
                <w:szCs w:val="28"/>
              </w:rPr>
            </w:pPr>
            <w:r w:rsidRPr="56A2F433">
              <w:rPr>
                <w:b/>
                <w:bCs/>
                <w:color w:val="auto"/>
                <w:sz w:val="28"/>
                <w:szCs w:val="28"/>
              </w:rPr>
              <w:t>DICIONÁRIO DE DADOS DO</w:t>
            </w:r>
          </w:p>
          <w:p w14:paraId="3C9DE030" w14:textId="4140E651" w:rsidR="00306135" w:rsidRPr="00464ABF" w:rsidRDefault="00FB68A1" w:rsidP="00A37A8B">
            <w:pPr>
              <w:spacing w:after="0" w:line="259" w:lineRule="auto"/>
              <w:ind w:left="187" w:firstLine="0"/>
              <w:jc w:val="center"/>
              <w:rPr>
                <w:b/>
                <w:bCs/>
                <w:color w:val="auto"/>
                <w:sz w:val="28"/>
              </w:rPr>
            </w:pPr>
            <w:r>
              <w:rPr>
                <w:b/>
                <w:bCs/>
                <w:color w:val="auto"/>
                <w:sz w:val="28"/>
              </w:rPr>
              <w:t>PROJETO GASTOS CLIMÁTICOS</w:t>
            </w:r>
          </w:p>
          <w:p w14:paraId="0FAE73AC" w14:textId="792238A7" w:rsidR="00306135" w:rsidRPr="00464ABF" w:rsidRDefault="00306135" w:rsidP="00855060">
            <w:pPr>
              <w:spacing w:after="0" w:line="259" w:lineRule="auto"/>
              <w:ind w:left="187" w:firstLine="0"/>
              <w:jc w:val="center"/>
              <w:rPr>
                <w:b/>
                <w:bCs/>
                <w:color w:val="auto"/>
                <w:sz w:val="28"/>
              </w:rPr>
            </w:pPr>
            <w:r w:rsidRPr="00464ABF">
              <w:rPr>
                <w:b/>
                <w:bCs/>
                <w:color w:val="auto"/>
                <w:sz w:val="28"/>
              </w:rPr>
              <w:t>(</w:t>
            </w:r>
            <w:r w:rsidR="00990A17">
              <w:rPr>
                <w:b/>
                <w:bCs/>
                <w:color w:val="auto"/>
                <w:sz w:val="28"/>
              </w:rPr>
              <w:t>Exercícios de</w:t>
            </w:r>
            <w:r w:rsidR="00DB6635">
              <w:rPr>
                <w:b/>
                <w:bCs/>
                <w:color w:val="auto"/>
                <w:sz w:val="28"/>
              </w:rPr>
              <w:t xml:space="preserve"> 2010 a</w:t>
            </w:r>
            <w:r w:rsidRPr="00464ABF">
              <w:rPr>
                <w:b/>
                <w:bCs/>
                <w:color w:val="auto"/>
                <w:sz w:val="28"/>
              </w:rPr>
              <w:t xml:space="preserve"> 202</w:t>
            </w:r>
            <w:r w:rsidR="00DB6635">
              <w:rPr>
                <w:b/>
                <w:bCs/>
                <w:color w:val="auto"/>
                <w:sz w:val="28"/>
              </w:rPr>
              <w:t>3</w:t>
            </w:r>
            <w:r w:rsidRPr="00464ABF">
              <w:rPr>
                <w:b/>
                <w:bCs/>
                <w:color w:val="auto"/>
                <w:sz w:val="28"/>
              </w:rPr>
              <w:t>)</w:t>
            </w:r>
          </w:p>
          <w:p w14:paraId="34160116" w14:textId="614A14D4" w:rsidR="009C2DA9" w:rsidRPr="00306135" w:rsidRDefault="00306135" w:rsidP="00855060">
            <w:pPr>
              <w:spacing w:after="0" w:line="259" w:lineRule="auto"/>
              <w:ind w:left="187" w:firstLine="0"/>
              <w:jc w:val="center"/>
              <w:rPr>
                <w:b/>
                <w:bCs/>
                <w:color w:val="auto"/>
                <w:sz w:val="20"/>
                <w:szCs w:val="20"/>
              </w:rPr>
            </w:pPr>
            <w:r w:rsidRPr="00464ABF">
              <w:rPr>
                <w:b/>
                <w:bCs/>
                <w:color w:val="auto"/>
                <w:sz w:val="20"/>
                <w:szCs w:val="20"/>
              </w:rPr>
              <w:t xml:space="preserve">Atualizado em </w:t>
            </w:r>
            <w:r w:rsidR="001821F7">
              <w:rPr>
                <w:b/>
                <w:bCs/>
                <w:color w:val="auto"/>
                <w:sz w:val="20"/>
                <w:szCs w:val="20"/>
              </w:rPr>
              <w:t>1</w:t>
            </w:r>
            <w:r w:rsidR="00DB6635">
              <w:rPr>
                <w:b/>
                <w:bCs/>
                <w:color w:val="auto"/>
                <w:sz w:val="20"/>
                <w:szCs w:val="20"/>
              </w:rPr>
              <w:t>7</w:t>
            </w:r>
            <w:r w:rsidRPr="00464ABF">
              <w:rPr>
                <w:b/>
                <w:bCs/>
                <w:color w:val="auto"/>
                <w:sz w:val="20"/>
                <w:szCs w:val="20"/>
              </w:rPr>
              <w:t xml:space="preserve"> de </w:t>
            </w:r>
            <w:r w:rsidR="001821F7">
              <w:rPr>
                <w:b/>
                <w:bCs/>
                <w:color w:val="auto"/>
                <w:sz w:val="20"/>
                <w:szCs w:val="20"/>
              </w:rPr>
              <w:t>março</w:t>
            </w:r>
            <w:r w:rsidR="001821F7" w:rsidRPr="00464ABF">
              <w:rPr>
                <w:b/>
                <w:bCs/>
                <w:color w:val="auto"/>
                <w:sz w:val="20"/>
                <w:szCs w:val="20"/>
              </w:rPr>
              <w:t xml:space="preserve"> </w:t>
            </w:r>
            <w:r w:rsidRPr="00464ABF">
              <w:rPr>
                <w:b/>
                <w:bCs/>
                <w:color w:val="auto"/>
                <w:sz w:val="20"/>
                <w:szCs w:val="20"/>
              </w:rPr>
              <w:t>de 202</w:t>
            </w:r>
            <w:r w:rsidR="001821F7">
              <w:rPr>
                <w:b/>
                <w:bCs/>
                <w:color w:val="auto"/>
                <w:sz w:val="20"/>
                <w:szCs w:val="20"/>
              </w:rPr>
              <w:t>6</w:t>
            </w:r>
            <w:r w:rsidRPr="00464ABF">
              <w:rPr>
                <w:b/>
                <w:bCs/>
                <w:color w:val="auto"/>
                <w:sz w:val="20"/>
                <w:szCs w:val="20"/>
              </w:rPr>
              <w:t>.</w:t>
            </w:r>
          </w:p>
        </w:tc>
      </w:tr>
    </w:tbl>
    <w:sdt>
      <w:sdtPr>
        <w:rPr>
          <w:rFonts w:eastAsia="Times New Roman" w:cs="Times New Roman"/>
          <w:b w:val="0"/>
          <w:color w:val="2D3B47"/>
          <w:kern w:val="2"/>
          <w:sz w:val="19"/>
          <w:szCs w:val="22"/>
          <w14:ligatures w14:val="standardContextual"/>
        </w:rPr>
        <w:id w:val="-761613221"/>
        <w:docPartObj>
          <w:docPartGallery w:val="Table of Contents"/>
          <w:docPartUnique/>
        </w:docPartObj>
      </w:sdtPr>
      <w:sdtEndPr>
        <w:rPr>
          <w:sz w:val="22"/>
        </w:rPr>
      </w:sdtEndPr>
      <w:sdtContent>
        <w:p w14:paraId="5FFE291A" w14:textId="4366F925" w:rsidR="00933BFF" w:rsidRDefault="00933BFF" w:rsidP="00547FC5">
          <w:pPr>
            <w:pStyle w:val="CabealhodoSumrio"/>
            <w:numPr>
              <w:ilvl w:val="0"/>
              <w:numId w:val="0"/>
            </w:numPr>
            <w:ind w:left="2832"/>
          </w:pPr>
          <w:r>
            <w:t>Sumário</w:t>
          </w:r>
        </w:p>
        <w:p w14:paraId="56A87DA2" w14:textId="77777777" w:rsidR="00547FC5" w:rsidRPr="00547FC5" w:rsidRDefault="00547FC5" w:rsidP="00547FC5"/>
        <w:p w14:paraId="3892A825" w14:textId="4097237F" w:rsidR="00D36641" w:rsidRDefault="00933BFF">
          <w:pPr>
            <w:pStyle w:val="Sumrio1"/>
            <w:rPr>
              <w:rFonts w:asciiTheme="minorHAnsi" w:eastAsiaTheme="minorEastAsia" w:hAnsiTheme="minorHAnsi" w:cstheme="minorBidi"/>
              <w:noProof/>
              <w:color w:val="auto"/>
              <w:sz w:val="24"/>
              <w:szCs w:val="24"/>
            </w:rPr>
          </w:pPr>
          <w:r>
            <w:fldChar w:fldCharType="begin"/>
          </w:r>
          <w:r>
            <w:instrText xml:space="preserve"> TOC \o "1-3" \h \z \u </w:instrText>
          </w:r>
          <w:r>
            <w:fldChar w:fldCharType="separate"/>
          </w:r>
          <w:hyperlink w:anchor="_Toc224663113" w:history="1">
            <w:r w:rsidR="00D36641" w:rsidRPr="00F6687F">
              <w:rPr>
                <w:rStyle w:val="Hyperlink"/>
                <w:rFonts w:ascii="Aptos" w:hAnsi="Aptos"/>
                <w:noProof/>
              </w:rPr>
              <w:t>I.</w:t>
            </w:r>
            <w:r w:rsidR="00D36641">
              <w:rPr>
                <w:rFonts w:asciiTheme="minorHAnsi" w:eastAsiaTheme="minorEastAsia" w:hAnsiTheme="minorHAnsi" w:cstheme="minorBidi"/>
                <w:noProof/>
                <w:color w:val="auto"/>
                <w:sz w:val="24"/>
                <w:szCs w:val="24"/>
              </w:rPr>
              <w:tab/>
            </w:r>
            <w:r w:rsidR="00D36641" w:rsidRPr="00F6687F">
              <w:rPr>
                <w:rStyle w:val="Hyperlink"/>
                <w:noProof/>
              </w:rPr>
              <w:t>Introdução</w:t>
            </w:r>
            <w:r w:rsidR="00D36641">
              <w:rPr>
                <w:noProof/>
                <w:webHidden/>
              </w:rPr>
              <w:tab/>
            </w:r>
            <w:r w:rsidR="00D36641">
              <w:rPr>
                <w:noProof/>
                <w:webHidden/>
              </w:rPr>
              <w:fldChar w:fldCharType="begin"/>
            </w:r>
            <w:r w:rsidR="00D36641">
              <w:rPr>
                <w:noProof/>
                <w:webHidden/>
              </w:rPr>
              <w:instrText xml:space="preserve"> PAGEREF _Toc224663113 \h </w:instrText>
            </w:r>
            <w:r w:rsidR="00D36641">
              <w:rPr>
                <w:noProof/>
                <w:webHidden/>
              </w:rPr>
            </w:r>
            <w:r w:rsidR="00D36641">
              <w:rPr>
                <w:noProof/>
                <w:webHidden/>
              </w:rPr>
              <w:fldChar w:fldCharType="separate"/>
            </w:r>
            <w:r w:rsidR="00D36641">
              <w:rPr>
                <w:noProof/>
                <w:webHidden/>
              </w:rPr>
              <w:t>2</w:t>
            </w:r>
            <w:r w:rsidR="00D36641">
              <w:rPr>
                <w:noProof/>
                <w:webHidden/>
              </w:rPr>
              <w:fldChar w:fldCharType="end"/>
            </w:r>
          </w:hyperlink>
        </w:p>
        <w:p w14:paraId="6D4953A7" w14:textId="19FEFCE0" w:rsidR="00D36641" w:rsidRDefault="00D36641">
          <w:pPr>
            <w:pStyle w:val="Sumrio1"/>
            <w:rPr>
              <w:rFonts w:asciiTheme="minorHAnsi" w:eastAsiaTheme="minorEastAsia" w:hAnsiTheme="minorHAnsi" w:cstheme="minorBidi"/>
              <w:noProof/>
              <w:color w:val="auto"/>
              <w:sz w:val="24"/>
              <w:szCs w:val="24"/>
            </w:rPr>
          </w:pPr>
          <w:hyperlink w:anchor="_Toc224663114" w:history="1">
            <w:r w:rsidRPr="00F6687F">
              <w:rPr>
                <w:rStyle w:val="Hyperlink"/>
                <w:rFonts w:ascii="Aptos" w:hAnsi="Aptos"/>
                <w:noProof/>
              </w:rPr>
              <w:t>II.</w:t>
            </w:r>
            <w:r>
              <w:rPr>
                <w:rFonts w:asciiTheme="minorHAnsi" w:eastAsiaTheme="minorEastAsia" w:hAnsiTheme="minorHAnsi" w:cstheme="minorBidi"/>
                <w:noProof/>
                <w:color w:val="auto"/>
                <w:sz w:val="24"/>
                <w:szCs w:val="24"/>
              </w:rPr>
              <w:tab/>
            </w:r>
            <w:r w:rsidRPr="00F6687F">
              <w:rPr>
                <w:rStyle w:val="Hyperlink"/>
                <w:noProof/>
              </w:rPr>
              <w:t>Lista dos dados cadastrais das programações orçamentárias</w:t>
            </w:r>
            <w:r>
              <w:rPr>
                <w:noProof/>
                <w:webHidden/>
              </w:rPr>
              <w:tab/>
            </w:r>
            <w:r>
              <w:rPr>
                <w:noProof/>
                <w:webHidden/>
              </w:rPr>
              <w:fldChar w:fldCharType="begin"/>
            </w:r>
            <w:r>
              <w:rPr>
                <w:noProof/>
                <w:webHidden/>
              </w:rPr>
              <w:instrText xml:space="preserve"> PAGEREF _Toc224663114 \h </w:instrText>
            </w:r>
            <w:r>
              <w:rPr>
                <w:noProof/>
                <w:webHidden/>
              </w:rPr>
            </w:r>
            <w:r>
              <w:rPr>
                <w:noProof/>
                <w:webHidden/>
              </w:rPr>
              <w:fldChar w:fldCharType="separate"/>
            </w:r>
            <w:r>
              <w:rPr>
                <w:noProof/>
                <w:webHidden/>
              </w:rPr>
              <w:t>3</w:t>
            </w:r>
            <w:r>
              <w:rPr>
                <w:noProof/>
                <w:webHidden/>
              </w:rPr>
              <w:fldChar w:fldCharType="end"/>
            </w:r>
          </w:hyperlink>
        </w:p>
        <w:p w14:paraId="311B210F" w14:textId="063759AA" w:rsidR="00D36641" w:rsidRDefault="00D36641">
          <w:pPr>
            <w:pStyle w:val="Sumrio1"/>
            <w:rPr>
              <w:rFonts w:asciiTheme="minorHAnsi" w:eastAsiaTheme="minorEastAsia" w:hAnsiTheme="minorHAnsi" w:cstheme="minorBidi"/>
              <w:noProof/>
              <w:color w:val="auto"/>
              <w:sz w:val="24"/>
              <w:szCs w:val="24"/>
            </w:rPr>
          </w:pPr>
          <w:hyperlink w:anchor="_Toc224663115" w:history="1">
            <w:r w:rsidRPr="00F6687F">
              <w:rPr>
                <w:rStyle w:val="Hyperlink"/>
                <w:rFonts w:ascii="Aptos" w:hAnsi="Aptos"/>
                <w:noProof/>
              </w:rPr>
              <w:t>III.</w:t>
            </w:r>
            <w:r>
              <w:rPr>
                <w:rFonts w:asciiTheme="minorHAnsi" w:eastAsiaTheme="minorEastAsia" w:hAnsiTheme="minorHAnsi" w:cstheme="minorBidi"/>
                <w:noProof/>
                <w:color w:val="auto"/>
                <w:sz w:val="24"/>
                <w:szCs w:val="24"/>
              </w:rPr>
              <w:tab/>
            </w:r>
            <w:r w:rsidRPr="00F6687F">
              <w:rPr>
                <w:rStyle w:val="Hyperlink"/>
                <w:noProof/>
              </w:rPr>
              <w:t>Lista dos dados classificadores das despesas</w:t>
            </w:r>
            <w:r>
              <w:rPr>
                <w:noProof/>
                <w:webHidden/>
              </w:rPr>
              <w:tab/>
            </w:r>
            <w:r>
              <w:rPr>
                <w:noProof/>
                <w:webHidden/>
              </w:rPr>
              <w:fldChar w:fldCharType="begin"/>
            </w:r>
            <w:r>
              <w:rPr>
                <w:noProof/>
                <w:webHidden/>
              </w:rPr>
              <w:instrText xml:space="preserve"> PAGEREF _Toc224663115 \h </w:instrText>
            </w:r>
            <w:r>
              <w:rPr>
                <w:noProof/>
                <w:webHidden/>
              </w:rPr>
            </w:r>
            <w:r>
              <w:rPr>
                <w:noProof/>
                <w:webHidden/>
              </w:rPr>
              <w:fldChar w:fldCharType="separate"/>
            </w:r>
            <w:r>
              <w:rPr>
                <w:noProof/>
                <w:webHidden/>
              </w:rPr>
              <w:t>5</w:t>
            </w:r>
            <w:r>
              <w:rPr>
                <w:noProof/>
                <w:webHidden/>
              </w:rPr>
              <w:fldChar w:fldCharType="end"/>
            </w:r>
          </w:hyperlink>
        </w:p>
        <w:p w14:paraId="347BBAEA" w14:textId="78D00BCC" w:rsidR="00933BFF" w:rsidRDefault="00933BFF" w:rsidP="00933BFF">
          <w:pPr>
            <w:ind w:left="-1276" w:firstLine="0"/>
            <w:rPr>
              <w:b/>
              <w:bCs/>
            </w:rPr>
          </w:pPr>
          <w:r>
            <w:rPr>
              <w:b/>
              <w:bCs/>
            </w:rPr>
            <w:fldChar w:fldCharType="end"/>
          </w:r>
        </w:p>
      </w:sdtContent>
    </w:sdt>
    <w:p w14:paraId="3EC33967" w14:textId="77777777" w:rsidR="00933BFF" w:rsidRDefault="00933BFF">
      <w:pPr>
        <w:spacing w:after="160" w:line="259" w:lineRule="auto"/>
        <w:ind w:left="0" w:firstLine="0"/>
        <w:jc w:val="left"/>
        <w:rPr>
          <w:b/>
          <w:bCs/>
        </w:rPr>
      </w:pPr>
      <w:r>
        <w:rPr>
          <w:b/>
          <w:bCs/>
        </w:rPr>
        <w:br w:type="page"/>
      </w:r>
    </w:p>
    <w:p w14:paraId="4D122206" w14:textId="77777777" w:rsidR="00933BFF" w:rsidRDefault="00933BFF" w:rsidP="003C1941">
      <w:pPr>
        <w:ind w:left="-1276" w:firstLine="0"/>
      </w:pPr>
    </w:p>
    <w:p w14:paraId="5E6B01E9" w14:textId="77777777" w:rsidR="000A73FB" w:rsidRDefault="00CB2C8B" w:rsidP="000A73FB">
      <w:pPr>
        <w:pStyle w:val="Ttulo1"/>
      </w:pPr>
      <w:bookmarkStart w:id="0" w:name="_Toc224663113"/>
      <w:r>
        <w:t>Introdução</w:t>
      </w:r>
      <w:bookmarkEnd w:id="0"/>
    </w:p>
    <w:p w14:paraId="104D8B4A" w14:textId="77777777" w:rsidR="00932091" w:rsidRDefault="00932091" w:rsidP="000A73FB">
      <w:pPr>
        <w:ind w:left="-709" w:firstLine="0"/>
      </w:pPr>
    </w:p>
    <w:p w14:paraId="2663E57D" w14:textId="398B4F2D" w:rsidR="006D73E8" w:rsidRDefault="00331697" w:rsidP="006D73E8">
      <w:pPr>
        <w:ind w:left="-709" w:firstLine="709"/>
      </w:pPr>
      <w:r>
        <w:t xml:space="preserve">O Dicionário de </w:t>
      </w:r>
      <w:r w:rsidR="006E559D">
        <w:t>Dados se refere ao</w:t>
      </w:r>
      <w:r w:rsidR="00831CE6">
        <w:t>s dados abertos</w:t>
      </w:r>
      <w:r w:rsidR="008B3D0D">
        <w:t xml:space="preserve"> referente</w:t>
      </w:r>
      <w:r w:rsidR="00992BB1">
        <w:t>s</w:t>
      </w:r>
      <w:r w:rsidR="008B3D0D">
        <w:t xml:space="preserve"> </w:t>
      </w:r>
      <w:r w:rsidR="00A251F9">
        <w:t xml:space="preserve">ao período de 2010 a 2023 do projeto </w:t>
      </w:r>
      <w:r w:rsidR="00A43182" w:rsidRPr="00A43182">
        <w:t>“Classificadores do Gasto Público em Mudança Climática, Biodiversidade e Gestão de Riscos e Desastres” desenvolvido pelo Ministério do Planejamento e Orçamento (MPO) com o Banco Interamericano de Desenvolvimento (BID)</w:t>
      </w:r>
      <w:r w:rsidR="00420E98">
        <w:t xml:space="preserve">, publicado no </w:t>
      </w:r>
      <w:hyperlink r:id="rId11" w:history="1">
        <w:r w:rsidR="00420E98" w:rsidRPr="00420E98">
          <w:rPr>
            <w:rStyle w:val="Hyperlink"/>
          </w:rPr>
          <w:t>Painel Gastos Climáticos</w:t>
        </w:r>
      </w:hyperlink>
      <w:r w:rsidR="006E559D">
        <w:t>.</w:t>
      </w:r>
      <w:r w:rsidR="000D7BA6">
        <w:t xml:space="preserve"> </w:t>
      </w:r>
    </w:p>
    <w:p w14:paraId="63028FE1" w14:textId="77777777" w:rsidR="006D73E8" w:rsidRDefault="006D73E8" w:rsidP="00CA080D">
      <w:pPr>
        <w:ind w:left="-709" w:firstLine="0"/>
      </w:pPr>
    </w:p>
    <w:p w14:paraId="6DD99C28" w14:textId="5A902F1B" w:rsidR="00D83A00" w:rsidRDefault="00352165" w:rsidP="006D73E8">
      <w:pPr>
        <w:ind w:left="-709" w:firstLine="709"/>
      </w:pPr>
      <w:r>
        <w:t>E</w:t>
      </w:r>
      <w:r w:rsidR="0054661F">
        <w:t xml:space="preserve">sses dados abertos </w:t>
      </w:r>
      <w:r w:rsidR="009F565D">
        <w:t>fo</w:t>
      </w:r>
      <w:r w:rsidR="00150C9D">
        <w:t>ram</w:t>
      </w:r>
      <w:r w:rsidR="009F565D">
        <w:t xml:space="preserve"> estruturad</w:t>
      </w:r>
      <w:r w:rsidR="00EA562A">
        <w:t>os numa única p</w:t>
      </w:r>
      <w:r w:rsidR="0028306F">
        <w:t>l</w:t>
      </w:r>
      <w:r w:rsidR="00AC36C4">
        <w:t>anilha</w:t>
      </w:r>
      <w:r w:rsidR="00EA562A">
        <w:t>.</w:t>
      </w:r>
      <w:r w:rsidR="00402AD9">
        <w:t xml:space="preserve"> </w:t>
      </w:r>
      <w:r w:rsidR="00C83DA9">
        <w:t>Para fins didáticos, os</w:t>
      </w:r>
      <w:r w:rsidR="00402AD9">
        <w:t xml:space="preserve"> dados</w:t>
      </w:r>
      <w:r w:rsidR="00D32BC6">
        <w:t xml:space="preserve"> </w:t>
      </w:r>
      <w:r w:rsidR="00C83DA9">
        <w:t xml:space="preserve">foram </w:t>
      </w:r>
      <w:r w:rsidR="006E6F94">
        <w:t>distribuídos</w:t>
      </w:r>
      <w:r w:rsidR="00C83DA9">
        <w:t xml:space="preserve"> em duas listas</w:t>
      </w:r>
      <w:r w:rsidR="006E6B66">
        <w:t xml:space="preserve"> documentadas</w:t>
      </w:r>
      <w:r w:rsidR="00C83DA9">
        <w:t xml:space="preserve"> seguintes</w:t>
      </w:r>
      <w:r w:rsidR="006E6F94">
        <w:t xml:space="preserve"> </w:t>
      </w:r>
      <w:r w:rsidR="0028306F">
        <w:t xml:space="preserve">na ordem em que aparecem na </w:t>
      </w:r>
      <w:r w:rsidR="002F28FD">
        <w:t>planilha</w:t>
      </w:r>
      <w:r w:rsidR="00FD7BD8">
        <w:t xml:space="preserve">: </w:t>
      </w:r>
    </w:p>
    <w:p w14:paraId="6EFD39B3" w14:textId="032F817F" w:rsidR="00D83A00" w:rsidRDefault="002717F6" w:rsidP="00C254CD">
      <w:pPr>
        <w:pStyle w:val="PargrafodaLista"/>
        <w:numPr>
          <w:ilvl w:val="0"/>
          <w:numId w:val="15"/>
        </w:numPr>
      </w:pPr>
      <w:r>
        <w:t>P</w:t>
      </w:r>
      <w:r w:rsidR="00FD7BD8">
        <w:t>rimeiramente</w:t>
      </w:r>
      <w:r w:rsidR="00D83A00">
        <w:t>,</w:t>
      </w:r>
      <w:r w:rsidR="00A948F7">
        <w:t xml:space="preserve"> na “</w:t>
      </w:r>
      <w:r w:rsidR="00483D48" w:rsidRPr="00483D48">
        <w:t>II.</w:t>
      </w:r>
      <w:r w:rsidR="00A948F7">
        <w:t xml:space="preserve"> </w:t>
      </w:r>
      <w:r w:rsidR="00483D48" w:rsidRPr="00483D48">
        <w:t>Lista dos dados cadastrais das programações orçamentárias</w:t>
      </w:r>
      <w:r w:rsidR="00A948F7">
        <w:t xml:space="preserve">”, são descritos </w:t>
      </w:r>
      <w:r w:rsidR="00411488">
        <w:t>quinze</w:t>
      </w:r>
      <w:r w:rsidR="00FD7BD8">
        <w:t xml:space="preserve"> dados cadastrais das programações orçamentárias</w:t>
      </w:r>
      <w:r w:rsidR="00D83A00">
        <w:t xml:space="preserve">: </w:t>
      </w:r>
      <w:r w:rsidR="009F4CF7">
        <w:t>“</w:t>
      </w:r>
      <w:r w:rsidR="004539D9">
        <w:t>Ano Exercício</w:t>
      </w:r>
      <w:r w:rsidR="009F4CF7">
        <w:t>”</w:t>
      </w:r>
      <w:r w:rsidR="004539D9">
        <w:t xml:space="preserve"> até </w:t>
      </w:r>
      <w:r w:rsidR="009F4CF7">
        <w:t>“</w:t>
      </w:r>
      <w:r w:rsidR="004539D9" w:rsidRPr="00FA7EB1">
        <w:t>Ação – Descrição</w:t>
      </w:r>
      <w:r w:rsidR="009F4CF7">
        <w:t>”</w:t>
      </w:r>
      <w:r w:rsidR="00FD7BD8">
        <w:t>;</w:t>
      </w:r>
    </w:p>
    <w:p w14:paraId="03561383" w14:textId="1DA65383" w:rsidR="00C016D2" w:rsidRDefault="00FD7BD8" w:rsidP="00C254CD">
      <w:pPr>
        <w:pStyle w:val="PargrafodaLista"/>
        <w:numPr>
          <w:ilvl w:val="0"/>
          <w:numId w:val="15"/>
        </w:numPr>
      </w:pPr>
      <w:r>
        <w:t xml:space="preserve">em </w:t>
      </w:r>
      <w:r w:rsidR="00E42AAA">
        <w:t>seguida</w:t>
      </w:r>
      <w:r w:rsidR="009B5E3D">
        <w:t>,</w:t>
      </w:r>
      <w:r w:rsidR="00A948F7">
        <w:t xml:space="preserve"> na “</w:t>
      </w:r>
      <w:r w:rsidR="00101C44" w:rsidRPr="00101C44">
        <w:t>III.</w:t>
      </w:r>
      <w:r w:rsidR="00101C44">
        <w:t xml:space="preserve"> </w:t>
      </w:r>
      <w:r w:rsidR="00101C44" w:rsidRPr="00101C44">
        <w:t>Lista dos dados classificadores das despesas</w:t>
      </w:r>
      <w:r w:rsidR="00A948F7">
        <w:t>”, são descritos</w:t>
      </w:r>
      <w:r w:rsidR="009B5E3D">
        <w:t xml:space="preserve"> </w:t>
      </w:r>
      <w:r w:rsidR="004D1B37">
        <w:t xml:space="preserve">vinte e um </w:t>
      </w:r>
      <w:r>
        <w:t>dados</w:t>
      </w:r>
      <w:r w:rsidR="00B91D39">
        <w:t xml:space="preserve"> classificado</w:t>
      </w:r>
      <w:r w:rsidR="00C06C1F">
        <w:t>res das despesas</w:t>
      </w:r>
      <w:r w:rsidR="006D7E6B">
        <w:t xml:space="preserve">: </w:t>
      </w:r>
    </w:p>
    <w:p w14:paraId="4989E086" w14:textId="50878DE6" w:rsidR="00C016D2" w:rsidRDefault="00EC1617" w:rsidP="00C254CD">
      <w:pPr>
        <w:pStyle w:val="PargrafodaLista"/>
        <w:numPr>
          <w:ilvl w:val="0"/>
          <w:numId w:val="16"/>
        </w:numPr>
      </w:pPr>
      <w:r>
        <w:t>dois</w:t>
      </w:r>
      <w:r w:rsidR="006166ED">
        <w:t xml:space="preserve"> atributos</w:t>
      </w:r>
      <w:r w:rsidR="003920E8">
        <w:t xml:space="preserve"> classificadores</w:t>
      </w:r>
      <w:r w:rsidR="008F4E66">
        <w:t xml:space="preserve"> </w:t>
      </w:r>
      <w:r w:rsidR="00302C99">
        <w:t>da</w:t>
      </w:r>
      <w:r w:rsidR="00800B28">
        <w:t xml:space="preserve"> finalidade</w:t>
      </w:r>
      <w:r w:rsidR="00302C99">
        <w:t xml:space="preserve"> primária</w:t>
      </w:r>
      <w:r w:rsidR="00800B28">
        <w:t xml:space="preserve"> d</w:t>
      </w:r>
      <w:r w:rsidR="003053A9">
        <w:t>a despesa</w:t>
      </w:r>
      <w:r w:rsidR="003862ED">
        <w:t>, segundo a Matriz de Relacionamento</w:t>
      </w:r>
      <w:r w:rsidR="003920E8">
        <w:t>:</w:t>
      </w:r>
      <w:r w:rsidR="006166ED">
        <w:t xml:space="preserve"> </w:t>
      </w:r>
      <w:r w:rsidR="009F4CF7">
        <w:t>“</w:t>
      </w:r>
      <w:r w:rsidR="00690F71">
        <w:t>COFOG Ampliada</w:t>
      </w:r>
      <w:r w:rsidR="009F4CF7">
        <w:t>”</w:t>
      </w:r>
      <w:r>
        <w:t xml:space="preserve"> e</w:t>
      </w:r>
      <w:r w:rsidR="00071589">
        <w:t xml:space="preserve"> </w:t>
      </w:r>
      <w:r w:rsidR="009F4CF7">
        <w:t>“</w:t>
      </w:r>
      <w:r w:rsidR="00071589">
        <w:t xml:space="preserve">COFOG Ampliada </w:t>
      </w:r>
      <w:r w:rsidR="00071589" w:rsidRPr="00FA7EB1">
        <w:t>– Descrição</w:t>
      </w:r>
      <w:r w:rsidR="009F4CF7">
        <w:t>”</w:t>
      </w:r>
      <w:r w:rsidR="00732F2A">
        <w:t xml:space="preserve">. </w:t>
      </w:r>
      <w:r w:rsidR="00783EC7">
        <w:t>Os classificadores</w:t>
      </w:r>
      <w:r w:rsidR="00C254CD">
        <w:t>;</w:t>
      </w:r>
    </w:p>
    <w:p w14:paraId="78CD8A59" w14:textId="57196B28" w:rsidR="00C016D2" w:rsidRDefault="00BD7F7B" w:rsidP="00972A23">
      <w:pPr>
        <w:pStyle w:val="PargrafodaLista"/>
        <w:numPr>
          <w:ilvl w:val="0"/>
          <w:numId w:val="16"/>
        </w:numPr>
      </w:pPr>
      <w:r>
        <w:t xml:space="preserve">dois </w:t>
      </w:r>
      <w:r w:rsidR="006D7E6B">
        <w:t>atributos transversais que independem dos três eixos</w:t>
      </w:r>
      <w:r w:rsidR="00972A23">
        <w:t xml:space="preserve">: </w:t>
      </w:r>
      <w:r w:rsidR="009F4CF7">
        <w:t>“</w:t>
      </w:r>
      <w:r w:rsidR="00972A23">
        <w:t>Dimensão da Agenda Transversal Meio Ambiente</w:t>
      </w:r>
      <w:r w:rsidR="009F4CF7">
        <w:t>”</w:t>
      </w:r>
      <w:r w:rsidR="00972A23">
        <w:t xml:space="preserve"> e </w:t>
      </w:r>
      <w:r w:rsidR="009F4CF7">
        <w:t>“</w:t>
      </w:r>
      <w:r w:rsidR="00972A23">
        <w:t>Política Ambiental</w:t>
      </w:r>
      <w:r w:rsidR="009F4CF7">
        <w:t>”</w:t>
      </w:r>
      <w:r w:rsidR="006D7E6B">
        <w:t>;</w:t>
      </w:r>
      <w:r w:rsidR="00B91D39">
        <w:t xml:space="preserve"> </w:t>
      </w:r>
    </w:p>
    <w:p w14:paraId="6A74F49E" w14:textId="1483ABB3" w:rsidR="00C016D2" w:rsidRDefault="00C21D5A" w:rsidP="00C254CD">
      <w:pPr>
        <w:pStyle w:val="PargrafodaLista"/>
        <w:numPr>
          <w:ilvl w:val="0"/>
          <w:numId w:val="16"/>
        </w:numPr>
      </w:pPr>
      <w:r>
        <w:t xml:space="preserve">catorze </w:t>
      </w:r>
      <w:r w:rsidR="00972A23">
        <w:t>atributos</w:t>
      </w:r>
      <w:r w:rsidR="00011DE4">
        <w:t xml:space="preserve"> </w:t>
      </w:r>
      <w:r w:rsidR="00F2194C">
        <w:t>d</w:t>
      </w:r>
      <w:r w:rsidR="00327760">
        <w:t>e cada um dos três</w:t>
      </w:r>
      <w:r w:rsidR="00F2194C">
        <w:t xml:space="preserve"> eixo</w:t>
      </w:r>
      <w:r w:rsidR="00855CDF">
        <w:t xml:space="preserve">s: sete de </w:t>
      </w:r>
      <w:r w:rsidR="00F2194C">
        <w:t>Mudança Climática</w:t>
      </w:r>
      <w:r w:rsidR="00327760">
        <w:t>;</w:t>
      </w:r>
      <w:r w:rsidR="00841035">
        <w:t xml:space="preserve"> </w:t>
      </w:r>
      <w:r w:rsidR="00855CDF">
        <w:t xml:space="preserve">quatro de </w:t>
      </w:r>
      <w:r w:rsidR="00915212">
        <w:t>Biodiversidade</w:t>
      </w:r>
      <w:r w:rsidR="00327760">
        <w:t xml:space="preserve">; e </w:t>
      </w:r>
      <w:r w:rsidR="00855CDF">
        <w:t xml:space="preserve">três </w:t>
      </w:r>
      <w:r w:rsidR="00915212">
        <w:t>Gerenciamento de Riscos e Desastres</w:t>
      </w:r>
      <w:r w:rsidR="00CA080D">
        <w:t xml:space="preserve">; </w:t>
      </w:r>
    </w:p>
    <w:p w14:paraId="5F82DABA" w14:textId="7B5B8333" w:rsidR="00327760" w:rsidRDefault="3C971B59" w:rsidP="00C254CD">
      <w:pPr>
        <w:pStyle w:val="PargrafodaLista"/>
        <w:numPr>
          <w:ilvl w:val="0"/>
          <w:numId w:val="16"/>
        </w:numPr>
      </w:pPr>
      <w:r>
        <w:t>três métricas financeiras:  valor da despesa deflacionada a preços de dezembro de 2023 pelo Índice de Preço ao Consumidor Amplo (IPCA), valor da despesa original e “Ponderador”.</w:t>
      </w:r>
    </w:p>
    <w:p w14:paraId="4621DC0D" w14:textId="6F4C96C4" w:rsidR="000A73FB" w:rsidRDefault="000A73FB" w:rsidP="005C1CDC"/>
    <w:p w14:paraId="1EEC001A" w14:textId="42983BBC" w:rsidR="00B267BD" w:rsidRDefault="00B267BD">
      <w:pPr>
        <w:spacing w:after="160" w:line="259" w:lineRule="auto"/>
        <w:ind w:left="0" w:firstLine="0"/>
        <w:jc w:val="left"/>
      </w:pPr>
      <w:r>
        <w:br w:type="page"/>
      </w:r>
    </w:p>
    <w:p w14:paraId="57B7DBFF" w14:textId="3FACFAC0" w:rsidR="009E025C" w:rsidRDefault="00882F4B" w:rsidP="009E025C">
      <w:pPr>
        <w:pStyle w:val="Ttulo1"/>
      </w:pPr>
      <w:bookmarkStart w:id="1" w:name="_Toc224663114"/>
      <w:r w:rsidRPr="00C5400C">
        <w:lastRenderedPageBreak/>
        <w:t xml:space="preserve">Lista </w:t>
      </w:r>
      <w:r>
        <w:t>d</w:t>
      </w:r>
      <w:r w:rsidRPr="00C5400C">
        <w:t xml:space="preserve">os </w:t>
      </w:r>
      <w:r w:rsidR="00106210">
        <w:t>d</w:t>
      </w:r>
      <w:r w:rsidRPr="00C5400C">
        <w:t>ados</w:t>
      </w:r>
      <w:r w:rsidR="006E6B66">
        <w:t xml:space="preserve"> cadastrais das programações orçamentárias</w:t>
      </w:r>
      <w:bookmarkEnd w:id="1"/>
    </w:p>
    <w:p w14:paraId="1A17799F" w14:textId="77777777" w:rsidR="009E025C" w:rsidRPr="00933BFF" w:rsidRDefault="009E025C" w:rsidP="007A721F">
      <w:pPr>
        <w:ind w:left="1491"/>
      </w:pPr>
    </w:p>
    <w:tbl>
      <w:tblPr>
        <w:tblStyle w:val="TableGrid"/>
        <w:tblW w:w="0" w:type="auto"/>
        <w:tblInd w:w="-1399" w:type="dxa"/>
        <w:tblLayout w:type="fixed"/>
        <w:tblCellMar>
          <w:top w:w="40" w:type="dxa"/>
          <w:right w:w="31" w:type="dxa"/>
        </w:tblCellMar>
        <w:tblLook w:val="04A0" w:firstRow="1" w:lastRow="0" w:firstColumn="1" w:lastColumn="0" w:noHBand="0" w:noVBand="1"/>
      </w:tblPr>
      <w:tblGrid>
        <w:gridCol w:w="3100"/>
        <w:gridCol w:w="6707"/>
      </w:tblGrid>
      <w:tr w:rsidR="00EF0CCA" w14:paraId="4992D983" w14:textId="77777777" w:rsidTr="002354D3">
        <w:trPr>
          <w:trHeight w:val="378"/>
          <w:tblHeader/>
        </w:trPr>
        <w:tc>
          <w:tcPr>
            <w:tcW w:w="3100" w:type="dxa"/>
            <w:tcBorders>
              <w:top w:val="single" w:sz="8" w:space="0" w:color="7D96AC"/>
              <w:left w:val="nil"/>
              <w:bottom w:val="single" w:sz="8" w:space="0" w:color="7D96AC"/>
              <w:right w:val="nil"/>
            </w:tcBorders>
            <w:shd w:val="clear" w:color="auto" w:fill="D0CECE" w:themeFill="background2" w:themeFillShade="E6"/>
          </w:tcPr>
          <w:p w14:paraId="1A65C204" w14:textId="2BA08F14" w:rsidR="00724161" w:rsidRPr="00311D23" w:rsidDel="004C5976" w:rsidRDefault="00724161" w:rsidP="00D8589A">
            <w:pPr>
              <w:spacing w:after="0" w:line="259" w:lineRule="auto"/>
              <w:ind w:left="0" w:right="156" w:firstLine="0"/>
              <w:jc w:val="center"/>
              <w:rPr>
                <w:b/>
                <w:bCs/>
                <w:color w:val="auto"/>
              </w:rPr>
            </w:pPr>
            <w:r w:rsidRPr="00311D23">
              <w:rPr>
                <w:b/>
                <w:bCs/>
                <w:color w:val="auto"/>
              </w:rPr>
              <w:t>CAMPOS</w:t>
            </w:r>
            <w:r w:rsidR="00D8589A">
              <w:rPr>
                <w:b/>
                <w:bCs/>
                <w:color w:val="auto"/>
              </w:rPr>
              <w:t xml:space="preserve"> </w:t>
            </w:r>
            <w:r w:rsidRPr="00311D23">
              <w:rPr>
                <w:b/>
                <w:bCs/>
                <w:color w:val="auto"/>
              </w:rPr>
              <w:t>(</w:t>
            </w:r>
            <w:r w:rsidR="006F2E05">
              <w:rPr>
                <w:b/>
                <w:bCs/>
                <w:color w:val="auto"/>
              </w:rPr>
              <w:t>o</w:t>
            </w:r>
            <w:r w:rsidRPr="00311D23">
              <w:rPr>
                <w:b/>
                <w:bCs/>
                <w:color w:val="auto"/>
              </w:rPr>
              <w:t xml:space="preserve">rdem </w:t>
            </w:r>
            <w:r w:rsidR="00732CBB">
              <w:rPr>
                <w:b/>
                <w:bCs/>
                <w:color w:val="auto"/>
              </w:rPr>
              <w:t xml:space="preserve">da </w:t>
            </w:r>
            <w:r w:rsidR="002F28FD">
              <w:rPr>
                <w:b/>
                <w:bCs/>
                <w:color w:val="auto"/>
              </w:rPr>
              <w:t>planilha</w:t>
            </w:r>
            <w:r w:rsidRPr="00311D23">
              <w:rPr>
                <w:b/>
                <w:bCs/>
                <w:color w:val="auto"/>
              </w:rPr>
              <w:t>)</w:t>
            </w:r>
          </w:p>
        </w:tc>
        <w:tc>
          <w:tcPr>
            <w:tcW w:w="6707" w:type="dxa"/>
            <w:tcBorders>
              <w:top w:val="single" w:sz="8" w:space="0" w:color="7D96AC"/>
              <w:left w:val="nil"/>
              <w:bottom w:val="single" w:sz="8" w:space="0" w:color="7D96AC"/>
              <w:right w:val="nil"/>
            </w:tcBorders>
            <w:shd w:val="clear" w:color="auto" w:fill="D0CECE" w:themeFill="background2" w:themeFillShade="E6"/>
          </w:tcPr>
          <w:p w14:paraId="4CD0DD7B" w14:textId="2626D133" w:rsidR="00724161" w:rsidRPr="00311D23" w:rsidRDefault="00724161" w:rsidP="006D6F38">
            <w:pPr>
              <w:spacing w:after="0" w:line="259" w:lineRule="auto"/>
              <w:ind w:left="0" w:firstLine="0"/>
              <w:jc w:val="center"/>
              <w:rPr>
                <w:b/>
                <w:bCs/>
                <w:color w:val="auto"/>
              </w:rPr>
            </w:pPr>
            <w:r w:rsidRPr="00311D23">
              <w:rPr>
                <w:b/>
                <w:bCs/>
                <w:color w:val="auto"/>
              </w:rPr>
              <w:t>SIGNIFICADO</w:t>
            </w:r>
          </w:p>
        </w:tc>
      </w:tr>
      <w:tr w:rsidR="00656AAA" w14:paraId="4086EC0C" w14:textId="77777777" w:rsidTr="002354D3">
        <w:trPr>
          <w:trHeight w:val="1467"/>
        </w:trPr>
        <w:tc>
          <w:tcPr>
            <w:tcW w:w="3100" w:type="dxa"/>
            <w:tcBorders>
              <w:top w:val="single" w:sz="8" w:space="0" w:color="7D96AC"/>
              <w:left w:val="nil"/>
              <w:bottom w:val="single" w:sz="8" w:space="0" w:color="7D96AC"/>
              <w:right w:val="nil"/>
            </w:tcBorders>
          </w:tcPr>
          <w:p w14:paraId="36754F1B" w14:textId="0BB01D1D" w:rsidR="00656AAA" w:rsidRPr="002A34B8" w:rsidRDefault="00656AAA" w:rsidP="00656AAA">
            <w:pPr>
              <w:spacing w:after="0" w:line="259" w:lineRule="auto"/>
              <w:ind w:left="0" w:right="156" w:firstLine="0"/>
              <w:jc w:val="left"/>
              <w:rPr>
                <w:b/>
                <w:bCs/>
                <w:color w:val="2F5496" w:themeColor="accent1" w:themeShade="BF"/>
              </w:rPr>
            </w:pPr>
            <w:r w:rsidRPr="00FA7EB1">
              <w:t>Ano Exercício</w:t>
            </w:r>
          </w:p>
        </w:tc>
        <w:tc>
          <w:tcPr>
            <w:tcW w:w="6707" w:type="dxa"/>
            <w:tcBorders>
              <w:top w:val="single" w:sz="8" w:space="0" w:color="7D96AC"/>
              <w:left w:val="nil"/>
              <w:bottom w:val="single" w:sz="8" w:space="0" w:color="7D96AC"/>
              <w:right w:val="nil"/>
            </w:tcBorders>
          </w:tcPr>
          <w:p w14:paraId="4D689773" w14:textId="779B10DA" w:rsidR="00656AAA" w:rsidRDefault="00D45548" w:rsidP="006D6F38">
            <w:pPr>
              <w:spacing w:after="0" w:line="259" w:lineRule="auto"/>
              <w:ind w:left="0" w:firstLine="0"/>
            </w:pPr>
            <w:r>
              <w:t xml:space="preserve">O exercício financeiro é o </w:t>
            </w:r>
            <w:proofErr w:type="gramStart"/>
            <w:r>
              <w:t>período de tempo</w:t>
            </w:r>
            <w:proofErr w:type="gramEnd"/>
            <w:r>
              <w:t xml:space="preserve"> ao qual se referem a previsão das receitas e a fixação das despesas registradas na LOA. Este princípio é mencionado no </w:t>
            </w:r>
            <w:r w:rsidRPr="00B267BD">
              <w:rPr>
                <w:i/>
                <w:iCs/>
              </w:rPr>
              <w:t>caput</w:t>
            </w:r>
            <w:r>
              <w:t xml:space="preserve"> do art. 2º da Lei nº 4.320, de 1964. Segundo o art. 34 dessa lei, o exercício financeiro coincidirá com o ano civil (1º de janeiro a 31 de dezembro). Fonte: MTO 2025</w:t>
            </w:r>
            <w:r w:rsidR="00475F35">
              <w:t>.</w:t>
            </w:r>
          </w:p>
        </w:tc>
      </w:tr>
      <w:tr w:rsidR="00656AAA" w14:paraId="0DD1031A" w14:textId="77777777" w:rsidTr="002354D3">
        <w:trPr>
          <w:trHeight w:val="368"/>
        </w:trPr>
        <w:tc>
          <w:tcPr>
            <w:tcW w:w="3100" w:type="dxa"/>
            <w:tcBorders>
              <w:top w:val="single" w:sz="8" w:space="0" w:color="7D96AC"/>
              <w:left w:val="nil"/>
              <w:bottom w:val="single" w:sz="8" w:space="0" w:color="7D96AC"/>
              <w:right w:val="nil"/>
            </w:tcBorders>
          </w:tcPr>
          <w:p w14:paraId="75193226" w14:textId="4ECA5959" w:rsidR="00656AAA" w:rsidRPr="002A34B8" w:rsidRDefault="00656AAA" w:rsidP="00656AAA">
            <w:pPr>
              <w:spacing w:after="0" w:line="259" w:lineRule="auto"/>
              <w:ind w:left="0" w:right="156" w:firstLine="0"/>
              <w:jc w:val="left"/>
              <w:rPr>
                <w:b/>
                <w:bCs/>
                <w:color w:val="2F5496" w:themeColor="accent1" w:themeShade="BF"/>
              </w:rPr>
            </w:pPr>
            <w:r w:rsidRPr="00FA7EB1">
              <w:t>Esfera</w:t>
            </w:r>
          </w:p>
        </w:tc>
        <w:tc>
          <w:tcPr>
            <w:tcW w:w="6707" w:type="dxa"/>
            <w:tcBorders>
              <w:top w:val="single" w:sz="8" w:space="0" w:color="7D96AC"/>
              <w:left w:val="nil"/>
              <w:bottom w:val="single" w:sz="8" w:space="0" w:color="7D96AC"/>
              <w:right w:val="nil"/>
            </w:tcBorders>
          </w:tcPr>
          <w:p w14:paraId="62A5CDB2" w14:textId="0CF2388C" w:rsidR="00656AAA" w:rsidRDefault="00D46B7C" w:rsidP="006D6F38">
            <w:pPr>
              <w:spacing w:after="0" w:line="259" w:lineRule="auto"/>
              <w:ind w:left="0" w:firstLine="0"/>
            </w:pPr>
            <w:r>
              <w:t>Código da esfera orçamentária.</w:t>
            </w:r>
          </w:p>
        </w:tc>
      </w:tr>
      <w:tr w:rsidR="00656AAA" w14:paraId="21B0C7E9" w14:textId="77777777" w:rsidTr="002354D3">
        <w:tblPrEx>
          <w:tblCellMar>
            <w:top w:w="41" w:type="dxa"/>
            <w:right w:w="30" w:type="dxa"/>
          </w:tblCellMar>
        </w:tblPrEx>
        <w:trPr>
          <w:trHeight w:val="299"/>
        </w:trPr>
        <w:tc>
          <w:tcPr>
            <w:tcW w:w="3100" w:type="dxa"/>
            <w:tcBorders>
              <w:top w:val="single" w:sz="8" w:space="0" w:color="7D96AC"/>
              <w:left w:val="nil"/>
              <w:bottom w:val="single" w:sz="8" w:space="0" w:color="7D96AC"/>
              <w:right w:val="nil"/>
            </w:tcBorders>
          </w:tcPr>
          <w:p w14:paraId="5F18FDDA" w14:textId="7C744FDD" w:rsidR="00656AAA" w:rsidRPr="002A34B8" w:rsidRDefault="00656AAA" w:rsidP="00656AAA">
            <w:pPr>
              <w:spacing w:after="0" w:line="259" w:lineRule="auto"/>
              <w:ind w:left="0" w:right="157" w:firstLine="0"/>
              <w:jc w:val="left"/>
              <w:rPr>
                <w:b/>
                <w:bCs/>
                <w:color w:val="2F5496" w:themeColor="accent1" w:themeShade="BF"/>
              </w:rPr>
            </w:pPr>
            <w:r w:rsidRPr="00FA7EB1">
              <w:t>Esfera – Descrição</w:t>
            </w:r>
          </w:p>
        </w:tc>
        <w:tc>
          <w:tcPr>
            <w:tcW w:w="6707" w:type="dxa"/>
            <w:tcBorders>
              <w:top w:val="single" w:sz="8" w:space="0" w:color="7D96AC"/>
              <w:left w:val="nil"/>
              <w:bottom w:val="single" w:sz="8" w:space="0" w:color="7D96AC"/>
              <w:right w:val="nil"/>
            </w:tcBorders>
          </w:tcPr>
          <w:p w14:paraId="5CCF8F14" w14:textId="20A7ABBA" w:rsidR="00656AAA" w:rsidRDefault="00D46B7C" w:rsidP="006D6F38">
            <w:pPr>
              <w:spacing w:after="0" w:line="259" w:lineRule="auto"/>
              <w:ind w:left="0" w:firstLine="0"/>
            </w:pPr>
            <w:r>
              <w:t xml:space="preserve">A esfera </w:t>
            </w:r>
            <w:r w:rsidR="00F544B2">
              <w:t xml:space="preserve">orçamentária </w:t>
            </w:r>
            <w:r>
              <w:t>tem por finalidade identificar se a despesa pertence ao Orçamento Fiscal (F), da Seguridade Social (S) ou de Investimento das Empresas Estatais (I). Na LOA, o classificador de esfera é identificado com as letras “F”, “S” ou “I”. Na base de dados do SIOP, o campo destinado à esfera orçamentária é composto de dois dígitos e será associado à ação orçamentária: Orçamento Fiscal - F (código 10): referente aos Poderes da União, seus fundos, órgãos e entidades da administração direta e indireta, inclusive fundações instituídas e mantidas pelo Poder Público; Orçamento da Seguridade Social - S (código 20): abrange todas as entidades e órgãos a ela vinculados, da administração direta ou indireta, bem como os fundos e fundações instituídos e mantidos pelo Poder Público; e Orçamento de Investimento - I (código 30): orçamento das empresas em que a União, direta ou indiretamente, detenha a maioria do capital social com direito a voto. Fonte: MTO 2025.</w:t>
            </w:r>
          </w:p>
        </w:tc>
      </w:tr>
      <w:tr w:rsidR="00656AAA" w14:paraId="5D1D7BEE" w14:textId="77777777" w:rsidTr="002354D3">
        <w:trPr>
          <w:trHeight w:val="184"/>
        </w:trPr>
        <w:tc>
          <w:tcPr>
            <w:tcW w:w="3100" w:type="dxa"/>
            <w:tcBorders>
              <w:top w:val="single" w:sz="8" w:space="0" w:color="7D96AC"/>
              <w:left w:val="nil"/>
              <w:bottom w:val="single" w:sz="8" w:space="0" w:color="7D96AC"/>
              <w:right w:val="nil"/>
            </w:tcBorders>
          </w:tcPr>
          <w:p w14:paraId="550B8F01" w14:textId="57B4D448" w:rsidR="00656AAA" w:rsidRPr="002A34B8" w:rsidRDefault="00656AAA" w:rsidP="00656AAA">
            <w:pPr>
              <w:spacing w:after="0" w:line="259" w:lineRule="auto"/>
              <w:ind w:left="0" w:right="156" w:firstLine="0"/>
              <w:jc w:val="left"/>
              <w:rPr>
                <w:b/>
                <w:bCs/>
                <w:color w:val="2F5496" w:themeColor="accent1" w:themeShade="BF"/>
              </w:rPr>
            </w:pPr>
            <w:r w:rsidRPr="00FA7EB1">
              <w:t>Órgão</w:t>
            </w:r>
          </w:p>
        </w:tc>
        <w:tc>
          <w:tcPr>
            <w:tcW w:w="6707" w:type="dxa"/>
            <w:tcBorders>
              <w:top w:val="single" w:sz="8" w:space="0" w:color="7D96AC"/>
              <w:left w:val="nil"/>
              <w:bottom w:val="single" w:sz="8" w:space="0" w:color="7D96AC"/>
              <w:right w:val="nil"/>
            </w:tcBorders>
          </w:tcPr>
          <w:p w14:paraId="3779F7A0" w14:textId="3D9EFEDF" w:rsidR="00656AAA" w:rsidRPr="002C1AF1" w:rsidRDefault="002D07EF" w:rsidP="006D6F38">
            <w:pPr>
              <w:spacing w:after="0" w:line="259" w:lineRule="auto"/>
              <w:ind w:left="0" w:firstLine="0"/>
            </w:pPr>
            <w:r>
              <w:t>Código do Órgão</w:t>
            </w:r>
            <w:r w:rsidR="00F544B2">
              <w:t xml:space="preserve"> Orçamentário</w:t>
            </w:r>
            <w:r w:rsidR="00F54899">
              <w:t>.</w:t>
            </w:r>
            <w:r w:rsidR="00F544B2">
              <w:t xml:space="preserve"> </w:t>
            </w:r>
          </w:p>
        </w:tc>
      </w:tr>
      <w:tr w:rsidR="00656AAA" w14:paraId="54225170" w14:textId="77777777" w:rsidTr="002354D3">
        <w:trPr>
          <w:trHeight w:val="173"/>
        </w:trPr>
        <w:tc>
          <w:tcPr>
            <w:tcW w:w="3100" w:type="dxa"/>
            <w:tcBorders>
              <w:top w:val="single" w:sz="8" w:space="0" w:color="7D96AC"/>
              <w:left w:val="nil"/>
              <w:bottom w:val="single" w:sz="8" w:space="0" w:color="7D96AC"/>
              <w:right w:val="nil"/>
            </w:tcBorders>
          </w:tcPr>
          <w:p w14:paraId="634F6AEB" w14:textId="7DB91BF8" w:rsidR="00656AAA" w:rsidRPr="002A34B8" w:rsidRDefault="00656AAA" w:rsidP="00656AAA">
            <w:pPr>
              <w:spacing w:after="0" w:line="259" w:lineRule="auto"/>
              <w:ind w:left="0" w:right="156" w:firstLine="0"/>
              <w:jc w:val="left"/>
              <w:rPr>
                <w:b/>
                <w:bCs/>
                <w:color w:val="2F5496" w:themeColor="accent1" w:themeShade="BF"/>
              </w:rPr>
            </w:pPr>
            <w:r w:rsidRPr="00FA7EB1">
              <w:t>Órgão – Descrição</w:t>
            </w:r>
          </w:p>
        </w:tc>
        <w:tc>
          <w:tcPr>
            <w:tcW w:w="6707" w:type="dxa"/>
            <w:tcBorders>
              <w:top w:val="single" w:sz="8" w:space="0" w:color="7D96AC"/>
              <w:left w:val="nil"/>
              <w:bottom w:val="single" w:sz="8" w:space="0" w:color="7D96AC"/>
              <w:right w:val="nil"/>
            </w:tcBorders>
          </w:tcPr>
          <w:p w14:paraId="78C5B79F" w14:textId="0957BDA7" w:rsidR="00656AAA" w:rsidRPr="002C1AF1" w:rsidRDefault="00F65EE0" w:rsidP="006D6F38">
            <w:pPr>
              <w:spacing w:after="0" w:line="259" w:lineRule="auto"/>
              <w:ind w:left="0" w:firstLine="0"/>
            </w:pPr>
            <w:r>
              <w:t>A classificação institucional na União reflete as estruturas organizacional e administrativa e compreende dois níveis hierárquicos: Órgão Orçamentário e Unidade Orçamentária (UO). Órgão orçamentário é o agrupamento de UOs. O código da classificação institucional compõe-se de cinco dígitos, sendo os dois primeiros reservados à identificação do órgão orçamentário e os demais à UO. Um órgão orçamentário ou uma UO não correspondem necessariamente a uma estrutura administrativa, por exemplo, alguns fundos especiais e órgãos: Transferências a Estados, Distrito Federal e Municípios; Encargos Financeiros da União; Operações Oficiais de Crédito; Refinanciamento da Dívida Pública Mobiliária Federal; e Reserva de Contingência. Dessa forma, a classificação como órgão orçamentário não traduz a estrutura dos órgãos setoriais do Sistema de Planejamento e de Orçamento Federal. Fonte: MTO 2025.</w:t>
            </w:r>
          </w:p>
        </w:tc>
      </w:tr>
      <w:tr w:rsidR="00656AAA" w14:paraId="2B2D1396" w14:textId="77777777" w:rsidTr="002354D3">
        <w:trPr>
          <w:trHeight w:val="164"/>
        </w:trPr>
        <w:tc>
          <w:tcPr>
            <w:tcW w:w="3100" w:type="dxa"/>
            <w:tcBorders>
              <w:top w:val="single" w:sz="8" w:space="0" w:color="7D96AC"/>
              <w:left w:val="nil"/>
              <w:bottom w:val="single" w:sz="8" w:space="0" w:color="7D96AC"/>
              <w:right w:val="nil"/>
            </w:tcBorders>
          </w:tcPr>
          <w:p w14:paraId="5EF5151D" w14:textId="73E3BE24" w:rsidR="00656AAA" w:rsidRPr="002A34B8" w:rsidRDefault="00656AAA" w:rsidP="00656AAA">
            <w:pPr>
              <w:spacing w:after="0" w:line="259" w:lineRule="auto"/>
              <w:ind w:left="0" w:right="156" w:firstLine="0"/>
              <w:jc w:val="left"/>
              <w:rPr>
                <w:b/>
                <w:bCs/>
                <w:color w:val="2F5496" w:themeColor="accent1" w:themeShade="BF"/>
              </w:rPr>
            </w:pPr>
            <w:r w:rsidRPr="00FA7EB1">
              <w:t>Unidade Orçamentária</w:t>
            </w:r>
          </w:p>
        </w:tc>
        <w:tc>
          <w:tcPr>
            <w:tcW w:w="6707" w:type="dxa"/>
            <w:tcBorders>
              <w:top w:val="single" w:sz="8" w:space="0" w:color="7D96AC"/>
              <w:left w:val="nil"/>
              <w:bottom w:val="single" w:sz="8" w:space="0" w:color="7D96AC"/>
              <w:right w:val="nil"/>
            </w:tcBorders>
          </w:tcPr>
          <w:p w14:paraId="7B37EA86" w14:textId="3B420CD5" w:rsidR="00656AAA" w:rsidRPr="002C1AF1" w:rsidRDefault="00562B2A" w:rsidP="006D6F38">
            <w:pPr>
              <w:spacing w:after="0" w:line="259" w:lineRule="auto"/>
              <w:ind w:left="0" w:firstLine="0"/>
            </w:pPr>
            <w:r>
              <w:t>Código da Unidade Orçamentária.</w:t>
            </w:r>
          </w:p>
        </w:tc>
      </w:tr>
      <w:tr w:rsidR="00562B2A" w14:paraId="40D3BA37" w14:textId="77777777" w:rsidTr="002354D3">
        <w:trPr>
          <w:trHeight w:val="153"/>
        </w:trPr>
        <w:tc>
          <w:tcPr>
            <w:tcW w:w="3100" w:type="dxa"/>
            <w:tcBorders>
              <w:top w:val="single" w:sz="8" w:space="0" w:color="7D96AC"/>
              <w:left w:val="nil"/>
              <w:bottom w:val="single" w:sz="8" w:space="0" w:color="7D96AC"/>
              <w:right w:val="nil"/>
            </w:tcBorders>
          </w:tcPr>
          <w:p w14:paraId="5C772764" w14:textId="053D6339" w:rsidR="00562B2A" w:rsidRPr="002A34B8" w:rsidRDefault="00562B2A" w:rsidP="00562B2A">
            <w:pPr>
              <w:spacing w:after="0" w:line="259" w:lineRule="auto"/>
              <w:ind w:left="0" w:right="156" w:firstLine="0"/>
              <w:jc w:val="left"/>
              <w:rPr>
                <w:b/>
                <w:bCs/>
                <w:color w:val="2F5496" w:themeColor="accent1" w:themeShade="BF"/>
              </w:rPr>
            </w:pPr>
            <w:r w:rsidRPr="00FA7EB1">
              <w:t>Unidade Orçamentária -</w:t>
            </w:r>
            <w:r>
              <w:t xml:space="preserve"> </w:t>
            </w:r>
            <w:r w:rsidRPr="00FA7EB1">
              <w:t>Descrição</w:t>
            </w:r>
          </w:p>
        </w:tc>
        <w:tc>
          <w:tcPr>
            <w:tcW w:w="6707" w:type="dxa"/>
            <w:tcBorders>
              <w:top w:val="single" w:sz="8" w:space="0" w:color="7D96AC"/>
              <w:left w:val="nil"/>
              <w:bottom w:val="single" w:sz="8" w:space="0" w:color="7D96AC"/>
              <w:right w:val="nil"/>
            </w:tcBorders>
          </w:tcPr>
          <w:p w14:paraId="622F04B0" w14:textId="4EE413EB" w:rsidR="00562B2A" w:rsidRPr="002C1AF1" w:rsidRDefault="00F65EE0" w:rsidP="006D6F38">
            <w:pPr>
              <w:spacing w:after="0" w:line="259" w:lineRule="auto"/>
              <w:ind w:left="0" w:firstLine="0"/>
            </w:pPr>
            <w:r>
              <w:t>A</w:t>
            </w:r>
            <w:r w:rsidRPr="002C1AF1">
              <w:t xml:space="preserve"> classificação institucional</w:t>
            </w:r>
            <w:r>
              <w:t xml:space="preserve"> na União</w:t>
            </w:r>
            <w:r w:rsidRPr="002C1AF1">
              <w:t xml:space="preserve"> reflete</w:t>
            </w:r>
            <w:r>
              <w:t xml:space="preserve"> </w:t>
            </w:r>
            <w:r w:rsidRPr="002C1AF1">
              <w:t xml:space="preserve">as estruturas organizacional e administrativa e compreende dois níveis hierárquicos: </w:t>
            </w:r>
            <w:r>
              <w:t>Ó</w:t>
            </w:r>
            <w:r w:rsidRPr="002C1AF1">
              <w:t xml:space="preserve">rgão </w:t>
            </w:r>
            <w:r>
              <w:t>O</w:t>
            </w:r>
            <w:r w:rsidRPr="002C1AF1">
              <w:t xml:space="preserve">rçamentário e </w:t>
            </w:r>
            <w:r>
              <w:t>U</w:t>
            </w:r>
            <w:r w:rsidRPr="002C1AF1">
              <w:t xml:space="preserve">nidade </w:t>
            </w:r>
            <w:r>
              <w:t>O</w:t>
            </w:r>
            <w:r w:rsidRPr="002C1AF1">
              <w:t>rçamentária</w:t>
            </w:r>
            <w:r>
              <w:t xml:space="preserve"> (UO)</w:t>
            </w:r>
            <w:r w:rsidRPr="002C1AF1">
              <w:t>.</w:t>
            </w:r>
            <w:r>
              <w:t xml:space="preserve"> A UO fica sujeita à orientação normativa e à supervisão técnica do órgão central </w:t>
            </w:r>
            <w:proofErr w:type="gramStart"/>
            <w:r>
              <w:t>e também</w:t>
            </w:r>
            <w:proofErr w:type="gramEnd"/>
            <w:r>
              <w:t xml:space="preserve">, no que couber, do respectivo Órgão Setorial, e desempenha o papel de coordenação do processo de </w:t>
            </w:r>
            <w:r>
              <w:lastRenderedPageBreak/>
              <w:t xml:space="preserve">elaboração da proposta orçamentária no seu âmbito de atuação. </w:t>
            </w:r>
            <w:r w:rsidRPr="002C1AF1">
              <w:t>As</w:t>
            </w:r>
            <w:r>
              <w:t xml:space="preserve"> </w:t>
            </w:r>
            <w:r w:rsidRPr="002C1AF1">
              <w:t>dotações</w:t>
            </w:r>
            <w:r>
              <w:t xml:space="preserve"> </w:t>
            </w:r>
            <w:r w:rsidRPr="002C1AF1">
              <w:t>orçamentárias, especificadas por categoria de programação em seu menor nível, são consignadas às UOs, que são as responsáveis pela realização das ações. O código da classificação</w:t>
            </w:r>
            <w:r>
              <w:t xml:space="preserve"> </w:t>
            </w:r>
            <w:r w:rsidRPr="002C1AF1">
              <w:t>institucional</w:t>
            </w:r>
            <w:r>
              <w:t xml:space="preserve"> </w:t>
            </w:r>
            <w:r w:rsidRPr="002C1AF1">
              <w:t>compõe-se</w:t>
            </w:r>
            <w:r>
              <w:t xml:space="preserve"> </w:t>
            </w:r>
            <w:r w:rsidRPr="002C1AF1">
              <w:t>d</w:t>
            </w:r>
            <w:r>
              <w:t xml:space="preserve">e </w:t>
            </w:r>
            <w:r w:rsidRPr="002C1AF1">
              <w:t>cinco dígitos,</w:t>
            </w:r>
            <w:r>
              <w:t xml:space="preserve"> </w:t>
            </w:r>
            <w:r w:rsidRPr="002C1AF1">
              <w:t>sendo</w:t>
            </w:r>
            <w:r>
              <w:t xml:space="preserve"> </w:t>
            </w:r>
            <w:r w:rsidRPr="002C1AF1">
              <w:t>os</w:t>
            </w:r>
            <w:r>
              <w:t xml:space="preserve"> </w:t>
            </w:r>
            <w:r w:rsidRPr="002C1AF1">
              <w:t>dois</w:t>
            </w:r>
            <w:r>
              <w:t xml:space="preserve"> </w:t>
            </w:r>
            <w:r w:rsidRPr="002C1AF1">
              <w:t>primeiros</w:t>
            </w:r>
            <w:r>
              <w:t xml:space="preserve"> </w:t>
            </w:r>
            <w:r w:rsidRPr="002C1AF1">
              <w:t>reservados</w:t>
            </w:r>
            <w:r>
              <w:t xml:space="preserve"> </w:t>
            </w:r>
            <w:r w:rsidRPr="002C1AF1">
              <w:t xml:space="preserve">à identificação do órgão orçamentário e os demais à UO. Fonte: MTO </w:t>
            </w:r>
            <w:r>
              <w:t>2025</w:t>
            </w:r>
            <w:r w:rsidRPr="002C1AF1">
              <w:t>.</w:t>
            </w:r>
          </w:p>
        </w:tc>
      </w:tr>
      <w:tr w:rsidR="00562B2A" w14:paraId="6B835CB4" w14:textId="77777777" w:rsidTr="002354D3">
        <w:trPr>
          <w:trHeight w:val="116"/>
        </w:trPr>
        <w:tc>
          <w:tcPr>
            <w:tcW w:w="3100" w:type="dxa"/>
            <w:tcBorders>
              <w:top w:val="single" w:sz="8" w:space="0" w:color="7D96AC"/>
              <w:left w:val="nil"/>
              <w:bottom w:val="single" w:sz="8" w:space="0" w:color="7D96AC"/>
              <w:right w:val="nil"/>
            </w:tcBorders>
          </w:tcPr>
          <w:p w14:paraId="2C941A26" w14:textId="6949FDFF" w:rsidR="00562B2A" w:rsidRPr="002A34B8" w:rsidRDefault="00562B2A" w:rsidP="00562B2A">
            <w:pPr>
              <w:spacing w:after="0" w:line="259" w:lineRule="auto"/>
              <w:ind w:left="0" w:right="156" w:firstLine="0"/>
              <w:jc w:val="left"/>
              <w:rPr>
                <w:b/>
                <w:bCs/>
                <w:color w:val="2F5496" w:themeColor="accent1" w:themeShade="BF"/>
              </w:rPr>
            </w:pPr>
            <w:r w:rsidRPr="00FA7EB1">
              <w:lastRenderedPageBreak/>
              <w:t>Função</w:t>
            </w:r>
          </w:p>
        </w:tc>
        <w:tc>
          <w:tcPr>
            <w:tcW w:w="6707" w:type="dxa"/>
            <w:tcBorders>
              <w:top w:val="single" w:sz="8" w:space="0" w:color="7D96AC"/>
              <w:left w:val="nil"/>
              <w:bottom w:val="single" w:sz="8" w:space="0" w:color="7D96AC"/>
              <w:right w:val="nil"/>
            </w:tcBorders>
          </w:tcPr>
          <w:p w14:paraId="48BBE66A" w14:textId="3D4257A1" w:rsidR="00562B2A" w:rsidRPr="002C1AF1" w:rsidRDefault="00562B2A" w:rsidP="006D6F38">
            <w:pPr>
              <w:spacing w:after="0" w:line="259" w:lineRule="auto"/>
              <w:ind w:left="0" w:firstLine="0"/>
            </w:pPr>
            <w:r>
              <w:t>Código da</w:t>
            </w:r>
            <w:r w:rsidR="00722098">
              <w:t xml:space="preserve"> função orçamentária.</w:t>
            </w:r>
          </w:p>
        </w:tc>
      </w:tr>
      <w:tr w:rsidR="00562B2A" w14:paraId="4E944D4C" w14:textId="77777777" w:rsidTr="002354D3">
        <w:trPr>
          <w:trHeight w:val="205"/>
        </w:trPr>
        <w:tc>
          <w:tcPr>
            <w:tcW w:w="3100" w:type="dxa"/>
            <w:tcBorders>
              <w:top w:val="single" w:sz="8" w:space="0" w:color="7D96AC"/>
              <w:left w:val="nil"/>
              <w:bottom w:val="single" w:sz="8" w:space="0" w:color="7D96AC"/>
              <w:right w:val="nil"/>
            </w:tcBorders>
          </w:tcPr>
          <w:p w14:paraId="4E351FA5" w14:textId="21FA6BD1" w:rsidR="00562B2A" w:rsidRPr="002A34B8" w:rsidRDefault="00562B2A" w:rsidP="00562B2A">
            <w:pPr>
              <w:spacing w:after="0" w:line="259" w:lineRule="auto"/>
              <w:ind w:left="0" w:right="156" w:firstLine="0"/>
              <w:jc w:val="left"/>
              <w:rPr>
                <w:b/>
                <w:bCs/>
                <w:color w:val="2F5496" w:themeColor="accent1" w:themeShade="BF"/>
              </w:rPr>
            </w:pPr>
            <w:r w:rsidRPr="00FA7EB1">
              <w:t>Função – Descrição</w:t>
            </w:r>
          </w:p>
        </w:tc>
        <w:tc>
          <w:tcPr>
            <w:tcW w:w="6707" w:type="dxa"/>
            <w:tcBorders>
              <w:top w:val="single" w:sz="8" w:space="0" w:color="7D96AC"/>
              <w:left w:val="nil"/>
              <w:bottom w:val="single" w:sz="8" w:space="0" w:color="7D96AC"/>
              <w:right w:val="nil"/>
            </w:tcBorders>
          </w:tcPr>
          <w:p w14:paraId="670BE670" w14:textId="4457B34C" w:rsidR="00562B2A" w:rsidRDefault="00722098" w:rsidP="006D6F38">
            <w:pPr>
              <w:spacing w:after="0" w:line="259" w:lineRule="auto"/>
              <w:ind w:left="0" w:firstLine="0"/>
            </w:pPr>
            <w:r w:rsidRPr="002C1AF1">
              <w:t xml:space="preserve">É o maior nível de agregação das diversas áreas de atuação do setor público. Reflete a </w:t>
            </w:r>
            <w:r>
              <w:t>missão</w:t>
            </w:r>
            <w:r w:rsidRPr="002C1AF1">
              <w:t xml:space="preserve"> institucional do órgão, como, por exemplo, cultura, educação, saúde, defesa, que guarda relação com os respectivos Ministérios. A classificação funcional é representada por cinco dígitos, sendo os dois primeiros relativos às funções e os três últimos às subfunções. Fonte: MTO </w:t>
            </w:r>
            <w:r>
              <w:t>2025</w:t>
            </w:r>
            <w:r w:rsidRPr="002C1AF1">
              <w:t>.</w:t>
            </w:r>
          </w:p>
        </w:tc>
      </w:tr>
      <w:tr w:rsidR="00562B2A" w14:paraId="4C56620F" w14:textId="77777777" w:rsidTr="002354D3">
        <w:trPr>
          <w:trHeight w:val="182"/>
        </w:trPr>
        <w:tc>
          <w:tcPr>
            <w:tcW w:w="3100" w:type="dxa"/>
            <w:tcBorders>
              <w:top w:val="single" w:sz="8" w:space="0" w:color="7D96AC"/>
              <w:left w:val="nil"/>
              <w:bottom w:val="single" w:sz="8" w:space="0" w:color="7D96AC"/>
              <w:right w:val="nil"/>
            </w:tcBorders>
          </w:tcPr>
          <w:p w14:paraId="6AB8F419" w14:textId="6AE1A222" w:rsidR="00562B2A" w:rsidRPr="002A34B8" w:rsidRDefault="00562B2A" w:rsidP="00562B2A">
            <w:pPr>
              <w:spacing w:after="0" w:line="259" w:lineRule="auto"/>
              <w:ind w:left="0" w:right="156" w:firstLine="0"/>
              <w:jc w:val="left"/>
              <w:rPr>
                <w:b/>
                <w:bCs/>
                <w:color w:val="2F5496" w:themeColor="accent1" w:themeShade="BF"/>
              </w:rPr>
            </w:pPr>
            <w:r w:rsidRPr="00FA7EB1">
              <w:t>Subfunção</w:t>
            </w:r>
          </w:p>
        </w:tc>
        <w:tc>
          <w:tcPr>
            <w:tcW w:w="6707" w:type="dxa"/>
            <w:tcBorders>
              <w:top w:val="single" w:sz="8" w:space="0" w:color="7D96AC"/>
              <w:left w:val="nil"/>
              <w:bottom w:val="single" w:sz="8" w:space="0" w:color="7D96AC"/>
              <w:right w:val="nil"/>
            </w:tcBorders>
          </w:tcPr>
          <w:p w14:paraId="54794B9B" w14:textId="3AF42C63" w:rsidR="00562B2A" w:rsidRDefault="00722098" w:rsidP="006D6F38">
            <w:pPr>
              <w:spacing w:after="0" w:line="259" w:lineRule="auto"/>
              <w:ind w:left="0" w:firstLine="0"/>
            </w:pPr>
            <w:r>
              <w:t xml:space="preserve">Código da subfunção orçamentária. </w:t>
            </w:r>
          </w:p>
        </w:tc>
      </w:tr>
      <w:tr w:rsidR="00562B2A" w14:paraId="5FA8E511" w14:textId="77777777" w:rsidTr="002354D3">
        <w:trPr>
          <w:trHeight w:val="274"/>
        </w:trPr>
        <w:tc>
          <w:tcPr>
            <w:tcW w:w="3100" w:type="dxa"/>
            <w:tcBorders>
              <w:top w:val="single" w:sz="8" w:space="0" w:color="7D96AC"/>
              <w:left w:val="nil"/>
              <w:bottom w:val="single" w:sz="8" w:space="0" w:color="7D96AC"/>
              <w:right w:val="nil"/>
            </w:tcBorders>
          </w:tcPr>
          <w:p w14:paraId="2576E3B2" w14:textId="7C189993" w:rsidR="00562B2A" w:rsidRPr="002A34B8" w:rsidRDefault="00562B2A" w:rsidP="00562B2A">
            <w:pPr>
              <w:spacing w:after="0" w:line="259" w:lineRule="auto"/>
              <w:ind w:left="0" w:right="156" w:firstLine="0"/>
              <w:jc w:val="left"/>
              <w:rPr>
                <w:b/>
                <w:bCs/>
                <w:color w:val="2F5496" w:themeColor="accent1" w:themeShade="BF"/>
              </w:rPr>
            </w:pPr>
            <w:r w:rsidRPr="00FA7EB1">
              <w:t>Subfunção – Descrição</w:t>
            </w:r>
          </w:p>
        </w:tc>
        <w:tc>
          <w:tcPr>
            <w:tcW w:w="6707" w:type="dxa"/>
            <w:tcBorders>
              <w:top w:val="single" w:sz="8" w:space="0" w:color="7D96AC"/>
              <w:left w:val="nil"/>
              <w:bottom w:val="single" w:sz="8" w:space="0" w:color="7D96AC"/>
              <w:right w:val="nil"/>
            </w:tcBorders>
          </w:tcPr>
          <w:p w14:paraId="5D09E527" w14:textId="0F8C6DC0" w:rsidR="00562B2A" w:rsidRDefault="00AC6F20" w:rsidP="006D6F38">
            <w:pPr>
              <w:spacing w:after="0" w:line="259" w:lineRule="auto"/>
              <w:ind w:left="0" w:firstLine="0"/>
            </w:pPr>
            <w:r>
              <w:t>Representa um nível de agregação imediatamente inferior à função e deve evidenciar a natureza da atuação governamental. A classificação funcional é representada por cinco dígitos, sendo os dois primeiros relativos às funções e os três últimos às subfunções. Fonte: MTO 2025.</w:t>
            </w:r>
          </w:p>
        </w:tc>
      </w:tr>
      <w:tr w:rsidR="00562B2A" w14:paraId="795A9B5B" w14:textId="77777777" w:rsidTr="002354D3">
        <w:trPr>
          <w:trHeight w:val="219"/>
        </w:trPr>
        <w:tc>
          <w:tcPr>
            <w:tcW w:w="3100" w:type="dxa"/>
            <w:tcBorders>
              <w:top w:val="single" w:sz="8" w:space="0" w:color="7D96AC"/>
              <w:left w:val="nil"/>
              <w:bottom w:val="single" w:sz="8" w:space="0" w:color="7D96AC"/>
              <w:right w:val="nil"/>
            </w:tcBorders>
          </w:tcPr>
          <w:p w14:paraId="2A4F0D3D" w14:textId="67274F55" w:rsidR="00562B2A" w:rsidRPr="002A34B8" w:rsidRDefault="00562B2A" w:rsidP="00562B2A">
            <w:pPr>
              <w:spacing w:after="0" w:line="259" w:lineRule="auto"/>
              <w:ind w:left="0" w:right="156" w:firstLine="0"/>
              <w:jc w:val="left"/>
              <w:rPr>
                <w:b/>
                <w:bCs/>
                <w:color w:val="2F5496" w:themeColor="accent1" w:themeShade="BF"/>
              </w:rPr>
            </w:pPr>
            <w:r w:rsidRPr="00FA7EB1">
              <w:t>Programa</w:t>
            </w:r>
          </w:p>
        </w:tc>
        <w:tc>
          <w:tcPr>
            <w:tcW w:w="6707" w:type="dxa"/>
            <w:tcBorders>
              <w:top w:val="single" w:sz="8" w:space="0" w:color="7D96AC"/>
              <w:left w:val="nil"/>
              <w:bottom w:val="single" w:sz="8" w:space="0" w:color="7D96AC"/>
              <w:right w:val="nil"/>
            </w:tcBorders>
          </w:tcPr>
          <w:p w14:paraId="35BB9BF3" w14:textId="4B23FD15" w:rsidR="00562B2A" w:rsidRDefault="00562B2A" w:rsidP="006D6F38">
            <w:pPr>
              <w:spacing w:after="0" w:line="259" w:lineRule="auto"/>
              <w:ind w:left="0" w:firstLine="0"/>
            </w:pPr>
            <w:r>
              <w:t>Código do Programa</w:t>
            </w:r>
            <w:r w:rsidR="0027389F">
              <w:t xml:space="preserve"> do </w:t>
            </w:r>
            <w:r w:rsidR="001A4C4A">
              <w:t>Plano Plurianual da União (</w:t>
            </w:r>
            <w:r w:rsidR="0027389F">
              <w:t>PPA</w:t>
            </w:r>
            <w:r w:rsidR="00166F2E">
              <w:t xml:space="preserve"> </w:t>
            </w:r>
            <w:r w:rsidR="00926E1C">
              <w:t>com horizonte temporal de</w:t>
            </w:r>
            <w:r w:rsidR="00166F2E">
              <w:t xml:space="preserve"> 4 anos: PPA 200</w:t>
            </w:r>
            <w:r w:rsidR="00537004">
              <w:t>8</w:t>
            </w:r>
            <w:r w:rsidR="00166F2E">
              <w:t>-201</w:t>
            </w:r>
            <w:r w:rsidR="00537004">
              <w:t>1</w:t>
            </w:r>
            <w:r w:rsidR="00166F2E">
              <w:t>; PPA 201</w:t>
            </w:r>
            <w:r w:rsidR="00537004">
              <w:t>2</w:t>
            </w:r>
            <w:r w:rsidR="00166F2E">
              <w:t>-2015; PPA 2016-2019; PPA 2020-2023</w:t>
            </w:r>
            <w:r w:rsidR="001A4C4A">
              <w:t>)</w:t>
            </w:r>
            <w:r>
              <w:t>.</w:t>
            </w:r>
          </w:p>
        </w:tc>
      </w:tr>
      <w:tr w:rsidR="00562B2A" w14:paraId="7294EF7C" w14:textId="77777777" w:rsidTr="002354D3">
        <w:trPr>
          <w:trHeight w:val="210"/>
        </w:trPr>
        <w:tc>
          <w:tcPr>
            <w:tcW w:w="3100" w:type="dxa"/>
            <w:tcBorders>
              <w:top w:val="single" w:sz="8" w:space="0" w:color="7D96AC"/>
              <w:left w:val="nil"/>
              <w:bottom w:val="single" w:sz="8" w:space="0" w:color="7D96AC"/>
              <w:right w:val="nil"/>
            </w:tcBorders>
          </w:tcPr>
          <w:p w14:paraId="0C66017E" w14:textId="7375D670" w:rsidR="00562B2A" w:rsidRPr="002A34B8" w:rsidRDefault="00562B2A" w:rsidP="00562B2A">
            <w:pPr>
              <w:spacing w:after="0" w:line="259" w:lineRule="auto"/>
              <w:ind w:left="0" w:right="156" w:firstLine="0"/>
              <w:jc w:val="left"/>
              <w:rPr>
                <w:b/>
                <w:bCs/>
                <w:color w:val="2F5496" w:themeColor="accent1" w:themeShade="BF"/>
              </w:rPr>
            </w:pPr>
            <w:r w:rsidRPr="00FA7EB1">
              <w:t xml:space="preserve">Programa </w:t>
            </w:r>
            <w:r w:rsidR="008A4D4C">
              <w:t>–</w:t>
            </w:r>
            <w:r w:rsidRPr="00FA7EB1">
              <w:t xml:space="preserve"> Descrição</w:t>
            </w:r>
          </w:p>
        </w:tc>
        <w:tc>
          <w:tcPr>
            <w:tcW w:w="6707" w:type="dxa"/>
            <w:tcBorders>
              <w:top w:val="single" w:sz="8" w:space="0" w:color="7D96AC"/>
              <w:left w:val="nil"/>
              <w:bottom w:val="single" w:sz="8" w:space="0" w:color="7D96AC"/>
              <w:right w:val="nil"/>
            </w:tcBorders>
          </w:tcPr>
          <w:p w14:paraId="405406C8" w14:textId="2B055EDF" w:rsidR="00562B2A" w:rsidRDefault="00562B2A" w:rsidP="006D6F38">
            <w:pPr>
              <w:spacing w:after="0" w:line="259" w:lineRule="auto"/>
              <w:ind w:left="0" w:firstLine="0"/>
            </w:pPr>
            <w:r>
              <w:t xml:space="preserve">Segundo a metodologia para elaboração do PPA 2024-2027, o Programa do PPA representa o conjunto coordenado de ações governamentais financiadas por recursos orçamentários e não orçamentários visando à concretização do objetivo, devendo ser </w:t>
            </w:r>
            <w:r w:rsidRPr="002A0D81">
              <w:t>alinhado aos planos setoriais</w:t>
            </w:r>
            <w:r>
              <w:t xml:space="preserve"> (Fonte: </w:t>
            </w:r>
            <w:r w:rsidRPr="00DC6C5C">
              <w:t>Manual Técnico do Plano Plurianual 2024-2027</w:t>
            </w:r>
            <w:r>
              <w:t>). O Programa é o atributo da programação que visa integrar as áreas de Planejamento e Orçamento e é o vínculo entre LOA e PPA. O Programa é identificado por um código numérico de quatro dígitos. Fonte: MTO 2025.</w:t>
            </w:r>
          </w:p>
        </w:tc>
      </w:tr>
      <w:tr w:rsidR="00562B2A" w14:paraId="12E95999" w14:textId="77777777" w:rsidTr="002354D3">
        <w:trPr>
          <w:trHeight w:val="210"/>
        </w:trPr>
        <w:tc>
          <w:tcPr>
            <w:tcW w:w="3100" w:type="dxa"/>
            <w:tcBorders>
              <w:top w:val="single" w:sz="8" w:space="0" w:color="7D96AC"/>
              <w:left w:val="nil"/>
              <w:bottom w:val="single" w:sz="8" w:space="0" w:color="7D96AC"/>
              <w:right w:val="nil"/>
            </w:tcBorders>
          </w:tcPr>
          <w:p w14:paraId="49AEBB96" w14:textId="732A90B5" w:rsidR="00562B2A" w:rsidRPr="002A34B8" w:rsidRDefault="00562B2A" w:rsidP="00562B2A">
            <w:pPr>
              <w:spacing w:after="0" w:line="259" w:lineRule="auto"/>
              <w:ind w:left="0" w:right="156" w:firstLine="0"/>
              <w:jc w:val="left"/>
              <w:rPr>
                <w:b/>
                <w:bCs/>
                <w:color w:val="2F5496" w:themeColor="accent1" w:themeShade="BF"/>
              </w:rPr>
            </w:pPr>
            <w:r w:rsidRPr="00FA7EB1">
              <w:t>Ação</w:t>
            </w:r>
          </w:p>
        </w:tc>
        <w:tc>
          <w:tcPr>
            <w:tcW w:w="6707" w:type="dxa"/>
            <w:tcBorders>
              <w:top w:val="single" w:sz="8" w:space="0" w:color="7D96AC"/>
              <w:left w:val="nil"/>
              <w:bottom w:val="single" w:sz="8" w:space="0" w:color="7D96AC"/>
              <w:right w:val="nil"/>
            </w:tcBorders>
          </w:tcPr>
          <w:p w14:paraId="4F5F37B7" w14:textId="19F718B9" w:rsidR="00562B2A" w:rsidRDefault="00562B2A" w:rsidP="006D6F38">
            <w:pPr>
              <w:spacing w:after="0" w:line="259" w:lineRule="auto"/>
              <w:ind w:left="0" w:firstLine="0"/>
            </w:pPr>
            <w:r>
              <w:t xml:space="preserve">Código da </w:t>
            </w:r>
            <w:r w:rsidR="00AC6F20">
              <w:t>a</w:t>
            </w:r>
            <w:r>
              <w:t>ção orçamentária.</w:t>
            </w:r>
          </w:p>
        </w:tc>
      </w:tr>
      <w:tr w:rsidR="00562B2A" w14:paraId="7F2CEAD6" w14:textId="77777777" w:rsidTr="00AA74B0">
        <w:tblPrEx>
          <w:tblCellMar>
            <w:top w:w="41" w:type="dxa"/>
            <w:right w:w="30" w:type="dxa"/>
          </w:tblCellMar>
        </w:tblPrEx>
        <w:trPr>
          <w:trHeight w:val="2516"/>
        </w:trPr>
        <w:tc>
          <w:tcPr>
            <w:tcW w:w="3100" w:type="dxa"/>
            <w:tcBorders>
              <w:top w:val="single" w:sz="8" w:space="0" w:color="7D96AC"/>
              <w:left w:val="nil"/>
              <w:bottom w:val="single" w:sz="8" w:space="0" w:color="7D96AC"/>
              <w:right w:val="nil"/>
            </w:tcBorders>
          </w:tcPr>
          <w:p w14:paraId="3D6C332D" w14:textId="354AE510" w:rsidR="00562B2A" w:rsidRPr="002A34B8" w:rsidRDefault="00562B2A" w:rsidP="00562B2A">
            <w:pPr>
              <w:spacing w:after="0" w:line="259" w:lineRule="auto"/>
              <w:ind w:left="0" w:right="157" w:firstLine="0"/>
              <w:jc w:val="left"/>
              <w:rPr>
                <w:b/>
                <w:bCs/>
                <w:color w:val="2F5496" w:themeColor="accent1" w:themeShade="BF"/>
              </w:rPr>
            </w:pPr>
            <w:r w:rsidRPr="00FA7EB1">
              <w:t>Ação – Descrição</w:t>
            </w:r>
          </w:p>
        </w:tc>
        <w:tc>
          <w:tcPr>
            <w:tcW w:w="6707" w:type="dxa"/>
            <w:tcBorders>
              <w:top w:val="single" w:sz="8" w:space="0" w:color="7D96AC"/>
              <w:left w:val="nil"/>
              <w:bottom w:val="single" w:sz="8" w:space="0" w:color="7D96AC"/>
              <w:right w:val="nil"/>
            </w:tcBorders>
          </w:tcPr>
          <w:p w14:paraId="7AF409E7" w14:textId="2A9FCB68" w:rsidR="00562B2A" w:rsidRDefault="00562B2A" w:rsidP="006D6F38">
            <w:pPr>
              <w:spacing w:after="0" w:line="259" w:lineRule="auto"/>
              <w:ind w:left="0" w:firstLine="0"/>
            </w:pPr>
            <w:r>
              <w:t>C</w:t>
            </w:r>
            <w:r w:rsidRPr="00A86294">
              <w:t>onjunto de operações das quais</w:t>
            </w:r>
            <w:r>
              <w:t xml:space="preserve"> resultam produtos (bens ou serviços) para a sociedade ou para o Estado, que contribuem para atender ao objetivo de um programa. Incluem-se também no conceito de ação as transferências obrigatórias ou voluntárias a outros entes da Federação e a pessoas físicas e jurídicas, na forma de subsídios, subvenções, auxílios, contribuições, entre outros, os financiamentos e as reservas de contingência. A ação é identificada por um código alfanumérico de quatro dígitos. Ao observar o 1º dígito do código, pode-se identificar: 1, 3, 5 ou 7 para projetos; 2, 4, 6 ou 8 para atividades; e 0 para operação especial. Fonte: MTO 2025.</w:t>
            </w:r>
          </w:p>
        </w:tc>
      </w:tr>
    </w:tbl>
    <w:p w14:paraId="02D7451C" w14:textId="77777777" w:rsidR="00A1441F" w:rsidRDefault="00A1441F"/>
    <w:p w14:paraId="0EF911D2" w14:textId="77777777" w:rsidR="00AA74B0" w:rsidRDefault="00AA74B0"/>
    <w:p w14:paraId="373FB0A9" w14:textId="77777777" w:rsidR="002D19A7" w:rsidRDefault="002D19A7"/>
    <w:p w14:paraId="59C9CA80" w14:textId="77777777" w:rsidR="002D19A7" w:rsidRDefault="002D19A7"/>
    <w:p w14:paraId="63432C88" w14:textId="56DDB953" w:rsidR="002D19A7" w:rsidRDefault="002D19A7" w:rsidP="002D19A7">
      <w:pPr>
        <w:pStyle w:val="Ttulo1"/>
      </w:pPr>
      <w:bookmarkStart w:id="2" w:name="_Toc224663115"/>
      <w:r w:rsidRPr="00C5400C">
        <w:lastRenderedPageBreak/>
        <w:t xml:space="preserve">Lista </w:t>
      </w:r>
      <w:r>
        <w:t>d</w:t>
      </w:r>
      <w:r w:rsidRPr="00C5400C">
        <w:t xml:space="preserve">os </w:t>
      </w:r>
      <w:r>
        <w:t>d</w:t>
      </w:r>
      <w:r w:rsidRPr="00C5400C">
        <w:t>ados</w:t>
      </w:r>
      <w:r>
        <w:t xml:space="preserve"> classificadores das despesas</w:t>
      </w:r>
      <w:bookmarkEnd w:id="2"/>
    </w:p>
    <w:p w14:paraId="68B783AB" w14:textId="77777777" w:rsidR="002D19A7" w:rsidRDefault="002D19A7"/>
    <w:tbl>
      <w:tblPr>
        <w:tblStyle w:val="TableGrid"/>
        <w:tblW w:w="0" w:type="auto"/>
        <w:tblInd w:w="-1399" w:type="dxa"/>
        <w:tblLayout w:type="fixed"/>
        <w:tblLook w:val="04A0" w:firstRow="1" w:lastRow="0" w:firstColumn="1" w:lastColumn="0" w:noHBand="0" w:noVBand="1"/>
      </w:tblPr>
      <w:tblGrid>
        <w:gridCol w:w="3100"/>
        <w:gridCol w:w="6707"/>
      </w:tblGrid>
      <w:tr w:rsidR="00AA74B0" w14:paraId="228524AF" w14:textId="77777777" w:rsidTr="002D19A7">
        <w:trPr>
          <w:trHeight w:val="378"/>
          <w:tblHeader/>
        </w:trPr>
        <w:tc>
          <w:tcPr>
            <w:tcW w:w="3100" w:type="dxa"/>
            <w:tcBorders>
              <w:bottom w:val="single" w:sz="8" w:space="0" w:color="7D96AC"/>
            </w:tcBorders>
            <w:shd w:val="clear" w:color="auto" w:fill="D0CECE" w:themeFill="background2" w:themeFillShade="E6"/>
          </w:tcPr>
          <w:p w14:paraId="714755D4" w14:textId="6CBFFF0C" w:rsidR="00AA74B0" w:rsidRPr="00311D23" w:rsidDel="004C5976" w:rsidRDefault="00AA74B0" w:rsidP="00845AD7">
            <w:pPr>
              <w:spacing w:after="0" w:line="259" w:lineRule="auto"/>
              <w:ind w:left="0" w:right="156" w:firstLine="0"/>
              <w:jc w:val="center"/>
              <w:rPr>
                <w:b/>
                <w:bCs/>
                <w:color w:val="auto"/>
              </w:rPr>
            </w:pPr>
            <w:r w:rsidRPr="00311D23">
              <w:rPr>
                <w:b/>
                <w:bCs/>
                <w:color w:val="auto"/>
              </w:rPr>
              <w:t>CAMPOS</w:t>
            </w:r>
            <w:r>
              <w:rPr>
                <w:b/>
                <w:bCs/>
                <w:color w:val="auto"/>
              </w:rPr>
              <w:t xml:space="preserve"> </w:t>
            </w:r>
            <w:r w:rsidRPr="00311D23">
              <w:rPr>
                <w:b/>
                <w:bCs/>
                <w:color w:val="auto"/>
              </w:rPr>
              <w:t>(</w:t>
            </w:r>
            <w:r>
              <w:rPr>
                <w:b/>
                <w:bCs/>
                <w:color w:val="auto"/>
              </w:rPr>
              <w:t>o</w:t>
            </w:r>
            <w:r w:rsidRPr="00311D23">
              <w:rPr>
                <w:b/>
                <w:bCs/>
                <w:color w:val="auto"/>
              </w:rPr>
              <w:t xml:space="preserve">rdem </w:t>
            </w:r>
            <w:r>
              <w:rPr>
                <w:b/>
                <w:bCs/>
                <w:color w:val="auto"/>
              </w:rPr>
              <w:t>da planilha</w:t>
            </w:r>
            <w:r w:rsidRPr="00311D23">
              <w:rPr>
                <w:b/>
                <w:bCs/>
                <w:color w:val="auto"/>
              </w:rPr>
              <w:t>)</w:t>
            </w:r>
          </w:p>
        </w:tc>
        <w:tc>
          <w:tcPr>
            <w:tcW w:w="6707" w:type="dxa"/>
            <w:tcBorders>
              <w:bottom w:val="single" w:sz="8" w:space="0" w:color="7D96AC"/>
            </w:tcBorders>
            <w:shd w:val="clear" w:color="auto" w:fill="D0CECE" w:themeFill="background2" w:themeFillShade="E6"/>
          </w:tcPr>
          <w:p w14:paraId="58B49356" w14:textId="77777777" w:rsidR="00AA74B0" w:rsidRPr="00311D23" w:rsidRDefault="00AA74B0" w:rsidP="00845AD7">
            <w:pPr>
              <w:spacing w:after="0" w:line="259" w:lineRule="auto"/>
              <w:ind w:left="0" w:firstLine="0"/>
              <w:jc w:val="center"/>
              <w:rPr>
                <w:b/>
                <w:bCs/>
                <w:color w:val="auto"/>
              </w:rPr>
            </w:pPr>
            <w:r w:rsidRPr="00311D23">
              <w:rPr>
                <w:b/>
                <w:bCs/>
                <w:color w:val="auto"/>
              </w:rPr>
              <w:t>SIGNIFICADO</w:t>
            </w:r>
          </w:p>
        </w:tc>
      </w:tr>
      <w:tr w:rsidR="00562B2A" w14:paraId="62EC63A4" w14:textId="77777777" w:rsidTr="002D19A7">
        <w:tblPrEx>
          <w:tblCellMar>
            <w:top w:w="41" w:type="dxa"/>
            <w:right w:w="30" w:type="dxa"/>
          </w:tblCellMar>
        </w:tblPrEx>
        <w:trPr>
          <w:trHeight w:val="388"/>
        </w:trPr>
        <w:tc>
          <w:tcPr>
            <w:tcW w:w="3100" w:type="dxa"/>
            <w:tcBorders>
              <w:top w:val="single" w:sz="8" w:space="0" w:color="7D96AC"/>
              <w:left w:val="nil"/>
              <w:bottom w:val="single" w:sz="8" w:space="0" w:color="7D96AC"/>
              <w:right w:val="nil"/>
            </w:tcBorders>
          </w:tcPr>
          <w:p w14:paraId="7E53C52D" w14:textId="305BAEAE" w:rsidR="00562B2A" w:rsidRPr="002A34B8" w:rsidRDefault="00562B2A" w:rsidP="00562B2A">
            <w:pPr>
              <w:spacing w:after="0" w:line="259" w:lineRule="auto"/>
              <w:ind w:left="0" w:right="156" w:firstLine="0"/>
              <w:jc w:val="left"/>
              <w:rPr>
                <w:b/>
                <w:bCs/>
                <w:color w:val="2F5496" w:themeColor="accent1" w:themeShade="BF"/>
              </w:rPr>
            </w:pPr>
            <w:r w:rsidRPr="00FA7EB1">
              <w:t>COFOG Ampliada</w:t>
            </w:r>
          </w:p>
        </w:tc>
        <w:tc>
          <w:tcPr>
            <w:tcW w:w="6707" w:type="dxa"/>
            <w:tcBorders>
              <w:top w:val="single" w:sz="8" w:space="0" w:color="7D96AC"/>
              <w:left w:val="nil"/>
              <w:bottom w:val="single" w:sz="8" w:space="0" w:color="7D96AC"/>
              <w:right w:val="nil"/>
            </w:tcBorders>
          </w:tcPr>
          <w:p w14:paraId="6EC050E5" w14:textId="00C539C9" w:rsidR="00562B2A" w:rsidRDefault="00C85AED" w:rsidP="006D6F38">
            <w:pPr>
              <w:spacing w:after="0" w:line="259" w:lineRule="auto"/>
              <w:ind w:left="0" w:firstLine="0"/>
            </w:pPr>
            <w:r>
              <w:t>Código da COFOG Ampliada</w:t>
            </w:r>
            <w:r w:rsidR="000B3268">
              <w:t xml:space="preserve"> </w:t>
            </w:r>
            <w:r w:rsidR="00EC1D47">
              <w:t xml:space="preserve">que representam </w:t>
            </w:r>
            <w:r w:rsidR="002A096A">
              <w:t>funções,</w:t>
            </w:r>
            <w:r w:rsidR="000B3268">
              <w:t xml:space="preserve"> subfunções, classes e subclasses</w:t>
            </w:r>
            <w:r w:rsidR="003541B4">
              <w:t xml:space="preserve"> da Matriz de Relacionamento</w:t>
            </w:r>
            <w:r w:rsidR="00C00CDC">
              <w:t>. A</w:t>
            </w:r>
            <w:r w:rsidR="003541B4">
              <w:t>queles</w:t>
            </w:r>
            <w:r w:rsidR="00C00CDC">
              <w:t xml:space="preserve"> classificadores</w:t>
            </w:r>
            <w:r w:rsidR="003541B4">
              <w:t xml:space="preserve"> que </w:t>
            </w:r>
            <w:r w:rsidR="00C00CDC">
              <w:t>possuem</w:t>
            </w:r>
            <w:r w:rsidR="003541B4">
              <w:t xml:space="preserve"> propósito principal </w:t>
            </w:r>
            <w:r w:rsidR="00C00CDC">
              <w:t>em um</w:t>
            </w:r>
            <w:r w:rsidR="003541B4">
              <w:t xml:space="preserve"> dos três eixos “Mudança Climática”, “</w:t>
            </w:r>
            <w:r w:rsidR="00C00CDC">
              <w:t>Biodiversidade</w:t>
            </w:r>
            <w:r w:rsidR="003541B4">
              <w:t>”</w:t>
            </w:r>
            <w:r w:rsidR="00C00CDC">
              <w:t xml:space="preserve"> e “Gerenciamento de Riscos e Desastres” estão</w:t>
            </w:r>
            <w:r w:rsidR="000B3268">
              <w:t xml:space="preserve"> descritos</w:t>
            </w:r>
            <w:r w:rsidR="00880482">
              <w:t xml:space="preserve"> respectivamente</w:t>
            </w:r>
            <w:r w:rsidR="000B3268">
              <w:t xml:space="preserve"> no</w:t>
            </w:r>
            <w:r w:rsidR="00EC1D47">
              <w:t>s</w:t>
            </w:r>
            <w:r w:rsidR="000B3268">
              <w:t xml:space="preserve"> Quadro </w:t>
            </w:r>
            <w:r w:rsidR="003323B2">
              <w:t>9, 10 e 11</w:t>
            </w:r>
            <w:r w:rsidR="000B3268">
              <w:t xml:space="preserve"> do </w:t>
            </w:r>
            <w:hyperlink r:id="rId12" w:history="1">
              <w:r w:rsidR="000B3268" w:rsidRPr="00697A57">
                <w:rPr>
                  <w:rStyle w:val="Hyperlink"/>
                </w:rPr>
                <w:t>Relatório Final do Projeto Classificadores do Gasto Público em Mudança do Clima, Biodiversidade e Gestão de Riscos e Desastres</w:t>
              </w:r>
            </w:hyperlink>
            <w:r>
              <w:t>.</w:t>
            </w:r>
            <w:r w:rsidR="00880482">
              <w:t xml:space="preserve"> Acesso em</w:t>
            </w:r>
            <w:r w:rsidR="008F4C34">
              <w:t>:</w:t>
            </w:r>
            <w:r w:rsidR="00880482">
              <w:t xml:space="preserve"> 17</w:t>
            </w:r>
            <w:r w:rsidR="001F434A">
              <w:t xml:space="preserve"> mar. 2026.</w:t>
            </w:r>
          </w:p>
        </w:tc>
      </w:tr>
      <w:tr w:rsidR="007A3CB9" w14:paraId="3615CC3A" w14:textId="77777777" w:rsidTr="00AA74B0">
        <w:tblPrEx>
          <w:tblCellMar>
            <w:top w:w="40" w:type="dxa"/>
            <w:right w:w="31" w:type="dxa"/>
          </w:tblCellMar>
        </w:tblPrEx>
        <w:trPr>
          <w:trHeight w:val="370"/>
        </w:trPr>
        <w:tc>
          <w:tcPr>
            <w:tcW w:w="3100" w:type="dxa"/>
            <w:tcBorders>
              <w:top w:val="single" w:sz="8" w:space="0" w:color="7D96AC"/>
              <w:bottom w:val="single" w:sz="8" w:space="0" w:color="7D96AC"/>
            </w:tcBorders>
            <w:shd w:val="clear" w:color="auto" w:fill="FFFFFF" w:themeFill="background1"/>
          </w:tcPr>
          <w:p w14:paraId="709B8B97" w14:textId="77777777" w:rsidR="007A3CB9" w:rsidRPr="0022015D" w:rsidRDefault="007A3CB9" w:rsidP="00AB12E3">
            <w:pPr>
              <w:spacing w:after="0" w:line="259" w:lineRule="auto"/>
              <w:ind w:left="0" w:right="156" w:firstLine="0"/>
              <w:jc w:val="left"/>
              <w:rPr>
                <w:b/>
                <w:bCs/>
                <w:color w:val="2F5496" w:themeColor="accent1" w:themeShade="BF"/>
              </w:rPr>
            </w:pPr>
            <w:r w:rsidRPr="00FA7EB1">
              <w:t>Descrição COFOG Ampliada</w:t>
            </w:r>
          </w:p>
        </w:tc>
        <w:tc>
          <w:tcPr>
            <w:tcW w:w="6707" w:type="dxa"/>
            <w:tcBorders>
              <w:top w:val="single" w:sz="8" w:space="0" w:color="7D96AC"/>
              <w:bottom w:val="single" w:sz="8" w:space="0" w:color="7D96AC"/>
            </w:tcBorders>
            <w:shd w:val="clear" w:color="auto" w:fill="FFFFFF" w:themeFill="background1"/>
            <w:vAlign w:val="center"/>
          </w:tcPr>
          <w:p w14:paraId="1A4722FC" w14:textId="3BCF57C6" w:rsidR="007A3CB9" w:rsidRPr="0022015D" w:rsidRDefault="00C85AED" w:rsidP="006D6F38">
            <w:pPr>
              <w:spacing w:after="0" w:line="272" w:lineRule="auto"/>
              <w:ind w:left="0" w:firstLine="0"/>
            </w:pPr>
            <w:r w:rsidRPr="00BC71C8">
              <w:t>A COFOG é uma classificação internacional das despesas governamentais, estabelecida pela Organização para a Cooperação e Desenvolvimento Econômico (OCDE) e a Organização das Nações Unidas (ONU), conforme o Manual de Estatísticas de Finanças Públicas do Fundo Monetário Internacional (FMI). Essa metodologia identifica as funções ou os objetivos socioeconômicos perseguidos pelas unidades das administrações públicas quando aplicam recursos em diferentes tipos de despesa.</w:t>
            </w:r>
            <w:r>
              <w:t xml:space="preserve"> Por sua vez, a</w:t>
            </w:r>
            <w:r w:rsidRPr="007403BE">
              <w:t xml:space="preserve"> COFOG Ampliada é uma metodologia desenvolvida pelo Banco Interamericano de Desenvolvimento (BID), em que as despesas já classificadas segundo a COFOG são reavaliadas a fim de permitir a identificação, classificação e quantificação dos gastos em três eixos de análise: 1. Mudança Climática</w:t>
            </w:r>
            <w:r>
              <w:t>,</w:t>
            </w:r>
            <w:r w:rsidRPr="007403BE">
              <w:t xml:space="preserve"> 2. Biodiversidade e 3. Gerenciamento de Riscos e Desastres. Para tanto, cria-se uma nova subfunção, a subfunção “705.6 - Mudança Climática”, destinada a registrar exclusivamente os gastos públicos cuja finalidade principal seja o enfrentamento da mudança climática; expande-se com três níveis de desagregação adicionais — Subclasses 1, 2 e 3 – os três níveis hierárquicos originais (Função, Subfunção e Classe) da COFOG; e introduz-se um sistema de atributos – chamado de “Matriz de Relacionamento” – que qualifica a despesa pública.</w:t>
            </w:r>
          </w:p>
        </w:tc>
      </w:tr>
      <w:tr w:rsidR="00562B2A" w14:paraId="07255FB1" w14:textId="77777777" w:rsidTr="00AA74B0">
        <w:tblPrEx>
          <w:tblCellMar>
            <w:top w:w="41" w:type="dxa"/>
            <w:right w:w="30" w:type="dxa"/>
          </w:tblCellMar>
        </w:tblPrEx>
        <w:trPr>
          <w:trHeight w:val="625"/>
        </w:trPr>
        <w:tc>
          <w:tcPr>
            <w:tcW w:w="3100" w:type="dxa"/>
            <w:tcBorders>
              <w:top w:val="single" w:sz="8" w:space="0" w:color="7D96AC"/>
              <w:left w:val="nil"/>
              <w:bottom w:val="single" w:sz="8" w:space="0" w:color="7D96AC"/>
              <w:right w:val="nil"/>
            </w:tcBorders>
          </w:tcPr>
          <w:p w14:paraId="0DC70B72" w14:textId="4DA6F1F3" w:rsidR="00562B2A" w:rsidRPr="002A34B8" w:rsidRDefault="00562B2A" w:rsidP="00562B2A">
            <w:pPr>
              <w:spacing w:after="0" w:line="259" w:lineRule="auto"/>
              <w:ind w:left="0" w:right="157" w:firstLine="0"/>
              <w:jc w:val="left"/>
              <w:rPr>
                <w:b/>
                <w:bCs/>
                <w:color w:val="2F5496" w:themeColor="accent1" w:themeShade="BF"/>
              </w:rPr>
            </w:pPr>
            <w:r w:rsidRPr="00FA7EB1">
              <w:t>Dimensão da Agenda Transversal Meio Ambiente</w:t>
            </w:r>
          </w:p>
        </w:tc>
        <w:tc>
          <w:tcPr>
            <w:tcW w:w="6707" w:type="dxa"/>
            <w:tcBorders>
              <w:top w:val="single" w:sz="8" w:space="0" w:color="7D96AC"/>
              <w:left w:val="nil"/>
              <w:bottom w:val="single" w:sz="8" w:space="0" w:color="7D96AC"/>
              <w:right w:val="nil"/>
            </w:tcBorders>
          </w:tcPr>
          <w:p w14:paraId="300680D3" w14:textId="3323EBBF" w:rsidR="001B7441" w:rsidRDefault="00117BCE" w:rsidP="001B7441">
            <w:pPr>
              <w:spacing w:after="0" w:line="262" w:lineRule="auto"/>
              <w:ind w:left="0" w:right="1" w:firstLine="0"/>
            </w:pPr>
            <w:r>
              <w:t xml:space="preserve">Atributo transversal, que </w:t>
            </w:r>
            <w:r w:rsidR="00915B98">
              <w:t>classifica</w:t>
            </w:r>
            <w:r w:rsidRPr="00117BCE">
              <w:t xml:space="preserve"> a despesa </w:t>
            </w:r>
            <w:r w:rsidR="003A19E1">
              <w:t>em</w:t>
            </w:r>
            <w:r w:rsidR="00B72CC5">
              <w:t xml:space="preserve"> uma das</w:t>
            </w:r>
            <w:r w:rsidRPr="00117BCE">
              <w:t xml:space="preserve"> sete dimensões </w:t>
            </w:r>
            <w:r w:rsidR="00AC0FC2">
              <w:t xml:space="preserve">predefinidas </w:t>
            </w:r>
            <w:r w:rsidR="00717F02">
              <w:t>pelo Ministério do Planejamento e Orçamento</w:t>
            </w:r>
            <w:r w:rsidR="00AC0FC2">
              <w:t xml:space="preserve"> e usadas no</w:t>
            </w:r>
            <w:r w:rsidR="00AC0FC2" w:rsidRPr="00117BCE">
              <w:t xml:space="preserve"> </w:t>
            </w:r>
            <w:hyperlink r:id="rId13" w:history="1">
              <w:r w:rsidR="00AC0FC2" w:rsidRPr="00DE4FEB">
                <w:rPr>
                  <w:rStyle w:val="Hyperlink"/>
                </w:rPr>
                <w:t>Relatório da Agenda Transversal Meio Ambiente 2025, ano-base 2024</w:t>
              </w:r>
            </w:hyperlink>
            <w:r w:rsidR="00717F02">
              <w:t>.</w:t>
            </w:r>
            <w:r w:rsidR="001F434A">
              <w:t xml:space="preserve"> Acesso</w:t>
            </w:r>
            <w:r w:rsidR="008F4C34">
              <w:t xml:space="preserve">: </w:t>
            </w:r>
            <w:r w:rsidR="001F434A">
              <w:t>em 17 mar. 2026.</w:t>
            </w:r>
            <w:r w:rsidR="00E727C1">
              <w:t xml:space="preserve"> </w:t>
            </w:r>
            <w:r w:rsidR="001B7441">
              <w:t xml:space="preserve">As possíveis dimensões são: </w:t>
            </w:r>
          </w:p>
          <w:p w14:paraId="33E489A4" w14:textId="05CD4CC3" w:rsidR="001B7441" w:rsidRDefault="001B7441" w:rsidP="001B7441">
            <w:pPr>
              <w:spacing w:after="0" w:line="262" w:lineRule="auto"/>
              <w:ind w:left="0" w:right="1" w:firstLine="0"/>
            </w:pPr>
            <w:r>
              <w:t xml:space="preserve">1. Combate ao desmatamento, prevenção e controle de incêndios </w:t>
            </w:r>
          </w:p>
          <w:p w14:paraId="6181387C" w14:textId="77777777" w:rsidR="001B7441" w:rsidRDefault="001B7441" w:rsidP="001B7441">
            <w:pPr>
              <w:spacing w:after="0" w:line="262" w:lineRule="auto"/>
              <w:ind w:left="0" w:right="1" w:firstLine="0"/>
            </w:pPr>
            <w:r>
              <w:t xml:space="preserve">2. Conservação, proteção e recuperação da biodiversidade, de ecossistemas e biomas </w:t>
            </w:r>
          </w:p>
          <w:p w14:paraId="3560DA12" w14:textId="77777777" w:rsidR="001B7441" w:rsidRDefault="001B7441" w:rsidP="001B7441">
            <w:pPr>
              <w:spacing w:after="0" w:line="262" w:lineRule="auto"/>
              <w:ind w:left="0" w:right="1" w:firstLine="0"/>
            </w:pPr>
            <w:r>
              <w:t>3. Gestão e conservação de recursos hídricos</w:t>
            </w:r>
          </w:p>
          <w:p w14:paraId="5F9AA307" w14:textId="77777777" w:rsidR="001B7441" w:rsidRDefault="001B7441" w:rsidP="001B7441">
            <w:pPr>
              <w:spacing w:after="0" w:line="262" w:lineRule="auto"/>
              <w:ind w:left="0" w:right="1" w:firstLine="0"/>
            </w:pPr>
            <w:r>
              <w:t>4. Gestão e conservação de recursos marinhos e áreas costeiras</w:t>
            </w:r>
          </w:p>
          <w:p w14:paraId="4A6D301D" w14:textId="29468A0B" w:rsidR="001B7441" w:rsidRDefault="001B7441" w:rsidP="001B7441">
            <w:pPr>
              <w:spacing w:after="0" w:line="262" w:lineRule="auto"/>
              <w:ind w:left="0" w:right="1" w:firstLine="0"/>
            </w:pPr>
            <w:r>
              <w:t>5. Bioeconomia e produção sustentável</w:t>
            </w:r>
          </w:p>
          <w:p w14:paraId="59DBA9F1" w14:textId="77777777" w:rsidR="001B7441" w:rsidRDefault="001B7441" w:rsidP="001B7441">
            <w:pPr>
              <w:spacing w:after="0" w:line="262" w:lineRule="auto"/>
              <w:ind w:left="0" w:right="1" w:firstLine="0"/>
            </w:pPr>
            <w:r>
              <w:t>6. Qualidade ambiental em áreas urbanas e rurais</w:t>
            </w:r>
          </w:p>
          <w:p w14:paraId="5A36E613" w14:textId="2A4E0EEE" w:rsidR="00562B2A" w:rsidRDefault="001B7441" w:rsidP="001B7441">
            <w:pPr>
              <w:spacing w:after="0" w:line="262" w:lineRule="auto"/>
              <w:ind w:left="0" w:right="1" w:firstLine="0"/>
            </w:pPr>
            <w:r>
              <w:t>7. Enfrentamento da emergência climática, gestão de riscos e de desastres</w:t>
            </w:r>
          </w:p>
        </w:tc>
      </w:tr>
      <w:tr w:rsidR="00562B2A" w14:paraId="2EBB827E" w14:textId="77777777" w:rsidTr="00AA74B0">
        <w:tblPrEx>
          <w:tblCellMar>
            <w:top w:w="41" w:type="dxa"/>
            <w:right w:w="30" w:type="dxa"/>
          </w:tblCellMar>
        </w:tblPrEx>
        <w:trPr>
          <w:trHeight w:val="365"/>
        </w:trPr>
        <w:tc>
          <w:tcPr>
            <w:tcW w:w="3100" w:type="dxa"/>
            <w:tcBorders>
              <w:top w:val="single" w:sz="8" w:space="0" w:color="7D96AC"/>
              <w:left w:val="nil"/>
              <w:bottom w:val="single" w:sz="8" w:space="0" w:color="7D96AC"/>
              <w:right w:val="nil"/>
            </w:tcBorders>
          </w:tcPr>
          <w:p w14:paraId="15075AD5" w14:textId="5584C13F" w:rsidR="00562B2A" w:rsidRPr="002A34B8" w:rsidRDefault="00562B2A" w:rsidP="00562B2A">
            <w:pPr>
              <w:spacing w:after="0" w:line="259" w:lineRule="auto"/>
              <w:ind w:left="0" w:right="157" w:firstLine="0"/>
              <w:jc w:val="left"/>
              <w:rPr>
                <w:b/>
                <w:bCs/>
                <w:color w:val="2F5496" w:themeColor="accent1" w:themeShade="BF"/>
              </w:rPr>
            </w:pPr>
            <w:r w:rsidRPr="00FA7EB1">
              <w:t>Política Ambiental</w:t>
            </w:r>
          </w:p>
        </w:tc>
        <w:tc>
          <w:tcPr>
            <w:tcW w:w="6707" w:type="dxa"/>
            <w:tcBorders>
              <w:top w:val="single" w:sz="8" w:space="0" w:color="7D96AC"/>
              <w:left w:val="nil"/>
              <w:bottom w:val="single" w:sz="8" w:space="0" w:color="7D96AC"/>
              <w:right w:val="nil"/>
            </w:tcBorders>
          </w:tcPr>
          <w:p w14:paraId="3B7B6CC4" w14:textId="0FB1C26F" w:rsidR="00641E07" w:rsidRDefault="00E94051" w:rsidP="006D6F38">
            <w:pPr>
              <w:spacing w:after="0" w:line="262" w:lineRule="auto"/>
              <w:ind w:left="0" w:right="1" w:firstLine="0"/>
              <w:rPr>
                <w:color w:val="000000" w:themeColor="text1"/>
              </w:rPr>
            </w:pPr>
            <w:r>
              <w:t>Atributo transversal, q</w:t>
            </w:r>
            <w:r w:rsidRPr="00E37D0B">
              <w:rPr>
                <w:color w:val="000000" w:themeColor="text1"/>
              </w:rPr>
              <w:t xml:space="preserve">ue </w:t>
            </w:r>
            <w:r w:rsidR="003A19E1">
              <w:t>classifica</w:t>
            </w:r>
            <w:r w:rsidR="003A19E1" w:rsidRPr="00117BCE">
              <w:t xml:space="preserve"> a despesa</w:t>
            </w:r>
            <w:r w:rsidR="00614F5F">
              <w:rPr>
                <w:color w:val="000000" w:themeColor="text1"/>
              </w:rPr>
              <w:t xml:space="preserve"> </w:t>
            </w:r>
            <w:r w:rsidR="003A19E1">
              <w:rPr>
                <w:color w:val="000000" w:themeColor="text1"/>
              </w:rPr>
              <w:t xml:space="preserve">em </w:t>
            </w:r>
            <w:r w:rsidR="00614F5F">
              <w:rPr>
                <w:color w:val="000000" w:themeColor="text1"/>
              </w:rPr>
              <w:t>uma das</w:t>
            </w:r>
            <w:r w:rsidRPr="00E37D0B">
              <w:rPr>
                <w:color w:val="000000" w:themeColor="text1"/>
              </w:rPr>
              <w:t xml:space="preserve"> </w:t>
            </w:r>
            <w:r w:rsidR="003A19E1">
              <w:rPr>
                <w:color w:val="000000" w:themeColor="text1"/>
              </w:rPr>
              <w:t xml:space="preserve">oito </w:t>
            </w:r>
            <w:r w:rsidRPr="00E37D0B">
              <w:rPr>
                <w:color w:val="000000" w:themeColor="text1"/>
              </w:rPr>
              <w:t xml:space="preserve">políticas ambientais </w:t>
            </w:r>
            <w:r w:rsidR="00614F5F">
              <w:rPr>
                <w:color w:val="000000" w:themeColor="text1"/>
              </w:rPr>
              <w:t>pre</w:t>
            </w:r>
            <w:r w:rsidRPr="00E37D0B">
              <w:rPr>
                <w:color w:val="000000" w:themeColor="text1"/>
              </w:rPr>
              <w:t xml:space="preserve">definidas pelo Ministério do Planejamento e Orçamento, a partir dos objetivos ambientais e climáticos da Taxonomia Sustentável </w:t>
            </w:r>
            <w:r w:rsidRPr="00E37D0B">
              <w:rPr>
                <w:color w:val="000000" w:themeColor="text1"/>
              </w:rPr>
              <w:lastRenderedPageBreak/>
              <w:t>Brasileira (TSB) com adaptações, e revisadas pelo Ministério do Meio Ambiente e Mudança do Clima (MMA)</w:t>
            </w:r>
            <w:r w:rsidR="00641E07">
              <w:rPr>
                <w:color w:val="000000" w:themeColor="text1"/>
              </w:rPr>
              <w:t>. As possíveis políticas ambientais são:</w:t>
            </w:r>
          </w:p>
          <w:p w14:paraId="5ADDD0F5" w14:textId="77777777" w:rsidR="00641E07" w:rsidRPr="00641E07" w:rsidRDefault="00641E07" w:rsidP="00641E07">
            <w:pPr>
              <w:spacing w:after="0" w:line="262" w:lineRule="auto"/>
              <w:ind w:left="0" w:right="1" w:firstLine="0"/>
              <w:rPr>
                <w:color w:val="000000" w:themeColor="text1"/>
              </w:rPr>
            </w:pPr>
            <w:r w:rsidRPr="00641E07">
              <w:rPr>
                <w:color w:val="000000" w:themeColor="text1"/>
              </w:rPr>
              <w:t>1. Mitigação da mudança climática</w:t>
            </w:r>
          </w:p>
          <w:p w14:paraId="0AA63E38" w14:textId="77777777" w:rsidR="00641E07" w:rsidRPr="00641E07" w:rsidRDefault="00641E07" w:rsidP="00641E07">
            <w:pPr>
              <w:spacing w:after="0" w:line="262" w:lineRule="auto"/>
              <w:ind w:left="0" w:right="1" w:firstLine="0"/>
              <w:rPr>
                <w:color w:val="000000" w:themeColor="text1"/>
              </w:rPr>
            </w:pPr>
            <w:r w:rsidRPr="00641E07">
              <w:rPr>
                <w:color w:val="000000" w:themeColor="text1"/>
              </w:rPr>
              <w:t>2. Adaptação à mudança climática</w:t>
            </w:r>
          </w:p>
          <w:p w14:paraId="26AD9D72" w14:textId="77777777" w:rsidR="00641E07" w:rsidRPr="00641E07" w:rsidRDefault="00641E07" w:rsidP="00641E07">
            <w:pPr>
              <w:spacing w:after="0" w:line="262" w:lineRule="auto"/>
              <w:ind w:left="0" w:right="1" w:firstLine="0"/>
              <w:rPr>
                <w:color w:val="000000" w:themeColor="text1"/>
              </w:rPr>
            </w:pPr>
            <w:r w:rsidRPr="00641E07">
              <w:rPr>
                <w:color w:val="000000" w:themeColor="text1"/>
              </w:rPr>
              <w:t>3. Proteção e restauração da biodiversidade e dos ecossistemas</w:t>
            </w:r>
          </w:p>
          <w:p w14:paraId="6D7DF39B" w14:textId="77777777" w:rsidR="00641E07" w:rsidRPr="00641E07" w:rsidRDefault="00641E07" w:rsidP="00641E07">
            <w:pPr>
              <w:spacing w:after="0" w:line="262" w:lineRule="auto"/>
              <w:ind w:left="0" w:right="1" w:firstLine="0"/>
              <w:rPr>
                <w:color w:val="000000" w:themeColor="text1"/>
              </w:rPr>
            </w:pPr>
            <w:r w:rsidRPr="00641E07">
              <w:rPr>
                <w:color w:val="000000" w:themeColor="text1"/>
              </w:rPr>
              <w:t>4. Uso sustentável do solo e conservação, manejo e uso sustentável das florestas</w:t>
            </w:r>
          </w:p>
          <w:p w14:paraId="13F76F4E" w14:textId="77777777" w:rsidR="00641E07" w:rsidRPr="00641E07" w:rsidRDefault="00641E07" w:rsidP="00641E07">
            <w:pPr>
              <w:spacing w:after="0" w:line="262" w:lineRule="auto"/>
              <w:ind w:left="0" w:right="1" w:firstLine="0"/>
              <w:rPr>
                <w:color w:val="000000" w:themeColor="text1"/>
              </w:rPr>
            </w:pPr>
            <w:r w:rsidRPr="00641E07">
              <w:rPr>
                <w:color w:val="000000" w:themeColor="text1"/>
              </w:rPr>
              <w:t>5. Transição para economia circular</w:t>
            </w:r>
          </w:p>
          <w:p w14:paraId="1675CFB1" w14:textId="77777777" w:rsidR="00641E07" w:rsidRPr="00641E07" w:rsidRDefault="00641E07" w:rsidP="00641E07">
            <w:pPr>
              <w:spacing w:after="0" w:line="262" w:lineRule="auto"/>
              <w:ind w:left="0" w:right="1" w:firstLine="0"/>
              <w:rPr>
                <w:color w:val="000000" w:themeColor="text1"/>
              </w:rPr>
            </w:pPr>
            <w:r w:rsidRPr="00641E07">
              <w:rPr>
                <w:color w:val="000000" w:themeColor="text1"/>
              </w:rPr>
              <w:t>6. Uso sustentável e proteção dos recursos hídricos e marinhos</w:t>
            </w:r>
          </w:p>
          <w:p w14:paraId="40AD704C" w14:textId="77777777" w:rsidR="00641E07" w:rsidRPr="00641E07" w:rsidRDefault="00641E07" w:rsidP="00641E07">
            <w:pPr>
              <w:spacing w:after="0" w:line="262" w:lineRule="auto"/>
              <w:ind w:left="0" w:right="1" w:firstLine="0"/>
              <w:rPr>
                <w:color w:val="000000" w:themeColor="text1"/>
              </w:rPr>
            </w:pPr>
            <w:r w:rsidRPr="00641E07">
              <w:rPr>
                <w:color w:val="000000" w:themeColor="text1"/>
              </w:rPr>
              <w:t>7. Prevenção e controle da poluição</w:t>
            </w:r>
          </w:p>
          <w:p w14:paraId="56344803" w14:textId="1530F5B3" w:rsidR="00641E07" w:rsidRDefault="00641E07" w:rsidP="00614F5F">
            <w:pPr>
              <w:spacing w:after="0" w:line="262" w:lineRule="auto"/>
              <w:ind w:left="0" w:right="1" w:firstLine="0"/>
            </w:pPr>
            <w:r w:rsidRPr="00641E07">
              <w:rPr>
                <w:color w:val="000000" w:themeColor="text1"/>
              </w:rPr>
              <w:t>8. Mistas para mitigação e adaptação à mudança climática</w:t>
            </w:r>
          </w:p>
        </w:tc>
      </w:tr>
      <w:tr w:rsidR="00562B2A" w14:paraId="772CF5FE" w14:textId="77777777" w:rsidTr="00AA74B0">
        <w:tblPrEx>
          <w:tblCellMar>
            <w:top w:w="40" w:type="dxa"/>
            <w:right w:w="31" w:type="dxa"/>
          </w:tblCellMar>
        </w:tblPrEx>
        <w:trPr>
          <w:trHeight w:val="370"/>
        </w:trPr>
        <w:tc>
          <w:tcPr>
            <w:tcW w:w="3100" w:type="dxa"/>
            <w:tcBorders>
              <w:top w:val="single" w:sz="8" w:space="0" w:color="7D96AC"/>
              <w:bottom w:val="single" w:sz="8" w:space="0" w:color="7D96AC"/>
            </w:tcBorders>
            <w:shd w:val="clear" w:color="auto" w:fill="FFFFFF" w:themeFill="background1"/>
          </w:tcPr>
          <w:p w14:paraId="1AAE2422" w14:textId="6A9F5D97" w:rsidR="00562B2A" w:rsidRPr="0022015D" w:rsidRDefault="00562B2A" w:rsidP="00562B2A">
            <w:pPr>
              <w:spacing w:after="0" w:line="259" w:lineRule="auto"/>
              <w:ind w:left="0" w:right="156" w:firstLine="0"/>
              <w:jc w:val="left"/>
              <w:rPr>
                <w:b/>
                <w:bCs/>
                <w:color w:val="2F5496" w:themeColor="accent1" w:themeShade="BF"/>
              </w:rPr>
            </w:pPr>
            <w:r w:rsidRPr="00FA7EB1">
              <w:lastRenderedPageBreak/>
              <w:t>Propósito Mudança Climática</w:t>
            </w:r>
          </w:p>
        </w:tc>
        <w:tc>
          <w:tcPr>
            <w:tcW w:w="6707" w:type="dxa"/>
            <w:tcBorders>
              <w:top w:val="single" w:sz="8" w:space="0" w:color="7D96AC"/>
              <w:bottom w:val="single" w:sz="8" w:space="0" w:color="7D96AC"/>
            </w:tcBorders>
            <w:shd w:val="clear" w:color="auto" w:fill="FFFFFF" w:themeFill="background1"/>
            <w:vAlign w:val="center"/>
          </w:tcPr>
          <w:p w14:paraId="25ACF482" w14:textId="42376F28" w:rsidR="00562B2A" w:rsidRPr="0022015D" w:rsidRDefault="00293CC6" w:rsidP="006D6F38">
            <w:pPr>
              <w:spacing w:after="0" w:line="272" w:lineRule="auto"/>
              <w:ind w:left="0" w:firstLine="0"/>
            </w:pPr>
            <w:r w:rsidRPr="00293CC6">
              <w:t xml:space="preserve">A despesa </w:t>
            </w:r>
            <w:r w:rsidR="00FA37D1">
              <w:t xml:space="preserve">pode ser </w:t>
            </w:r>
            <w:r w:rsidRPr="00293CC6">
              <w:t xml:space="preserve">classificada com </w:t>
            </w:r>
            <w:r w:rsidR="001100E5">
              <w:t>P</w:t>
            </w:r>
            <w:r w:rsidRPr="00293CC6">
              <w:t xml:space="preserve">ropósito </w:t>
            </w:r>
            <w:r w:rsidR="001100E5">
              <w:t>P</w:t>
            </w:r>
            <w:r w:rsidRPr="00293CC6">
              <w:t>rincipal</w:t>
            </w:r>
            <w:r w:rsidR="00C24CAD">
              <w:t xml:space="preserve"> </w:t>
            </w:r>
            <w:r w:rsidR="00E3098E">
              <w:t xml:space="preserve">ou </w:t>
            </w:r>
            <w:r w:rsidR="001100E5">
              <w:t>S</w:t>
            </w:r>
            <w:r w:rsidR="00C24CAD">
              <w:t>ecundário</w:t>
            </w:r>
            <w:r w:rsidR="001100E5">
              <w:t xml:space="preserve"> </w:t>
            </w:r>
            <w:r w:rsidR="001100E5" w:rsidRPr="001100E5">
              <w:t>Positivo</w:t>
            </w:r>
            <w:r w:rsidR="00E3098E">
              <w:t xml:space="preserve"> </w:t>
            </w:r>
            <w:r w:rsidRPr="00293CC6">
              <w:t xml:space="preserve">do eixo </w:t>
            </w:r>
            <w:r w:rsidR="00197D78">
              <w:t>“</w:t>
            </w:r>
            <w:r w:rsidR="00197D78" w:rsidRPr="0076201C">
              <w:t>Mudança Climática</w:t>
            </w:r>
            <w:r w:rsidR="00197D78">
              <w:t>”</w:t>
            </w:r>
            <w:r w:rsidR="00AB4003">
              <w:t xml:space="preserve">. </w:t>
            </w:r>
            <w:r w:rsidR="008F15AF">
              <w:t xml:space="preserve">A despesa classificada com </w:t>
            </w:r>
            <w:r w:rsidR="00E3098E">
              <w:t>P</w:t>
            </w:r>
            <w:r w:rsidR="00AB4003">
              <w:t xml:space="preserve">ropósito </w:t>
            </w:r>
            <w:r w:rsidR="00E3098E">
              <w:t>P</w:t>
            </w:r>
            <w:r w:rsidR="00AB4003">
              <w:t xml:space="preserve">rincipal </w:t>
            </w:r>
            <w:r w:rsidR="008F15AF" w:rsidRPr="00FE2B5C">
              <w:t xml:space="preserve">do eixo </w:t>
            </w:r>
            <w:r w:rsidR="00197D78">
              <w:t>“</w:t>
            </w:r>
            <w:r w:rsidR="00197D78" w:rsidRPr="0076201C">
              <w:t>Mudança Climática</w:t>
            </w:r>
            <w:r w:rsidR="00197D78">
              <w:t>”</w:t>
            </w:r>
            <w:r w:rsidRPr="00293CC6">
              <w:t xml:space="preserve"> é aquela cuja finalidade primária é o enfrentamento das mudanças climáticas.</w:t>
            </w:r>
            <w:r w:rsidR="00FE2B5C">
              <w:t xml:space="preserve"> </w:t>
            </w:r>
            <w:r w:rsidR="00CC251A">
              <w:t>A d</w:t>
            </w:r>
            <w:r w:rsidR="00FE2B5C" w:rsidRPr="00FE2B5C">
              <w:t xml:space="preserve">espesa classificada com </w:t>
            </w:r>
            <w:r w:rsidR="001100E5">
              <w:t>P</w:t>
            </w:r>
            <w:r w:rsidR="00FE2B5C" w:rsidRPr="00FE2B5C">
              <w:t xml:space="preserve">ropósito </w:t>
            </w:r>
            <w:r w:rsidR="001100E5">
              <w:t>S</w:t>
            </w:r>
            <w:r w:rsidR="00FE2B5C" w:rsidRPr="00FE2B5C">
              <w:t xml:space="preserve">ecundário </w:t>
            </w:r>
            <w:r w:rsidR="001100E5">
              <w:t>Positivo</w:t>
            </w:r>
            <w:r w:rsidR="001100E5" w:rsidRPr="00293CC6">
              <w:t xml:space="preserve"> </w:t>
            </w:r>
            <w:r w:rsidR="00FE2B5C" w:rsidRPr="00FE2B5C">
              <w:t xml:space="preserve">do eixo </w:t>
            </w:r>
            <w:r w:rsidR="00197D78">
              <w:t>“</w:t>
            </w:r>
            <w:r w:rsidR="00197D78" w:rsidRPr="0076201C">
              <w:t>Mudança Climática</w:t>
            </w:r>
            <w:r w:rsidR="00197D78">
              <w:t>”</w:t>
            </w:r>
            <w:r w:rsidR="00FE2B5C" w:rsidRPr="00FE2B5C">
              <w:t xml:space="preserve"> é aquela que não tem o propósito de enfrentar as mudanças climáticas, mas sim promover Atividades de Natureza Climática (ANC), que são ações, processos, serviços ou geração de produtos que – em função das características dos produtos, do tipo de processo ou dos serviços que geram – impactam positivamente a mudança climática ou respondem a ela. Essa despesa é identificada como “gasto não climático de propósito secundário positivo”.</w:t>
            </w:r>
          </w:p>
        </w:tc>
      </w:tr>
      <w:tr w:rsidR="00562B2A" w14:paraId="1CB3CDC1" w14:textId="77777777" w:rsidTr="00AA74B0">
        <w:tblPrEx>
          <w:tblCellMar>
            <w:top w:w="41" w:type="dxa"/>
            <w:right w:w="29" w:type="dxa"/>
          </w:tblCellMar>
        </w:tblPrEx>
        <w:trPr>
          <w:trHeight w:val="505"/>
        </w:trPr>
        <w:tc>
          <w:tcPr>
            <w:tcW w:w="3100" w:type="dxa"/>
            <w:tcBorders>
              <w:top w:val="single" w:sz="8" w:space="0" w:color="7D96AC"/>
              <w:left w:val="nil"/>
              <w:bottom w:val="single" w:sz="8" w:space="0" w:color="7D96AC"/>
              <w:right w:val="nil"/>
            </w:tcBorders>
          </w:tcPr>
          <w:p w14:paraId="44CC63DE" w14:textId="7FFAD249" w:rsidR="00562B2A" w:rsidRPr="002A34B8" w:rsidRDefault="00562B2A" w:rsidP="00562B2A">
            <w:pPr>
              <w:spacing w:after="0" w:line="259" w:lineRule="auto"/>
              <w:ind w:left="0" w:right="158" w:firstLine="0"/>
              <w:jc w:val="left"/>
              <w:rPr>
                <w:b/>
                <w:bCs/>
                <w:color w:val="2F5496" w:themeColor="accent1" w:themeShade="BF"/>
              </w:rPr>
            </w:pPr>
            <w:r w:rsidRPr="00FA7EB1">
              <w:t>Categoria Mudança Climática</w:t>
            </w:r>
          </w:p>
        </w:tc>
        <w:tc>
          <w:tcPr>
            <w:tcW w:w="6707" w:type="dxa"/>
            <w:tcBorders>
              <w:top w:val="single" w:sz="8" w:space="0" w:color="7D96AC"/>
              <w:left w:val="nil"/>
              <w:bottom w:val="single" w:sz="8" w:space="0" w:color="7D96AC"/>
              <w:right w:val="nil"/>
            </w:tcBorders>
          </w:tcPr>
          <w:p w14:paraId="70202838" w14:textId="6D21584A" w:rsidR="00562B2A" w:rsidRDefault="0030704E" w:rsidP="00AF07E5">
            <w:pPr>
              <w:spacing w:after="0" w:line="259" w:lineRule="auto"/>
              <w:ind w:left="0" w:firstLine="0"/>
            </w:pPr>
            <w:r>
              <w:t>As</w:t>
            </w:r>
            <w:r w:rsidR="00AF07E5">
              <w:t xml:space="preserve"> categorias adotad</w:t>
            </w:r>
            <w:r>
              <w:t>as</w:t>
            </w:r>
            <w:r w:rsidR="00AF07E5">
              <w:t xml:space="preserve"> para o eixo “Mudança Climática” </w:t>
            </w:r>
            <w:r w:rsidR="00D4457E">
              <w:t>indicam</w:t>
            </w:r>
            <w:r w:rsidR="004B2664">
              <w:t xml:space="preserve"> </w:t>
            </w:r>
            <w:r w:rsidR="00B52DFF">
              <w:t>cinco</w:t>
            </w:r>
            <w:r w:rsidR="00AF07E5">
              <w:t xml:space="preserve"> finalidade</w:t>
            </w:r>
            <w:r w:rsidR="00B52DFF">
              <w:t>s</w:t>
            </w:r>
            <w:r w:rsidR="00AF07E5">
              <w:t xml:space="preserve"> do gasto</w:t>
            </w:r>
            <w:r w:rsidR="00B52DFF">
              <w:t xml:space="preserve"> possíveis</w:t>
            </w:r>
            <w:r w:rsidR="00F73AF9">
              <w:t>. As três primeiras</w:t>
            </w:r>
            <w:r w:rsidR="0058042C">
              <w:t xml:space="preserve"> categorias</w:t>
            </w:r>
            <w:r w:rsidR="00F73AF9">
              <w:t xml:space="preserve"> </w:t>
            </w:r>
            <w:r w:rsidR="00197D0B">
              <w:t>financiam</w:t>
            </w:r>
            <w:r w:rsidR="00E544A3">
              <w:t xml:space="preserve"> o</w:t>
            </w:r>
            <w:r w:rsidR="00AF07E5">
              <w:t xml:space="preserve"> enfrentamento da mudança climática de forma a combater as causas do problema e gerenciar seus efeitos</w:t>
            </w:r>
            <w:r w:rsidR="007A3A3B">
              <w:t xml:space="preserve">, que </w:t>
            </w:r>
            <w:r w:rsidR="00DF428A">
              <w:t xml:space="preserve">podem ser: </w:t>
            </w:r>
            <w:r w:rsidR="00AF07E5">
              <w:t>“1. Mistas”</w:t>
            </w:r>
            <w:r w:rsidR="00DF428A">
              <w:t>;</w:t>
            </w:r>
            <w:r w:rsidR="00AF07E5">
              <w:t xml:space="preserve"> “2. Mitigação”</w:t>
            </w:r>
            <w:r w:rsidR="00DF428A">
              <w:t>;</w:t>
            </w:r>
            <w:r w:rsidR="00AF07E5">
              <w:t xml:space="preserve"> e “3. Adaptação e gerenciamento de riscos e de desastres climáticos”</w:t>
            </w:r>
            <w:r w:rsidR="00F73AF9">
              <w:t>. As duas</w:t>
            </w:r>
            <w:r w:rsidR="00197D0B">
              <w:t xml:space="preserve"> últimas</w:t>
            </w:r>
            <w:r w:rsidR="0058042C">
              <w:t xml:space="preserve"> categorias</w:t>
            </w:r>
            <w:r w:rsidR="00197D0B">
              <w:t xml:space="preserve"> financiam</w:t>
            </w:r>
            <w:r w:rsidR="002F62AB">
              <w:t xml:space="preserve"> a</w:t>
            </w:r>
            <w:r w:rsidR="005F76EF">
              <w:t xml:space="preserve"> </w:t>
            </w:r>
            <w:r w:rsidR="00AF07E5">
              <w:t>resp</w:t>
            </w:r>
            <w:r w:rsidR="005F76EF">
              <w:t>osta</w:t>
            </w:r>
            <w:r w:rsidR="00AF07E5">
              <w:t xml:space="preserve"> aos impactos negativos</w:t>
            </w:r>
            <w:r w:rsidR="002A11C3">
              <w:t xml:space="preserve"> dos eventos climáticos</w:t>
            </w:r>
            <w:r w:rsidR="00AE4055">
              <w:t xml:space="preserve">, que </w:t>
            </w:r>
            <w:r w:rsidR="00DF428A">
              <w:t xml:space="preserve">podem ser: </w:t>
            </w:r>
            <w:r w:rsidR="00AF07E5">
              <w:t>“4. Eventos climáticos de emergência”</w:t>
            </w:r>
            <w:r w:rsidR="00DF428A">
              <w:t>;</w:t>
            </w:r>
            <w:r w:rsidR="00AF07E5">
              <w:t xml:space="preserve"> e “5. Recuperação de eventos climáticos”.</w:t>
            </w:r>
          </w:p>
        </w:tc>
      </w:tr>
      <w:tr w:rsidR="00562B2A" w14:paraId="738CC6C7" w14:textId="77777777" w:rsidTr="00AA74B0">
        <w:tblPrEx>
          <w:tblCellMar>
            <w:top w:w="41" w:type="dxa"/>
            <w:right w:w="29" w:type="dxa"/>
          </w:tblCellMar>
        </w:tblPrEx>
        <w:trPr>
          <w:trHeight w:val="706"/>
        </w:trPr>
        <w:tc>
          <w:tcPr>
            <w:tcW w:w="3100" w:type="dxa"/>
            <w:tcBorders>
              <w:top w:val="single" w:sz="8" w:space="0" w:color="7D96AC"/>
              <w:left w:val="nil"/>
              <w:bottom w:val="single" w:sz="8" w:space="0" w:color="7D96AC"/>
              <w:right w:val="nil"/>
            </w:tcBorders>
          </w:tcPr>
          <w:p w14:paraId="633046D8" w14:textId="56C164F9" w:rsidR="00562B2A" w:rsidRPr="002A34B8" w:rsidRDefault="00562B2A" w:rsidP="00562B2A">
            <w:pPr>
              <w:spacing w:after="0" w:line="259" w:lineRule="auto"/>
              <w:ind w:left="0" w:right="158" w:firstLine="0"/>
              <w:jc w:val="left"/>
              <w:rPr>
                <w:b/>
                <w:bCs/>
                <w:color w:val="2F5496" w:themeColor="accent1" w:themeShade="BF"/>
              </w:rPr>
            </w:pPr>
            <w:r w:rsidRPr="00FA7EB1">
              <w:t>Subcategoria Mudança Climática</w:t>
            </w:r>
          </w:p>
        </w:tc>
        <w:tc>
          <w:tcPr>
            <w:tcW w:w="6707" w:type="dxa"/>
            <w:tcBorders>
              <w:top w:val="single" w:sz="8" w:space="0" w:color="7D96AC"/>
              <w:left w:val="nil"/>
              <w:bottom w:val="single" w:sz="8" w:space="0" w:color="7D96AC"/>
              <w:right w:val="nil"/>
            </w:tcBorders>
          </w:tcPr>
          <w:p w14:paraId="2EF67025" w14:textId="78DA5848" w:rsidR="002C4EE5" w:rsidRDefault="002C4EE5" w:rsidP="006D6F38">
            <w:pPr>
              <w:spacing w:after="0" w:line="259" w:lineRule="auto"/>
              <w:ind w:left="0" w:firstLine="0"/>
            </w:pPr>
            <w:r>
              <w:t>As subcategorias adotadas para o eixo “</w:t>
            </w:r>
            <w:r w:rsidRPr="00FA7EB1">
              <w:t>Mudança Climática</w:t>
            </w:r>
            <w:r>
              <w:t>” indicam detalhamento das finalidades de gasto possíveis que são predefinidas e estão associadas a cada uma das cinco categorias descritas no dado anterior.</w:t>
            </w:r>
          </w:p>
          <w:p w14:paraId="4E1AC1E1" w14:textId="0858CE60" w:rsidR="00562B2A" w:rsidRPr="002C1AF1" w:rsidRDefault="002C4EE5" w:rsidP="006D6F38">
            <w:pPr>
              <w:spacing w:after="0" w:line="259" w:lineRule="auto"/>
              <w:ind w:left="0" w:firstLine="0"/>
            </w:pPr>
            <w:r>
              <w:t>A</w:t>
            </w:r>
            <w:r w:rsidR="007F1164">
              <w:t>s subcategorias vinculadas à categoria “</w:t>
            </w:r>
            <w:r w:rsidR="00A66E75" w:rsidRPr="00A66E75">
              <w:t>1. Mistas</w:t>
            </w:r>
            <w:r w:rsidR="007F1164">
              <w:t>” podem ser: “</w:t>
            </w:r>
            <w:r w:rsidR="00327872" w:rsidRPr="00327872">
              <w:t>1.1 Gerenciamento de mudança climática</w:t>
            </w:r>
            <w:r w:rsidR="007F1164">
              <w:t>”; “</w:t>
            </w:r>
            <w:r w:rsidR="006461CC" w:rsidRPr="006461CC">
              <w:t>1.2 Instrumentos financeiros climáticos</w:t>
            </w:r>
            <w:r w:rsidR="007F1164">
              <w:t>”; “</w:t>
            </w:r>
            <w:r w:rsidR="006461CC" w:rsidRPr="006461CC">
              <w:t>1.3 Aspectos regulatórios climáticos</w:t>
            </w:r>
            <w:r w:rsidR="007F1164">
              <w:t>”; “</w:t>
            </w:r>
            <w:r w:rsidR="006461CC" w:rsidRPr="006461CC">
              <w:t>1.4 Educação, treinamento e comunicação sobre mudança climática</w:t>
            </w:r>
            <w:r w:rsidR="007F1164">
              <w:t>”; “</w:t>
            </w:r>
            <w:r w:rsidR="007D5DA5" w:rsidRPr="007D5DA5">
              <w:t>1.5 Meio ambiente e biodiversidade para mitigação e para adaptação à mudança climática</w:t>
            </w:r>
            <w:r w:rsidR="007F1164">
              <w:t>”; “</w:t>
            </w:r>
            <w:r w:rsidR="007D5DA5" w:rsidRPr="007D5DA5">
              <w:t>1.6 Pesquisa e desenvolvimento na mitigação e adaptação à mudança climática</w:t>
            </w:r>
            <w:r w:rsidR="007F1164">
              <w:t>”</w:t>
            </w:r>
            <w:r w:rsidR="002C257B">
              <w:t>; e “</w:t>
            </w:r>
            <w:r w:rsidR="002C257B" w:rsidRPr="002C257B">
              <w:t>1.9 Outras subcategorias não especificadas relacionadas à mudança climática</w:t>
            </w:r>
            <w:r w:rsidR="002C257B">
              <w:t>”</w:t>
            </w:r>
            <w:r w:rsidR="007F1164">
              <w:t>. As subcategorias vinculadas à categoria “</w:t>
            </w:r>
            <w:r w:rsidR="002C257B">
              <w:t>2. Mitigação</w:t>
            </w:r>
            <w:r w:rsidR="007F1164">
              <w:t>” podem ser: “</w:t>
            </w:r>
            <w:r w:rsidR="004948D7" w:rsidRPr="004948D7">
              <w:t xml:space="preserve">2.1 Administração e informações para o gerenciamento de mitigação </w:t>
            </w:r>
            <w:r w:rsidR="004948D7" w:rsidRPr="004948D7">
              <w:lastRenderedPageBreak/>
              <w:t>climática</w:t>
            </w:r>
            <w:r w:rsidR="007F1164">
              <w:t>”; “</w:t>
            </w:r>
            <w:r w:rsidR="004948D7" w:rsidRPr="004948D7">
              <w:t>2.2 Redução e controle de GEE</w:t>
            </w:r>
            <w:r w:rsidR="007F1164">
              <w:t>”; “</w:t>
            </w:r>
            <w:r w:rsidR="00786E00" w:rsidRPr="00786E00">
              <w:t>2.3 Energia e eficiência energética</w:t>
            </w:r>
            <w:r w:rsidR="007F1164">
              <w:t>”; “</w:t>
            </w:r>
            <w:r w:rsidR="00786E00" w:rsidRPr="00786E00">
              <w:t>2.4 Transporte</w:t>
            </w:r>
            <w:r w:rsidR="007F1164">
              <w:t>”</w:t>
            </w:r>
            <w:r w:rsidR="00786E00">
              <w:t>; “</w:t>
            </w:r>
            <w:r w:rsidR="00191579" w:rsidRPr="00191579">
              <w:t>2.5 Meio ambiente e biodiversidade para mitigação da mudança climática</w:t>
            </w:r>
            <w:r w:rsidR="00786E00">
              <w:t>”; “</w:t>
            </w:r>
            <w:r w:rsidR="00191579" w:rsidRPr="00191579">
              <w:t>2.6 Pesquisa e desenvolvimento para redução e controle de GEE</w:t>
            </w:r>
            <w:r w:rsidR="00786E00">
              <w:t xml:space="preserve">”; </w:t>
            </w:r>
            <w:r w:rsidR="00191579">
              <w:t xml:space="preserve">e </w:t>
            </w:r>
            <w:r w:rsidR="00786E00">
              <w:t>“</w:t>
            </w:r>
            <w:r w:rsidR="00191579" w:rsidRPr="00191579">
              <w:t>2.9 Outras subcategorias não especificadas para mitigação da mudança climática</w:t>
            </w:r>
            <w:r w:rsidR="00786E00">
              <w:t>”</w:t>
            </w:r>
            <w:r w:rsidR="007F1164">
              <w:t xml:space="preserve">. </w:t>
            </w:r>
            <w:r w:rsidR="00191579">
              <w:t>A</w:t>
            </w:r>
            <w:r w:rsidR="007F1164">
              <w:t>s subcategorias vinculadas à categoria “</w:t>
            </w:r>
            <w:r w:rsidR="00EB0836" w:rsidRPr="00EB0836">
              <w:t>3. Adaptação e gerenciamento de riscos e de desastres climáticos</w:t>
            </w:r>
            <w:r w:rsidR="007F1164">
              <w:t>” podem ser: “</w:t>
            </w:r>
            <w:r w:rsidR="008009EF" w:rsidRPr="008009EF">
              <w:t>3.1 Administração e informações para o gerenciamento da adaptação</w:t>
            </w:r>
            <w:r w:rsidR="007F1164">
              <w:t>”; “</w:t>
            </w:r>
            <w:r w:rsidR="008009EF" w:rsidRPr="008009EF">
              <w:t>3.2 Proteção e instrumentos financeiros</w:t>
            </w:r>
            <w:r w:rsidR="007F1164">
              <w:t>”; “</w:t>
            </w:r>
            <w:r w:rsidR="008009EF" w:rsidRPr="008009EF">
              <w:t>3.3 Processos produtivos ajustados ou transformados</w:t>
            </w:r>
            <w:r w:rsidR="007F1164">
              <w:t>”; “</w:t>
            </w:r>
            <w:r w:rsidR="008009EF" w:rsidRPr="008009EF">
              <w:t>3.4 Meio ambiente e biodiversidade para adaptação à mudança climática</w:t>
            </w:r>
            <w:r w:rsidR="007F1164">
              <w:t>”</w:t>
            </w:r>
            <w:r w:rsidR="008009EF">
              <w:t xml:space="preserve">; </w:t>
            </w:r>
            <w:r w:rsidR="00B75AA5">
              <w:t>“</w:t>
            </w:r>
            <w:r w:rsidR="00B75AA5" w:rsidRPr="00B75AA5">
              <w:t>3.5 Habitação e desenvolvimento urbano/comunitário para adaptação à mudança climática</w:t>
            </w:r>
            <w:r w:rsidR="00B75AA5">
              <w:t>”; “</w:t>
            </w:r>
            <w:r w:rsidR="00B75AA5" w:rsidRPr="00B75AA5">
              <w:t>3.6 Saúde humana para adaptação à mudança climática</w:t>
            </w:r>
            <w:r w:rsidR="00B75AA5">
              <w:t>”; “</w:t>
            </w:r>
            <w:r w:rsidR="00B75AA5" w:rsidRPr="00B75AA5">
              <w:t>3.7 Pesquisa e desenvolvimento para adaptação à mudança climática</w:t>
            </w:r>
            <w:r w:rsidR="00B75AA5">
              <w:t>” e “</w:t>
            </w:r>
            <w:r w:rsidR="00B75AA5" w:rsidRPr="00B75AA5">
              <w:t>3.9 Outras subcategorias não especificadas para adaptação à mudança climática</w:t>
            </w:r>
            <w:r w:rsidR="00B75AA5">
              <w:t>”</w:t>
            </w:r>
            <w:r w:rsidR="007F1164">
              <w:t>.</w:t>
            </w:r>
            <w:r w:rsidR="00A30065">
              <w:t xml:space="preserve"> As subcategorias vinculadas à categoria “</w:t>
            </w:r>
            <w:r w:rsidR="0083694E" w:rsidRPr="0083694E">
              <w:t>4. Eventos climáticos de emergência</w:t>
            </w:r>
            <w:r w:rsidR="00A30065">
              <w:t>” podem ser: “</w:t>
            </w:r>
            <w:r w:rsidR="00902840" w:rsidRPr="00902840">
              <w:t>4.1 Segurança, defesa e gerenciamento de emergências climáticas</w:t>
            </w:r>
            <w:r w:rsidR="00A30065">
              <w:t>”; “</w:t>
            </w:r>
            <w:r w:rsidR="00902840" w:rsidRPr="00902840">
              <w:t>4.2 Fornecimento de serviços básicos para emergências climáticas</w:t>
            </w:r>
            <w:r w:rsidR="00A30065">
              <w:t>”; “</w:t>
            </w:r>
            <w:r w:rsidR="00902840" w:rsidRPr="00902840">
              <w:t>4.3 Saúde para emergências climáticas</w:t>
            </w:r>
            <w:r w:rsidR="00A30065">
              <w:t>”; “</w:t>
            </w:r>
            <w:r w:rsidR="00902840" w:rsidRPr="00902840">
              <w:t>4.4 Proteção social para emergências climáticas</w:t>
            </w:r>
            <w:r w:rsidR="00A30065">
              <w:t xml:space="preserve">”; </w:t>
            </w:r>
            <w:r w:rsidR="00902840">
              <w:t xml:space="preserve">e </w:t>
            </w:r>
            <w:r w:rsidR="00A30065">
              <w:t>“</w:t>
            </w:r>
            <w:r w:rsidR="00902840" w:rsidRPr="00902840">
              <w:t>4.9 Outras subcategorias não especificadas em resposta a emergências climáticas</w:t>
            </w:r>
            <w:r w:rsidR="00A30065">
              <w:t>”.</w:t>
            </w:r>
            <w:r w:rsidR="00902840">
              <w:t xml:space="preserve"> Por fim, </w:t>
            </w:r>
            <w:r w:rsidR="00CF07C4">
              <w:t>as subcategorias vinculadas à categoria “</w:t>
            </w:r>
            <w:r w:rsidR="00CF07C4" w:rsidRPr="00CF07C4">
              <w:t>5. Recuperação de eventos climáticos</w:t>
            </w:r>
            <w:r w:rsidR="00CF07C4">
              <w:t>” podem ser: “</w:t>
            </w:r>
            <w:r w:rsidR="00E6353C" w:rsidRPr="00E6353C">
              <w:t>5.1 Gerenciamento e planejamento da recuperação de eventos climáticos</w:t>
            </w:r>
            <w:r w:rsidR="00CF07C4">
              <w:t>”;</w:t>
            </w:r>
            <w:r w:rsidR="00E6353C">
              <w:t xml:space="preserve"> “</w:t>
            </w:r>
            <w:r w:rsidR="00E6353C" w:rsidRPr="00E6353C">
              <w:t>5.1 Gerenciamento e planejamento da recuperação de eventos climáticos</w:t>
            </w:r>
            <w:r w:rsidR="00E6353C">
              <w:t>”; “</w:t>
            </w:r>
            <w:r w:rsidR="00E6353C" w:rsidRPr="00E6353C">
              <w:t>5.2 Ativos fixos de eventos climáticos</w:t>
            </w:r>
            <w:r w:rsidR="00E6353C">
              <w:t>”; “</w:t>
            </w:r>
            <w:r w:rsidR="00E6353C" w:rsidRPr="00E6353C">
              <w:t>5.3 Capital natural de eventos climáticos</w:t>
            </w:r>
            <w:r w:rsidR="00E6353C">
              <w:t>”; e “</w:t>
            </w:r>
            <w:r w:rsidR="00B71AA9" w:rsidRPr="00B71AA9">
              <w:t>5.9 Outras subcategorias não especificadas para recuperação de eventos climáticos</w:t>
            </w:r>
            <w:r w:rsidR="00E6353C">
              <w:t>”</w:t>
            </w:r>
            <w:r w:rsidR="00B71AA9">
              <w:t>.</w:t>
            </w:r>
            <w:r w:rsidR="00E6353C">
              <w:t xml:space="preserve"> </w:t>
            </w:r>
          </w:p>
        </w:tc>
      </w:tr>
      <w:tr w:rsidR="00562B2A" w14:paraId="338EADA4" w14:textId="77777777" w:rsidTr="00AA74B0">
        <w:tblPrEx>
          <w:tblCellMar>
            <w:top w:w="41" w:type="dxa"/>
            <w:right w:w="29" w:type="dxa"/>
          </w:tblCellMar>
        </w:tblPrEx>
        <w:trPr>
          <w:trHeight w:val="518"/>
        </w:trPr>
        <w:tc>
          <w:tcPr>
            <w:tcW w:w="3100" w:type="dxa"/>
            <w:tcBorders>
              <w:top w:val="single" w:sz="8" w:space="0" w:color="7D96AC"/>
              <w:left w:val="nil"/>
              <w:bottom w:val="single" w:sz="8" w:space="0" w:color="7D96AC"/>
              <w:right w:val="nil"/>
            </w:tcBorders>
          </w:tcPr>
          <w:p w14:paraId="04026271" w14:textId="6E3EE688" w:rsidR="00562B2A" w:rsidRPr="002A34B8" w:rsidRDefault="00562B2A" w:rsidP="00562B2A">
            <w:pPr>
              <w:spacing w:after="0" w:line="259" w:lineRule="auto"/>
              <w:ind w:left="0" w:right="157" w:firstLine="0"/>
              <w:jc w:val="left"/>
              <w:rPr>
                <w:b/>
                <w:bCs/>
                <w:color w:val="2F5496" w:themeColor="accent1" w:themeShade="BF"/>
              </w:rPr>
            </w:pPr>
            <w:r w:rsidRPr="00FA7EB1">
              <w:lastRenderedPageBreak/>
              <w:t>Plano Setorial de Mitigação</w:t>
            </w:r>
          </w:p>
        </w:tc>
        <w:tc>
          <w:tcPr>
            <w:tcW w:w="6707" w:type="dxa"/>
            <w:tcBorders>
              <w:top w:val="single" w:sz="8" w:space="0" w:color="7D96AC"/>
              <w:left w:val="nil"/>
              <w:bottom w:val="single" w:sz="8" w:space="0" w:color="7D96AC"/>
              <w:right w:val="nil"/>
            </w:tcBorders>
          </w:tcPr>
          <w:p w14:paraId="09F0F727" w14:textId="30634F37" w:rsidR="004C1883" w:rsidRDefault="000732A8" w:rsidP="004C1883">
            <w:pPr>
              <w:spacing w:after="0"/>
              <w:ind w:left="0" w:right="1" w:firstLine="0"/>
            </w:pPr>
            <w:r>
              <w:t>O</w:t>
            </w:r>
            <w:r w:rsidR="00A97DB3">
              <w:t xml:space="preserve">s </w:t>
            </w:r>
            <w:r w:rsidR="00324686">
              <w:t xml:space="preserve">sete </w:t>
            </w:r>
            <w:r w:rsidR="00A97DB3">
              <w:t>Planos Setoriais de M</w:t>
            </w:r>
            <w:r>
              <w:t>itigação</w:t>
            </w:r>
            <w:r w:rsidR="00313A2D">
              <w:t xml:space="preserve"> </w:t>
            </w:r>
            <w:r w:rsidR="001803F8">
              <w:t>visam à redução das emissões de gases de efeito estufa, cuja alta concentração na atmosfera provoca o aquecimento global, e</w:t>
            </w:r>
            <w:r w:rsidR="00A97DB3">
              <w:t xml:space="preserve"> compõe</w:t>
            </w:r>
            <w:r w:rsidR="00324686">
              <w:t>m</w:t>
            </w:r>
            <w:r w:rsidR="00A97DB3">
              <w:t xml:space="preserve"> o Plano Clima com horizonte temporal de 202</w:t>
            </w:r>
            <w:r w:rsidR="004C7D8D">
              <w:t>4</w:t>
            </w:r>
            <w:r w:rsidR="00A97DB3">
              <w:t xml:space="preserve"> a 2035</w:t>
            </w:r>
            <w:r w:rsidR="003279B1">
              <w:t>. A</w:t>
            </w:r>
            <w:r w:rsidR="00A22C8E">
              <w:t>s despesas podem ser classificadas em um</w:t>
            </w:r>
            <w:r w:rsidR="002717F6">
              <w:t>a</w:t>
            </w:r>
            <w:r w:rsidR="00A22C8E">
              <w:t xml:space="preserve"> das </w:t>
            </w:r>
            <w:r w:rsidR="003279B1">
              <w:t>possíveis opçõe</w:t>
            </w:r>
            <w:r w:rsidR="00A22C8E">
              <w:t>s</w:t>
            </w:r>
            <w:r w:rsidR="00313A2D">
              <w:t>:</w:t>
            </w:r>
            <w:r w:rsidR="00AE2C62">
              <w:t xml:space="preserve"> </w:t>
            </w:r>
          </w:p>
          <w:p w14:paraId="62B46FD5" w14:textId="48B200B8" w:rsidR="004C1883" w:rsidRDefault="004C1883" w:rsidP="004C1883">
            <w:pPr>
              <w:spacing w:after="0"/>
              <w:ind w:left="0" w:right="1" w:firstLine="0"/>
            </w:pPr>
            <w:r>
              <w:t>1. Uso da terra e florestas</w:t>
            </w:r>
            <w:r w:rsidR="00D34D6D">
              <w:t>;</w:t>
            </w:r>
            <w:r>
              <w:t xml:space="preserve"> </w:t>
            </w:r>
          </w:p>
          <w:p w14:paraId="3F33240F" w14:textId="6B265E30" w:rsidR="004C1883" w:rsidRDefault="004C1883" w:rsidP="004C1883">
            <w:pPr>
              <w:spacing w:after="0"/>
              <w:ind w:left="0" w:right="1" w:firstLine="0"/>
            </w:pPr>
            <w:r>
              <w:t>2. Agropecuária</w:t>
            </w:r>
            <w:r w:rsidR="00D34D6D">
              <w:t>;</w:t>
            </w:r>
          </w:p>
          <w:p w14:paraId="27FB1995" w14:textId="042AC43A" w:rsidR="004C1883" w:rsidRDefault="004C1883" w:rsidP="004C1883">
            <w:pPr>
              <w:spacing w:after="0"/>
              <w:ind w:left="0" w:right="1" w:firstLine="0"/>
            </w:pPr>
            <w:r>
              <w:t>3. Energia</w:t>
            </w:r>
            <w:r w:rsidR="00D34D6D">
              <w:t>;</w:t>
            </w:r>
          </w:p>
          <w:p w14:paraId="67114391" w14:textId="77B69CAA" w:rsidR="004C1883" w:rsidRDefault="004C1883" w:rsidP="004C1883">
            <w:pPr>
              <w:spacing w:after="0"/>
              <w:ind w:left="0" w:right="1" w:firstLine="0"/>
            </w:pPr>
            <w:r>
              <w:t>4. Indústria</w:t>
            </w:r>
            <w:r w:rsidR="00D34D6D">
              <w:t>;</w:t>
            </w:r>
            <w:r>
              <w:t xml:space="preserve"> </w:t>
            </w:r>
          </w:p>
          <w:p w14:paraId="1C59F4BC" w14:textId="33A51D6B" w:rsidR="004C1883" w:rsidRDefault="004C1883" w:rsidP="004C1883">
            <w:pPr>
              <w:spacing w:after="0"/>
              <w:ind w:left="0" w:right="1" w:firstLine="0"/>
            </w:pPr>
            <w:r>
              <w:t>5. Transportes</w:t>
            </w:r>
            <w:r w:rsidR="00D34D6D">
              <w:t>;</w:t>
            </w:r>
            <w:r>
              <w:t xml:space="preserve"> </w:t>
            </w:r>
          </w:p>
          <w:p w14:paraId="420E88B8" w14:textId="54B7B15B" w:rsidR="004C1883" w:rsidRDefault="004C1883" w:rsidP="004C1883">
            <w:pPr>
              <w:spacing w:after="0"/>
              <w:ind w:left="0" w:right="1" w:firstLine="0"/>
            </w:pPr>
            <w:r>
              <w:t>6. Cidades</w:t>
            </w:r>
            <w:r w:rsidR="00D34D6D">
              <w:t>;</w:t>
            </w:r>
          </w:p>
          <w:p w14:paraId="429FCC11" w14:textId="261BDC2F" w:rsidR="004C1883" w:rsidRDefault="004C1883" w:rsidP="004C1883">
            <w:pPr>
              <w:spacing w:after="0"/>
              <w:ind w:left="0" w:right="1" w:firstLine="0"/>
            </w:pPr>
            <w:r>
              <w:t>7. Resíduos</w:t>
            </w:r>
            <w:r w:rsidR="00D34D6D">
              <w:t>;</w:t>
            </w:r>
            <w:r>
              <w:t xml:space="preserve"> </w:t>
            </w:r>
          </w:p>
          <w:p w14:paraId="5E4FB990" w14:textId="15DAAEAD" w:rsidR="00562B2A" w:rsidRDefault="004C1883" w:rsidP="004C1883">
            <w:pPr>
              <w:spacing w:after="0"/>
              <w:ind w:left="0" w:right="1" w:firstLine="0"/>
            </w:pPr>
            <w:r>
              <w:t>8. Todos os planos</w:t>
            </w:r>
            <w:r w:rsidR="00D34D6D">
              <w:t>.</w:t>
            </w:r>
          </w:p>
        </w:tc>
      </w:tr>
      <w:tr w:rsidR="00562B2A" w14:paraId="624DBFBF" w14:textId="77777777" w:rsidTr="00AA74B0">
        <w:tblPrEx>
          <w:tblCellMar>
            <w:top w:w="41" w:type="dxa"/>
            <w:right w:w="29" w:type="dxa"/>
          </w:tblCellMar>
        </w:tblPrEx>
        <w:trPr>
          <w:trHeight w:val="690"/>
        </w:trPr>
        <w:tc>
          <w:tcPr>
            <w:tcW w:w="3100" w:type="dxa"/>
            <w:tcBorders>
              <w:top w:val="single" w:sz="8" w:space="0" w:color="7D96AC"/>
              <w:left w:val="nil"/>
              <w:bottom w:val="single" w:sz="8" w:space="0" w:color="7D96AC"/>
              <w:right w:val="nil"/>
            </w:tcBorders>
          </w:tcPr>
          <w:p w14:paraId="03A84EBD" w14:textId="0006D199" w:rsidR="00562B2A" w:rsidRPr="002A34B8" w:rsidRDefault="00562B2A" w:rsidP="00562B2A">
            <w:pPr>
              <w:spacing w:after="0" w:line="259" w:lineRule="auto"/>
              <w:ind w:left="0" w:right="159" w:firstLine="0"/>
              <w:jc w:val="left"/>
              <w:rPr>
                <w:b/>
                <w:bCs/>
                <w:color w:val="2F5496" w:themeColor="accent1" w:themeShade="BF"/>
              </w:rPr>
            </w:pPr>
            <w:r w:rsidRPr="00FA7EB1">
              <w:t>Plano Setorial de Adaptação</w:t>
            </w:r>
          </w:p>
        </w:tc>
        <w:tc>
          <w:tcPr>
            <w:tcW w:w="6707" w:type="dxa"/>
            <w:tcBorders>
              <w:top w:val="single" w:sz="8" w:space="0" w:color="7D96AC"/>
              <w:left w:val="nil"/>
              <w:bottom w:val="single" w:sz="8" w:space="0" w:color="7D96AC"/>
              <w:right w:val="nil"/>
            </w:tcBorders>
          </w:tcPr>
          <w:p w14:paraId="4CB20A29" w14:textId="2DC99888" w:rsidR="007F7122" w:rsidRDefault="00960415" w:rsidP="00960415">
            <w:pPr>
              <w:spacing w:after="0"/>
              <w:ind w:left="0" w:right="1" w:firstLine="0"/>
            </w:pPr>
            <w:r>
              <w:t xml:space="preserve">Os </w:t>
            </w:r>
            <w:r w:rsidR="007F7122">
              <w:t>dezesseis</w:t>
            </w:r>
            <w:r>
              <w:t xml:space="preserve"> Planos Setoriais de Adaptação </w:t>
            </w:r>
            <w:r w:rsidR="00585955">
              <w:t xml:space="preserve">tratam da adaptação </w:t>
            </w:r>
            <w:r w:rsidR="00B03255" w:rsidRPr="00B03255">
              <w:t>dos sistemas naturais e humanos aos impactos da mudança climática</w:t>
            </w:r>
            <w:r>
              <w:t>, e compõem o Plano Clima com horizonte temporal de 2024 a 2035. As despesas podem ser classificadas em um</w:t>
            </w:r>
            <w:r w:rsidR="002717F6">
              <w:t>a</w:t>
            </w:r>
            <w:r>
              <w:t xml:space="preserve"> das possíveis opções:</w:t>
            </w:r>
          </w:p>
          <w:p w14:paraId="06D4E81F" w14:textId="751277DB" w:rsidR="007F7122" w:rsidRDefault="007F7122" w:rsidP="007F7122">
            <w:pPr>
              <w:spacing w:after="0"/>
              <w:ind w:left="0" w:right="1" w:firstLine="0"/>
            </w:pPr>
            <w:r>
              <w:t xml:space="preserve">1. Agricultura e pecuária; </w:t>
            </w:r>
          </w:p>
          <w:p w14:paraId="30D9A95B" w14:textId="4415029F" w:rsidR="007F7122" w:rsidRDefault="007F7122" w:rsidP="007F7122">
            <w:pPr>
              <w:spacing w:after="0"/>
              <w:ind w:left="0" w:right="1" w:firstLine="0"/>
            </w:pPr>
            <w:r>
              <w:t>2. Biodiversidade;</w:t>
            </w:r>
          </w:p>
          <w:p w14:paraId="2942D576" w14:textId="68134B16" w:rsidR="007F7122" w:rsidRDefault="007F7122" w:rsidP="007F7122">
            <w:pPr>
              <w:spacing w:after="0"/>
              <w:ind w:left="0" w:right="1" w:firstLine="0"/>
            </w:pPr>
            <w:r>
              <w:lastRenderedPageBreak/>
              <w:t>3. Cidades + Mobilidade;</w:t>
            </w:r>
          </w:p>
          <w:p w14:paraId="0403DBB3" w14:textId="3A5FB6EB" w:rsidR="007F7122" w:rsidRDefault="007F7122" w:rsidP="007F7122">
            <w:pPr>
              <w:spacing w:after="0"/>
              <w:ind w:left="0" w:right="1" w:firstLine="0"/>
            </w:pPr>
            <w:r>
              <w:t xml:space="preserve">4. Gestão de Riscos e Desastres; </w:t>
            </w:r>
          </w:p>
          <w:p w14:paraId="23100E9D" w14:textId="0B619A0E" w:rsidR="007F7122" w:rsidRDefault="007F7122" w:rsidP="007F7122">
            <w:pPr>
              <w:spacing w:after="0"/>
              <w:ind w:left="0" w:right="1" w:firstLine="0"/>
            </w:pPr>
            <w:r>
              <w:t xml:space="preserve">5. Indústria; </w:t>
            </w:r>
          </w:p>
          <w:p w14:paraId="3A0D536F" w14:textId="6F7C3747" w:rsidR="007F7122" w:rsidRDefault="007F7122" w:rsidP="007F7122">
            <w:pPr>
              <w:spacing w:after="0"/>
              <w:ind w:left="0" w:right="1" w:firstLine="0"/>
            </w:pPr>
            <w:r>
              <w:t>6. Energia;</w:t>
            </w:r>
          </w:p>
          <w:p w14:paraId="2C469E38" w14:textId="3A200BCD" w:rsidR="007F7122" w:rsidRDefault="007F7122" w:rsidP="007F7122">
            <w:pPr>
              <w:spacing w:after="0"/>
              <w:ind w:left="0" w:right="1" w:firstLine="0"/>
            </w:pPr>
            <w:r>
              <w:t>7. Transportes;</w:t>
            </w:r>
          </w:p>
          <w:p w14:paraId="2C309C77" w14:textId="760B7C4B" w:rsidR="007F7122" w:rsidRDefault="007F7122" w:rsidP="007F7122">
            <w:pPr>
              <w:spacing w:after="0"/>
              <w:ind w:left="0" w:right="1" w:firstLine="0"/>
            </w:pPr>
            <w:r>
              <w:t xml:space="preserve">8. Igualdade racial e combate ao racismo; </w:t>
            </w:r>
          </w:p>
          <w:p w14:paraId="5FEF5E11" w14:textId="3D260145" w:rsidR="007F7122" w:rsidRDefault="007F7122" w:rsidP="007F7122">
            <w:pPr>
              <w:spacing w:after="0"/>
              <w:ind w:left="0" w:right="1" w:firstLine="0"/>
            </w:pPr>
            <w:r>
              <w:t xml:space="preserve">9. Povos e Comunidades Tradicionais; </w:t>
            </w:r>
          </w:p>
          <w:p w14:paraId="7CF88E09" w14:textId="5C261CA6" w:rsidR="007F7122" w:rsidRDefault="007F7122" w:rsidP="007F7122">
            <w:pPr>
              <w:spacing w:after="0"/>
              <w:ind w:left="0" w:right="1" w:firstLine="0"/>
            </w:pPr>
            <w:r>
              <w:t>10. Povos Indígenas;</w:t>
            </w:r>
          </w:p>
          <w:p w14:paraId="666DE3A2" w14:textId="59DC9EE7" w:rsidR="007F7122" w:rsidRDefault="007F7122" w:rsidP="007F7122">
            <w:pPr>
              <w:spacing w:after="0"/>
              <w:ind w:left="0" w:right="1" w:firstLine="0"/>
            </w:pPr>
            <w:r>
              <w:t xml:space="preserve">11. Recursos Hídricos; </w:t>
            </w:r>
          </w:p>
          <w:p w14:paraId="20C29B24" w14:textId="5851EC21" w:rsidR="007F7122" w:rsidRDefault="007F7122" w:rsidP="007F7122">
            <w:pPr>
              <w:spacing w:after="0"/>
              <w:ind w:left="0" w:right="1" w:firstLine="0"/>
            </w:pPr>
            <w:r>
              <w:t>12. Saúde;</w:t>
            </w:r>
          </w:p>
          <w:p w14:paraId="64C66D06" w14:textId="10B8CA91" w:rsidR="007F7122" w:rsidRDefault="007F7122" w:rsidP="007F7122">
            <w:pPr>
              <w:spacing w:after="0"/>
              <w:ind w:left="0" w:right="1" w:firstLine="0"/>
            </w:pPr>
            <w:r>
              <w:t xml:space="preserve">13. Segurança Alimentar e Nutricional; </w:t>
            </w:r>
          </w:p>
          <w:p w14:paraId="2B515AD2" w14:textId="222F6EC2" w:rsidR="007F7122" w:rsidRDefault="007F7122" w:rsidP="007F7122">
            <w:pPr>
              <w:spacing w:after="0"/>
              <w:ind w:left="0" w:right="1" w:firstLine="0"/>
            </w:pPr>
            <w:r>
              <w:t xml:space="preserve">14. Oceano e Zona Costeira; </w:t>
            </w:r>
          </w:p>
          <w:p w14:paraId="6B15E362" w14:textId="301EA1BC" w:rsidR="007F7122" w:rsidRDefault="007F7122" w:rsidP="007F7122">
            <w:pPr>
              <w:spacing w:after="0"/>
              <w:ind w:left="0" w:right="1" w:firstLine="0"/>
            </w:pPr>
            <w:r>
              <w:t>15. Turismo;</w:t>
            </w:r>
          </w:p>
          <w:p w14:paraId="41C1102D" w14:textId="5CB3777C" w:rsidR="007F7122" w:rsidRDefault="007F7122" w:rsidP="007F7122">
            <w:pPr>
              <w:spacing w:after="0"/>
              <w:ind w:left="0" w:right="1" w:firstLine="0"/>
            </w:pPr>
            <w:r>
              <w:t xml:space="preserve">16. Agricultura Familiar; </w:t>
            </w:r>
          </w:p>
          <w:p w14:paraId="6AE15A2F" w14:textId="2F11E60E" w:rsidR="00562B2A" w:rsidRDefault="007F7122" w:rsidP="007F7122">
            <w:pPr>
              <w:spacing w:after="0" w:line="259" w:lineRule="auto"/>
              <w:ind w:left="0" w:right="1" w:firstLine="0"/>
            </w:pPr>
            <w:r>
              <w:t>17. Todos os planos.</w:t>
            </w:r>
          </w:p>
        </w:tc>
      </w:tr>
      <w:tr w:rsidR="00562B2A" w14:paraId="13B45464" w14:textId="77777777" w:rsidTr="00AA74B0">
        <w:tblPrEx>
          <w:tblCellMar>
            <w:top w:w="41" w:type="dxa"/>
            <w:right w:w="31" w:type="dxa"/>
          </w:tblCellMar>
        </w:tblPrEx>
        <w:trPr>
          <w:trHeight w:val="645"/>
        </w:trPr>
        <w:tc>
          <w:tcPr>
            <w:tcW w:w="3100" w:type="dxa"/>
            <w:tcBorders>
              <w:top w:val="single" w:sz="8" w:space="0" w:color="7D96AC"/>
              <w:left w:val="nil"/>
              <w:bottom w:val="single" w:sz="8" w:space="0" w:color="7D96AC"/>
              <w:right w:val="nil"/>
            </w:tcBorders>
          </w:tcPr>
          <w:p w14:paraId="30C6954A" w14:textId="3D76A828" w:rsidR="00562B2A" w:rsidRPr="002A34B8" w:rsidRDefault="00562B2A" w:rsidP="00562B2A">
            <w:pPr>
              <w:spacing w:after="0" w:line="259" w:lineRule="auto"/>
              <w:ind w:left="0" w:right="156" w:firstLine="0"/>
              <w:jc w:val="left"/>
              <w:rPr>
                <w:b/>
                <w:bCs/>
                <w:color w:val="2F5496" w:themeColor="accent1" w:themeShade="BF"/>
              </w:rPr>
            </w:pPr>
            <w:r w:rsidRPr="00FA7EB1">
              <w:lastRenderedPageBreak/>
              <w:t>Impacto Mudança Climática</w:t>
            </w:r>
          </w:p>
        </w:tc>
        <w:tc>
          <w:tcPr>
            <w:tcW w:w="6707" w:type="dxa"/>
            <w:tcBorders>
              <w:top w:val="single" w:sz="8" w:space="0" w:color="7D96AC"/>
              <w:left w:val="nil"/>
              <w:bottom w:val="single" w:sz="8" w:space="0" w:color="7D96AC"/>
              <w:right w:val="nil"/>
            </w:tcBorders>
          </w:tcPr>
          <w:p w14:paraId="4D5A13BF" w14:textId="0551A970" w:rsidR="00562B2A" w:rsidRDefault="00794424" w:rsidP="006D6F38">
            <w:pPr>
              <w:spacing w:after="0" w:line="261" w:lineRule="auto"/>
              <w:ind w:left="0" w:firstLine="0"/>
            </w:pPr>
            <w:r w:rsidRPr="00293CC6">
              <w:t xml:space="preserve">A despesa </w:t>
            </w:r>
            <w:r>
              <w:t xml:space="preserve">pode ser </w:t>
            </w:r>
            <w:r w:rsidRPr="00293CC6">
              <w:t>classificada com</w:t>
            </w:r>
            <w:r w:rsidR="006142F9">
              <w:t>o</w:t>
            </w:r>
            <w:r w:rsidRPr="00293CC6">
              <w:t xml:space="preserve"> </w:t>
            </w:r>
            <w:r w:rsidR="0076201C">
              <w:t>I</w:t>
            </w:r>
            <w:r>
              <w:t>mpacto</w:t>
            </w:r>
            <w:r w:rsidRPr="00293CC6">
              <w:t xml:space="preserve"> </w:t>
            </w:r>
            <w:r w:rsidR="0076201C">
              <w:t>P</w:t>
            </w:r>
            <w:r>
              <w:t xml:space="preserve">ositivo ou </w:t>
            </w:r>
            <w:r w:rsidR="0076201C">
              <w:t>N</w:t>
            </w:r>
            <w:r>
              <w:t>egativo</w:t>
            </w:r>
            <w:r w:rsidRPr="00293CC6">
              <w:t xml:space="preserve"> do eixo </w:t>
            </w:r>
            <w:r w:rsidR="00197D78">
              <w:t>“</w:t>
            </w:r>
            <w:r w:rsidR="00197D78" w:rsidRPr="0076201C">
              <w:t>Mudança Climática</w:t>
            </w:r>
            <w:r w:rsidR="00197D78">
              <w:t>”</w:t>
            </w:r>
            <w:r>
              <w:t>.</w:t>
            </w:r>
            <w:r w:rsidR="00784EA4">
              <w:t xml:space="preserve"> </w:t>
            </w:r>
            <w:r w:rsidR="00784EA4" w:rsidRPr="00784EA4">
              <w:t>As despesas são classificadas com</w:t>
            </w:r>
            <w:r w:rsidR="00E61CFA">
              <w:t>o</w:t>
            </w:r>
            <w:r w:rsidR="00784EA4" w:rsidRPr="00784EA4">
              <w:t xml:space="preserve"> </w:t>
            </w:r>
            <w:r w:rsidR="0076201C">
              <w:t>I</w:t>
            </w:r>
            <w:r w:rsidR="00784EA4" w:rsidRPr="00784EA4">
              <w:t xml:space="preserve">mpacto </w:t>
            </w:r>
            <w:r w:rsidR="0076201C">
              <w:t>P</w:t>
            </w:r>
            <w:r w:rsidR="00784EA4" w:rsidRPr="00784EA4">
              <w:t xml:space="preserve">ositivo </w:t>
            </w:r>
            <w:r w:rsidR="00DA2520" w:rsidRPr="0076201C">
              <w:t xml:space="preserve">do eixo </w:t>
            </w:r>
            <w:r w:rsidR="00197D78">
              <w:t>“</w:t>
            </w:r>
            <w:r w:rsidR="00DA2520" w:rsidRPr="0076201C">
              <w:t>Mudança Climática</w:t>
            </w:r>
            <w:r w:rsidR="00197D78">
              <w:t>”</w:t>
            </w:r>
            <w:r w:rsidR="006142F9">
              <w:t xml:space="preserve"> </w:t>
            </w:r>
            <w:r w:rsidR="00784EA4" w:rsidRPr="00784EA4">
              <w:t>quando contribuem para o enfrentamento das mudanças climáticas</w:t>
            </w:r>
            <w:r w:rsidR="0076201C">
              <w:t xml:space="preserve">. </w:t>
            </w:r>
            <w:r w:rsidR="0076201C" w:rsidRPr="0076201C">
              <w:t xml:space="preserve">As despesas são classificadas como Impacto Negativo do eixo </w:t>
            </w:r>
            <w:r w:rsidR="00197D78">
              <w:t>“</w:t>
            </w:r>
            <w:r w:rsidR="00197D78" w:rsidRPr="0076201C">
              <w:t>Mudança Climática</w:t>
            </w:r>
            <w:r w:rsidR="00197D78">
              <w:t>”</w:t>
            </w:r>
            <w:r w:rsidR="0076201C" w:rsidRPr="0076201C">
              <w:t xml:space="preserve"> quando financiam atividades listadas pelo Grupo Intergovernamental de Peritos sobre a Mudança Climática (IPCC): Energia; Processos industriais e uso do produto; Agricultura, silvicultura e outros usos da terra; e Resíduos.</w:t>
            </w:r>
          </w:p>
        </w:tc>
      </w:tr>
      <w:tr w:rsidR="00562B2A" w14:paraId="15C3D570" w14:textId="77777777" w:rsidTr="00AA74B0">
        <w:tblPrEx>
          <w:tblCellMar>
            <w:top w:w="41" w:type="dxa"/>
            <w:right w:w="31" w:type="dxa"/>
          </w:tblCellMar>
        </w:tblPrEx>
        <w:trPr>
          <w:trHeight w:val="985"/>
        </w:trPr>
        <w:tc>
          <w:tcPr>
            <w:tcW w:w="3100" w:type="dxa"/>
            <w:tcBorders>
              <w:top w:val="single" w:sz="8" w:space="0" w:color="7D96AC"/>
              <w:left w:val="nil"/>
              <w:bottom w:val="single" w:sz="8" w:space="0" w:color="7D96AC"/>
              <w:right w:val="nil"/>
            </w:tcBorders>
          </w:tcPr>
          <w:p w14:paraId="7DAE11EE" w14:textId="0ED2F1E3" w:rsidR="00562B2A" w:rsidRPr="002A34B8" w:rsidRDefault="00562B2A" w:rsidP="00562B2A">
            <w:pPr>
              <w:spacing w:after="0" w:line="259" w:lineRule="auto"/>
              <w:ind w:left="0" w:right="156" w:firstLine="0"/>
              <w:jc w:val="left"/>
              <w:rPr>
                <w:b/>
                <w:bCs/>
                <w:color w:val="2F5496" w:themeColor="accent1" w:themeShade="BF"/>
              </w:rPr>
            </w:pPr>
            <w:r w:rsidRPr="00FA7EB1">
              <w:t>Categoria Impacto Negativo</w:t>
            </w:r>
            <w:r w:rsidR="004940E8">
              <w:t xml:space="preserve"> </w:t>
            </w:r>
            <w:r w:rsidR="004940E8" w:rsidRPr="00FA7EB1">
              <w:t>Mudança Climática</w:t>
            </w:r>
          </w:p>
        </w:tc>
        <w:tc>
          <w:tcPr>
            <w:tcW w:w="6707" w:type="dxa"/>
            <w:tcBorders>
              <w:top w:val="single" w:sz="8" w:space="0" w:color="7D96AC"/>
              <w:left w:val="nil"/>
              <w:bottom w:val="single" w:sz="8" w:space="0" w:color="7D96AC"/>
              <w:right w:val="nil"/>
            </w:tcBorders>
          </w:tcPr>
          <w:p w14:paraId="472E78A7" w14:textId="582B8B48" w:rsidR="00001553" w:rsidRDefault="00542EC8" w:rsidP="00001553">
            <w:pPr>
              <w:spacing w:after="0" w:line="261" w:lineRule="auto"/>
              <w:ind w:left="0" w:firstLine="0"/>
            </w:pPr>
            <w:r>
              <w:t xml:space="preserve">As categorias de </w:t>
            </w:r>
            <w:r w:rsidR="00197D78">
              <w:t>I</w:t>
            </w:r>
            <w:r w:rsidR="00001553">
              <w:t xml:space="preserve">mpacto </w:t>
            </w:r>
            <w:r w:rsidR="00197D78">
              <w:t>N</w:t>
            </w:r>
            <w:r w:rsidR="00001553">
              <w:t>egativo</w:t>
            </w:r>
            <w:r w:rsidR="00197D78">
              <w:t xml:space="preserve"> do eixo “</w:t>
            </w:r>
            <w:r w:rsidR="00197D78" w:rsidRPr="0076201C">
              <w:t>Mudança Climática</w:t>
            </w:r>
            <w:r w:rsidR="00197D78">
              <w:t>”</w:t>
            </w:r>
            <w:r w:rsidR="00001553">
              <w:t xml:space="preserve"> </w:t>
            </w:r>
            <w:r w:rsidR="009861E3">
              <w:t xml:space="preserve">indicam </w:t>
            </w:r>
            <w:r w:rsidR="00001553">
              <w:t>as atividades listadas pelo Grupo Intergovernamental de Peritos sobre a Mudança Climática (IPCC) (Pizarro et al., 2022), a saber:</w:t>
            </w:r>
          </w:p>
          <w:p w14:paraId="5181A189" w14:textId="010777A0" w:rsidR="00001553" w:rsidRDefault="00A36F38" w:rsidP="00001553">
            <w:pPr>
              <w:spacing w:after="0" w:line="261" w:lineRule="auto"/>
              <w:ind w:left="0" w:firstLine="0"/>
            </w:pPr>
            <w:r>
              <w:t xml:space="preserve">1. </w:t>
            </w:r>
            <w:r w:rsidR="00001553">
              <w:t>Energia: inclui as emissões de GEE que emanam da combustão e dos vazamentos de combustíveis</w:t>
            </w:r>
            <w:r w:rsidR="009861E3">
              <w:t>;</w:t>
            </w:r>
          </w:p>
          <w:p w14:paraId="3D6E4B69" w14:textId="41B90495" w:rsidR="00001553" w:rsidRDefault="00A36F38" w:rsidP="00001553">
            <w:pPr>
              <w:spacing w:after="0" w:line="261" w:lineRule="auto"/>
              <w:ind w:left="0" w:firstLine="0"/>
            </w:pPr>
            <w:r>
              <w:t xml:space="preserve">2. </w:t>
            </w:r>
            <w:r w:rsidR="00001553">
              <w:t>Processos industriais e uso de produtos: inclui as emissões derivadas de produtos industriais e uso de produtos</w:t>
            </w:r>
            <w:r w:rsidR="009861E3">
              <w:t>;</w:t>
            </w:r>
          </w:p>
          <w:p w14:paraId="491E43AA" w14:textId="7DCF18CA" w:rsidR="00001553" w:rsidRDefault="00A36F38" w:rsidP="00001553">
            <w:pPr>
              <w:spacing w:after="0" w:line="261" w:lineRule="auto"/>
              <w:ind w:left="0" w:firstLine="0"/>
            </w:pPr>
            <w:r>
              <w:t xml:space="preserve">3. </w:t>
            </w:r>
            <w:r w:rsidR="00001553">
              <w:t>Agricultura, silvicultura e outros usos da terra: inclui as emissões e absorções de terras florestais, terras cultiváveis, pastagens, zonas úmidas, assentamentos e outras terras.</w:t>
            </w:r>
            <w:r w:rsidR="00542EC8">
              <w:t xml:space="preserve"> </w:t>
            </w:r>
            <w:r w:rsidR="00001553">
              <w:t>Além disso, inclui as emissões pela gestão de gado vivo e de esterco, as emissões dos solos manejados e as emissões das aplicações de calcário e ureia. Abrange também os métodos para estimar as variáveis dos produtos de madeira colhida</w:t>
            </w:r>
            <w:r w:rsidR="009861E3">
              <w:t>;</w:t>
            </w:r>
          </w:p>
          <w:p w14:paraId="19F2E18E" w14:textId="58C4F3E4" w:rsidR="00562B2A" w:rsidRDefault="00A36F38" w:rsidP="00542EC8">
            <w:pPr>
              <w:spacing w:after="0" w:line="261" w:lineRule="auto"/>
              <w:ind w:left="0" w:firstLine="0"/>
            </w:pPr>
            <w:r>
              <w:t xml:space="preserve">4. </w:t>
            </w:r>
            <w:r w:rsidR="00001553">
              <w:t xml:space="preserve">Resíduos: </w:t>
            </w:r>
            <w:r w:rsidR="00A60A59">
              <w:t>i</w:t>
            </w:r>
            <w:r w:rsidR="00001553">
              <w:t>nclui as emissões resultantes da eliminação de resíduos sólidos, tratamento biológico de resíduos sólidos, incineração e queima aberta de resíduos, tratamento</w:t>
            </w:r>
            <w:r w:rsidR="00542EC8">
              <w:t xml:space="preserve"> </w:t>
            </w:r>
            <w:r w:rsidR="00001553">
              <w:t>e eliminação de águas residuais.</w:t>
            </w:r>
          </w:p>
        </w:tc>
      </w:tr>
      <w:tr w:rsidR="00562B2A" w14:paraId="0DDA6572" w14:textId="77777777" w:rsidTr="00AA74B0">
        <w:tblPrEx>
          <w:tblCellMar>
            <w:top w:w="40" w:type="dxa"/>
            <w:right w:w="31" w:type="dxa"/>
          </w:tblCellMar>
        </w:tblPrEx>
        <w:trPr>
          <w:trHeight w:val="370"/>
        </w:trPr>
        <w:tc>
          <w:tcPr>
            <w:tcW w:w="3100" w:type="dxa"/>
            <w:tcBorders>
              <w:top w:val="single" w:sz="8" w:space="0" w:color="7D96AC"/>
              <w:bottom w:val="single" w:sz="8" w:space="0" w:color="7D96AC"/>
            </w:tcBorders>
            <w:shd w:val="clear" w:color="auto" w:fill="FFFFFF" w:themeFill="background1"/>
          </w:tcPr>
          <w:p w14:paraId="670538FD" w14:textId="7D30E8FB" w:rsidR="00562B2A" w:rsidRPr="0022015D" w:rsidRDefault="00562B2A" w:rsidP="00562B2A">
            <w:pPr>
              <w:spacing w:after="0" w:line="259" w:lineRule="auto"/>
              <w:ind w:left="0" w:right="156" w:firstLine="0"/>
              <w:jc w:val="left"/>
              <w:rPr>
                <w:b/>
                <w:bCs/>
                <w:color w:val="2F5496" w:themeColor="accent1" w:themeShade="BF"/>
              </w:rPr>
            </w:pPr>
            <w:r w:rsidRPr="00FA7EB1">
              <w:t>Propósito Biodiversidade</w:t>
            </w:r>
          </w:p>
        </w:tc>
        <w:tc>
          <w:tcPr>
            <w:tcW w:w="6707" w:type="dxa"/>
            <w:tcBorders>
              <w:top w:val="single" w:sz="8" w:space="0" w:color="7D96AC"/>
              <w:bottom w:val="single" w:sz="8" w:space="0" w:color="7D96AC"/>
            </w:tcBorders>
            <w:shd w:val="clear" w:color="auto" w:fill="FFFFFF" w:themeFill="background1"/>
          </w:tcPr>
          <w:p w14:paraId="4E682EDB" w14:textId="7178B259" w:rsidR="00562B2A" w:rsidRPr="00D8145D" w:rsidRDefault="00794424" w:rsidP="006D6F38">
            <w:pPr>
              <w:spacing w:after="0" w:line="272" w:lineRule="auto"/>
              <w:ind w:left="0" w:firstLine="0"/>
            </w:pPr>
            <w:r w:rsidRPr="00293CC6">
              <w:t xml:space="preserve">A despesa </w:t>
            </w:r>
            <w:r>
              <w:t xml:space="preserve">pode ser </w:t>
            </w:r>
            <w:r w:rsidRPr="00293CC6">
              <w:t xml:space="preserve">classificada com </w:t>
            </w:r>
            <w:r w:rsidR="00491905">
              <w:t>P</w:t>
            </w:r>
            <w:r w:rsidRPr="00293CC6">
              <w:t xml:space="preserve">ropósito </w:t>
            </w:r>
            <w:r w:rsidR="00491905">
              <w:t>P</w:t>
            </w:r>
            <w:r w:rsidRPr="00293CC6">
              <w:t>rincipal</w:t>
            </w:r>
            <w:r>
              <w:t xml:space="preserve"> </w:t>
            </w:r>
            <w:r w:rsidR="00491905">
              <w:t>S</w:t>
            </w:r>
            <w:r>
              <w:t>ecundário</w:t>
            </w:r>
            <w:r w:rsidR="00491905">
              <w:t xml:space="preserve"> Positivo</w:t>
            </w:r>
            <w:r w:rsidRPr="00293CC6">
              <w:t xml:space="preserve"> do eixo "</w:t>
            </w:r>
            <w:r w:rsidRPr="002F3536">
              <w:t xml:space="preserve"> Biodiversidade</w:t>
            </w:r>
            <w:r w:rsidRPr="00293CC6">
              <w:t>"</w:t>
            </w:r>
            <w:r>
              <w:t>.</w:t>
            </w:r>
            <w:r w:rsidR="003B0346">
              <w:t xml:space="preserve"> </w:t>
            </w:r>
            <w:r w:rsidR="002F3536" w:rsidRPr="002F3536">
              <w:t xml:space="preserve">A despesa classificada com </w:t>
            </w:r>
            <w:r w:rsidR="00491905">
              <w:t>P</w:t>
            </w:r>
            <w:r w:rsidR="002F3536" w:rsidRPr="002F3536">
              <w:t xml:space="preserve">ropósito </w:t>
            </w:r>
            <w:r w:rsidR="00491905">
              <w:t>P</w:t>
            </w:r>
            <w:r w:rsidR="002F3536" w:rsidRPr="002F3536">
              <w:t xml:space="preserve">rincipal do eixo "Biodiversidade" é aquela cuja finalidade primária é a proteção do solo, das águas superficiais e subterrâneas, da biodiversidade ou das paisagens, ou cuja finalidade primária é o gerenciamento de recursos </w:t>
            </w:r>
            <w:r w:rsidR="002F3536" w:rsidRPr="002F3536">
              <w:lastRenderedPageBreak/>
              <w:t xml:space="preserve">florestais. </w:t>
            </w:r>
            <w:r w:rsidR="003B0346">
              <w:t xml:space="preserve"> </w:t>
            </w:r>
            <w:r w:rsidR="00755658" w:rsidRPr="00755658">
              <w:t xml:space="preserve">A despesa classificada com </w:t>
            </w:r>
            <w:r w:rsidR="00491905">
              <w:t>P</w:t>
            </w:r>
            <w:r w:rsidR="00755658" w:rsidRPr="00755658">
              <w:t xml:space="preserve">ropósito </w:t>
            </w:r>
            <w:r w:rsidR="00491905">
              <w:t>S</w:t>
            </w:r>
            <w:r w:rsidR="00755658" w:rsidRPr="00755658">
              <w:t xml:space="preserve">ecundário </w:t>
            </w:r>
            <w:r w:rsidR="00491905">
              <w:t>P</w:t>
            </w:r>
            <w:r w:rsidR="00755658" w:rsidRPr="00755658">
              <w:t>ositivo no eixo "Biodiversidade" é aquela cuja finalidade secundária é a proteção do solo, das águas superficiais e subterrâneas, da biodiversidade ou das paisagens, ou cuja finalidade secundária é o gerenciamento de recursos florestais.</w:t>
            </w:r>
          </w:p>
        </w:tc>
      </w:tr>
      <w:tr w:rsidR="00562B2A" w:rsidRPr="00A05262" w14:paraId="076FBA5D" w14:textId="77777777" w:rsidTr="00AA74B0">
        <w:tblPrEx>
          <w:tblCellMar>
            <w:top w:w="41" w:type="dxa"/>
            <w:right w:w="30" w:type="dxa"/>
          </w:tblCellMar>
        </w:tblPrEx>
        <w:trPr>
          <w:trHeight w:val="497"/>
        </w:trPr>
        <w:tc>
          <w:tcPr>
            <w:tcW w:w="3100" w:type="dxa"/>
            <w:tcBorders>
              <w:top w:val="single" w:sz="8" w:space="0" w:color="7D96AC"/>
              <w:left w:val="nil"/>
              <w:bottom w:val="single" w:sz="8" w:space="0" w:color="7D96AC"/>
              <w:right w:val="nil"/>
            </w:tcBorders>
          </w:tcPr>
          <w:p w14:paraId="35CFC59F" w14:textId="7F6C4DD8" w:rsidR="00562B2A" w:rsidRPr="002A34B8" w:rsidRDefault="00562B2A" w:rsidP="00562B2A">
            <w:pPr>
              <w:spacing w:after="0" w:line="259" w:lineRule="auto"/>
              <w:ind w:left="0" w:right="157" w:firstLine="0"/>
              <w:jc w:val="left"/>
              <w:rPr>
                <w:b/>
                <w:bCs/>
                <w:color w:val="2F5496" w:themeColor="accent1" w:themeShade="BF"/>
              </w:rPr>
            </w:pPr>
            <w:r w:rsidRPr="00FA7EB1">
              <w:lastRenderedPageBreak/>
              <w:t>Categoria Biodiversidade</w:t>
            </w:r>
          </w:p>
        </w:tc>
        <w:tc>
          <w:tcPr>
            <w:tcW w:w="6707" w:type="dxa"/>
            <w:tcBorders>
              <w:top w:val="single" w:sz="8" w:space="0" w:color="7D96AC"/>
              <w:left w:val="nil"/>
              <w:bottom w:val="single" w:sz="8" w:space="0" w:color="7D96AC"/>
              <w:right w:val="nil"/>
            </w:tcBorders>
          </w:tcPr>
          <w:p w14:paraId="7EDD360E" w14:textId="47718F5F" w:rsidR="00562B2A" w:rsidRPr="00A05262" w:rsidRDefault="00F72391" w:rsidP="00C650F7">
            <w:pPr>
              <w:spacing w:after="0" w:line="259" w:lineRule="auto"/>
              <w:ind w:left="0" w:firstLine="0"/>
            </w:pPr>
            <w:r>
              <w:t>As categorias adotadas para o eixo “</w:t>
            </w:r>
            <w:r w:rsidRPr="00FA7EB1">
              <w:t>Biodiversidade</w:t>
            </w:r>
            <w:r>
              <w:t>” indicam três finalidades de gasto possíveis: “1. Proteção do solo, das águas superficiais e subterrâneas”</w:t>
            </w:r>
            <w:r w:rsidR="006C225F">
              <w:t>;</w:t>
            </w:r>
            <w:r>
              <w:t xml:space="preserve"> “2. Proteção da biodiversidade e da paisagem”</w:t>
            </w:r>
            <w:r w:rsidR="006C225F">
              <w:t>;</w:t>
            </w:r>
            <w:r>
              <w:t xml:space="preserve"> e “3. Gerenciamento de recursos florestais”.</w:t>
            </w:r>
            <w:r w:rsidR="002F62AB">
              <w:t xml:space="preserve"> </w:t>
            </w:r>
            <w:r w:rsidR="00D34B76">
              <w:t>Elas estão</w:t>
            </w:r>
            <w:r w:rsidR="00C650F7">
              <w:t xml:space="preserve"> rigorosamente alinhadas aos respectivos grupos da divisão </w:t>
            </w:r>
            <w:r w:rsidR="00C650F7" w:rsidRPr="00D757D1">
              <w:rPr>
                <w:i/>
                <w:iCs/>
              </w:rPr>
              <w:t>“05 Soil, surface and groundwater, biodiversity and forest”</w:t>
            </w:r>
            <w:r w:rsidR="00C650F7">
              <w:t xml:space="preserve"> da metodologia</w:t>
            </w:r>
            <w:r w:rsidR="00D34B76">
              <w:t xml:space="preserve"> </w:t>
            </w:r>
            <w:r w:rsidR="00C650F7" w:rsidRPr="00C6672F">
              <w:rPr>
                <w:i/>
                <w:iCs/>
              </w:rPr>
              <w:t>Classification of Environmental Purposes – CEP (Eurostat, 2024</w:t>
            </w:r>
            <w:r w:rsidR="00C650F7" w:rsidRPr="00A05262">
              <w:t>)</w:t>
            </w:r>
            <w:r w:rsidR="00A05262" w:rsidRPr="00A05262">
              <w:t>, o que permite uma com</w:t>
            </w:r>
            <w:r w:rsidR="00A05262">
              <w:t>paração internacional.</w:t>
            </w:r>
          </w:p>
        </w:tc>
      </w:tr>
      <w:tr w:rsidR="00562B2A" w14:paraId="53C4785C" w14:textId="77777777" w:rsidTr="00AA74B0">
        <w:tblPrEx>
          <w:tblCellMar>
            <w:top w:w="41" w:type="dxa"/>
            <w:right w:w="30" w:type="dxa"/>
          </w:tblCellMar>
        </w:tblPrEx>
        <w:trPr>
          <w:trHeight w:val="260"/>
        </w:trPr>
        <w:tc>
          <w:tcPr>
            <w:tcW w:w="3100" w:type="dxa"/>
            <w:tcBorders>
              <w:top w:val="single" w:sz="8" w:space="0" w:color="7D96AC"/>
              <w:left w:val="nil"/>
              <w:bottom w:val="single" w:sz="8" w:space="0" w:color="7D96AC"/>
              <w:right w:val="nil"/>
            </w:tcBorders>
          </w:tcPr>
          <w:p w14:paraId="644D3E40" w14:textId="2B4EC99C" w:rsidR="00562B2A" w:rsidRPr="002A34B8" w:rsidRDefault="00562B2A" w:rsidP="00562B2A">
            <w:pPr>
              <w:spacing w:after="0" w:line="259" w:lineRule="auto"/>
              <w:ind w:left="0" w:right="157" w:firstLine="0"/>
              <w:jc w:val="left"/>
              <w:rPr>
                <w:b/>
                <w:bCs/>
                <w:color w:val="2F5496" w:themeColor="accent1" w:themeShade="BF"/>
              </w:rPr>
            </w:pPr>
            <w:r w:rsidRPr="00FA7EB1">
              <w:t>Subcategoria Biodiversidade</w:t>
            </w:r>
          </w:p>
        </w:tc>
        <w:tc>
          <w:tcPr>
            <w:tcW w:w="6707" w:type="dxa"/>
            <w:tcBorders>
              <w:top w:val="single" w:sz="8" w:space="0" w:color="7D96AC"/>
              <w:left w:val="nil"/>
              <w:bottom w:val="single" w:sz="8" w:space="0" w:color="7D96AC"/>
              <w:right w:val="nil"/>
            </w:tcBorders>
          </w:tcPr>
          <w:p w14:paraId="025A0D7F" w14:textId="651EF14C" w:rsidR="00562B2A" w:rsidRDefault="00CD52C0" w:rsidP="00650E85">
            <w:pPr>
              <w:spacing w:after="0" w:line="259" w:lineRule="auto"/>
              <w:ind w:left="0" w:firstLine="0"/>
            </w:pPr>
            <w:r>
              <w:t>As subcategorias adotadas para o eixo “</w:t>
            </w:r>
            <w:r w:rsidRPr="00FA7EB1">
              <w:t>Biodiversidade</w:t>
            </w:r>
            <w:r>
              <w:t>”</w:t>
            </w:r>
            <w:r w:rsidR="009B625B">
              <w:t xml:space="preserve"> </w:t>
            </w:r>
            <w:r w:rsidR="00307E77">
              <w:t>indicam detalhamento das finalidades de gasto possíveis</w:t>
            </w:r>
            <w:r w:rsidR="00FD56C9">
              <w:t xml:space="preserve"> que são</w:t>
            </w:r>
            <w:r w:rsidR="00E62677">
              <w:t xml:space="preserve"> predefinidas </w:t>
            </w:r>
            <w:r w:rsidR="00141D9C">
              <w:t xml:space="preserve">e </w:t>
            </w:r>
            <w:r w:rsidR="009B625B">
              <w:t>estão associadas a cada uma das três categorias descritas no dado anterior</w:t>
            </w:r>
            <w:r w:rsidR="00257CFA">
              <w:t xml:space="preserve">. </w:t>
            </w:r>
            <w:r w:rsidR="002C4EE5">
              <w:t>As</w:t>
            </w:r>
            <w:r w:rsidR="002F198C">
              <w:t xml:space="preserve"> subcategorias vinculadas à categoria “1. Proteção do solo, das águas superficiais e subterrâneas” podem ser: </w:t>
            </w:r>
            <w:r w:rsidR="00C733D2">
              <w:t>“</w:t>
            </w:r>
            <w:r w:rsidR="002F198C">
              <w:t>1.1 Prevenção de infiltração de poluentes dentro do solo e dos corpos d’água</w:t>
            </w:r>
            <w:r w:rsidR="00C733D2">
              <w:t>”</w:t>
            </w:r>
            <w:r w:rsidR="002F198C">
              <w:t xml:space="preserve">; </w:t>
            </w:r>
            <w:r w:rsidR="00C733D2">
              <w:t>“</w:t>
            </w:r>
            <w:r w:rsidR="002F198C">
              <w:t>1.2 Limpeza do solo e dos corpos d’água</w:t>
            </w:r>
            <w:r w:rsidR="00C733D2">
              <w:t>”</w:t>
            </w:r>
            <w:r w:rsidR="002F198C">
              <w:t xml:space="preserve">; </w:t>
            </w:r>
            <w:r w:rsidR="00C733D2">
              <w:t>“</w:t>
            </w:r>
            <w:r w:rsidR="002F198C">
              <w:t>1.3 Proteção contra erosão e outras degradações físicas do solo e da água</w:t>
            </w:r>
            <w:r w:rsidR="00C733D2">
              <w:t>”</w:t>
            </w:r>
            <w:r w:rsidR="002F198C">
              <w:t xml:space="preserve">; </w:t>
            </w:r>
            <w:r w:rsidR="00C733D2">
              <w:t>“</w:t>
            </w:r>
            <w:r w:rsidR="002F198C">
              <w:t>1.4 Proteção e remediação do solo e da salinidade da água subterrânea</w:t>
            </w:r>
            <w:r w:rsidR="00C733D2">
              <w:t>”</w:t>
            </w:r>
            <w:r w:rsidR="002F198C">
              <w:t xml:space="preserve">; </w:t>
            </w:r>
            <w:r w:rsidR="00C733D2">
              <w:t>“</w:t>
            </w:r>
            <w:r w:rsidR="002F198C">
              <w:t>1.5 Monitoramento e medição do solo, das águas superficiais e subterrâneas</w:t>
            </w:r>
            <w:r w:rsidR="00C733D2">
              <w:t xml:space="preserve">”; </w:t>
            </w:r>
            <w:r w:rsidR="00B71AA9">
              <w:t xml:space="preserve">e </w:t>
            </w:r>
            <w:r w:rsidR="00C733D2">
              <w:t>“</w:t>
            </w:r>
            <w:r w:rsidR="00C733D2" w:rsidRPr="00C733D2">
              <w:t>1.9 Outras subcategorias não especificadas para proteção do solo, das águas superficiais e subterrâneas</w:t>
            </w:r>
            <w:r w:rsidR="00C733D2">
              <w:t>”</w:t>
            </w:r>
            <w:r w:rsidR="002F198C">
              <w:t xml:space="preserve">. As subcategorias vinculadas à categoria “2. Proteção da biodiversidade e da paisagem” podem ser: </w:t>
            </w:r>
            <w:r w:rsidR="00C709A1">
              <w:t>“</w:t>
            </w:r>
            <w:r w:rsidR="002F7EEB" w:rsidRPr="002F7EEB">
              <w:t>2.1 Proteção e reabilitação de espécies e habitats</w:t>
            </w:r>
            <w:r w:rsidR="00C709A1">
              <w:t>”; “</w:t>
            </w:r>
            <w:r w:rsidR="004445AE" w:rsidRPr="004445AE">
              <w:t>2.2 Proteção de paisagens naturais e seminaturais</w:t>
            </w:r>
            <w:r w:rsidR="00C709A1">
              <w:t>”; “</w:t>
            </w:r>
            <w:r w:rsidR="004445AE" w:rsidRPr="004445AE">
              <w:t>2.3 Monitoramento e medição da proteção da biodiversidade e paisagem</w:t>
            </w:r>
            <w:r w:rsidR="00C709A1">
              <w:t xml:space="preserve">”; </w:t>
            </w:r>
            <w:r w:rsidR="00813465">
              <w:t xml:space="preserve">e </w:t>
            </w:r>
            <w:r w:rsidR="00C709A1">
              <w:t>“</w:t>
            </w:r>
            <w:r w:rsidR="004445AE" w:rsidRPr="004445AE">
              <w:t>2.9 Outras subcategorias para a proteção da diversidade biológica e paisagística</w:t>
            </w:r>
            <w:r w:rsidR="00C709A1">
              <w:t>”.</w:t>
            </w:r>
            <w:r w:rsidR="00B90EFC">
              <w:t xml:space="preserve"> Por fim, as subcategorias vinculadas à categoria “</w:t>
            </w:r>
            <w:r w:rsidR="00C8678D">
              <w:t>3. Gerenciamento de recursos florestais”</w:t>
            </w:r>
            <w:r w:rsidR="00B90EFC">
              <w:t xml:space="preserve"> podem ser: “</w:t>
            </w:r>
            <w:r w:rsidR="00AB224F" w:rsidRPr="00AB224F">
              <w:t>3.1 Reflorestamento, florestamento e gestão de terras relacionadas a florestas</w:t>
            </w:r>
            <w:r w:rsidR="00B90EFC">
              <w:t>”; “</w:t>
            </w:r>
            <w:r w:rsidR="00AB224F" w:rsidRPr="00AB224F">
              <w:t>3.2 Proteção contra incêndios florestais</w:t>
            </w:r>
            <w:r w:rsidR="00B90EFC">
              <w:t>”; “</w:t>
            </w:r>
            <w:r w:rsidR="00650E85" w:rsidRPr="00650E85">
              <w:t>3.3 Monitoramento e medição dos recursos florestais</w:t>
            </w:r>
            <w:r w:rsidR="00B90EFC">
              <w:t xml:space="preserve">”; </w:t>
            </w:r>
            <w:r w:rsidR="00650E85">
              <w:t xml:space="preserve">e </w:t>
            </w:r>
            <w:r w:rsidR="00B90EFC">
              <w:t>“</w:t>
            </w:r>
            <w:r w:rsidR="00650E85" w:rsidRPr="00650E85">
              <w:t>3.9 Outras subcategorias para o gerenciamento de recursos florestais</w:t>
            </w:r>
            <w:r w:rsidR="00B90EFC">
              <w:t>”.</w:t>
            </w:r>
            <w:r w:rsidR="00B71AA9">
              <w:t xml:space="preserve"> </w:t>
            </w:r>
            <w:r>
              <w:t>E</w:t>
            </w:r>
            <w:r w:rsidR="00B71AA9">
              <w:t xml:space="preserve">ssas subcategorias </w:t>
            </w:r>
            <w:r>
              <w:t xml:space="preserve">estão rigorosamente alinhadas </w:t>
            </w:r>
            <w:r w:rsidR="00141D9C">
              <w:t>às</w:t>
            </w:r>
            <w:r>
              <w:t xml:space="preserve"> respectiv</w:t>
            </w:r>
            <w:r w:rsidR="00141D9C">
              <w:t>a</w:t>
            </w:r>
            <w:r>
              <w:t>s classes</w:t>
            </w:r>
            <w:r w:rsidR="00141D9C">
              <w:t xml:space="preserve"> de cada grupo (categoria)</w:t>
            </w:r>
            <w:r>
              <w:t xml:space="preserve"> da divisão </w:t>
            </w:r>
            <w:r w:rsidRPr="00D757D1">
              <w:rPr>
                <w:i/>
                <w:iCs/>
              </w:rPr>
              <w:t>“05 Soil, surface and groundwater, biodiversity and forest”</w:t>
            </w:r>
            <w:r>
              <w:t xml:space="preserve"> da metodologia </w:t>
            </w:r>
            <w:r w:rsidRPr="00C6672F">
              <w:rPr>
                <w:i/>
                <w:iCs/>
              </w:rPr>
              <w:t>Classification of Environmental Purposes – CEP (Eurostat, 2024</w:t>
            </w:r>
            <w:r w:rsidRPr="00A05262">
              <w:t>), o que permite uma com</w:t>
            </w:r>
            <w:r>
              <w:t>paração internacional.</w:t>
            </w:r>
          </w:p>
        </w:tc>
      </w:tr>
      <w:tr w:rsidR="00562B2A" w14:paraId="15DF4D1B" w14:textId="77777777" w:rsidTr="00AA74B0">
        <w:tblPrEx>
          <w:tblCellMar>
            <w:top w:w="41" w:type="dxa"/>
            <w:right w:w="30" w:type="dxa"/>
          </w:tblCellMar>
        </w:tblPrEx>
        <w:trPr>
          <w:trHeight w:val="268"/>
        </w:trPr>
        <w:tc>
          <w:tcPr>
            <w:tcW w:w="3100" w:type="dxa"/>
            <w:tcBorders>
              <w:top w:val="single" w:sz="8" w:space="0" w:color="7D96AC"/>
              <w:left w:val="nil"/>
              <w:bottom w:val="single" w:sz="8" w:space="0" w:color="7D96AC"/>
              <w:right w:val="nil"/>
            </w:tcBorders>
          </w:tcPr>
          <w:p w14:paraId="334A363F" w14:textId="761B84D1" w:rsidR="00562B2A" w:rsidRPr="002A34B8" w:rsidRDefault="00562B2A" w:rsidP="00562B2A">
            <w:pPr>
              <w:spacing w:after="0" w:line="259" w:lineRule="auto"/>
              <w:ind w:left="0" w:right="156" w:firstLine="0"/>
              <w:jc w:val="left"/>
              <w:rPr>
                <w:b/>
                <w:bCs/>
                <w:color w:val="2F5496" w:themeColor="accent1" w:themeShade="BF"/>
              </w:rPr>
            </w:pPr>
            <w:r w:rsidRPr="00FA7EB1">
              <w:t>Impacto Biodiversidade</w:t>
            </w:r>
          </w:p>
        </w:tc>
        <w:tc>
          <w:tcPr>
            <w:tcW w:w="6707" w:type="dxa"/>
            <w:tcBorders>
              <w:top w:val="single" w:sz="8" w:space="0" w:color="7D96AC"/>
              <w:left w:val="nil"/>
              <w:bottom w:val="single" w:sz="8" w:space="0" w:color="7D96AC"/>
              <w:right w:val="nil"/>
            </w:tcBorders>
          </w:tcPr>
          <w:p w14:paraId="410FCAAE" w14:textId="3102A0EC" w:rsidR="00562B2A" w:rsidRDefault="00C71B6C" w:rsidP="006D6F38">
            <w:pPr>
              <w:spacing w:after="0" w:line="259" w:lineRule="auto"/>
              <w:ind w:left="0" w:firstLine="0"/>
            </w:pPr>
            <w:r w:rsidRPr="00293CC6">
              <w:t xml:space="preserve">A despesa </w:t>
            </w:r>
            <w:r>
              <w:t xml:space="preserve">pode ser </w:t>
            </w:r>
            <w:r w:rsidRPr="00293CC6">
              <w:t>classificada com</w:t>
            </w:r>
            <w:r>
              <w:t>o</w:t>
            </w:r>
            <w:r w:rsidRPr="00293CC6">
              <w:t xml:space="preserve"> </w:t>
            </w:r>
            <w:r>
              <w:t>Impacto</w:t>
            </w:r>
            <w:r w:rsidRPr="00293CC6">
              <w:t xml:space="preserve"> </w:t>
            </w:r>
            <w:r>
              <w:t>Positivo ou Negativo</w:t>
            </w:r>
            <w:r w:rsidRPr="00293CC6">
              <w:t xml:space="preserve"> do eixo "</w:t>
            </w:r>
            <w:r w:rsidR="00BE54ED" w:rsidRPr="00C71B6C">
              <w:t>Biodiversidade</w:t>
            </w:r>
            <w:r w:rsidRPr="00293CC6">
              <w:t>"</w:t>
            </w:r>
            <w:r>
              <w:t xml:space="preserve">. </w:t>
            </w:r>
            <w:r w:rsidRPr="00784EA4">
              <w:t>As despesas são classificadas com</w:t>
            </w:r>
            <w:r>
              <w:t>o</w:t>
            </w:r>
            <w:r w:rsidRPr="00784EA4">
              <w:t xml:space="preserve"> </w:t>
            </w:r>
            <w:r>
              <w:t>I</w:t>
            </w:r>
            <w:r w:rsidRPr="00784EA4">
              <w:t xml:space="preserve">mpacto </w:t>
            </w:r>
            <w:r>
              <w:t>P</w:t>
            </w:r>
            <w:r w:rsidRPr="00784EA4">
              <w:t xml:space="preserve">ositivo </w:t>
            </w:r>
            <w:r w:rsidRPr="0076201C">
              <w:t>do eixo "</w:t>
            </w:r>
            <w:r w:rsidR="00BE54ED" w:rsidRPr="00C71B6C">
              <w:t>Biodiversidade</w:t>
            </w:r>
            <w:r w:rsidRPr="0076201C">
              <w:t>"</w:t>
            </w:r>
            <w:r>
              <w:t xml:space="preserve"> </w:t>
            </w:r>
            <w:r w:rsidRPr="00784EA4">
              <w:t>quando contribuem para</w:t>
            </w:r>
            <w:r w:rsidR="00F64924">
              <w:t xml:space="preserve"> </w:t>
            </w:r>
            <w:r w:rsidR="00BE5E16">
              <w:t xml:space="preserve">proteger </w:t>
            </w:r>
            <w:r w:rsidR="00F64924" w:rsidRPr="00F64924">
              <w:t xml:space="preserve">o solo, as águas superficiais e subterrâneas, a biodiversidade, as paisagens e </w:t>
            </w:r>
            <w:r w:rsidR="00755DC8">
              <w:t>para o</w:t>
            </w:r>
            <w:r w:rsidR="00F64924" w:rsidRPr="00F64924">
              <w:t xml:space="preserve"> gerenciamento de recursos florestais.</w:t>
            </w:r>
            <w:r>
              <w:t xml:space="preserve"> </w:t>
            </w:r>
            <w:r w:rsidRPr="00C71B6C">
              <w:t xml:space="preserve">As despesas são classificadas como Impacto Negativo do eixo "Biodiversidade" quando financiam atividades que têm impactos negativos substanciais, observáveis e potencialmente </w:t>
            </w:r>
            <w:r w:rsidRPr="00C71B6C">
              <w:lastRenderedPageBreak/>
              <w:t>mensuráveis sobre a proteção do solo, as águas superficiais e subterrâneas, a biodiversidade, as paisagens e sobre o gerenciamento de recursos florestais.</w:t>
            </w:r>
          </w:p>
        </w:tc>
      </w:tr>
      <w:tr w:rsidR="00562B2A" w14:paraId="2742C995" w14:textId="77777777" w:rsidTr="00AA74B0">
        <w:tblPrEx>
          <w:tblCellMar>
            <w:top w:w="41" w:type="dxa"/>
            <w:right w:w="30" w:type="dxa"/>
          </w:tblCellMar>
        </w:tblPrEx>
        <w:trPr>
          <w:trHeight w:val="326"/>
        </w:trPr>
        <w:tc>
          <w:tcPr>
            <w:tcW w:w="3100" w:type="dxa"/>
            <w:tcBorders>
              <w:top w:val="single" w:sz="8" w:space="0" w:color="7D96AC"/>
              <w:left w:val="nil"/>
              <w:bottom w:val="single" w:sz="8" w:space="0" w:color="7D96AC"/>
              <w:right w:val="nil"/>
            </w:tcBorders>
          </w:tcPr>
          <w:p w14:paraId="329DBAC2" w14:textId="1472083E" w:rsidR="00562B2A" w:rsidRPr="002A34B8" w:rsidRDefault="00562B2A" w:rsidP="00562B2A">
            <w:pPr>
              <w:spacing w:after="0" w:line="259" w:lineRule="auto"/>
              <w:ind w:left="0" w:right="158" w:firstLine="0"/>
              <w:jc w:val="left"/>
              <w:rPr>
                <w:b/>
                <w:bCs/>
                <w:color w:val="2F5496" w:themeColor="accent1" w:themeShade="BF"/>
              </w:rPr>
            </w:pPr>
            <w:r w:rsidRPr="00FA7EB1">
              <w:lastRenderedPageBreak/>
              <w:t>Propósito Gerenciamento de Riscos e Desastres</w:t>
            </w:r>
          </w:p>
        </w:tc>
        <w:tc>
          <w:tcPr>
            <w:tcW w:w="6707" w:type="dxa"/>
            <w:tcBorders>
              <w:top w:val="single" w:sz="8" w:space="0" w:color="7D96AC"/>
              <w:left w:val="nil"/>
              <w:bottom w:val="single" w:sz="8" w:space="0" w:color="7D96AC"/>
              <w:right w:val="nil"/>
            </w:tcBorders>
          </w:tcPr>
          <w:p w14:paraId="681275EC" w14:textId="70FA1E78" w:rsidR="00562B2A" w:rsidRDefault="00755658" w:rsidP="006D6F38">
            <w:pPr>
              <w:spacing w:after="0" w:line="259" w:lineRule="auto"/>
              <w:ind w:left="0" w:firstLine="0"/>
            </w:pPr>
            <w:r w:rsidRPr="00293CC6">
              <w:t xml:space="preserve">A despesa </w:t>
            </w:r>
            <w:r>
              <w:t xml:space="preserve">pode ser </w:t>
            </w:r>
            <w:r w:rsidRPr="00293CC6">
              <w:t xml:space="preserve">classificada com </w:t>
            </w:r>
            <w:r w:rsidR="00491905">
              <w:t>P</w:t>
            </w:r>
            <w:r w:rsidRPr="00293CC6">
              <w:t xml:space="preserve">ropósito </w:t>
            </w:r>
            <w:r w:rsidR="00491905">
              <w:t>P</w:t>
            </w:r>
            <w:r w:rsidRPr="00293CC6">
              <w:t>rincipal</w:t>
            </w:r>
            <w:r>
              <w:t xml:space="preserve"> ou </w:t>
            </w:r>
            <w:r w:rsidR="00491905">
              <w:t>S</w:t>
            </w:r>
            <w:r>
              <w:t>ecundário</w:t>
            </w:r>
            <w:r w:rsidR="001100E5">
              <w:t xml:space="preserve"> Positivo</w:t>
            </w:r>
            <w:r w:rsidRPr="00293CC6">
              <w:t xml:space="preserve"> do eixo </w:t>
            </w:r>
            <w:r w:rsidR="00644249" w:rsidRPr="00644249">
              <w:t>"Gerenciamento de Riscos e Desastres"</w:t>
            </w:r>
            <w:r>
              <w:t xml:space="preserve">. </w:t>
            </w:r>
            <w:r w:rsidR="00644249" w:rsidRPr="00644249">
              <w:t xml:space="preserve">A despesa classificada com </w:t>
            </w:r>
            <w:r w:rsidR="00491905">
              <w:t>P</w:t>
            </w:r>
            <w:r w:rsidR="00644249" w:rsidRPr="00644249">
              <w:t xml:space="preserve">ropósito </w:t>
            </w:r>
            <w:r w:rsidR="00491905">
              <w:t>P</w:t>
            </w:r>
            <w:r w:rsidR="00644249" w:rsidRPr="00644249">
              <w:t xml:space="preserve">rincipal do eixo "Gerenciamento de Riscos e Desastres" é aquela cuja finalidade primária é a identificação, avaliação e mitigação de riscos associados a desastres naturais, visando proteger vidas, propriedades e o meio ambiente. A despesa classificada com </w:t>
            </w:r>
            <w:r w:rsidR="00491905">
              <w:t>P</w:t>
            </w:r>
            <w:r w:rsidR="00644249" w:rsidRPr="00644249">
              <w:t xml:space="preserve">ropósito </w:t>
            </w:r>
            <w:r w:rsidR="00491905">
              <w:t>S</w:t>
            </w:r>
            <w:r w:rsidR="00644249" w:rsidRPr="00644249">
              <w:t xml:space="preserve">ecundário </w:t>
            </w:r>
            <w:r w:rsidR="001100E5">
              <w:t>Positivo</w:t>
            </w:r>
            <w:r w:rsidR="001100E5" w:rsidRPr="00293CC6">
              <w:t xml:space="preserve"> </w:t>
            </w:r>
            <w:r w:rsidR="00644249" w:rsidRPr="00644249">
              <w:t>do eixo "Gerenciamento de Riscos e Desastres" é aquela cuja finalidade secundária é a identificação, avaliação e mitigação de riscos associados a desastres naturais, visando proteger vidas, propriedades e o meio ambiente.</w:t>
            </w:r>
          </w:p>
        </w:tc>
      </w:tr>
      <w:tr w:rsidR="00562B2A" w14:paraId="2C81CC80" w14:textId="77777777" w:rsidTr="00AA74B0">
        <w:tblPrEx>
          <w:tblCellMar>
            <w:top w:w="41" w:type="dxa"/>
            <w:right w:w="30" w:type="dxa"/>
          </w:tblCellMar>
        </w:tblPrEx>
        <w:trPr>
          <w:trHeight w:val="361"/>
        </w:trPr>
        <w:tc>
          <w:tcPr>
            <w:tcW w:w="3100" w:type="dxa"/>
            <w:tcBorders>
              <w:top w:val="single" w:sz="8" w:space="0" w:color="7D96AC"/>
              <w:left w:val="nil"/>
              <w:bottom w:val="single" w:sz="8" w:space="0" w:color="7D96AC"/>
              <w:right w:val="nil"/>
            </w:tcBorders>
          </w:tcPr>
          <w:p w14:paraId="483C33B8" w14:textId="6A6248DA" w:rsidR="00562B2A" w:rsidRPr="002A34B8" w:rsidRDefault="00562B2A" w:rsidP="00562B2A">
            <w:pPr>
              <w:spacing w:after="0" w:line="259" w:lineRule="auto"/>
              <w:ind w:left="0" w:right="159" w:firstLine="0"/>
              <w:jc w:val="left"/>
              <w:rPr>
                <w:b/>
                <w:bCs/>
                <w:color w:val="2F5496" w:themeColor="accent1" w:themeShade="BF"/>
              </w:rPr>
            </w:pPr>
            <w:r w:rsidRPr="00FA7EB1">
              <w:t>Categoria Gerenciamento de Riscos e Desastres</w:t>
            </w:r>
          </w:p>
        </w:tc>
        <w:tc>
          <w:tcPr>
            <w:tcW w:w="6707" w:type="dxa"/>
            <w:tcBorders>
              <w:top w:val="single" w:sz="8" w:space="0" w:color="7D96AC"/>
              <w:left w:val="nil"/>
              <w:bottom w:val="single" w:sz="8" w:space="0" w:color="7D96AC"/>
              <w:right w:val="nil"/>
            </w:tcBorders>
          </w:tcPr>
          <w:p w14:paraId="269F92A7" w14:textId="0CE4ADB6" w:rsidR="00C23E91" w:rsidRDefault="00EF73F9" w:rsidP="00C23E91">
            <w:pPr>
              <w:spacing w:after="0" w:line="259" w:lineRule="auto"/>
              <w:ind w:left="0" w:firstLine="0"/>
            </w:pPr>
            <w:r>
              <w:t>As categorias adotadas para o eixo “</w:t>
            </w:r>
            <w:r w:rsidRPr="00FA7EB1">
              <w:t>Gerenciamento de Riscos e Desastres</w:t>
            </w:r>
            <w:r>
              <w:t>” indicam quatro finalidades de gasto possíveis: “</w:t>
            </w:r>
            <w:r w:rsidR="00C23E91">
              <w:t>1. Compreensão do risco de desastres”; “2. Governança do risco de desastres”; “3. Redução</w:t>
            </w:r>
          </w:p>
          <w:p w14:paraId="4898E479" w14:textId="29242B2C" w:rsidR="00562B2A" w:rsidRDefault="00C23E91" w:rsidP="00B23EC7">
            <w:pPr>
              <w:spacing w:after="0" w:line="259" w:lineRule="auto"/>
              <w:ind w:left="0" w:firstLine="0"/>
            </w:pPr>
            <w:r>
              <w:t>do risco de desastres</w:t>
            </w:r>
            <w:r w:rsidR="002E35ED">
              <w:t>”; e “4. Resposta e recuperação de desastres”</w:t>
            </w:r>
            <w:r w:rsidR="00EF73F9">
              <w:t>.</w:t>
            </w:r>
            <w:r w:rsidR="00F043A6">
              <w:t xml:space="preserve"> Elas refletem as quatro prioridades do Quadro de Sendai para Redução de Risco de Desastres 2015-2030.</w:t>
            </w:r>
            <w:r w:rsidR="0010763A">
              <w:t xml:space="preserve"> Assim, as três primeiras categorias representam atividades ou projetos realizados antes que ocorram os desastres</w:t>
            </w:r>
            <w:r w:rsidR="004318D5">
              <w:t xml:space="preserve"> </w:t>
            </w:r>
            <w:r w:rsidR="0010763A">
              <w:t xml:space="preserve">(ações </w:t>
            </w:r>
            <w:r w:rsidR="0010763A" w:rsidRPr="007D2CB5">
              <w:rPr>
                <w:i/>
                <w:iCs/>
              </w:rPr>
              <w:t>ex ante</w:t>
            </w:r>
            <w:r w:rsidR="0010763A">
              <w:t xml:space="preserve"> ou proativas). </w:t>
            </w:r>
            <w:r w:rsidR="005E4F34">
              <w:t>Os</w:t>
            </w:r>
            <w:r w:rsidR="0010763A">
              <w:t xml:space="preserve"> objetivos</w:t>
            </w:r>
            <w:r w:rsidR="005E4F34">
              <w:t xml:space="preserve"> dessas três categorias</w:t>
            </w:r>
            <w:r w:rsidR="0010763A">
              <w:t xml:space="preserve"> são fortalecer a compreensão, a governança e preparar infraestruturas resilientes para reduzir o risco de desastres.</w:t>
            </w:r>
            <w:r w:rsidR="00CE6CD3">
              <w:t xml:space="preserve"> Já</w:t>
            </w:r>
            <w:r w:rsidR="0010763A">
              <w:t xml:space="preserve"> a quarta categoria abrange ações de resposta ou recuperação durante ou após a ocorrência de desastres</w:t>
            </w:r>
            <w:r w:rsidR="004318D5">
              <w:t xml:space="preserve"> </w:t>
            </w:r>
            <w:r w:rsidR="0010763A">
              <w:t xml:space="preserve">(ações </w:t>
            </w:r>
            <w:r w:rsidR="0010763A" w:rsidRPr="007D2CB5">
              <w:rPr>
                <w:i/>
                <w:iCs/>
              </w:rPr>
              <w:t>ex post</w:t>
            </w:r>
            <w:r w:rsidR="0010763A">
              <w:t xml:space="preserve"> ou reativas). Isso inclui tanto as atividades necessárias para uma resposta eficaz (como</w:t>
            </w:r>
            <w:r w:rsidR="004318D5">
              <w:t xml:space="preserve"> </w:t>
            </w:r>
            <w:r w:rsidR="0010763A">
              <w:t>sistemas de alerta e planos de evacuação), quanto as ações de recuperação durante e após desastres,</w:t>
            </w:r>
            <w:r w:rsidR="004318D5">
              <w:t xml:space="preserve"> </w:t>
            </w:r>
            <w:r w:rsidR="0010763A">
              <w:t>como prestação de serviços básicos às populações afetadas, recuperação de ativos fixos e reconstrução</w:t>
            </w:r>
            <w:r w:rsidR="004318D5">
              <w:t xml:space="preserve"> </w:t>
            </w:r>
            <w:r w:rsidR="0010763A">
              <w:t>de infraestrutura danificada.</w:t>
            </w:r>
          </w:p>
        </w:tc>
      </w:tr>
      <w:tr w:rsidR="00562B2A" w14:paraId="053A0A1B" w14:textId="77777777" w:rsidTr="00AA74B0">
        <w:tblPrEx>
          <w:tblCellMar>
            <w:top w:w="41" w:type="dxa"/>
            <w:right w:w="30" w:type="dxa"/>
          </w:tblCellMar>
        </w:tblPrEx>
        <w:trPr>
          <w:trHeight w:val="367"/>
        </w:trPr>
        <w:tc>
          <w:tcPr>
            <w:tcW w:w="3100" w:type="dxa"/>
            <w:tcBorders>
              <w:top w:val="single" w:sz="8" w:space="0" w:color="7D96AC"/>
              <w:left w:val="nil"/>
              <w:bottom w:val="single" w:sz="8" w:space="0" w:color="7D96AC"/>
              <w:right w:val="nil"/>
            </w:tcBorders>
          </w:tcPr>
          <w:p w14:paraId="7CA27051" w14:textId="0AB0828C" w:rsidR="00562B2A" w:rsidRPr="002A34B8" w:rsidRDefault="00562B2A" w:rsidP="00562B2A">
            <w:pPr>
              <w:spacing w:after="0" w:line="259" w:lineRule="auto"/>
              <w:ind w:left="0" w:right="159" w:firstLine="0"/>
              <w:jc w:val="left"/>
              <w:rPr>
                <w:b/>
                <w:bCs/>
                <w:color w:val="2F5496" w:themeColor="accent1" w:themeShade="BF"/>
              </w:rPr>
            </w:pPr>
            <w:r w:rsidRPr="00FA7EB1">
              <w:t>Impacto Gerenciamento de Riscos e Desastres</w:t>
            </w:r>
          </w:p>
        </w:tc>
        <w:tc>
          <w:tcPr>
            <w:tcW w:w="6707" w:type="dxa"/>
            <w:tcBorders>
              <w:top w:val="single" w:sz="8" w:space="0" w:color="7D96AC"/>
              <w:left w:val="nil"/>
              <w:bottom w:val="single" w:sz="8" w:space="0" w:color="7D96AC"/>
              <w:right w:val="nil"/>
            </w:tcBorders>
          </w:tcPr>
          <w:p w14:paraId="7EBBC9CF" w14:textId="7142458B" w:rsidR="00562B2A" w:rsidRDefault="00E3098E" w:rsidP="006D6F38">
            <w:pPr>
              <w:spacing w:after="0" w:line="259" w:lineRule="auto"/>
              <w:ind w:left="0" w:firstLine="0"/>
            </w:pPr>
            <w:r w:rsidRPr="00293CC6">
              <w:t xml:space="preserve">A despesa </w:t>
            </w:r>
            <w:r>
              <w:t xml:space="preserve">pode ser </w:t>
            </w:r>
            <w:r w:rsidRPr="00293CC6">
              <w:t>classificada com</w:t>
            </w:r>
            <w:r>
              <w:t>o</w:t>
            </w:r>
            <w:r w:rsidRPr="00293CC6">
              <w:t xml:space="preserve"> </w:t>
            </w:r>
            <w:r>
              <w:t>Impacto</w:t>
            </w:r>
            <w:r w:rsidRPr="00293CC6">
              <w:t xml:space="preserve"> </w:t>
            </w:r>
            <w:r>
              <w:t>Positivo ou Negativo</w:t>
            </w:r>
            <w:r w:rsidRPr="00293CC6">
              <w:t xml:space="preserve"> do eixo "</w:t>
            </w:r>
            <w:r w:rsidRPr="00644249">
              <w:t>Gerenciamento de Riscos e Desastres</w:t>
            </w:r>
            <w:r w:rsidRPr="00293CC6">
              <w:t>"</w:t>
            </w:r>
            <w:r w:rsidR="007060AA">
              <w:t xml:space="preserve"> (GRD)</w:t>
            </w:r>
            <w:r>
              <w:t xml:space="preserve">. </w:t>
            </w:r>
            <w:r w:rsidRPr="00784EA4">
              <w:t>As despesas são classificadas com</w:t>
            </w:r>
            <w:r>
              <w:t>o</w:t>
            </w:r>
            <w:r w:rsidRPr="00784EA4">
              <w:t xml:space="preserve"> </w:t>
            </w:r>
            <w:r>
              <w:t>I</w:t>
            </w:r>
            <w:r w:rsidRPr="00784EA4">
              <w:t xml:space="preserve">mpacto </w:t>
            </w:r>
            <w:r>
              <w:t>P</w:t>
            </w:r>
            <w:r w:rsidRPr="00784EA4">
              <w:t xml:space="preserve">ositivo </w:t>
            </w:r>
            <w:r w:rsidRPr="0076201C">
              <w:t>do eixo "</w:t>
            </w:r>
            <w:r w:rsidRPr="00644249">
              <w:t>Gerenciamento de Riscos e Desastres</w:t>
            </w:r>
            <w:r w:rsidRPr="0076201C">
              <w:t>"</w:t>
            </w:r>
            <w:r>
              <w:t xml:space="preserve"> </w:t>
            </w:r>
            <w:r w:rsidRPr="00784EA4">
              <w:t>quando contribuem para</w:t>
            </w:r>
            <w:r>
              <w:t xml:space="preserve"> </w:t>
            </w:r>
            <w:r w:rsidR="004B26D8">
              <w:t xml:space="preserve">o </w:t>
            </w:r>
            <w:r w:rsidR="0053578A" w:rsidRPr="0053578A">
              <w:t>gerenciamento de riscos e desastres</w:t>
            </w:r>
            <w:r w:rsidRPr="00F64924">
              <w:t>.</w:t>
            </w:r>
            <w:r>
              <w:t xml:space="preserve"> </w:t>
            </w:r>
            <w:r w:rsidRPr="00C71B6C">
              <w:t>As despesas são classificadas como Impacto Negativo do eixo "</w:t>
            </w:r>
            <w:r w:rsidR="004F764E" w:rsidRPr="00644249">
              <w:t>Gerenciamento de Riscos e Desastres</w:t>
            </w:r>
            <w:r w:rsidRPr="00C71B6C">
              <w:t>" quando financiam atividades que têm impactos negativos substanciais, observáveis e potencialmente mensuráveis sobre</w:t>
            </w:r>
            <w:r w:rsidR="007060AA">
              <w:t xml:space="preserve"> o</w:t>
            </w:r>
            <w:r w:rsidRPr="00C71B6C">
              <w:t xml:space="preserve"> </w:t>
            </w:r>
            <w:r w:rsidR="004B26D8" w:rsidRPr="0053578A">
              <w:t>gerenciamento de riscos e desastres</w:t>
            </w:r>
            <w:r w:rsidRPr="00C71B6C">
              <w:t>.</w:t>
            </w:r>
            <w:r w:rsidR="007060AA">
              <w:t xml:space="preserve"> Na prática, não foram identificadas despesas com Impacto Negativo do eixo GRD.</w:t>
            </w:r>
          </w:p>
        </w:tc>
      </w:tr>
      <w:tr w:rsidR="00562B2A" w14:paraId="054C97D5" w14:textId="77777777" w:rsidTr="00AA74B0">
        <w:tblPrEx>
          <w:tblCellMar>
            <w:top w:w="41" w:type="dxa"/>
            <w:right w:w="30" w:type="dxa"/>
          </w:tblCellMar>
        </w:tblPrEx>
        <w:trPr>
          <w:trHeight w:val="988"/>
        </w:trPr>
        <w:tc>
          <w:tcPr>
            <w:tcW w:w="3100" w:type="dxa"/>
            <w:tcBorders>
              <w:top w:val="single" w:sz="8" w:space="0" w:color="7D96AC"/>
              <w:left w:val="nil"/>
              <w:bottom w:val="single" w:sz="8" w:space="0" w:color="7D96AC"/>
              <w:right w:val="nil"/>
            </w:tcBorders>
          </w:tcPr>
          <w:p w14:paraId="44818893" w14:textId="77D2A4D9" w:rsidR="00562B2A" w:rsidRPr="002A34B8" w:rsidRDefault="00562B2A" w:rsidP="00562B2A">
            <w:pPr>
              <w:spacing w:after="0" w:line="259" w:lineRule="auto"/>
              <w:ind w:left="0" w:right="159" w:firstLine="0"/>
              <w:jc w:val="left"/>
              <w:rPr>
                <w:b/>
                <w:bCs/>
                <w:color w:val="2F5496" w:themeColor="accent1" w:themeShade="BF"/>
              </w:rPr>
            </w:pPr>
            <w:r w:rsidRPr="00FA7EB1">
              <w:t>Despesa (deflacionado dez 2023)</w:t>
            </w:r>
          </w:p>
        </w:tc>
        <w:tc>
          <w:tcPr>
            <w:tcW w:w="6707" w:type="dxa"/>
            <w:tcBorders>
              <w:top w:val="single" w:sz="8" w:space="0" w:color="7D96AC"/>
              <w:left w:val="nil"/>
              <w:bottom w:val="single" w:sz="8" w:space="0" w:color="7D96AC"/>
              <w:right w:val="nil"/>
            </w:tcBorders>
          </w:tcPr>
          <w:p w14:paraId="38613C21" w14:textId="51F1FC1F" w:rsidR="00562B2A" w:rsidRPr="002C1AF1" w:rsidRDefault="00314743" w:rsidP="00FD5633">
            <w:pPr>
              <w:spacing w:after="0" w:line="259" w:lineRule="auto"/>
              <w:ind w:left="0" w:firstLine="0"/>
            </w:pPr>
            <w:r>
              <w:t>Valor da despesa</w:t>
            </w:r>
            <w:r w:rsidR="001A1D3F">
              <w:t xml:space="preserve"> </w:t>
            </w:r>
            <w:r w:rsidR="008E4850">
              <w:t>de cada programação orçamentária</w:t>
            </w:r>
            <w:r w:rsidR="001E124A">
              <w:t>,</w:t>
            </w:r>
            <w:r w:rsidR="008E4850">
              <w:t xml:space="preserve"> </w:t>
            </w:r>
            <w:r>
              <w:t>deflacionada a preços de dezembro de 2023</w:t>
            </w:r>
            <w:r w:rsidR="000C3BB4">
              <w:t xml:space="preserve"> </w:t>
            </w:r>
            <w:r w:rsidR="000C3BB4" w:rsidRPr="000C3BB4">
              <w:t>pelo Índice de Preço ao Consumidor Amplo (IPCA)</w:t>
            </w:r>
            <w:r w:rsidR="001E124A">
              <w:t>, a partir da despesa original</w:t>
            </w:r>
            <w:r>
              <w:t>.</w:t>
            </w:r>
          </w:p>
        </w:tc>
      </w:tr>
      <w:tr w:rsidR="00E3799A" w14:paraId="11A7ECEB" w14:textId="77777777" w:rsidTr="00990A17">
        <w:tblPrEx>
          <w:tblCellMar>
            <w:top w:w="41" w:type="dxa"/>
            <w:left w:w="70" w:type="dxa"/>
            <w:right w:w="70" w:type="dxa"/>
          </w:tblCellMar>
        </w:tblPrEx>
        <w:trPr>
          <w:trHeight w:val="902"/>
        </w:trPr>
        <w:tc>
          <w:tcPr>
            <w:tcW w:w="3100" w:type="dxa"/>
            <w:tcBorders>
              <w:top w:val="single" w:sz="8" w:space="0" w:color="7D96AC"/>
              <w:left w:val="nil"/>
              <w:bottom w:val="single" w:sz="8" w:space="0" w:color="7D96AC"/>
              <w:right w:val="nil"/>
            </w:tcBorders>
          </w:tcPr>
          <w:p w14:paraId="0FD7B8A8" w14:textId="4079F725" w:rsidR="00E3799A" w:rsidRPr="00FA7EB1" w:rsidRDefault="00E3799A" w:rsidP="00562B2A">
            <w:pPr>
              <w:spacing w:after="0" w:line="259" w:lineRule="auto"/>
              <w:ind w:left="0" w:right="159" w:firstLine="0"/>
              <w:jc w:val="left"/>
            </w:pPr>
            <w:r w:rsidRPr="00E3799A">
              <w:t>Despesa (original)</w:t>
            </w:r>
          </w:p>
        </w:tc>
        <w:tc>
          <w:tcPr>
            <w:tcW w:w="6707" w:type="dxa"/>
            <w:tcBorders>
              <w:top w:val="single" w:sz="8" w:space="0" w:color="7D96AC"/>
              <w:left w:val="nil"/>
              <w:bottom w:val="single" w:sz="8" w:space="0" w:color="7D96AC"/>
              <w:right w:val="nil"/>
            </w:tcBorders>
          </w:tcPr>
          <w:p w14:paraId="3F5AE0B5" w14:textId="5F4B8EA5" w:rsidR="007B7557" w:rsidRDefault="00314743" w:rsidP="007B7557">
            <w:pPr>
              <w:spacing w:after="0" w:line="259" w:lineRule="auto"/>
              <w:ind w:left="0" w:firstLine="0"/>
            </w:pPr>
            <w:r>
              <w:t>Valor da despesa</w:t>
            </w:r>
            <w:r w:rsidR="008E4850">
              <w:t xml:space="preserve"> de cada programação orçamentária,</w:t>
            </w:r>
            <w:r>
              <w:t xml:space="preserve"> </w:t>
            </w:r>
            <w:r w:rsidR="007B7557">
              <w:t xml:space="preserve">calculada da seguinte forma: </w:t>
            </w:r>
          </w:p>
          <w:p w14:paraId="1C6B62BD" w14:textId="77777777" w:rsidR="007B7557" w:rsidRDefault="007B7557" w:rsidP="007B7557">
            <w:pPr>
              <w:spacing w:after="0" w:line="259" w:lineRule="auto"/>
              <w:ind w:left="0" w:firstLine="0"/>
            </w:pPr>
            <w:r>
              <w:lastRenderedPageBreak/>
              <w:t>• As despesas, exceto transferências a outras unidades do Governo Geral, são apuradas pelo regime de competência correspondente à despesa liquidada, incluído o pagamento e a liquidação de restos a pagar não processados inscritos em exercícios anteriores;</w:t>
            </w:r>
          </w:p>
          <w:p w14:paraId="61D3B3DC" w14:textId="5EB79E1C" w:rsidR="00E3799A" w:rsidRPr="002C1AF1" w:rsidRDefault="007B7557" w:rsidP="007B7557">
            <w:pPr>
              <w:spacing w:after="0" w:line="259" w:lineRule="auto"/>
              <w:ind w:left="0" w:firstLine="0"/>
            </w:pPr>
            <w:r>
              <w:t>• As transferências a outras unidades do Governo Geral são apuradas pelo regime de caixa corresponde à despesa paga, incluídos os pagamentos de restos a pagar processados e não processados.</w:t>
            </w:r>
          </w:p>
        </w:tc>
      </w:tr>
      <w:tr w:rsidR="00A331ED" w14:paraId="1E2B8F25" w14:textId="77777777" w:rsidTr="00AA74B0">
        <w:tblPrEx>
          <w:tblCellMar>
            <w:top w:w="41" w:type="dxa"/>
            <w:right w:w="30" w:type="dxa"/>
          </w:tblCellMar>
        </w:tblPrEx>
        <w:trPr>
          <w:trHeight w:val="690"/>
        </w:trPr>
        <w:tc>
          <w:tcPr>
            <w:tcW w:w="3100" w:type="dxa"/>
            <w:tcBorders>
              <w:top w:val="single" w:sz="8" w:space="0" w:color="7D96AC"/>
              <w:left w:val="nil"/>
              <w:bottom w:val="single" w:sz="8" w:space="0" w:color="7D96AC"/>
              <w:right w:val="nil"/>
            </w:tcBorders>
          </w:tcPr>
          <w:p w14:paraId="4F01B235" w14:textId="77777777" w:rsidR="00A331ED" w:rsidRPr="002A34B8" w:rsidRDefault="00A331ED" w:rsidP="00845AD7">
            <w:pPr>
              <w:spacing w:after="446"/>
              <w:ind w:left="0" w:firstLine="0"/>
              <w:jc w:val="left"/>
              <w:rPr>
                <w:b/>
                <w:bCs/>
                <w:color w:val="2F5496" w:themeColor="accent1" w:themeShade="BF"/>
              </w:rPr>
            </w:pPr>
            <w:r w:rsidRPr="00FA7EB1">
              <w:lastRenderedPageBreak/>
              <w:t>Ponderador</w:t>
            </w:r>
          </w:p>
        </w:tc>
        <w:tc>
          <w:tcPr>
            <w:tcW w:w="6707" w:type="dxa"/>
            <w:tcBorders>
              <w:top w:val="single" w:sz="8" w:space="0" w:color="7D96AC"/>
              <w:left w:val="nil"/>
              <w:bottom w:val="single" w:sz="8" w:space="0" w:color="7D96AC"/>
              <w:right w:val="nil"/>
            </w:tcBorders>
          </w:tcPr>
          <w:p w14:paraId="0F1E72EC" w14:textId="0417DD06" w:rsidR="00A331ED" w:rsidRPr="002C1AF1" w:rsidRDefault="00186A10" w:rsidP="007B00C6">
            <w:pPr>
              <w:spacing w:after="0" w:line="259" w:lineRule="auto"/>
              <w:ind w:left="0" w:firstLine="0"/>
            </w:pPr>
            <w:r>
              <w:t>No Governo Central, há inúmeras ações orçamentárias para a construção de barragens. Contudo, tais ações orçamentárias possuem múltiplas finalidades: proteção contra enchentes, irrigação, abastecimento de água para</w:t>
            </w:r>
            <w:r w:rsidR="004E61E7">
              <w:t xml:space="preserve"> </w:t>
            </w:r>
            <w:r>
              <w:t>consumo humano, entre outros. Por compreender uma despesa relevante, optou-se por distribuir os</w:t>
            </w:r>
            <w:r w:rsidR="004E61E7">
              <w:t xml:space="preserve"> </w:t>
            </w:r>
            <w:r>
              <w:t>valores das ações orçamentárias entre as diversas classes da COFOG Ampliada, conforme a definição</w:t>
            </w:r>
            <w:r w:rsidR="004E61E7">
              <w:t xml:space="preserve"> </w:t>
            </w:r>
            <w:r>
              <w:t>quanto ao objetivo principal da barragem. Para isso, utilizou-se as informações do Sistema Nacional de</w:t>
            </w:r>
            <w:r w:rsidR="004E61E7">
              <w:t xml:space="preserve"> </w:t>
            </w:r>
            <w:r>
              <w:t xml:space="preserve">Informações sobre Segurança de Barragens (SNISB). </w:t>
            </w:r>
            <w:r w:rsidR="007B00C6">
              <w:t>O</w:t>
            </w:r>
            <w:r>
              <w:t>s percentuais utilizados</w:t>
            </w:r>
            <w:r w:rsidR="007B00C6">
              <w:t xml:space="preserve"> </w:t>
            </w:r>
            <w:r>
              <w:t>para a distribuição de gastos para construção de barragens em subfunções, classes e subclasses da COFOG Ampliada para o Governo Central</w:t>
            </w:r>
            <w:r w:rsidR="00586FCD">
              <w:t xml:space="preserve"> estão descritos no Quadro 13 do </w:t>
            </w:r>
            <w:hyperlink r:id="rId14" w:history="1">
              <w:r w:rsidR="00697A57" w:rsidRPr="00697A57">
                <w:rPr>
                  <w:rStyle w:val="Hyperlink"/>
                </w:rPr>
                <w:t>Relatório Final do Projeto Classificadores do Gasto Público em Mudança do Clima, Biodiversidade e Gestão de Riscos e Desastres</w:t>
              </w:r>
            </w:hyperlink>
            <w:r>
              <w:t>.</w:t>
            </w:r>
            <w:r w:rsidR="001F434A">
              <w:t xml:space="preserve"> Acesso em</w:t>
            </w:r>
            <w:r w:rsidR="008F4C34">
              <w:t>:</w:t>
            </w:r>
            <w:r w:rsidR="001F434A">
              <w:t xml:space="preserve"> 17 mar. 2026.</w:t>
            </w:r>
          </w:p>
        </w:tc>
      </w:tr>
    </w:tbl>
    <w:p w14:paraId="0A4AD258" w14:textId="4F71362F" w:rsidR="00084A6A" w:rsidRDefault="00084A6A">
      <w:pPr>
        <w:spacing w:after="160" w:line="259" w:lineRule="auto"/>
        <w:ind w:left="0" w:firstLine="0"/>
        <w:jc w:val="left"/>
        <w:rPr>
          <w:rFonts w:eastAsiaTheme="majorEastAsia" w:cstheme="majorBidi"/>
          <w:b/>
          <w:color w:val="auto"/>
          <w:spacing w:val="-10"/>
          <w:kern w:val="28"/>
          <w:sz w:val="24"/>
          <w:szCs w:val="56"/>
        </w:rPr>
      </w:pPr>
    </w:p>
    <w:sectPr w:rsidR="00084A6A" w:rsidSect="00DC7FDF">
      <w:headerReference w:type="default" r:id="rId15"/>
      <w:footerReference w:type="default" r:id="rId16"/>
      <w:pgSz w:w="11906" w:h="16838"/>
      <w:pgMar w:top="1099" w:right="1081" w:bottom="163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7557" w14:textId="77777777" w:rsidR="00007100" w:rsidRDefault="00007100" w:rsidP="007A1277">
      <w:pPr>
        <w:spacing w:after="0" w:line="240" w:lineRule="auto"/>
      </w:pPr>
      <w:r>
        <w:separator/>
      </w:r>
    </w:p>
  </w:endnote>
  <w:endnote w:type="continuationSeparator" w:id="0">
    <w:p w14:paraId="6BE19D7C" w14:textId="77777777" w:rsidR="00007100" w:rsidRDefault="00007100" w:rsidP="007A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81020"/>
      <w:docPartObj>
        <w:docPartGallery w:val="Page Numbers (Bottom of Page)"/>
        <w:docPartUnique/>
      </w:docPartObj>
    </w:sdtPr>
    <w:sdtContent>
      <w:p w14:paraId="6BC2CBE8" w14:textId="72456A85" w:rsidR="00854D79" w:rsidRDefault="00854D79">
        <w:pPr>
          <w:pStyle w:val="Rodap"/>
          <w:jc w:val="right"/>
        </w:pPr>
        <w:r>
          <w:fldChar w:fldCharType="begin"/>
        </w:r>
        <w:r>
          <w:instrText>PAGE   \* MERGEFORMAT</w:instrText>
        </w:r>
        <w:r>
          <w:fldChar w:fldCharType="separate"/>
        </w:r>
        <w:r>
          <w:t>2</w:t>
        </w:r>
        <w:r>
          <w:fldChar w:fldCharType="end"/>
        </w:r>
      </w:p>
    </w:sdtContent>
  </w:sdt>
  <w:p w14:paraId="5CDC32B1" w14:textId="77777777" w:rsidR="00854D79" w:rsidRDefault="00854D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430B" w14:textId="77777777" w:rsidR="00007100" w:rsidRDefault="00007100" w:rsidP="007A1277">
      <w:pPr>
        <w:spacing w:after="0" w:line="240" w:lineRule="auto"/>
      </w:pPr>
      <w:r>
        <w:separator/>
      </w:r>
    </w:p>
  </w:footnote>
  <w:footnote w:type="continuationSeparator" w:id="0">
    <w:p w14:paraId="5AC43DFA" w14:textId="77777777" w:rsidR="00007100" w:rsidRDefault="00007100" w:rsidP="007A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39D7" w14:textId="09972CED" w:rsidR="00C217E8" w:rsidRDefault="00C217E8" w:rsidP="003F3A53">
    <w:pPr>
      <w:pStyle w:val="cabecalhoalinhadoesquerda"/>
      <w:spacing w:before="0" w:beforeAutospacing="0" w:after="0" w:afterAutospacing="0"/>
      <w:ind w:left="-1418"/>
      <w:jc w:val="center"/>
      <w:rPr>
        <w:rFonts w:ascii="Calibri" w:hAnsi="Calibri" w:cs="Calibri"/>
        <w:color w:val="000000"/>
        <w:sz w:val="22"/>
        <w:szCs w:val="22"/>
      </w:rPr>
    </w:pPr>
    <w:r>
      <w:rPr>
        <w:rFonts w:ascii="Calibri" w:hAnsi="Calibri" w:cs="Calibri"/>
        <w:color w:val="000000"/>
        <w:sz w:val="22"/>
        <w:szCs w:val="22"/>
      </w:rPr>
      <w:t>MINISTÉRIO DO PLANEJAMENTO E ORÇAMENTO</w:t>
    </w:r>
  </w:p>
  <w:p w14:paraId="4DBFC093" w14:textId="77777777" w:rsidR="00C217E8" w:rsidRDefault="00C217E8" w:rsidP="003F3A53">
    <w:pPr>
      <w:pStyle w:val="cabecalhoalinhadoesquerda"/>
      <w:spacing w:before="0" w:beforeAutospacing="0" w:after="0" w:afterAutospacing="0"/>
      <w:ind w:left="-1418"/>
      <w:jc w:val="center"/>
      <w:rPr>
        <w:rFonts w:ascii="Calibri" w:hAnsi="Calibri" w:cs="Calibri"/>
        <w:color w:val="000000"/>
        <w:sz w:val="22"/>
        <w:szCs w:val="22"/>
      </w:rPr>
    </w:pPr>
    <w:r>
      <w:rPr>
        <w:rFonts w:ascii="Calibri" w:hAnsi="Calibri" w:cs="Calibri"/>
        <w:color w:val="000000"/>
        <w:sz w:val="22"/>
        <w:szCs w:val="22"/>
      </w:rPr>
      <w:t>Secretaria de Orçamento Federal</w:t>
    </w:r>
    <w:r>
      <w:rPr>
        <w:rFonts w:ascii="Calibri" w:hAnsi="Calibri" w:cs="Calibri"/>
        <w:color w:val="000000"/>
        <w:sz w:val="22"/>
        <w:szCs w:val="22"/>
      </w:rPr>
      <w:br/>
      <w:t>Subsecretaria de Temas Transversais</w:t>
    </w:r>
    <w:r>
      <w:rPr>
        <w:rFonts w:ascii="Calibri" w:hAnsi="Calibri" w:cs="Calibri"/>
        <w:color w:val="000000"/>
        <w:sz w:val="22"/>
        <w:szCs w:val="22"/>
      </w:rPr>
      <w:br/>
    </w:r>
    <w:r w:rsidRPr="009A5517">
      <w:rPr>
        <w:rFonts w:ascii="Calibri" w:hAnsi="Calibri" w:cs="Calibri"/>
        <w:color w:val="000000"/>
        <w:sz w:val="22"/>
        <w:szCs w:val="22"/>
      </w:rPr>
      <w:t>Coordenação-Geral de Avaliação e Temas Transversais</w:t>
    </w:r>
    <w:r>
      <w:rPr>
        <w:rFonts w:ascii="Calibri" w:hAnsi="Calibri" w:cs="Calibri"/>
        <w:color w:val="000000"/>
        <w:sz w:val="22"/>
        <w:szCs w:val="22"/>
      </w:rPr>
      <w:br/>
    </w:r>
    <w:r w:rsidRPr="009A5517">
      <w:rPr>
        <w:rFonts w:ascii="Calibri" w:hAnsi="Calibri" w:cs="Calibri"/>
        <w:color w:val="000000"/>
        <w:sz w:val="22"/>
        <w:szCs w:val="22"/>
      </w:rPr>
      <w:t>Coordenação de Avaliação e Acompanhamento Orçamentário</w:t>
    </w:r>
  </w:p>
  <w:p w14:paraId="1AABD81F" w14:textId="77777777" w:rsidR="007A1277" w:rsidRDefault="007A12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E5C3"/>
    <w:multiLevelType w:val="hybridMultilevel"/>
    <w:tmpl w:val="FFFFFFFF"/>
    <w:lvl w:ilvl="0" w:tplc="7026D864">
      <w:start w:val="56"/>
      <w:numFmt w:val="bullet"/>
      <w:lvlText w:val=""/>
      <w:lvlJc w:val="left"/>
      <w:pPr>
        <w:ind w:left="720" w:hanging="360"/>
      </w:pPr>
      <w:rPr>
        <w:rFonts w:ascii="Symbol" w:hAnsi="Symbol" w:hint="default"/>
      </w:rPr>
    </w:lvl>
    <w:lvl w:ilvl="1" w:tplc="F38CE950">
      <w:start w:val="1"/>
      <w:numFmt w:val="bullet"/>
      <w:lvlText w:val="o"/>
      <w:lvlJc w:val="left"/>
      <w:pPr>
        <w:ind w:left="1440" w:hanging="360"/>
      </w:pPr>
      <w:rPr>
        <w:rFonts w:ascii="Courier New" w:hAnsi="Courier New" w:hint="default"/>
      </w:rPr>
    </w:lvl>
    <w:lvl w:ilvl="2" w:tplc="492A5B22">
      <w:start w:val="1"/>
      <w:numFmt w:val="bullet"/>
      <w:lvlText w:val=""/>
      <w:lvlJc w:val="left"/>
      <w:pPr>
        <w:ind w:left="2160" w:hanging="360"/>
      </w:pPr>
      <w:rPr>
        <w:rFonts w:ascii="Wingdings" w:hAnsi="Wingdings" w:hint="default"/>
      </w:rPr>
    </w:lvl>
    <w:lvl w:ilvl="3" w:tplc="A3403F3C">
      <w:start w:val="1"/>
      <w:numFmt w:val="bullet"/>
      <w:lvlText w:val=""/>
      <w:lvlJc w:val="left"/>
      <w:pPr>
        <w:ind w:left="2880" w:hanging="360"/>
      </w:pPr>
      <w:rPr>
        <w:rFonts w:ascii="Symbol" w:hAnsi="Symbol" w:hint="default"/>
      </w:rPr>
    </w:lvl>
    <w:lvl w:ilvl="4" w:tplc="335EF19A">
      <w:start w:val="1"/>
      <w:numFmt w:val="bullet"/>
      <w:lvlText w:val="o"/>
      <w:lvlJc w:val="left"/>
      <w:pPr>
        <w:ind w:left="3600" w:hanging="360"/>
      </w:pPr>
      <w:rPr>
        <w:rFonts w:ascii="Courier New" w:hAnsi="Courier New" w:hint="default"/>
      </w:rPr>
    </w:lvl>
    <w:lvl w:ilvl="5" w:tplc="3918CA0A">
      <w:start w:val="1"/>
      <w:numFmt w:val="bullet"/>
      <w:lvlText w:val=""/>
      <w:lvlJc w:val="left"/>
      <w:pPr>
        <w:ind w:left="4320" w:hanging="360"/>
      </w:pPr>
      <w:rPr>
        <w:rFonts w:ascii="Wingdings" w:hAnsi="Wingdings" w:hint="default"/>
      </w:rPr>
    </w:lvl>
    <w:lvl w:ilvl="6" w:tplc="847ADF68">
      <w:start w:val="1"/>
      <w:numFmt w:val="bullet"/>
      <w:lvlText w:val=""/>
      <w:lvlJc w:val="left"/>
      <w:pPr>
        <w:ind w:left="5040" w:hanging="360"/>
      </w:pPr>
      <w:rPr>
        <w:rFonts w:ascii="Symbol" w:hAnsi="Symbol" w:hint="default"/>
      </w:rPr>
    </w:lvl>
    <w:lvl w:ilvl="7" w:tplc="27AC394A">
      <w:start w:val="1"/>
      <w:numFmt w:val="bullet"/>
      <w:lvlText w:val="o"/>
      <w:lvlJc w:val="left"/>
      <w:pPr>
        <w:ind w:left="5760" w:hanging="360"/>
      </w:pPr>
      <w:rPr>
        <w:rFonts w:ascii="Courier New" w:hAnsi="Courier New" w:hint="default"/>
      </w:rPr>
    </w:lvl>
    <w:lvl w:ilvl="8" w:tplc="5A6C3F12">
      <w:start w:val="1"/>
      <w:numFmt w:val="bullet"/>
      <w:lvlText w:val=""/>
      <w:lvlJc w:val="left"/>
      <w:pPr>
        <w:ind w:left="6480" w:hanging="360"/>
      </w:pPr>
      <w:rPr>
        <w:rFonts w:ascii="Wingdings" w:hAnsi="Wingdings" w:hint="default"/>
      </w:rPr>
    </w:lvl>
  </w:abstractNum>
  <w:abstractNum w:abstractNumId="1" w15:restartNumberingAfterBreak="0">
    <w:nsid w:val="353E3CF2"/>
    <w:multiLevelType w:val="hybridMultilevel"/>
    <w:tmpl w:val="6742A564"/>
    <w:lvl w:ilvl="0" w:tplc="D4AA2F00">
      <w:start w:val="1"/>
      <w:numFmt w:val="upperRoman"/>
      <w:lvlText w:val="%1."/>
      <w:lvlJc w:val="left"/>
      <w:pPr>
        <w:ind w:left="-679" w:hanging="720"/>
      </w:pPr>
      <w:rPr>
        <w:rFonts w:hint="default"/>
      </w:rPr>
    </w:lvl>
    <w:lvl w:ilvl="1" w:tplc="04160019" w:tentative="1">
      <w:start w:val="1"/>
      <w:numFmt w:val="lowerLetter"/>
      <w:lvlText w:val="%2."/>
      <w:lvlJc w:val="left"/>
      <w:pPr>
        <w:ind w:left="-319" w:hanging="360"/>
      </w:pPr>
    </w:lvl>
    <w:lvl w:ilvl="2" w:tplc="0416001B" w:tentative="1">
      <w:start w:val="1"/>
      <w:numFmt w:val="lowerRoman"/>
      <w:lvlText w:val="%3."/>
      <w:lvlJc w:val="right"/>
      <w:pPr>
        <w:ind w:left="401" w:hanging="180"/>
      </w:pPr>
    </w:lvl>
    <w:lvl w:ilvl="3" w:tplc="0416000F" w:tentative="1">
      <w:start w:val="1"/>
      <w:numFmt w:val="decimal"/>
      <w:lvlText w:val="%4."/>
      <w:lvlJc w:val="left"/>
      <w:pPr>
        <w:ind w:left="1121" w:hanging="360"/>
      </w:pPr>
    </w:lvl>
    <w:lvl w:ilvl="4" w:tplc="04160019" w:tentative="1">
      <w:start w:val="1"/>
      <w:numFmt w:val="lowerLetter"/>
      <w:lvlText w:val="%5."/>
      <w:lvlJc w:val="left"/>
      <w:pPr>
        <w:ind w:left="1841" w:hanging="360"/>
      </w:pPr>
    </w:lvl>
    <w:lvl w:ilvl="5" w:tplc="0416001B" w:tentative="1">
      <w:start w:val="1"/>
      <w:numFmt w:val="lowerRoman"/>
      <w:lvlText w:val="%6."/>
      <w:lvlJc w:val="right"/>
      <w:pPr>
        <w:ind w:left="2561" w:hanging="180"/>
      </w:pPr>
    </w:lvl>
    <w:lvl w:ilvl="6" w:tplc="0416000F" w:tentative="1">
      <w:start w:val="1"/>
      <w:numFmt w:val="decimal"/>
      <w:lvlText w:val="%7."/>
      <w:lvlJc w:val="left"/>
      <w:pPr>
        <w:ind w:left="3281" w:hanging="360"/>
      </w:pPr>
    </w:lvl>
    <w:lvl w:ilvl="7" w:tplc="04160019" w:tentative="1">
      <w:start w:val="1"/>
      <w:numFmt w:val="lowerLetter"/>
      <w:lvlText w:val="%8."/>
      <w:lvlJc w:val="left"/>
      <w:pPr>
        <w:ind w:left="4001" w:hanging="360"/>
      </w:pPr>
    </w:lvl>
    <w:lvl w:ilvl="8" w:tplc="0416001B" w:tentative="1">
      <w:start w:val="1"/>
      <w:numFmt w:val="lowerRoman"/>
      <w:lvlText w:val="%9."/>
      <w:lvlJc w:val="right"/>
      <w:pPr>
        <w:ind w:left="4721" w:hanging="180"/>
      </w:pPr>
    </w:lvl>
  </w:abstractNum>
  <w:abstractNum w:abstractNumId="2" w15:restartNumberingAfterBreak="0">
    <w:nsid w:val="512E1A95"/>
    <w:multiLevelType w:val="multilevel"/>
    <w:tmpl w:val="97A4F81E"/>
    <w:lvl w:ilvl="0">
      <w:start w:val="1"/>
      <w:numFmt w:val="upperRoman"/>
      <w:pStyle w:val="Ttulo1"/>
      <w:lvlText w:val="%1."/>
      <w:lvlJc w:val="left"/>
      <w:pPr>
        <w:ind w:left="0" w:firstLine="0"/>
      </w:pPr>
      <w:rPr>
        <w:rFonts w:ascii="Aptos" w:hAnsi="Aptos" w:hint="default"/>
      </w:rPr>
    </w:lvl>
    <w:lvl w:ilvl="1">
      <w:start w:val="1"/>
      <w:numFmt w:val="upperLetter"/>
      <w:lvlText w:val="%2."/>
      <w:lvlJc w:val="left"/>
      <w:pPr>
        <w:ind w:left="0" w:firstLine="0"/>
      </w:pPr>
      <w:rPr>
        <w:rFonts w:hint="default"/>
      </w:rPr>
    </w:lvl>
    <w:lvl w:ilvl="2">
      <w:start w:val="1"/>
      <w:numFmt w:val="decimal"/>
      <w:pStyle w:val="Ttulo3"/>
      <w:lvlText w:val="%3."/>
      <w:lvlJc w:val="left"/>
      <w:pPr>
        <w:ind w:left="0" w:firstLine="0"/>
      </w:pPr>
      <w:rPr>
        <w:rFonts w:hint="default"/>
      </w:rPr>
    </w:lvl>
    <w:lvl w:ilvl="3">
      <w:start w:val="1"/>
      <w:numFmt w:val="lowerLetter"/>
      <w:pStyle w:val="Ttulo4"/>
      <w:lvlText w:val="%4)"/>
      <w:lvlJc w:val="left"/>
      <w:pPr>
        <w:ind w:left="0" w:firstLine="0"/>
      </w:pPr>
      <w:rPr>
        <w:rFonts w:hint="default"/>
      </w:rPr>
    </w:lvl>
    <w:lvl w:ilvl="4">
      <w:start w:val="1"/>
      <w:numFmt w:val="decimal"/>
      <w:pStyle w:val="Ttulo5"/>
      <w:lvlText w:val="(%5)"/>
      <w:lvlJc w:val="left"/>
      <w:pPr>
        <w:ind w:left="0" w:firstLine="0"/>
      </w:pPr>
      <w:rPr>
        <w:rFonts w:hint="default"/>
      </w:rPr>
    </w:lvl>
    <w:lvl w:ilvl="5">
      <w:start w:val="1"/>
      <w:numFmt w:val="lowerLetter"/>
      <w:pStyle w:val="Ttulo6"/>
      <w:lvlText w:val="(%6)"/>
      <w:lvlJc w:val="left"/>
      <w:pPr>
        <w:ind w:left="0" w:firstLine="0"/>
      </w:pPr>
      <w:rPr>
        <w:rFonts w:hint="default"/>
      </w:rPr>
    </w:lvl>
    <w:lvl w:ilvl="6">
      <w:start w:val="1"/>
      <w:numFmt w:val="lowerRoman"/>
      <w:pStyle w:val="Ttulo7"/>
      <w:lvlText w:val="(%7)"/>
      <w:lvlJc w:val="left"/>
      <w:pPr>
        <w:ind w:left="0" w:firstLine="0"/>
      </w:pPr>
      <w:rPr>
        <w:rFonts w:hint="default"/>
      </w:rPr>
    </w:lvl>
    <w:lvl w:ilvl="7">
      <w:start w:val="1"/>
      <w:numFmt w:val="lowerLetter"/>
      <w:pStyle w:val="Ttulo8"/>
      <w:lvlText w:val="(%8)"/>
      <w:lvlJc w:val="left"/>
      <w:pPr>
        <w:ind w:left="0" w:firstLine="0"/>
      </w:pPr>
      <w:rPr>
        <w:rFonts w:hint="default"/>
      </w:rPr>
    </w:lvl>
    <w:lvl w:ilvl="8">
      <w:start w:val="1"/>
      <w:numFmt w:val="lowerRoman"/>
      <w:pStyle w:val="Ttulo9"/>
      <w:lvlText w:val="(%9)"/>
      <w:lvlJc w:val="left"/>
      <w:pPr>
        <w:ind w:left="0" w:firstLine="0"/>
      </w:pPr>
      <w:rPr>
        <w:rFonts w:hint="default"/>
      </w:rPr>
    </w:lvl>
  </w:abstractNum>
  <w:abstractNum w:abstractNumId="3" w15:restartNumberingAfterBreak="0">
    <w:nsid w:val="53CD1782"/>
    <w:multiLevelType w:val="hybridMultilevel"/>
    <w:tmpl w:val="0750F9AA"/>
    <w:lvl w:ilvl="0" w:tplc="0C00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7F218E1"/>
    <w:multiLevelType w:val="hybridMultilevel"/>
    <w:tmpl w:val="6DFA6A28"/>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592241A4"/>
    <w:multiLevelType w:val="hybridMultilevel"/>
    <w:tmpl w:val="CC9285DC"/>
    <w:lvl w:ilvl="0" w:tplc="BFA0022C">
      <w:start w:val="1"/>
      <w:numFmt w:val="upperRoman"/>
      <w:pStyle w:val="Ttulo"/>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25C2499"/>
    <w:multiLevelType w:val="hybridMultilevel"/>
    <w:tmpl w:val="54DE273A"/>
    <w:lvl w:ilvl="0" w:tplc="04160001">
      <w:start w:val="1"/>
      <w:numFmt w:val="bullet"/>
      <w:lvlText w:val=""/>
      <w:lvlJc w:val="left"/>
      <w:pPr>
        <w:ind w:left="11" w:hanging="360"/>
      </w:pPr>
      <w:rPr>
        <w:rFonts w:ascii="Symbol" w:hAnsi="Symbol" w:hint="default"/>
      </w:rPr>
    </w:lvl>
    <w:lvl w:ilvl="1" w:tplc="04160003" w:tentative="1">
      <w:start w:val="1"/>
      <w:numFmt w:val="bullet"/>
      <w:lvlText w:val="o"/>
      <w:lvlJc w:val="left"/>
      <w:pPr>
        <w:ind w:left="731" w:hanging="360"/>
      </w:pPr>
      <w:rPr>
        <w:rFonts w:ascii="Courier New" w:hAnsi="Courier New" w:cs="Courier New" w:hint="default"/>
      </w:rPr>
    </w:lvl>
    <w:lvl w:ilvl="2" w:tplc="04160005" w:tentative="1">
      <w:start w:val="1"/>
      <w:numFmt w:val="bullet"/>
      <w:lvlText w:val=""/>
      <w:lvlJc w:val="left"/>
      <w:pPr>
        <w:ind w:left="1451" w:hanging="360"/>
      </w:pPr>
      <w:rPr>
        <w:rFonts w:ascii="Wingdings" w:hAnsi="Wingdings" w:hint="default"/>
      </w:rPr>
    </w:lvl>
    <w:lvl w:ilvl="3" w:tplc="04160001" w:tentative="1">
      <w:start w:val="1"/>
      <w:numFmt w:val="bullet"/>
      <w:lvlText w:val=""/>
      <w:lvlJc w:val="left"/>
      <w:pPr>
        <w:ind w:left="2171" w:hanging="360"/>
      </w:pPr>
      <w:rPr>
        <w:rFonts w:ascii="Symbol" w:hAnsi="Symbol" w:hint="default"/>
      </w:rPr>
    </w:lvl>
    <w:lvl w:ilvl="4" w:tplc="04160003" w:tentative="1">
      <w:start w:val="1"/>
      <w:numFmt w:val="bullet"/>
      <w:lvlText w:val="o"/>
      <w:lvlJc w:val="left"/>
      <w:pPr>
        <w:ind w:left="2891" w:hanging="360"/>
      </w:pPr>
      <w:rPr>
        <w:rFonts w:ascii="Courier New" w:hAnsi="Courier New" w:cs="Courier New" w:hint="default"/>
      </w:rPr>
    </w:lvl>
    <w:lvl w:ilvl="5" w:tplc="04160005" w:tentative="1">
      <w:start w:val="1"/>
      <w:numFmt w:val="bullet"/>
      <w:lvlText w:val=""/>
      <w:lvlJc w:val="left"/>
      <w:pPr>
        <w:ind w:left="3611" w:hanging="360"/>
      </w:pPr>
      <w:rPr>
        <w:rFonts w:ascii="Wingdings" w:hAnsi="Wingdings" w:hint="default"/>
      </w:rPr>
    </w:lvl>
    <w:lvl w:ilvl="6" w:tplc="04160001" w:tentative="1">
      <w:start w:val="1"/>
      <w:numFmt w:val="bullet"/>
      <w:lvlText w:val=""/>
      <w:lvlJc w:val="left"/>
      <w:pPr>
        <w:ind w:left="4331" w:hanging="360"/>
      </w:pPr>
      <w:rPr>
        <w:rFonts w:ascii="Symbol" w:hAnsi="Symbol" w:hint="default"/>
      </w:rPr>
    </w:lvl>
    <w:lvl w:ilvl="7" w:tplc="04160003" w:tentative="1">
      <w:start w:val="1"/>
      <w:numFmt w:val="bullet"/>
      <w:lvlText w:val="o"/>
      <w:lvlJc w:val="left"/>
      <w:pPr>
        <w:ind w:left="5051" w:hanging="360"/>
      </w:pPr>
      <w:rPr>
        <w:rFonts w:ascii="Courier New" w:hAnsi="Courier New" w:cs="Courier New" w:hint="default"/>
      </w:rPr>
    </w:lvl>
    <w:lvl w:ilvl="8" w:tplc="04160005" w:tentative="1">
      <w:start w:val="1"/>
      <w:numFmt w:val="bullet"/>
      <w:lvlText w:val=""/>
      <w:lvlJc w:val="left"/>
      <w:pPr>
        <w:ind w:left="5771" w:hanging="360"/>
      </w:pPr>
      <w:rPr>
        <w:rFonts w:ascii="Wingdings" w:hAnsi="Wingdings" w:hint="default"/>
      </w:rPr>
    </w:lvl>
  </w:abstractNum>
  <w:abstractNum w:abstractNumId="7" w15:restartNumberingAfterBreak="0">
    <w:nsid w:val="75022BB9"/>
    <w:multiLevelType w:val="hybridMultilevel"/>
    <w:tmpl w:val="B4E2D58C"/>
    <w:lvl w:ilvl="0" w:tplc="1A36D196">
      <w:start w:val="1"/>
      <w:numFmt w:val="decimal"/>
      <w:pStyle w:val="Ttulo2"/>
      <w:lvlText w:val="%1."/>
      <w:lvlJc w:val="left"/>
      <w:pPr>
        <w:ind w:left="720" w:hanging="360"/>
      </w:pPr>
      <w:rPr>
        <w:rFonts w:ascii="Times New Roman" w:hAnsi="Times New Roman" w:hint="default"/>
        <w:b/>
        <w:i w:val="0"/>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59269430">
    <w:abstractNumId w:val="1"/>
  </w:num>
  <w:num w:numId="2" w16cid:durableId="1752966980">
    <w:abstractNumId w:val="0"/>
  </w:num>
  <w:num w:numId="3" w16cid:durableId="1633437369">
    <w:abstractNumId w:val="5"/>
  </w:num>
  <w:num w:numId="4" w16cid:durableId="220990904">
    <w:abstractNumId w:val="5"/>
  </w:num>
  <w:num w:numId="5" w16cid:durableId="242957821">
    <w:abstractNumId w:val="2"/>
  </w:num>
  <w:num w:numId="6" w16cid:durableId="303853156">
    <w:abstractNumId w:val="2"/>
  </w:num>
  <w:num w:numId="7" w16cid:durableId="933710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1960503">
    <w:abstractNumId w:val="2"/>
  </w:num>
  <w:num w:numId="9" w16cid:durableId="1103498372">
    <w:abstractNumId w:val="2"/>
  </w:num>
  <w:num w:numId="10" w16cid:durableId="104469550">
    <w:abstractNumId w:val="2"/>
  </w:num>
  <w:num w:numId="11" w16cid:durableId="1886210733">
    <w:abstractNumId w:val="2"/>
  </w:num>
  <w:num w:numId="12" w16cid:durableId="1718969561">
    <w:abstractNumId w:val="2"/>
  </w:num>
  <w:num w:numId="13" w16cid:durableId="1774091315">
    <w:abstractNumId w:val="7"/>
  </w:num>
  <w:num w:numId="14" w16cid:durableId="1766999193">
    <w:abstractNumId w:val="6"/>
  </w:num>
  <w:num w:numId="15" w16cid:durableId="1153646160">
    <w:abstractNumId w:val="3"/>
  </w:num>
  <w:num w:numId="16" w16cid:durableId="1821843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45"/>
    <w:rsid w:val="00001553"/>
    <w:rsid w:val="00005832"/>
    <w:rsid w:val="00007100"/>
    <w:rsid w:val="000119EA"/>
    <w:rsid w:val="00011DE4"/>
    <w:rsid w:val="00013255"/>
    <w:rsid w:val="0001712C"/>
    <w:rsid w:val="00020FD0"/>
    <w:rsid w:val="00023DA1"/>
    <w:rsid w:val="00025C6B"/>
    <w:rsid w:val="00033652"/>
    <w:rsid w:val="00034197"/>
    <w:rsid w:val="00034E11"/>
    <w:rsid w:val="00035461"/>
    <w:rsid w:val="000367DD"/>
    <w:rsid w:val="00037B2F"/>
    <w:rsid w:val="00037F10"/>
    <w:rsid w:val="00040260"/>
    <w:rsid w:val="000416DF"/>
    <w:rsid w:val="0004487F"/>
    <w:rsid w:val="0004692C"/>
    <w:rsid w:val="00052585"/>
    <w:rsid w:val="000532DA"/>
    <w:rsid w:val="00061CE7"/>
    <w:rsid w:val="000625BD"/>
    <w:rsid w:val="00062DF7"/>
    <w:rsid w:val="000663B9"/>
    <w:rsid w:val="00071589"/>
    <w:rsid w:val="000732A8"/>
    <w:rsid w:val="0007474F"/>
    <w:rsid w:val="000805F8"/>
    <w:rsid w:val="00082302"/>
    <w:rsid w:val="00084A6A"/>
    <w:rsid w:val="00084A96"/>
    <w:rsid w:val="00090FD1"/>
    <w:rsid w:val="0009100A"/>
    <w:rsid w:val="00091571"/>
    <w:rsid w:val="00092547"/>
    <w:rsid w:val="00092F63"/>
    <w:rsid w:val="00095632"/>
    <w:rsid w:val="000A63CD"/>
    <w:rsid w:val="000A73FB"/>
    <w:rsid w:val="000B1BAD"/>
    <w:rsid w:val="000B3268"/>
    <w:rsid w:val="000B34C1"/>
    <w:rsid w:val="000B5769"/>
    <w:rsid w:val="000C02CE"/>
    <w:rsid w:val="000C04C1"/>
    <w:rsid w:val="000C0DD2"/>
    <w:rsid w:val="000C3BB4"/>
    <w:rsid w:val="000D28EB"/>
    <w:rsid w:val="000D4359"/>
    <w:rsid w:val="000D5186"/>
    <w:rsid w:val="000D7974"/>
    <w:rsid w:val="000D7BA6"/>
    <w:rsid w:val="000D7C81"/>
    <w:rsid w:val="000D7E67"/>
    <w:rsid w:val="000E14E8"/>
    <w:rsid w:val="000E5CD5"/>
    <w:rsid w:val="000E6453"/>
    <w:rsid w:val="000E669A"/>
    <w:rsid w:val="000E6D2E"/>
    <w:rsid w:val="000E7BAE"/>
    <w:rsid w:val="000F6837"/>
    <w:rsid w:val="00101C44"/>
    <w:rsid w:val="0010211D"/>
    <w:rsid w:val="00102717"/>
    <w:rsid w:val="0010422A"/>
    <w:rsid w:val="00106210"/>
    <w:rsid w:val="0010762F"/>
    <w:rsid w:val="0010763A"/>
    <w:rsid w:val="001100E5"/>
    <w:rsid w:val="001134EC"/>
    <w:rsid w:val="001136F8"/>
    <w:rsid w:val="00115337"/>
    <w:rsid w:val="001159AF"/>
    <w:rsid w:val="001167A8"/>
    <w:rsid w:val="0011714E"/>
    <w:rsid w:val="00117BCE"/>
    <w:rsid w:val="00122CC5"/>
    <w:rsid w:val="001250D7"/>
    <w:rsid w:val="00125BDF"/>
    <w:rsid w:val="00133C80"/>
    <w:rsid w:val="00134F95"/>
    <w:rsid w:val="00136A71"/>
    <w:rsid w:val="00137EFB"/>
    <w:rsid w:val="001401AC"/>
    <w:rsid w:val="001415FB"/>
    <w:rsid w:val="00141D9C"/>
    <w:rsid w:val="00141DF6"/>
    <w:rsid w:val="0014253C"/>
    <w:rsid w:val="001428C7"/>
    <w:rsid w:val="00143453"/>
    <w:rsid w:val="00146873"/>
    <w:rsid w:val="00150C9D"/>
    <w:rsid w:val="00151261"/>
    <w:rsid w:val="001556FC"/>
    <w:rsid w:val="001566F5"/>
    <w:rsid w:val="00156CAD"/>
    <w:rsid w:val="0016128C"/>
    <w:rsid w:val="001613B5"/>
    <w:rsid w:val="0016148E"/>
    <w:rsid w:val="001627CF"/>
    <w:rsid w:val="00163A63"/>
    <w:rsid w:val="00164943"/>
    <w:rsid w:val="00166F2E"/>
    <w:rsid w:val="001673D1"/>
    <w:rsid w:val="001728E9"/>
    <w:rsid w:val="00175422"/>
    <w:rsid w:val="00176214"/>
    <w:rsid w:val="001803F8"/>
    <w:rsid w:val="00180EF4"/>
    <w:rsid w:val="001821F7"/>
    <w:rsid w:val="00182792"/>
    <w:rsid w:val="00186A10"/>
    <w:rsid w:val="00191579"/>
    <w:rsid w:val="00195B62"/>
    <w:rsid w:val="00195FBD"/>
    <w:rsid w:val="0019641D"/>
    <w:rsid w:val="001974A7"/>
    <w:rsid w:val="00197D0B"/>
    <w:rsid w:val="00197D78"/>
    <w:rsid w:val="001A0955"/>
    <w:rsid w:val="001A1BF3"/>
    <w:rsid w:val="001A1D3F"/>
    <w:rsid w:val="001A2BD9"/>
    <w:rsid w:val="001A430D"/>
    <w:rsid w:val="001A43C7"/>
    <w:rsid w:val="001A4C4A"/>
    <w:rsid w:val="001B2B44"/>
    <w:rsid w:val="001B5265"/>
    <w:rsid w:val="001B6D89"/>
    <w:rsid w:val="001B7441"/>
    <w:rsid w:val="001C306F"/>
    <w:rsid w:val="001C3EE0"/>
    <w:rsid w:val="001C4D0A"/>
    <w:rsid w:val="001D14FF"/>
    <w:rsid w:val="001D389D"/>
    <w:rsid w:val="001D696E"/>
    <w:rsid w:val="001D6E00"/>
    <w:rsid w:val="001D784E"/>
    <w:rsid w:val="001D791C"/>
    <w:rsid w:val="001E1040"/>
    <w:rsid w:val="001E124A"/>
    <w:rsid w:val="001E1383"/>
    <w:rsid w:val="001E204A"/>
    <w:rsid w:val="001E28E9"/>
    <w:rsid w:val="001E4AFA"/>
    <w:rsid w:val="001F434A"/>
    <w:rsid w:val="001F5768"/>
    <w:rsid w:val="001F599D"/>
    <w:rsid w:val="001F6AF5"/>
    <w:rsid w:val="001F7DC8"/>
    <w:rsid w:val="00203400"/>
    <w:rsid w:val="00210B76"/>
    <w:rsid w:val="002110F6"/>
    <w:rsid w:val="00212F8F"/>
    <w:rsid w:val="002130BE"/>
    <w:rsid w:val="00213DDC"/>
    <w:rsid w:val="0021433B"/>
    <w:rsid w:val="00216BCE"/>
    <w:rsid w:val="00217435"/>
    <w:rsid w:val="0022015D"/>
    <w:rsid w:val="002229F8"/>
    <w:rsid w:val="00222E30"/>
    <w:rsid w:val="00223F42"/>
    <w:rsid w:val="002247E7"/>
    <w:rsid w:val="0022481F"/>
    <w:rsid w:val="00230A47"/>
    <w:rsid w:val="002340E1"/>
    <w:rsid w:val="002354D3"/>
    <w:rsid w:val="00235E48"/>
    <w:rsid w:val="00237652"/>
    <w:rsid w:val="002433F5"/>
    <w:rsid w:val="00245049"/>
    <w:rsid w:val="002521F3"/>
    <w:rsid w:val="002534EA"/>
    <w:rsid w:val="00253A39"/>
    <w:rsid w:val="0025573A"/>
    <w:rsid w:val="00257CFA"/>
    <w:rsid w:val="00261ABE"/>
    <w:rsid w:val="00265DC7"/>
    <w:rsid w:val="00266148"/>
    <w:rsid w:val="002668A9"/>
    <w:rsid w:val="00266CD9"/>
    <w:rsid w:val="002670DC"/>
    <w:rsid w:val="00267991"/>
    <w:rsid w:val="002706F3"/>
    <w:rsid w:val="002717F6"/>
    <w:rsid w:val="00271AC3"/>
    <w:rsid w:val="00271F91"/>
    <w:rsid w:val="0027306B"/>
    <w:rsid w:val="0027389F"/>
    <w:rsid w:val="0028124C"/>
    <w:rsid w:val="00281D73"/>
    <w:rsid w:val="00281F68"/>
    <w:rsid w:val="00282443"/>
    <w:rsid w:val="0028306F"/>
    <w:rsid w:val="002864D1"/>
    <w:rsid w:val="00293CC6"/>
    <w:rsid w:val="00293D7F"/>
    <w:rsid w:val="00295B4E"/>
    <w:rsid w:val="0029774E"/>
    <w:rsid w:val="002A015A"/>
    <w:rsid w:val="002A096A"/>
    <w:rsid w:val="002A0D81"/>
    <w:rsid w:val="002A11C3"/>
    <w:rsid w:val="002A34B8"/>
    <w:rsid w:val="002A44E1"/>
    <w:rsid w:val="002A60BC"/>
    <w:rsid w:val="002B09E5"/>
    <w:rsid w:val="002B2F21"/>
    <w:rsid w:val="002B5F1C"/>
    <w:rsid w:val="002B618D"/>
    <w:rsid w:val="002B6929"/>
    <w:rsid w:val="002B7425"/>
    <w:rsid w:val="002C0D7E"/>
    <w:rsid w:val="002C1AF1"/>
    <w:rsid w:val="002C257B"/>
    <w:rsid w:val="002C2B2D"/>
    <w:rsid w:val="002C2D30"/>
    <w:rsid w:val="002C4EE5"/>
    <w:rsid w:val="002C7630"/>
    <w:rsid w:val="002C7FBE"/>
    <w:rsid w:val="002D05CA"/>
    <w:rsid w:val="002D07EF"/>
    <w:rsid w:val="002D19A7"/>
    <w:rsid w:val="002D451E"/>
    <w:rsid w:val="002D4984"/>
    <w:rsid w:val="002D7BE9"/>
    <w:rsid w:val="002E1381"/>
    <w:rsid w:val="002E1883"/>
    <w:rsid w:val="002E2FD7"/>
    <w:rsid w:val="002E3239"/>
    <w:rsid w:val="002E35ED"/>
    <w:rsid w:val="002E49FD"/>
    <w:rsid w:val="002E53B5"/>
    <w:rsid w:val="002E637F"/>
    <w:rsid w:val="002F04AB"/>
    <w:rsid w:val="002F124F"/>
    <w:rsid w:val="002F1945"/>
    <w:rsid w:val="002F198C"/>
    <w:rsid w:val="002F28FD"/>
    <w:rsid w:val="002F3536"/>
    <w:rsid w:val="002F3A47"/>
    <w:rsid w:val="002F47F5"/>
    <w:rsid w:val="002F616E"/>
    <w:rsid w:val="002F62AB"/>
    <w:rsid w:val="002F6AF2"/>
    <w:rsid w:val="002F7EEB"/>
    <w:rsid w:val="00300C57"/>
    <w:rsid w:val="00302C99"/>
    <w:rsid w:val="00303856"/>
    <w:rsid w:val="003053A9"/>
    <w:rsid w:val="00306135"/>
    <w:rsid w:val="0030704E"/>
    <w:rsid w:val="00307E77"/>
    <w:rsid w:val="00311C88"/>
    <w:rsid w:val="00311D23"/>
    <w:rsid w:val="00311FBD"/>
    <w:rsid w:val="00313A2D"/>
    <w:rsid w:val="00313A45"/>
    <w:rsid w:val="00313F40"/>
    <w:rsid w:val="00314743"/>
    <w:rsid w:val="003147A7"/>
    <w:rsid w:val="00320CC7"/>
    <w:rsid w:val="00322AC7"/>
    <w:rsid w:val="00324686"/>
    <w:rsid w:val="00325588"/>
    <w:rsid w:val="00325D64"/>
    <w:rsid w:val="00325FD1"/>
    <w:rsid w:val="003267D2"/>
    <w:rsid w:val="003267FF"/>
    <w:rsid w:val="00326EFE"/>
    <w:rsid w:val="00327760"/>
    <w:rsid w:val="00327872"/>
    <w:rsid w:val="003279B1"/>
    <w:rsid w:val="00331697"/>
    <w:rsid w:val="00331C1E"/>
    <w:rsid w:val="003323B2"/>
    <w:rsid w:val="003336B5"/>
    <w:rsid w:val="0033381A"/>
    <w:rsid w:val="003338C1"/>
    <w:rsid w:val="003347AC"/>
    <w:rsid w:val="0033639B"/>
    <w:rsid w:val="00340F60"/>
    <w:rsid w:val="00342358"/>
    <w:rsid w:val="0034250E"/>
    <w:rsid w:val="00342C24"/>
    <w:rsid w:val="00342D00"/>
    <w:rsid w:val="003469ED"/>
    <w:rsid w:val="003472E4"/>
    <w:rsid w:val="00351617"/>
    <w:rsid w:val="00352012"/>
    <w:rsid w:val="00352165"/>
    <w:rsid w:val="003541B4"/>
    <w:rsid w:val="003541CB"/>
    <w:rsid w:val="00356095"/>
    <w:rsid w:val="003614AF"/>
    <w:rsid w:val="00365395"/>
    <w:rsid w:val="00367082"/>
    <w:rsid w:val="003725F5"/>
    <w:rsid w:val="00372A27"/>
    <w:rsid w:val="003767C4"/>
    <w:rsid w:val="0038232C"/>
    <w:rsid w:val="003848B7"/>
    <w:rsid w:val="00385FFC"/>
    <w:rsid w:val="003862ED"/>
    <w:rsid w:val="00390986"/>
    <w:rsid w:val="00390F13"/>
    <w:rsid w:val="003920E8"/>
    <w:rsid w:val="003958EE"/>
    <w:rsid w:val="00396BD8"/>
    <w:rsid w:val="003A081A"/>
    <w:rsid w:val="003A19E1"/>
    <w:rsid w:val="003A5A5E"/>
    <w:rsid w:val="003B0346"/>
    <w:rsid w:val="003B3089"/>
    <w:rsid w:val="003B30D9"/>
    <w:rsid w:val="003B5157"/>
    <w:rsid w:val="003B53E0"/>
    <w:rsid w:val="003C17DC"/>
    <w:rsid w:val="003C1941"/>
    <w:rsid w:val="003C20D6"/>
    <w:rsid w:val="003C2847"/>
    <w:rsid w:val="003C4E9D"/>
    <w:rsid w:val="003C5419"/>
    <w:rsid w:val="003C67ED"/>
    <w:rsid w:val="003C74BA"/>
    <w:rsid w:val="003D6F98"/>
    <w:rsid w:val="003E20C4"/>
    <w:rsid w:val="003E5DC5"/>
    <w:rsid w:val="003F01E1"/>
    <w:rsid w:val="003F1CEB"/>
    <w:rsid w:val="003F2FD6"/>
    <w:rsid w:val="003F3A53"/>
    <w:rsid w:val="0040046D"/>
    <w:rsid w:val="0040107E"/>
    <w:rsid w:val="00402AD9"/>
    <w:rsid w:val="00403460"/>
    <w:rsid w:val="004053FB"/>
    <w:rsid w:val="00405557"/>
    <w:rsid w:val="00411358"/>
    <w:rsid w:val="00411488"/>
    <w:rsid w:val="00412032"/>
    <w:rsid w:val="00420E98"/>
    <w:rsid w:val="00421868"/>
    <w:rsid w:val="00424EBD"/>
    <w:rsid w:val="00427133"/>
    <w:rsid w:val="004272DB"/>
    <w:rsid w:val="004318D5"/>
    <w:rsid w:val="00437A12"/>
    <w:rsid w:val="0044293C"/>
    <w:rsid w:val="004445AE"/>
    <w:rsid w:val="00445BF8"/>
    <w:rsid w:val="00446209"/>
    <w:rsid w:val="00446EAC"/>
    <w:rsid w:val="004538A6"/>
    <w:rsid w:val="004539D9"/>
    <w:rsid w:val="004559D1"/>
    <w:rsid w:val="00455B56"/>
    <w:rsid w:val="00456E88"/>
    <w:rsid w:val="00461200"/>
    <w:rsid w:val="00463911"/>
    <w:rsid w:val="00464ABF"/>
    <w:rsid w:val="0046535C"/>
    <w:rsid w:val="0046776D"/>
    <w:rsid w:val="00470754"/>
    <w:rsid w:val="00471132"/>
    <w:rsid w:val="0047374C"/>
    <w:rsid w:val="00475F35"/>
    <w:rsid w:val="0047658B"/>
    <w:rsid w:val="00482E99"/>
    <w:rsid w:val="00483D48"/>
    <w:rsid w:val="00485845"/>
    <w:rsid w:val="00486F11"/>
    <w:rsid w:val="00487175"/>
    <w:rsid w:val="00487BBD"/>
    <w:rsid w:val="00487D6A"/>
    <w:rsid w:val="00491905"/>
    <w:rsid w:val="00493194"/>
    <w:rsid w:val="004940E8"/>
    <w:rsid w:val="004947AE"/>
    <w:rsid w:val="004948D7"/>
    <w:rsid w:val="004973F8"/>
    <w:rsid w:val="004A3C0C"/>
    <w:rsid w:val="004A7EAB"/>
    <w:rsid w:val="004B1484"/>
    <w:rsid w:val="004B2664"/>
    <w:rsid w:val="004B26D8"/>
    <w:rsid w:val="004B783D"/>
    <w:rsid w:val="004C1883"/>
    <w:rsid w:val="004C266D"/>
    <w:rsid w:val="004C48BA"/>
    <w:rsid w:val="004C4B85"/>
    <w:rsid w:val="004C57F5"/>
    <w:rsid w:val="004C5976"/>
    <w:rsid w:val="004C7D8D"/>
    <w:rsid w:val="004D1B37"/>
    <w:rsid w:val="004D1FFD"/>
    <w:rsid w:val="004D3523"/>
    <w:rsid w:val="004D4C6A"/>
    <w:rsid w:val="004D5308"/>
    <w:rsid w:val="004D6152"/>
    <w:rsid w:val="004D6AA2"/>
    <w:rsid w:val="004E107A"/>
    <w:rsid w:val="004E236F"/>
    <w:rsid w:val="004E4448"/>
    <w:rsid w:val="004E55D4"/>
    <w:rsid w:val="004E61E7"/>
    <w:rsid w:val="004F2F35"/>
    <w:rsid w:val="004F627D"/>
    <w:rsid w:val="004F764E"/>
    <w:rsid w:val="00503D7D"/>
    <w:rsid w:val="005041B5"/>
    <w:rsid w:val="005049F3"/>
    <w:rsid w:val="00507130"/>
    <w:rsid w:val="005072E1"/>
    <w:rsid w:val="0051295C"/>
    <w:rsid w:val="00521CF2"/>
    <w:rsid w:val="00525518"/>
    <w:rsid w:val="0052705D"/>
    <w:rsid w:val="00527597"/>
    <w:rsid w:val="00532FB6"/>
    <w:rsid w:val="00534759"/>
    <w:rsid w:val="0053578A"/>
    <w:rsid w:val="00537004"/>
    <w:rsid w:val="00541E91"/>
    <w:rsid w:val="005421C1"/>
    <w:rsid w:val="00542813"/>
    <w:rsid w:val="00542EC8"/>
    <w:rsid w:val="005451A9"/>
    <w:rsid w:val="0054661F"/>
    <w:rsid w:val="00547FC5"/>
    <w:rsid w:val="0055371A"/>
    <w:rsid w:val="00553EFC"/>
    <w:rsid w:val="0055584F"/>
    <w:rsid w:val="00556BFF"/>
    <w:rsid w:val="005575EF"/>
    <w:rsid w:val="00560304"/>
    <w:rsid w:val="00562987"/>
    <w:rsid w:val="00562B2A"/>
    <w:rsid w:val="00563419"/>
    <w:rsid w:val="005668A3"/>
    <w:rsid w:val="00571766"/>
    <w:rsid w:val="0057577D"/>
    <w:rsid w:val="00577447"/>
    <w:rsid w:val="0058042C"/>
    <w:rsid w:val="0058236A"/>
    <w:rsid w:val="005848CE"/>
    <w:rsid w:val="00585951"/>
    <w:rsid w:val="00585955"/>
    <w:rsid w:val="00586FCD"/>
    <w:rsid w:val="00590484"/>
    <w:rsid w:val="00594F4D"/>
    <w:rsid w:val="005953D5"/>
    <w:rsid w:val="00595EBE"/>
    <w:rsid w:val="005A1346"/>
    <w:rsid w:val="005A4357"/>
    <w:rsid w:val="005A6352"/>
    <w:rsid w:val="005A7EAD"/>
    <w:rsid w:val="005B0147"/>
    <w:rsid w:val="005B1620"/>
    <w:rsid w:val="005B1B0C"/>
    <w:rsid w:val="005B3503"/>
    <w:rsid w:val="005B4D1A"/>
    <w:rsid w:val="005C1569"/>
    <w:rsid w:val="005C1AD4"/>
    <w:rsid w:val="005C1CDC"/>
    <w:rsid w:val="005C3214"/>
    <w:rsid w:val="005C3963"/>
    <w:rsid w:val="005C3E35"/>
    <w:rsid w:val="005C432D"/>
    <w:rsid w:val="005C5B5C"/>
    <w:rsid w:val="005C739D"/>
    <w:rsid w:val="005D0F74"/>
    <w:rsid w:val="005D4FD2"/>
    <w:rsid w:val="005D6958"/>
    <w:rsid w:val="005E2175"/>
    <w:rsid w:val="005E3726"/>
    <w:rsid w:val="005E4841"/>
    <w:rsid w:val="005E4F34"/>
    <w:rsid w:val="005E5511"/>
    <w:rsid w:val="005E5653"/>
    <w:rsid w:val="005E5B77"/>
    <w:rsid w:val="005E5BD3"/>
    <w:rsid w:val="005E5D3A"/>
    <w:rsid w:val="005E6D13"/>
    <w:rsid w:val="005E7C80"/>
    <w:rsid w:val="005F569F"/>
    <w:rsid w:val="005F6D25"/>
    <w:rsid w:val="005F76EF"/>
    <w:rsid w:val="005F7FF7"/>
    <w:rsid w:val="00600D8B"/>
    <w:rsid w:val="00601717"/>
    <w:rsid w:val="00602064"/>
    <w:rsid w:val="00604E61"/>
    <w:rsid w:val="006142F9"/>
    <w:rsid w:val="00614568"/>
    <w:rsid w:val="00614F5F"/>
    <w:rsid w:val="006166ED"/>
    <w:rsid w:val="00617034"/>
    <w:rsid w:val="00625016"/>
    <w:rsid w:val="0062587F"/>
    <w:rsid w:val="00630EA3"/>
    <w:rsid w:val="00631E00"/>
    <w:rsid w:val="00632C73"/>
    <w:rsid w:val="00635D81"/>
    <w:rsid w:val="00641881"/>
    <w:rsid w:val="00641E07"/>
    <w:rsid w:val="00644007"/>
    <w:rsid w:val="00644249"/>
    <w:rsid w:val="006461CC"/>
    <w:rsid w:val="0064696D"/>
    <w:rsid w:val="00650E85"/>
    <w:rsid w:val="00652E8C"/>
    <w:rsid w:val="00653648"/>
    <w:rsid w:val="00653761"/>
    <w:rsid w:val="006546F4"/>
    <w:rsid w:val="00655170"/>
    <w:rsid w:val="00656AAA"/>
    <w:rsid w:val="006574CE"/>
    <w:rsid w:val="00660F91"/>
    <w:rsid w:val="00667B36"/>
    <w:rsid w:val="00671A19"/>
    <w:rsid w:val="0067229C"/>
    <w:rsid w:val="0067238A"/>
    <w:rsid w:val="0067655B"/>
    <w:rsid w:val="00676CCC"/>
    <w:rsid w:val="00681046"/>
    <w:rsid w:val="006839BC"/>
    <w:rsid w:val="00684712"/>
    <w:rsid w:val="00684B2C"/>
    <w:rsid w:val="006859A2"/>
    <w:rsid w:val="00690F71"/>
    <w:rsid w:val="00693468"/>
    <w:rsid w:val="00693A79"/>
    <w:rsid w:val="0069464C"/>
    <w:rsid w:val="00697A57"/>
    <w:rsid w:val="006A3582"/>
    <w:rsid w:val="006A3D07"/>
    <w:rsid w:val="006A559B"/>
    <w:rsid w:val="006A650E"/>
    <w:rsid w:val="006A6AB1"/>
    <w:rsid w:val="006A6CFD"/>
    <w:rsid w:val="006B11CD"/>
    <w:rsid w:val="006B2F1C"/>
    <w:rsid w:val="006B3040"/>
    <w:rsid w:val="006B3484"/>
    <w:rsid w:val="006B5BBB"/>
    <w:rsid w:val="006B690D"/>
    <w:rsid w:val="006B7923"/>
    <w:rsid w:val="006B7A0D"/>
    <w:rsid w:val="006C225F"/>
    <w:rsid w:val="006C2F72"/>
    <w:rsid w:val="006C420F"/>
    <w:rsid w:val="006C4B60"/>
    <w:rsid w:val="006C6F1C"/>
    <w:rsid w:val="006D078B"/>
    <w:rsid w:val="006D5C14"/>
    <w:rsid w:val="006D65F1"/>
    <w:rsid w:val="006D6F38"/>
    <w:rsid w:val="006D73E8"/>
    <w:rsid w:val="006D7E6B"/>
    <w:rsid w:val="006E2D42"/>
    <w:rsid w:val="006E43A2"/>
    <w:rsid w:val="006E45B8"/>
    <w:rsid w:val="006E559D"/>
    <w:rsid w:val="006E6B66"/>
    <w:rsid w:val="006E6F94"/>
    <w:rsid w:val="006F2867"/>
    <w:rsid w:val="006F2CFC"/>
    <w:rsid w:val="006F2E05"/>
    <w:rsid w:val="006F7522"/>
    <w:rsid w:val="007002D8"/>
    <w:rsid w:val="007003C4"/>
    <w:rsid w:val="00700B29"/>
    <w:rsid w:val="00703A0C"/>
    <w:rsid w:val="007060AA"/>
    <w:rsid w:val="00706307"/>
    <w:rsid w:val="007066EF"/>
    <w:rsid w:val="00710E3E"/>
    <w:rsid w:val="00711CB8"/>
    <w:rsid w:val="00712162"/>
    <w:rsid w:val="007135B0"/>
    <w:rsid w:val="00714E63"/>
    <w:rsid w:val="007156C9"/>
    <w:rsid w:val="00717EDF"/>
    <w:rsid w:val="00717F02"/>
    <w:rsid w:val="00722098"/>
    <w:rsid w:val="0072242F"/>
    <w:rsid w:val="00722AC2"/>
    <w:rsid w:val="00724161"/>
    <w:rsid w:val="007258A7"/>
    <w:rsid w:val="0072591D"/>
    <w:rsid w:val="00726EF3"/>
    <w:rsid w:val="007274E7"/>
    <w:rsid w:val="00732CBB"/>
    <w:rsid w:val="00732F2A"/>
    <w:rsid w:val="0073449A"/>
    <w:rsid w:val="00734810"/>
    <w:rsid w:val="0073570F"/>
    <w:rsid w:val="007360FF"/>
    <w:rsid w:val="007369BF"/>
    <w:rsid w:val="00736BA6"/>
    <w:rsid w:val="007403BE"/>
    <w:rsid w:val="00744A7E"/>
    <w:rsid w:val="007506F4"/>
    <w:rsid w:val="007514B4"/>
    <w:rsid w:val="0075240E"/>
    <w:rsid w:val="007528D9"/>
    <w:rsid w:val="00755658"/>
    <w:rsid w:val="00755DC8"/>
    <w:rsid w:val="00757A0B"/>
    <w:rsid w:val="0076201C"/>
    <w:rsid w:val="00762A72"/>
    <w:rsid w:val="007632CF"/>
    <w:rsid w:val="007647C1"/>
    <w:rsid w:val="0076661C"/>
    <w:rsid w:val="00766F29"/>
    <w:rsid w:val="00770DA6"/>
    <w:rsid w:val="0077620F"/>
    <w:rsid w:val="00783D2C"/>
    <w:rsid w:val="00783EC7"/>
    <w:rsid w:val="00784EA4"/>
    <w:rsid w:val="00786E00"/>
    <w:rsid w:val="00790920"/>
    <w:rsid w:val="00791838"/>
    <w:rsid w:val="00793CC4"/>
    <w:rsid w:val="00794424"/>
    <w:rsid w:val="0079756E"/>
    <w:rsid w:val="00797C6D"/>
    <w:rsid w:val="007A1277"/>
    <w:rsid w:val="007A13D6"/>
    <w:rsid w:val="007A3A3B"/>
    <w:rsid w:val="007A3CB9"/>
    <w:rsid w:val="007A5907"/>
    <w:rsid w:val="007A721F"/>
    <w:rsid w:val="007B005A"/>
    <w:rsid w:val="007B00C6"/>
    <w:rsid w:val="007B46E0"/>
    <w:rsid w:val="007B7557"/>
    <w:rsid w:val="007B7AA9"/>
    <w:rsid w:val="007C054D"/>
    <w:rsid w:val="007C31EF"/>
    <w:rsid w:val="007C3948"/>
    <w:rsid w:val="007C4883"/>
    <w:rsid w:val="007D05E7"/>
    <w:rsid w:val="007D1322"/>
    <w:rsid w:val="007D148A"/>
    <w:rsid w:val="007D255B"/>
    <w:rsid w:val="007D2CB5"/>
    <w:rsid w:val="007D32AE"/>
    <w:rsid w:val="007D3632"/>
    <w:rsid w:val="007D573A"/>
    <w:rsid w:val="007D5DA5"/>
    <w:rsid w:val="007D60CA"/>
    <w:rsid w:val="007D7D99"/>
    <w:rsid w:val="007E36D7"/>
    <w:rsid w:val="007E68E7"/>
    <w:rsid w:val="007F1164"/>
    <w:rsid w:val="007F152C"/>
    <w:rsid w:val="007F31D3"/>
    <w:rsid w:val="007F6BB9"/>
    <w:rsid w:val="007F7122"/>
    <w:rsid w:val="007F7F68"/>
    <w:rsid w:val="008009EF"/>
    <w:rsid w:val="00800B28"/>
    <w:rsid w:val="00802197"/>
    <w:rsid w:val="008024FC"/>
    <w:rsid w:val="0080260A"/>
    <w:rsid w:val="00804D4B"/>
    <w:rsid w:val="00807606"/>
    <w:rsid w:val="00810366"/>
    <w:rsid w:val="00812596"/>
    <w:rsid w:val="00812ABB"/>
    <w:rsid w:val="00812CB6"/>
    <w:rsid w:val="00813465"/>
    <w:rsid w:val="00814CEE"/>
    <w:rsid w:val="00814F75"/>
    <w:rsid w:val="00817B1D"/>
    <w:rsid w:val="00823E21"/>
    <w:rsid w:val="00824778"/>
    <w:rsid w:val="0083061B"/>
    <w:rsid w:val="00831C09"/>
    <w:rsid w:val="00831CE6"/>
    <w:rsid w:val="008330D0"/>
    <w:rsid w:val="0083474F"/>
    <w:rsid w:val="0083694E"/>
    <w:rsid w:val="00837370"/>
    <w:rsid w:val="008374F8"/>
    <w:rsid w:val="00840426"/>
    <w:rsid w:val="00841035"/>
    <w:rsid w:val="00842474"/>
    <w:rsid w:val="008473E4"/>
    <w:rsid w:val="008476C1"/>
    <w:rsid w:val="00847E23"/>
    <w:rsid w:val="00851508"/>
    <w:rsid w:val="00854128"/>
    <w:rsid w:val="008546F6"/>
    <w:rsid w:val="00854D79"/>
    <w:rsid w:val="00855060"/>
    <w:rsid w:val="00855CDF"/>
    <w:rsid w:val="008564ED"/>
    <w:rsid w:val="00861A1B"/>
    <w:rsid w:val="008620B1"/>
    <w:rsid w:val="0086315D"/>
    <w:rsid w:val="0086321A"/>
    <w:rsid w:val="00863C56"/>
    <w:rsid w:val="00864376"/>
    <w:rsid w:val="00865CEA"/>
    <w:rsid w:val="00867FDC"/>
    <w:rsid w:val="008700D9"/>
    <w:rsid w:val="00870C05"/>
    <w:rsid w:val="008716FD"/>
    <w:rsid w:val="00874E8F"/>
    <w:rsid w:val="008751B3"/>
    <w:rsid w:val="0087744C"/>
    <w:rsid w:val="008777FD"/>
    <w:rsid w:val="00877C98"/>
    <w:rsid w:val="00880482"/>
    <w:rsid w:val="0088214A"/>
    <w:rsid w:val="00882F4B"/>
    <w:rsid w:val="008834D3"/>
    <w:rsid w:val="00884F5A"/>
    <w:rsid w:val="00887190"/>
    <w:rsid w:val="00887861"/>
    <w:rsid w:val="00890794"/>
    <w:rsid w:val="008907BE"/>
    <w:rsid w:val="00891059"/>
    <w:rsid w:val="00892CE5"/>
    <w:rsid w:val="008931E1"/>
    <w:rsid w:val="008937D2"/>
    <w:rsid w:val="00893D65"/>
    <w:rsid w:val="00894197"/>
    <w:rsid w:val="00894CCB"/>
    <w:rsid w:val="0089548E"/>
    <w:rsid w:val="00895EAB"/>
    <w:rsid w:val="00896EE6"/>
    <w:rsid w:val="0089751D"/>
    <w:rsid w:val="008A21BA"/>
    <w:rsid w:val="008A2B02"/>
    <w:rsid w:val="008A3E81"/>
    <w:rsid w:val="008A4D4C"/>
    <w:rsid w:val="008A62B0"/>
    <w:rsid w:val="008A67A4"/>
    <w:rsid w:val="008B115A"/>
    <w:rsid w:val="008B2AE4"/>
    <w:rsid w:val="008B3D0D"/>
    <w:rsid w:val="008B5BF0"/>
    <w:rsid w:val="008C037C"/>
    <w:rsid w:val="008C117A"/>
    <w:rsid w:val="008C311C"/>
    <w:rsid w:val="008C3427"/>
    <w:rsid w:val="008C43EF"/>
    <w:rsid w:val="008C4A57"/>
    <w:rsid w:val="008D0367"/>
    <w:rsid w:val="008D11E5"/>
    <w:rsid w:val="008D2CA1"/>
    <w:rsid w:val="008E2171"/>
    <w:rsid w:val="008E25E2"/>
    <w:rsid w:val="008E4850"/>
    <w:rsid w:val="008E4A60"/>
    <w:rsid w:val="008E6953"/>
    <w:rsid w:val="008F15AF"/>
    <w:rsid w:val="008F1B87"/>
    <w:rsid w:val="008F2AD8"/>
    <w:rsid w:val="008F3C03"/>
    <w:rsid w:val="008F4865"/>
    <w:rsid w:val="008F4C34"/>
    <w:rsid w:val="008F4E66"/>
    <w:rsid w:val="008F6F61"/>
    <w:rsid w:val="00902840"/>
    <w:rsid w:val="00904052"/>
    <w:rsid w:val="00905A82"/>
    <w:rsid w:val="009064DD"/>
    <w:rsid w:val="0091195B"/>
    <w:rsid w:val="00913AC7"/>
    <w:rsid w:val="00915212"/>
    <w:rsid w:val="00915B98"/>
    <w:rsid w:val="009164ED"/>
    <w:rsid w:val="00916FC9"/>
    <w:rsid w:val="00917288"/>
    <w:rsid w:val="00917C3F"/>
    <w:rsid w:val="00917E1F"/>
    <w:rsid w:val="009200F1"/>
    <w:rsid w:val="009269C6"/>
    <w:rsid w:val="00926E1C"/>
    <w:rsid w:val="00927058"/>
    <w:rsid w:val="009272B9"/>
    <w:rsid w:val="0092738D"/>
    <w:rsid w:val="00930E6E"/>
    <w:rsid w:val="00932091"/>
    <w:rsid w:val="00932804"/>
    <w:rsid w:val="00933BFF"/>
    <w:rsid w:val="009341B1"/>
    <w:rsid w:val="00937F10"/>
    <w:rsid w:val="00944B47"/>
    <w:rsid w:val="009539C8"/>
    <w:rsid w:val="00955E14"/>
    <w:rsid w:val="0095770B"/>
    <w:rsid w:val="00960415"/>
    <w:rsid w:val="0096143D"/>
    <w:rsid w:val="00963E27"/>
    <w:rsid w:val="00964410"/>
    <w:rsid w:val="00972A23"/>
    <w:rsid w:val="0097438F"/>
    <w:rsid w:val="0097485C"/>
    <w:rsid w:val="00976FCB"/>
    <w:rsid w:val="009809D6"/>
    <w:rsid w:val="00981183"/>
    <w:rsid w:val="0098343C"/>
    <w:rsid w:val="00983776"/>
    <w:rsid w:val="00984799"/>
    <w:rsid w:val="0098501C"/>
    <w:rsid w:val="009861E3"/>
    <w:rsid w:val="00990A17"/>
    <w:rsid w:val="00991769"/>
    <w:rsid w:val="009918B6"/>
    <w:rsid w:val="0099280E"/>
    <w:rsid w:val="00992BB1"/>
    <w:rsid w:val="00997C83"/>
    <w:rsid w:val="009A1085"/>
    <w:rsid w:val="009A3B85"/>
    <w:rsid w:val="009A49F0"/>
    <w:rsid w:val="009A5F4D"/>
    <w:rsid w:val="009B03E1"/>
    <w:rsid w:val="009B06D3"/>
    <w:rsid w:val="009B4F9F"/>
    <w:rsid w:val="009B5E3D"/>
    <w:rsid w:val="009B625B"/>
    <w:rsid w:val="009C2203"/>
    <w:rsid w:val="009C29CB"/>
    <w:rsid w:val="009C2DA9"/>
    <w:rsid w:val="009C32EC"/>
    <w:rsid w:val="009C693A"/>
    <w:rsid w:val="009C72B2"/>
    <w:rsid w:val="009C758E"/>
    <w:rsid w:val="009C7C94"/>
    <w:rsid w:val="009C7C9E"/>
    <w:rsid w:val="009D1C76"/>
    <w:rsid w:val="009D2160"/>
    <w:rsid w:val="009D36A9"/>
    <w:rsid w:val="009D56D1"/>
    <w:rsid w:val="009D587D"/>
    <w:rsid w:val="009D6602"/>
    <w:rsid w:val="009D73F5"/>
    <w:rsid w:val="009E025C"/>
    <w:rsid w:val="009E3297"/>
    <w:rsid w:val="009E60EB"/>
    <w:rsid w:val="009E65ED"/>
    <w:rsid w:val="009E748D"/>
    <w:rsid w:val="009F4659"/>
    <w:rsid w:val="009F4CF7"/>
    <w:rsid w:val="009F54FC"/>
    <w:rsid w:val="009F565D"/>
    <w:rsid w:val="009F6504"/>
    <w:rsid w:val="00A05262"/>
    <w:rsid w:val="00A05519"/>
    <w:rsid w:val="00A05BE4"/>
    <w:rsid w:val="00A0673B"/>
    <w:rsid w:val="00A067F5"/>
    <w:rsid w:val="00A06F1D"/>
    <w:rsid w:val="00A1441F"/>
    <w:rsid w:val="00A15C42"/>
    <w:rsid w:val="00A20AC1"/>
    <w:rsid w:val="00A22C8E"/>
    <w:rsid w:val="00A23876"/>
    <w:rsid w:val="00A241E1"/>
    <w:rsid w:val="00A24FF4"/>
    <w:rsid w:val="00A251F9"/>
    <w:rsid w:val="00A26AFF"/>
    <w:rsid w:val="00A26D98"/>
    <w:rsid w:val="00A30065"/>
    <w:rsid w:val="00A31B25"/>
    <w:rsid w:val="00A31C6E"/>
    <w:rsid w:val="00A32390"/>
    <w:rsid w:val="00A331ED"/>
    <w:rsid w:val="00A34364"/>
    <w:rsid w:val="00A347F7"/>
    <w:rsid w:val="00A352FB"/>
    <w:rsid w:val="00A3546A"/>
    <w:rsid w:val="00A36BA6"/>
    <w:rsid w:val="00A36F38"/>
    <w:rsid w:val="00A37186"/>
    <w:rsid w:val="00A37A8B"/>
    <w:rsid w:val="00A4002B"/>
    <w:rsid w:val="00A43182"/>
    <w:rsid w:val="00A431A6"/>
    <w:rsid w:val="00A4384C"/>
    <w:rsid w:val="00A4600E"/>
    <w:rsid w:val="00A535DF"/>
    <w:rsid w:val="00A54294"/>
    <w:rsid w:val="00A54AB8"/>
    <w:rsid w:val="00A55B84"/>
    <w:rsid w:val="00A57127"/>
    <w:rsid w:val="00A576E3"/>
    <w:rsid w:val="00A601C9"/>
    <w:rsid w:val="00A60A59"/>
    <w:rsid w:val="00A624CD"/>
    <w:rsid w:val="00A63582"/>
    <w:rsid w:val="00A663A9"/>
    <w:rsid w:val="00A66D0B"/>
    <w:rsid w:val="00A66E75"/>
    <w:rsid w:val="00A6708C"/>
    <w:rsid w:val="00A67B17"/>
    <w:rsid w:val="00A7372F"/>
    <w:rsid w:val="00A73ABF"/>
    <w:rsid w:val="00A7555E"/>
    <w:rsid w:val="00A7619D"/>
    <w:rsid w:val="00A80973"/>
    <w:rsid w:val="00A82294"/>
    <w:rsid w:val="00A849D5"/>
    <w:rsid w:val="00A86294"/>
    <w:rsid w:val="00A8637A"/>
    <w:rsid w:val="00A86F13"/>
    <w:rsid w:val="00A90F5A"/>
    <w:rsid w:val="00A93161"/>
    <w:rsid w:val="00A93444"/>
    <w:rsid w:val="00A938B2"/>
    <w:rsid w:val="00A948F7"/>
    <w:rsid w:val="00A96615"/>
    <w:rsid w:val="00A97DB3"/>
    <w:rsid w:val="00AA21C9"/>
    <w:rsid w:val="00AA21CA"/>
    <w:rsid w:val="00AA3A8B"/>
    <w:rsid w:val="00AA46C0"/>
    <w:rsid w:val="00AA4A82"/>
    <w:rsid w:val="00AA4BEB"/>
    <w:rsid w:val="00AA5767"/>
    <w:rsid w:val="00AA5EC3"/>
    <w:rsid w:val="00AA74B0"/>
    <w:rsid w:val="00AB188F"/>
    <w:rsid w:val="00AB222C"/>
    <w:rsid w:val="00AB224F"/>
    <w:rsid w:val="00AB2A14"/>
    <w:rsid w:val="00AB4003"/>
    <w:rsid w:val="00AB5420"/>
    <w:rsid w:val="00AC0FC2"/>
    <w:rsid w:val="00AC23C1"/>
    <w:rsid w:val="00AC36C4"/>
    <w:rsid w:val="00AC36FA"/>
    <w:rsid w:val="00AC6F20"/>
    <w:rsid w:val="00AC7D29"/>
    <w:rsid w:val="00AD02A4"/>
    <w:rsid w:val="00AD0558"/>
    <w:rsid w:val="00AD2210"/>
    <w:rsid w:val="00AD2796"/>
    <w:rsid w:val="00AD3BDD"/>
    <w:rsid w:val="00AD3FB8"/>
    <w:rsid w:val="00AD4689"/>
    <w:rsid w:val="00AD6468"/>
    <w:rsid w:val="00AD77D6"/>
    <w:rsid w:val="00AE1E61"/>
    <w:rsid w:val="00AE2C62"/>
    <w:rsid w:val="00AE3D64"/>
    <w:rsid w:val="00AE4055"/>
    <w:rsid w:val="00AE4CE3"/>
    <w:rsid w:val="00AE6A73"/>
    <w:rsid w:val="00AF0439"/>
    <w:rsid w:val="00AF07E5"/>
    <w:rsid w:val="00AF0A71"/>
    <w:rsid w:val="00AF284D"/>
    <w:rsid w:val="00AF3FD3"/>
    <w:rsid w:val="00AF55AC"/>
    <w:rsid w:val="00B013FB"/>
    <w:rsid w:val="00B013FE"/>
    <w:rsid w:val="00B03040"/>
    <w:rsid w:val="00B03255"/>
    <w:rsid w:val="00B052AD"/>
    <w:rsid w:val="00B053B3"/>
    <w:rsid w:val="00B066B5"/>
    <w:rsid w:val="00B078F8"/>
    <w:rsid w:val="00B10AD7"/>
    <w:rsid w:val="00B11580"/>
    <w:rsid w:val="00B1254A"/>
    <w:rsid w:val="00B13D97"/>
    <w:rsid w:val="00B15C36"/>
    <w:rsid w:val="00B15FAC"/>
    <w:rsid w:val="00B23EC7"/>
    <w:rsid w:val="00B267BD"/>
    <w:rsid w:val="00B2680D"/>
    <w:rsid w:val="00B27060"/>
    <w:rsid w:val="00B27B15"/>
    <w:rsid w:val="00B30737"/>
    <w:rsid w:val="00B31CE7"/>
    <w:rsid w:val="00B31F74"/>
    <w:rsid w:val="00B33BCB"/>
    <w:rsid w:val="00B36DEF"/>
    <w:rsid w:val="00B37C43"/>
    <w:rsid w:val="00B4009C"/>
    <w:rsid w:val="00B41B87"/>
    <w:rsid w:val="00B42F05"/>
    <w:rsid w:val="00B44415"/>
    <w:rsid w:val="00B507C6"/>
    <w:rsid w:val="00B518E7"/>
    <w:rsid w:val="00B52DFF"/>
    <w:rsid w:val="00B53075"/>
    <w:rsid w:val="00B53CDA"/>
    <w:rsid w:val="00B5570D"/>
    <w:rsid w:val="00B56773"/>
    <w:rsid w:val="00B56946"/>
    <w:rsid w:val="00B56A74"/>
    <w:rsid w:val="00B57ABD"/>
    <w:rsid w:val="00B60938"/>
    <w:rsid w:val="00B610DF"/>
    <w:rsid w:val="00B61493"/>
    <w:rsid w:val="00B62071"/>
    <w:rsid w:val="00B634F4"/>
    <w:rsid w:val="00B63BDD"/>
    <w:rsid w:val="00B64A23"/>
    <w:rsid w:val="00B70F25"/>
    <w:rsid w:val="00B71AA9"/>
    <w:rsid w:val="00B725E7"/>
    <w:rsid w:val="00B72CC5"/>
    <w:rsid w:val="00B75AA5"/>
    <w:rsid w:val="00B77D5E"/>
    <w:rsid w:val="00B80A15"/>
    <w:rsid w:val="00B868AF"/>
    <w:rsid w:val="00B87701"/>
    <w:rsid w:val="00B90EFC"/>
    <w:rsid w:val="00B91D39"/>
    <w:rsid w:val="00B91E91"/>
    <w:rsid w:val="00B92E88"/>
    <w:rsid w:val="00B94FFB"/>
    <w:rsid w:val="00B956C4"/>
    <w:rsid w:val="00B974D2"/>
    <w:rsid w:val="00B97A33"/>
    <w:rsid w:val="00BA3FFD"/>
    <w:rsid w:val="00BA4B30"/>
    <w:rsid w:val="00BA51E5"/>
    <w:rsid w:val="00BA7CD0"/>
    <w:rsid w:val="00BB23C7"/>
    <w:rsid w:val="00BB4A7A"/>
    <w:rsid w:val="00BC081C"/>
    <w:rsid w:val="00BC0CA5"/>
    <w:rsid w:val="00BC0FBF"/>
    <w:rsid w:val="00BC2DFB"/>
    <w:rsid w:val="00BC3B08"/>
    <w:rsid w:val="00BC6B02"/>
    <w:rsid w:val="00BC71C8"/>
    <w:rsid w:val="00BC7603"/>
    <w:rsid w:val="00BC7E56"/>
    <w:rsid w:val="00BD15AA"/>
    <w:rsid w:val="00BD2EEB"/>
    <w:rsid w:val="00BD3050"/>
    <w:rsid w:val="00BD5146"/>
    <w:rsid w:val="00BD7437"/>
    <w:rsid w:val="00BD783E"/>
    <w:rsid w:val="00BD7F7B"/>
    <w:rsid w:val="00BE20B2"/>
    <w:rsid w:val="00BE3054"/>
    <w:rsid w:val="00BE3582"/>
    <w:rsid w:val="00BE44DF"/>
    <w:rsid w:val="00BE5351"/>
    <w:rsid w:val="00BE54ED"/>
    <w:rsid w:val="00BE5E16"/>
    <w:rsid w:val="00BF029B"/>
    <w:rsid w:val="00BF0D31"/>
    <w:rsid w:val="00BF1244"/>
    <w:rsid w:val="00BF1C9D"/>
    <w:rsid w:val="00BF3C72"/>
    <w:rsid w:val="00BF6193"/>
    <w:rsid w:val="00BF718F"/>
    <w:rsid w:val="00C00CDC"/>
    <w:rsid w:val="00C016D2"/>
    <w:rsid w:val="00C02AC5"/>
    <w:rsid w:val="00C035C3"/>
    <w:rsid w:val="00C0473A"/>
    <w:rsid w:val="00C04A3A"/>
    <w:rsid w:val="00C04ABA"/>
    <w:rsid w:val="00C04BF6"/>
    <w:rsid w:val="00C05E17"/>
    <w:rsid w:val="00C06C1F"/>
    <w:rsid w:val="00C11600"/>
    <w:rsid w:val="00C129CE"/>
    <w:rsid w:val="00C13956"/>
    <w:rsid w:val="00C13EEB"/>
    <w:rsid w:val="00C150DE"/>
    <w:rsid w:val="00C201DC"/>
    <w:rsid w:val="00C217E8"/>
    <w:rsid w:val="00C21D5A"/>
    <w:rsid w:val="00C236DC"/>
    <w:rsid w:val="00C23E91"/>
    <w:rsid w:val="00C24CAD"/>
    <w:rsid w:val="00C24CBF"/>
    <w:rsid w:val="00C25228"/>
    <w:rsid w:val="00C254CD"/>
    <w:rsid w:val="00C27101"/>
    <w:rsid w:val="00C40E21"/>
    <w:rsid w:val="00C445AC"/>
    <w:rsid w:val="00C45EB4"/>
    <w:rsid w:val="00C47C73"/>
    <w:rsid w:val="00C53C64"/>
    <w:rsid w:val="00C5400C"/>
    <w:rsid w:val="00C650F7"/>
    <w:rsid w:val="00C660F1"/>
    <w:rsid w:val="00C6672F"/>
    <w:rsid w:val="00C66D94"/>
    <w:rsid w:val="00C709A1"/>
    <w:rsid w:val="00C7125F"/>
    <w:rsid w:val="00C71B6C"/>
    <w:rsid w:val="00C733D2"/>
    <w:rsid w:val="00C758F7"/>
    <w:rsid w:val="00C75E34"/>
    <w:rsid w:val="00C7773F"/>
    <w:rsid w:val="00C77ECA"/>
    <w:rsid w:val="00C80884"/>
    <w:rsid w:val="00C81393"/>
    <w:rsid w:val="00C81AF2"/>
    <w:rsid w:val="00C82D5B"/>
    <w:rsid w:val="00C83DA9"/>
    <w:rsid w:val="00C84F7A"/>
    <w:rsid w:val="00C85AED"/>
    <w:rsid w:val="00C85CEA"/>
    <w:rsid w:val="00C8678D"/>
    <w:rsid w:val="00C90BE9"/>
    <w:rsid w:val="00C91BF6"/>
    <w:rsid w:val="00C9561D"/>
    <w:rsid w:val="00CA080D"/>
    <w:rsid w:val="00CA24E8"/>
    <w:rsid w:val="00CA3586"/>
    <w:rsid w:val="00CA65C4"/>
    <w:rsid w:val="00CA7375"/>
    <w:rsid w:val="00CB1901"/>
    <w:rsid w:val="00CB1FAC"/>
    <w:rsid w:val="00CB2C8B"/>
    <w:rsid w:val="00CB4E01"/>
    <w:rsid w:val="00CC0668"/>
    <w:rsid w:val="00CC0C0D"/>
    <w:rsid w:val="00CC1036"/>
    <w:rsid w:val="00CC19A0"/>
    <w:rsid w:val="00CC21F8"/>
    <w:rsid w:val="00CC251A"/>
    <w:rsid w:val="00CC4704"/>
    <w:rsid w:val="00CC579B"/>
    <w:rsid w:val="00CC6F36"/>
    <w:rsid w:val="00CC7554"/>
    <w:rsid w:val="00CD05EC"/>
    <w:rsid w:val="00CD0EB4"/>
    <w:rsid w:val="00CD5185"/>
    <w:rsid w:val="00CD52C0"/>
    <w:rsid w:val="00CE0586"/>
    <w:rsid w:val="00CE0701"/>
    <w:rsid w:val="00CE189D"/>
    <w:rsid w:val="00CE31F5"/>
    <w:rsid w:val="00CE56B3"/>
    <w:rsid w:val="00CE6CD3"/>
    <w:rsid w:val="00CE7F94"/>
    <w:rsid w:val="00CF07C4"/>
    <w:rsid w:val="00CF105E"/>
    <w:rsid w:val="00CF2347"/>
    <w:rsid w:val="00CF4AD8"/>
    <w:rsid w:val="00CF503A"/>
    <w:rsid w:val="00CF7217"/>
    <w:rsid w:val="00CF7457"/>
    <w:rsid w:val="00D0097E"/>
    <w:rsid w:val="00D02BA9"/>
    <w:rsid w:val="00D035B4"/>
    <w:rsid w:val="00D04232"/>
    <w:rsid w:val="00D06B8D"/>
    <w:rsid w:val="00D07473"/>
    <w:rsid w:val="00D10503"/>
    <w:rsid w:val="00D11C26"/>
    <w:rsid w:val="00D125A6"/>
    <w:rsid w:val="00D127D1"/>
    <w:rsid w:val="00D128F1"/>
    <w:rsid w:val="00D13C79"/>
    <w:rsid w:val="00D161C9"/>
    <w:rsid w:val="00D20093"/>
    <w:rsid w:val="00D20A91"/>
    <w:rsid w:val="00D23B13"/>
    <w:rsid w:val="00D304E7"/>
    <w:rsid w:val="00D32BC6"/>
    <w:rsid w:val="00D33960"/>
    <w:rsid w:val="00D345FE"/>
    <w:rsid w:val="00D34B76"/>
    <w:rsid w:val="00D34D6D"/>
    <w:rsid w:val="00D35BA9"/>
    <w:rsid w:val="00D36641"/>
    <w:rsid w:val="00D37165"/>
    <w:rsid w:val="00D40FE5"/>
    <w:rsid w:val="00D4148C"/>
    <w:rsid w:val="00D42216"/>
    <w:rsid w:val="00D4384E"/>
    <w:rsid w:val="00D4403E"/>
    <w:rsid w:val="00D4457E"/>
    <w:rsid w:val="00D45548"/>
    <w:rsid w:val="00D46B7C"/>
    <w:rsid w:val="00D54C0F"/>
    <w:rsid w:val="00D555C8"/>
    <w:rsid w:val="00D55CA2"/>
    <w:rsid w:val="00D57829"/>
    <w:rsid w:val="00D611B1"/>
    <w:rsid w:val="00D6143D"/>
    <w:rsid w:val="00D65BE9"/>
    <w:rsid w:val="00D6718C"/>
    <w:rsid w:val="00D671FE"/>
    <w:rsid w:val="00D67C81"/>
    <w:rsid w:val="00D73054"/>
    <w:rsid w:val="00D757D1"/>
    <w:rsid w:val="00D773D3"/>
    <w:rsid w:val="00D77871"/>
    <w:rsid w:val="00D806CB"/>
    <w:rsid w:val="00D8145D"/>
    <w:rsid w:val="00D82E46"/>
    <w:rsid w:val="00D839F1"/>
    <w:rsid w:val="00D83A00"/>
    <w:rsid w:val="00D8589A"/>
    <w:rsid w:val="00D86416"/>
    <w:rsid w:val="00D91CE8"/>
    <w:rsid w:val="00D94C0A"/>
    <w:rsid w:val="00D94F60"/>
    <w:rsid w:val="00D95592"/>
    <w:rsid w:val="00D978B5"/>
    <w:rsid w:val="00DA2520"/>
    <w:rsid w:val="00DA33F6"/>
    <w:rsid w:val="00DA508B"/>
    <w:rsid w:val="00DA7E60"/>
    <w:rsid w:val="00DB0200"/>
    <w:rsid w:val="00DB2A99"/>
    <w:rsid w:val="00DB6635"/>
    <w:rsid w:val="00DC6C5C"/>
    <w:rsid w:val="00DC7FDF"/>
    <w:rsid w:val="00DD2196"/>
    <w:rsid w:val="00DD41AE"/>
    <w:rsid w:val="00DD5537"/>
    <w:rsid w:val="00DD6DB4"/>
    <w:rsid w:val="00DE2359"/>
    <w:rsid w:val="00DE3CFE"/>
    <w:rsid w:val="00DE4036"/>
    <w:rsid w:val="00DE4411"/>
    <w:rsid w:val="00DE4FEB"/>
    <w:rsid w:val="00DE75D5"/>
    <w:rsid w:val="00DF007C"/>
    <w:rsid w:val="00DF23D0"/>
    <w:rsid w:val="00DF428A"/>
    <w:rsid w:val="00DF5385"/>
    <w:rsid w:val="00DF5A51"/>
    <w:rsid w:val="00E019ED"/>
    <w:rsid w:val="00E053F5"/>
    <w:rsid w:val="00E05B83"/>
    <w:rsid w:val="00E07BC3"/>
    <w:rsid w:val="00E07EFD"/>
    <w:rsid w:val="00E10A80"/>
    <w:rsid w:val="00E11181"/>
    <w:rsid w:val="00E12E8F"/>
    <w:rsid w:val="00E13786"/>
    <w:rsid w:val="00E137A2"/>
    <w:rsid w:val="00E15965"/>
    <w:rsid w:val="00E17434"/>
    <w:rsid w:val="00E200EE"/>
    <w:rsid w:val="00E2062E"/>
    <w:rsid w:val="00E21661"/>
    <w:rsid w:val="00E23C38"/>
    <w:rsid w:val="00E30828"/>
    <w:rsid w:val="00E3098E"/>
    <w:rsid w:val="00E32FEE"/>
    <w:rsid w:val="00E345DE"/>
    <w:rsid w:val="00E356D8"/>
    <w:rsid w:val="00E36C88"/>
    <w:rsid w:val="00E37123"/>
    <w:rsid w:val="00E3799A"/>
    <w:rsid w:val="00E37D48"/>
    <w:rsid w:val="00E40B56"/>
    <w:rsid w:val="00E41CE2"/>
    <w:rsid w:val="00E41D35"/>
    <w:rsid w:val="00E427A0"/>
    <w:rsid w:val="00E42AAA"/>
    <w:rsid w:val="00E42B8B"/>
    <w:rsid w:val="00E43036"/>
    <w:rsid w:val="00E439A5"/>
    <w:rsid w:val="00E43C34"/>
    <w:rsid w:val="00E448A7"/>
    <w:rsid w:val="00E47501"/>
    <w:rsid w:val="00E47C56"/>
    <w:rsid w:val="00E51904"/>
    <w:rsid w:val="00E544A3"/>
    <w:rsid w:val="00E54BA6"/>
    <w:rsid w:val="00E560F9"/>
    <w:rsid w:val="00E573D5"/>
    <w:rsid w:val="00E61CFA"/>
    <w:rsid w:val="00E62677"/>
    <w:rsid w:val="00E6353C"/>
    <w:rsid w:val="00E64845"/>
    <w:rsid w:val="00E65533"/>
    <w:rsid w:val="00E66734"/>
    <w:rsid w:val="00E714D8"/>
    <w:rsid w:val="00E720D0"/>
    <w:rsid w:val="00E727C1"/>
    <w:rsid w:val="00E76EFC"/>
    <w:rsid w:val="00E77735"/>
    <w:rsid w:val="00E812BF"/>
    <w:rsid w:val="00E8372D"/>
    <w:rsid w:val="00E83DE0"/>
    <w:rsid w:val="00E867BF"/>
    <w:rsid w:val="00E87A74"/>
    <w:rsid w:val="00E90CB8"/>
    <w:rsid w:val="00E91CE3"/>
    <w:rsid w:val="00E923EA"/>
    <w:rsid w:val="00E94051"/>
    <w:rsid w:val="00E97E2E"/>
    <w:rsid w:val="00E97F9A"/>
    <w:rsid w:val="00EA01A6"/>
    <w:rsid w:val="00EA3E0B"/>
    <w:rsid w:val="00EA4BDF"/>
    <w:rsid w:val="00EA562A"/>
    <w:rsid w:val="00EA6AEE"/>
    <w:rsid w:val="00EA6BBF"/>
    <w:rsid w:val="00EA7654"/>
    <w:rsid w:val="00EB0836"/>
    <w:rsid w:val="00EB14D1"/>
    <w:rsid w:val="00EB4103"/>
    <w:rsid w:val="00EB648D"/>
    <w:rsid w:val="00EB72EE"/>
    <w:rsid w:val="00EB7FAE"/>
    <w:rsid w:val="00EC1617"/>
    <w:rsid w:val="00EC16C5"/>
    <w:rsid w:val="00EC1D47"/>
    <w:rsid w:val="00EC2F60"/>
    <w:rsid w:val="00EC2FB9"/>
    <w:rsid w:val="00EC78BC"/>
    <w:rsid w:val="00ED0A30"/>
    <w:rsid w:val="00ED4522"/>
    <w:rsid w:val="00ED4AC8"/>
    <w:rsid w:val="00ED4FC6"/>
    <w:rsid w:val="00ED5792"/>
    <w:rsid w:val="00ED69E2"/>
    <w:rsid w:val="00ED72DA"/>
    <w:rsid w:val="00EE405D"/>
    <w:rsid w:val="00EE7565"/>
    <w:rsid w:val="00EF034D"/>
    <w:rsid w:val="00EF0CCA"/>
    <w:rsid w:val="00EF1D84"/>
    <w:rsid w:val="00EF7345"/>
    <w:rsid w:val="00EF73F9"/>
    <w:rsid w:val="00F00500"/>
    <w:rsid w:val="00F00B4C"/>
    <w:rsid w:val="00F00B85"/>
    <w:rsid w:val="00F01F82"/>
    <w:rsid w:val="00F02268"/>
    <w:rsid w:val="00F02C4C"/>
    <w:rsid w:val="00F0383D"/>
    <w:rsid w:val="00F04290"/>
    <w:rsid w:val="00F043A6"/>
    <w:rsid w:val="00F063E0"/>
    <w:rsid w:val="00F0769A"/>
    <w:rsid w:val="00F100BE"/>
    <w:rsid w:val="00F13638"/>
    <w:rsid w:val="00F15888"/>
    <w:rsid w:val="00F15D23"/>
    <w:rsid w:val="00F2194C"/>
    <w:rsid w:val="00F21E9D"/>
    <w:rsid w:val="00F2291F"/>
    <w:rsid w:val="00F26798"/>
    <w:rsid w:val="00F3217A"/>
    <w:rsid w:val="00F3236D"/>
    <w:rsid w:val="00F3413D"/>
    <w:rsid w:val="00F35F8D"/>
    <w:rsid w:val="00F37D38"/>
    <w:rsid w:val="00F40B51"/>
    <w:rsid w:val="00F40D83"/>
    <w:rsid w:val="00F40E87"/>
    <w:rsid w:val="00F430A2"/>
    <w:rsid w:val="00F44406"/>
    <w:rsid w:val="00F46160"/>
    <w:rsid w:val="00F4634A"/>
    <w:rsid w:val="00F544B2"/>
    <w:rsid w:val="00F54899"/>
    <w:rsid w:val="00F54F06"/>
    <w:rsid w:val="00F61158"/>
    <w:rsid w:val="00F62BC6"/>
    <w:rsid w:val="00F637C9"/>
    <w:rsid w:val="00F64924"/>
    <w:rsid w:val="00F65C62"/>
    <w:rsid w:val="00F65EE0"/>
    <w:rsid w:val="00F664BA"/>
    <w:rsid w:val="00F665A5"/>
    <w:rsid w:val="00F7048F"/>
    <w:rsid w:val="00F71AF7"/>
    <w:rsid w:val="00F72391"/>
    <w:rsid w:val="00F7362B"/>
    <w:rsid w:val="00F73AF9"/>
    <w:rsid w:val="00F74EC0"/>
    <w:rsid w:val="00F7536E"/>
    <w:rsid w:val="00F75D16"/>
    <w:rsid w:val="00F80507"/>
    <w:rsid w:val="00F80E66"/>
    <w:rsid w:val="00F81D95"/>
    <w:rsid w:val="00F82023"/>
    <w:rsid w:val="00F86069"/>
    <w:rsid w:val="00F9388E"/>
    <w:rsid w:val="00F94362"/>
    <w:rsid w:val="00F94562"/>
    <w:rsid w:val="00F949A9"/>
    <w:rsid w:val="00F969D8"/>
    <w:rsid w:val="00F96B0D"/>
    <w:rsid w:val="00F974A5"/>
    <w:rsid w:val="00FA24EB"/>
    <w:rsid w:val="00FA30C9"/>
    <w:rsid w:val="00FA37D1"/>
    <w:rsid w:val="00FA68ED"/>
    <w:rsid w:val="00FA721C"/>
    <w:rsid w:val="00FA77A0"/>
    <w:rsid w:val="00FA77D6"/>
    <w:rsid w:val="00FB04C1"/>
    <w:rsid w:val="00FB0933"/>
    <w:rsid w:val="00FB1018"/>
    <w:rsid w:val="00FB2037"/>
    <w:rsid w:val="00FB68A1"/>
    <w:rsid w:val="00FB7A7F"/>
    <w:rsid w:val="00FC1945"/>
    <w:rsid w:val="00FC2C00"/>
    <w:rsid w:val="00FD5633"/>
    <w:rsid w:val="00FD56C9"/>
    <w:rsid w:val="00FD5E8E"/>
    <w:rsid w:val="00FD7AD1"/>
    <w:rsid w:val="00FD7BD8"/>
    <w:rsid w:val="00FD7C8D"/>
    <w:rsid w:val="00FE0A89"/>
    <w:rsid w:val="00FE22E1"/>
    <w:rsid w:val="00FE2B1C"/>
    <w:rsid w:val="00FE2B5C"/>
    <w:rsid w:val="00FE3B99"/>
    <w:rsid w:val="00FE4B6D"/>
    <w:rsid w:val="00FE4E22"/>
    <w:rsid w:val="00FE4F54"/>
    <w:rsid w:val="00FE53EC"/>
    <w:rsid w:val="00FE6797"/>
    <w:rsid w:val="00FF0244"/>
    <w:rsid w:val="00FF17EC"/>
    <w:rsid w:val="00FF38BC"/>
    <w:rsid w:val="00FF4FAA"/>
    <w:rsid w:val="00FF7353"/>
    <w:rsid w:val="1BCA1F94"/>
    <w:rsid w:val="20BDD183"/>
    <w:rsid w:val="31E4A540"/>
    <w:rsid w:val="3C971B59"/>
    <w:rsid w:val="5411A663"/>
    <w:rsid w:val="56A2F43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55BE"/>
  <w15:docId w15:val="{C17D0B19-AE7D-418F-9152-B9DE86A8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0E"/>
    <w:pPr>
      <w:spacing w:after="3" w:line="266" w:lineRule="auto"/>
      <w:ind w:left="862" w:hanging="11"/>
      <w:jc w:val="both"/>
    </w:pPr>
    <w:rPr>
      <w:rFonts w:ascii="Times New Roman" w:eastAsia="Times New Roman" w:hAnsi="Times New Roman" w:cs="Times New Roman"/>
      <w:color w:val="2D3B47"/>
    </w:rPr>
  </w:style>
  <w:style w:type="paragraph" w:styleId="Ttulo1">
    <w:name w:val="heading 1"/>
    <w:basedOn w:val="Normal"/>
    <w:next w:val="Normal"/>
    <w:link w:val="Ttulo1Char"/>
    <w:autoRedefine/>
    <w:uiPriority w:val="9"/>
    <w:qFormat/>
    <w:rsid w:val="00BD2EEB"/>
    <w:pPr>
      <w:keepNext/>
      <w:keepLines/>
      <w:numPr>
        <w:numId w:val="8"/>
      </w:numPr>
      <w:spacing w:before="240" w:after="0"/>
      <w:ind w:left="-1418"/>
      <w:outlineLvl w:val="0"/>
    </w:pPr>
    <w:rPr>
      <w:rFonts w:eastAsiaTheme="majorEastAsia" w:cstheme="majorBidi"/>
      <w:b/>
      <w:color w:val="2F5496" w:themeColor="accent1" w:themeShade="BF"/>
      <w:sz w:val="28"/>
      <w:szCs w:val="32"/>
    </w:rPr>
  </w:style>
  <w:style w:type="paragraph" w:styleId="Ttulo2">
    <w:name w:val="heading 2"/>
    <w:basedOn w:val="Ttulo1"/>
    <w:next w:val="Normal"/>
    <w:link w:val="Ttulo2Char"/>
    <w:uiPriority w:val="9"/>
    <w:unhideWhenUsed/>
    <w:qFormat/>
    <w:rsid w:val="005A7EAD"/>
    <w:pPr>
      <w:numPr>
        <w:numId w:val="13"/>
      </w:numPr>
      <w:spacing w:before="40"/>
      <w:ind w:left="0" w:firstLine="0"/>
      <w:outlineLvl w:val="1"/>
    </w:pPr>
    <w:rPr>
      <w:sz w:val="26"/>
      <w:szCs w:val="26"/>
    </w:rPr>
  </w:style>
  <w:style w:type="paragraph" w:styleId="Ttulo3">
    <w:name w:val="heading 3"/>
    <w:basedOn w:val="Normal"/>
    <w:next w:val="Normal"/>
    <w:link w:val="Ttulo3Char"/>
    <w:uiPriority w:val="9"/>
    <w:unhideWhenUsed/>
    <w:qFormat/>
    <w:rsid w:val="006B7A0D"/>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B7A0D"/>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6B7A0D"/>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6B7A0D"/>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6B7A0D"/>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6B7A0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B7A0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o">
    <w:name w:val="Revision"/>
    <w:hidden/>
    <w:uiPriority w:val="99"/>
    <w:semiHidden/>
    <w:rsid w:val="00D33960"/>
    <w:pPr>
      <w:spacing w:after="0" w:line="240" w:lineRule="auto"/>
    </w:pPr>
    <w:rPr>
      <w:rFonts w:ascii="Times New Roman" w:eastAsia="Times New Roman" w:hAnsi="Times New Roman" w:cs="Times New Roman"/>
      <w:color w:val="2D3B47"/>
      <w:sz w:val="19"/>
    </w:rPr>
  </w:style>
  <w:style w:type="paragraph" w:styleId="Cabealho">
    <w:name w:val="header"/>
    <w:basedOn w:val="Normal"/>
    <w:link w:val="CabealhoChar"/>
    <w:uiPriority w:val="99"/>
    <w:unhideWhenUsed/>
    <w:rsid w:val="007A12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277"/>
    <w:rPr>
      <w:rFonts w:ascii="Times New Roman" w:eastAsia="Times New Roman" w:hAnsi="Times New Roman" w:cs="Times New Roman"/>
      <w:color w:val="2D3B47"/>
      <w:sz w:val="19"/>
    </w:rPr>
  </w:style>
  <w:style w:type="paragraph" w:styleId="Rodap">
    <w:name w:val="footer"/>
    <w:basedOn w:val="Normal"/>
    <w:link w:val="RodapChar"/>
    <w:uiPriority w:val="99"/>
    <w:unhideWhenUsed/>
    <w:rsid w:val="007A1277"/>
    <w:pPr>
      <w:tabs>
        <w:tab w:val="center" w:pos="4252"/>
        <w:tab w:val="right" w:pos="8504"/>
      </w:tabs>
      <w:spacing w:after="0" w:line="240" w:lineRule="auto"/>
    </w:pPr>
  </w:style>
  <w:style w:type="character" w:customStyle="1" w:styleId="RodapChar">
    <w:name w:val="Rodapé Char"/>
    <w:basedOn w:val="Fontepargpadro"/>
    <w:link w:val="Rodap"/>
    <w:uiPriority w:val="99"/>
    <w:rsid w:val="007A1277"/>
    <w:rPr>
      <w:rFonts w:ascii="Times New Roman" w:eastAsia="Times New Roman" w:hAnsi="Times New Roman" w:cs="Times New Roman"/>
      <w:color w:val="2D3B47"/>
      <w:sz w:val="19"/>
    </w:rPr>
  </w:style>
  <w:style w:type="paragraph" w:customStyle="1" w:styleId="cabecalhoalinhadoesquerda">
    <w:name w:val="cabecalho_alinhado_esquerda"/>
    <w:basedOn w:val="Normal"/>
    <w:rsid w:val="007A1277"/>
    <w:pPr>
      <w:spacing w:before="100" w:beforeAutospacing="1" w:after="100" w:afterAutospacing="1" w:line="240" w:lineRule="auto"/>
      <w:ind w:left="0" w:firstLine="0"/>
      <w:jc w:val="left"/>
    </w:pPr>
    <w:rPr>
      <w:color w:val="auto"/>
      <w:kern w:val="0"/>
      <w:sz w:val="24"/>
      <w:szCs w:val="24"/>
      <w14:ligatures w14:val="none"/>
    </w:rPr>
  </w:style>
  <w:style w:type="paragraph" w:styleId="PargrafodaLista">
    <w:name w:val="List Paragraph"/>
    <w:basedOn w:val="Normal"/>
    <w:uiPriority w:val="34"/>
    <w:qFormat/>
    <w:rsid w:val="008F1B87"/>
    <w:pPr>
      <w:ind w:left="720"/>
      <w:contextualSpacing/>
    </w:pPr>
  </w:style>
  <w:style w:type="character" w:styleId="Refdecomentrio">
    <w:name w:val="annotation reference"/>
    <w:basedOn w:val="Fontepargpadro"/>
    <w:uiPriority w:val="99"/>
    <w:semiHidden/>
    <w:unhideWhenUsed/>
    <w:rsid w:val="00B44415"/>
    <w:rPr>
      <w:sz w:val="16"/>
      <w:szCs w:val="16"/>
    </w:rPr>
  </w:style>
  <w:style w:type="paragraph" w:styleId="Textodecomentrio">
    <w:name w:val="annotation text"/>
    <w:basedOn w:val="Normal"/>
    <w:link w:val="TextodecomentrioChar"/>
    <w:uiPriority w:val="99"/>
    <w:unhideWhenUsed/>
    <w:rsid w:val="00B44415"/>
    <w:pPr>
      <w:spacing w:line="240" w:lineRule="auto"/>
    </w:pPr>
    <w:rPr>
      <w:sz w:val="20"/>
      <w:szCs w:val="20"/>
    </w:rPr>
  </w:style>
  <w:style w:type="character" w:customStyle="1" w:styleId="TextodecomentrioChar">
    <w:name w:val="Texto de comentário Char"/>
    <w:basedOn w:val="Fontepargpadro"/>
    <w:link w:val="Textodecomentrio"/>
    <w:uiPriority w:val="99"/>
    <w:rsid w:val="00B44415"/>
    <w:rPr>
      <w:rFonts w:ascii="Times New Roman" w:eastAsia="Times New Roman" w:hAnsi="Times New Roman" w:cs="Times New Roman"/>
      <w:color w:val="2D3B47"/>
      <w:sz w:val="20"/>
      <w:szCs w:val="20"/>
    </w:rPr>
  </w:style>
  <w:style w:type="paragraph" w:styleId="Assuntodocomentrio">
    <w:name w:val="annotation subject"/>
    <w:basedOn w:val="Textodecomentrio"/>
    <w:next w:val="Textodecomentrio"/>
    <w:link w:val="AssuntodocomentrioChar"/>
    <w:uiPriority w:val="99"/>
    <w:semiHidden/>
    <w:unhideWhenUsed/>
    <w:rsid w:val="00B44415"/>
    <w:rPr>
      <w:b/>
      <w:bCs/>
    </w:rPr>
  </w:style>
  <w:style w:type="character" w:customStyle="1" w:styleId="AssuntodocomentrioChar">
    <w:name w:val="Assunto do comentário Char"/>
    <w:basedOn w:val="TextodecomentrioChar"/>
    <w:link w:val="Assuntodocomentrio"/>
    <w:uiPriority w:val="99"/>
    <w:semiHidden/>
    <w:rsid w:val="00B44415"/>
    <w:rPr>
      <w:rFonts w:ascii="Times New Roman" w:eastAsia="Times New Roman" w:hAnsi="Times New Roman" w:cs="Times New Roman"/>
      <w:b/>
      <w:bCs/>
      <w:color w:val="2D3B47"/>
      <w:sz w:val="20"/>
      <w:szCs w:val="20"/>
    </w:rPr>
  </w:style>
  <w:style w:type="paragraph" w:styleId="Ttulo">
    <w:name w:val="Title"/>
    <w:basedOn w:val="Normal"/>
    <w:next w:val="Normal"/>
    <w:link w:val="TtuloChar"/>
    <w:autoRedefine/>
    <w:uiPriority w:val="10"/>
    <w:qFormat/>
    <w:rsid w:val="001556FC"/>
    <w:pPr>
      <w:numPr>
        <w:numId w:val="3"/>
      </w:numPr>
      <w:spacing w:before="120" w:after="120" w:line="240" w:lineRule="auto"/>
      <w:ind w:left="-993"/>
      <w:contextualSpacing/>
      <w:outlineLvl w:val="0"/>
    </w:pPr>
    <w:rPr>
      <w:rFonts w:eastAsiaTheme="majorEastAsia" w:cstheme="majorBidi"/>
      <w:b/>
      <w:color w:val="auto"/>
      <w:spacing w:val="-10"/>
      <w:kern w:val="28"/>
      <w:sz w:val="24"/>
      <w:szCs w:val="56"/>
    </w:rPr>
  </w:style>
  <w:style w:type="character" w:customStyle="1" w:styleId="TtuloChar">
    <w:name w:val="Título Char"/>
    <w:basedOn w:val="Fontepargpadro"/>
    <w:link w:val="Ttulo"/>
    <w:uiPriority w:val="10"/>
    <w:rsid w:val="001556FC"/>
    <w:rPr>
      <w:rFonts w:ascii="Times New Roman" w:eastAsiaTheme="majorEastAsia" w:hAnsi="Times New Roman" w:cstheme="majorBidi"/>
      <w:b/>
      <w:spacing w:val="-10"/>
      <w:kern w:val="28"/>
      <w:sz w:val="24"/>
      <w:szCs w:val="56"/>
    </w:rPr>
  </w:style>
  <w:style w:type="character" w:customStyle="1" w:styleId="Ttulo1Char">
    <w:name w:val="Título 1 Char"/>
    <w:basedOn w:val="Fontepargpadro"/>
    <w:link w:val="Ttulo1"/>
    <w:uiPriority w:val="9"/>
    <w:rsid w:val="00BD2EEB"/>
    <w:rPr>
      <w:rFonts w:ascii="Times New Roman" w:eastAsiaTheme="majorEastAsia" w:hAnsi="Times New Roman" w:cstheme="majorBidi"/>
      <w:b/>
      <w:color w:val="2F5496" w:themeColor="accent1" w:themeShade="BF"/>
      <w:sz w:val="28"/>
      <w:szCs w:val="32"/>
    </w:rPr>
  </w:style>
  <w:style w:type="paragraph" w:styleId="CabealhodoSumrio">
    <w:name w:val="TOC Heading"/>
    <w:basedOn w:val="Ttulo1"/>
    <w:next w:val="Normal"/>
    <w:uiPriority w:val="39"/>
    <w:unhideWhenUsed/>
    <w:qFormat/>
    <w:rsid w:val="00933BFF"/>
    <w:pPr>
      <w:spacing w:line="259" w:lineRule="auto"/>
      <w:ind w:left="0"/>
      <w:jc w:val="left"/>
      <w:outlineLvl w:val="9"/>
    </w:pPr>
    <w:rPr>
      <w:kern w:val="0"/>
      <w14:ligatures w14:val="none"/>
    </w:rPr>
  </w:style>
  <w:style w:type="paragraph" w:styleId="Sumrio1">
    <w:name w:val="toc 1"/>
    <w:basedOn w:val="Normal"/>
    <w:next w:val="Normal"/>
    <w:autoRedefine/>
    <w:uiPriority w:val="39"/>
    <w:unhideWhenUsed/>
    <w:rsid w:val="005A7EAD"/>
    <w:pPr>
      <w:tabs>
        <w:tab w:val="left" w:pos="-709"/>
        <w:tab w:val="right" w:leader="dot" w:pos="8398"/>
      </w:tabs>
      <w:spacing w:after="100"/>
      <w:ind w:left="-1276" w:firstLine="0"/>
    </w:pPr>
  </w:style>
  <w:style w:type="character" w:styleId="Hyperlink">
    <w:name w:val="Hyperlink"/>
    <w:basedOn w:val="Fontepargpadro"/>
    <w:uiPriority w:val="99"/>
    <w:unhideWhenUsed/>
    <w:rsid w:val="00933BFF"/>
    <w:rPr>
      <w:color w:val="0563C1" w:themeColor="hyperlink"/>
      <w:u w:val="single"/>
    </w:rPr>
  </w:style>
  <w:style w:type="paragraph" w:styleId="Textodenotaderodap">
    <w:name w:val="footnote text"/>
    <w:basedOn w:val="Normal"/>
    <w:link w:val="TextodenotaderodapChar"/>
    <w:uiPriority w:val="99"/>
    <w:semiHidden/>
    <w:unhideWhenUsed/>
    <w:rsid w:val="003267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67D2"/>
    <w:rPr>
      <w:rFonts w:ascii="Times New Roman" w:eastAsia="Times New Roman" w:hAnsi="Times New Roman" w:cs="Times New Roman"/>
      <w:color w:val="2D3B47"/>
      <w:sz w:val="20"/>
      <w:szCs w:val="20"/>
    </w:rPr>
  </w:style>
  <w:style w:type="character" w:styleId="Refdenotaderodap">
    <w:name w:val="footnote reference"/>
    <w:basedOn w:val="Fontepargpadro"/>
    <w:uiPriority w:val="99"/>
    <w:semiHidden/>
    <w:unhideWhenUsed/>
    <w:rsid w:val="003267D2"/>
    <w:rPr>
      <w:vertAlign w:val="superscript"/>
    </w:rPr>
  </w:style>
  <w:style w:type="character" w:customStyle="1" w:styleId="Ttulo2Char">
    <w:name w:val="Título 2 Char"/>
    <w:basedOn w:val="Fontepargpadro"/>
    <w:link w:val="Ttulo2"/>
    <w:uiPriority w:val="9"/>
    <w:rsid w:val="005A7EAD"/>
    <w:rPr>
      <w:rFonts w:ascii="Times New Roman" w:eastAsiaTheme="majorEastAsia" w:hAnsi="Times New Roman" w:cstheme="majorBidi"/>
      <w:b/>
      <w:color w:val="2F5496" w:themeColor="accent1" w:themeShade="BF"/>
      <w:sz w:val="26"/>
      <w:szCs w:val="26"/>
    </w:rPr>
  </w:style>
  <w:style w:type="character" w:customStyle="1" w:styleId="Ttulo3Char">
    <w:name w:val="Título 3 Char"/>
    <w:basedOn w:val="Fontepargpadro"/>
    <w:link w:val="Ttulo3"/>
    <w:uiPriority w:val="9"/>
    <w:rsid w:val="006B7A0D"/>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6B7A0D"/>
    <w:rPr>
      <w:rFonts w:asciiTheme="majorHAnsi" w:eastAsiaTheme="majorEastAsia" w:hAnsiTheme="majorHAnsi" w:cstheme="majorBidi"/>
      <w:i/>
      <w:iCs/>
      <w:color w:val="2F5496" w:themeColor="accent1" w:themeShade="BF"/>
      <w:sz w:val="19"/>
    </w:rPr>
  </w:style>
  <w:style w:type="character" w:customStyle="1" w:styleId="Ttulo5Char">
    <w:name w:val="Título 5 Char"/>
    <w:basedOn w:val="Fontepargpadro"/>
    <w:link w:val="Ttulo5"/>
    <w:uiPriority w:val="9"/>
    <w:semiHidden/>
    <w:rsid w:val="006B7A0D"/>
    <w:rPr>
      <w:rFonts w:asciiTheme="majorHAnsi" w:eastAsiaTheme="majorEastAsia" w:hAnsiTheme="majorHAnsi" w:cstheme="majorBidi"/>
      <w:color w:val="2F5496" w:themeColor="accent1" w:themeShade="BF"/>
      <w:sz w:val="19"/>
    </w:rPr>
  </w:style>
  <w:style w:type="character" w:customStyle="1" w:styleId="Ttulo6Char">
    <w:name w:val="Título 6 Char"/>
    <w:basedOn w:val="Fontepargpadro"/>
    <w:link w:val="Ttulo6"/>
    <w:uiPriority w:val="9"/>
    <w:semiHidden/>
    <w:rsid w:val="006B7A0D"/>
    <w:rPr>
      <w:rFonts w:asciiTheme="majorHAnsi" w:eastAsiaTheme="majorEastAsia" w:hAnsiTheme="majorHAnsi" w:cstheme="majorBidi"/>
      <w:color w:val="1F3763" w:themeColor="accent1" w:themeShade="7F"/>
      <w:sz w:val="19"/>
    </w:rPr>
  </w:style>
  <w:style w:type="character" w:customStyle="1" w:styleId="Ttulo7Char">
    <w:name w:val="Título 7 Char"/>
    <w:basedOn w:val="Fontepargpadro"/>
    <w:link w:val="Ttulo7"/>
    <w:uiPriority w:val="9"/>
    <w:semiHidden/>
    <w:rsid w:val="006B7A0D"/>
    <w:rPr>
      <w:rFonts w:asciiTheme="majorHAnsi" w:eastAsiaTheme="majorEastAsia" w:hAnsiTheme="majorHAnsi" w:cstheme="majorBidi"/>
      <w:i/>
      <w:iCs/>
      <w:color w:val="1F3763" w:themeColor="accent1" w:themeShade="7F"/>
      <w:sz w:val="19"/>
    </w:rPr>
  </w:style>
  <w:style w:type="character" w:customStyle="1" w:styleId="Ttulo8Char">
    <w:name w:val="Título 8 Char"/>
    <w:basedOn w:val="Fontepargpadro"/>
    <w:link w:val="Ttulo8"/>
    <w:uiPriority w:val="9"/>
    <w:semiHidden/>
    <w:rsid w:val="006B7A0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B7A0D"/>
    <w:rPr>
      <w:rFonts w:asciiTheme="majorHAnsi" w:eastAsiaTheme="majorEastAsia" w:hAnsiTheme="majorHAnsi" w:cstheme="majorBidi"/>
      <w:i/>
      <w:iCs/>
      <w:color w:val="272727" w:themeColor="text1" w:themeTint="D8"/>
      <w:sz w:val="21"/>
      <w:szCs w:val="21"/>
    </w:rPr>
  </w:style>
  <w:style w:type="paragraph" w:styleId="Sumrio2">
    <w:name w:val="toc 2"/>
    <w:basedOn w:val="Normal"/>
    <w:next w:val="Normal"/>
    <w:autoRedefine/>
    <w:uiPriority w:val="39"/>
    <w:unhideWhenUsed/>
    <w:rsid w:val="00AD02A4"/>
    <w:pPr>
      <w:tabs>
        <w:tab w:val="left" w:pos="720"/>
        <w:tab w:val="right" w:leader="dot" w:pos="8547"/>
      </w:tabs>
      <w:spacing w:after="100"/>
      <w:ind w:left="10"/>
    </w:pPr>
  </w:style>
  <w:style w:type="character" w:styleId="MenoPendente">
    <w:name w:val="Unresolved Mention"/>
    <w:basedOn w:val="Fontepargpadro"/>
    <w:uiPriority w:val="99"/>
    <w:semiHidden/>
    <w:unhideWhenUsed/>
    <w:rsid w:val="00420E98"/>
    <w:rPr>
      <w:color w:val="605E5C"/>
      <w:shd w:val="clear" w:color="auto" w:fill="E1DFDD"/>
    </w:rPr>
  </w:style>
  <w:style w:type="character" w:styleId="HiperlinkVisitado">
    <w:name w:val="FollowedHyperlink"/>
    <w:basedOn w:val="Fontepargpadro"/>
    <w:uiPriority w:val="99"/>
    <w:semiHidden/>
    <w:unhideWhenUsed/>
    <w:rsid w:val="000B32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84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planejamento/pt-br/assuntos/orcamento/paginas/2025_05_09_1623_ambient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planejamento/pt-br/assuntos/orcamento/arquivos/relatorio_gastos_climaticos_final_18-11-25-155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planejamento/pt-br/assuntos/orcamento/gastos-climatico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planejamento/pt-br/assuntos/orcamento/arquivos/relatorio_gastos_climaticos_final_18-11-25-1554.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D3190560848C40B6A929426775C674" ma:contentTypeVersion="6" ma:contentTypeDescription="Crie um novo documento." ma:contentTypeScope="" ma:versionID="b4aad598426220040fd07445148c54ad">
  <xsd:schema xmlns:xsd="http://www.w3.org/2001/XMLSchema" xmlns:xs="http://www.w3.org/2001/XMLSchema" xmlns:p="http://schemas.microsoft.com/office/2006/metadata/properties" xmlns:ns2="7958aaa2-8324-4e6b-85b9-898ded2233bd" xmlns:ns3="1e427746-d06a-4193-aa24-04f7d3cf6a94" xmlns:ns4="51a46d2f-a458-486e-923f-5f5ac2f4c91a" targetNamespace="http://schemas.microsoft.com/office/2006/metadata/properties" ma:root="true" ma:fieldsID="03eebb3b798fa19b84e8c7a775c5ab43" ns2:_="" ns3:_="" ns4:_="">
    <xsd:import namespace="7958aaa2-8324-4e6b-85b9-898ded2233bd"/>
    <xsd:import namespace="1e427746-d06a-4193-aa24-04f7d3cf6a94"/>
    <xsd:import namespace="51a46d2f-a458-486e-923f-5f5ac2f4c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8aaa2-8324-4e6b-85b9-898ded223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27746-d06a-4193-aa24-04f7d3cf6a94"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39d7e3e-2180-4bf4-896a-658d90d149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a46d2f-a458-486e-923f-5f5ac2f4c91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d3114b8-d5ad-4ec6-8e44-6ae1cfdc8091}" ma:internalName="TaxCatchAll" ma:showField="CatchAllData" ma:web="51a46d2f-a458-486e-923f-5f5ac2f4c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a46d2f-a458-486e-923f-5f5ac2f4c91a" xsi:nil="true"/>
    <lcf76f155ced4ddcb4097134ff3c332f xmlns="1e427746-d06a-4193-aa24-04f7d3cf6a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0BA5-E7B6-4C51-88C3-656DDED571DE}">
  <ds:schemaRefs>
    <ds:schemaRef ds:uri="http://schemas.microsoft.com/sharepoint/v3/contenttype/forms"/>
  </ds:schemaRefs>
</ds:datastoreItem>
</file>

<file path=customXml/itemProps2.xml><?xml version="1.0" encoding="utf-8"?>
<ds:datastoreItem xmlns:ds="http://schemas.openxmlformats.org/officeDocument/2006/customXml" ds:itemID="{9F694162-0AEC-4A1E-8F02-24C3E92733B6}"/>
</file>

<file path=customXml/itemProps3.xml><?xml version="1.0" encoding="utf-8"?>
<ds:datastoreItem xmlns:ds="http://schemas.openxmlformats.org/officeDocument/2006/customXml" ds:itemID="{37F16409-21F2-4757-9F78-577E24301CA0}">
  <ds:schemaRefs>
    <ds:schemaRef ds:uri="http://schemas.microsoft.com/office/2006/metadata/properties"/>
    <ds:schemaRef ds:uri="http://schemas.microsoft.com/office/infopath/2007/PartnerControls"/>
    <ds:schemaRef ds:uri="51a46d2f-a458-486e-923f-5f5ac2f4c91a"/>
    <ds:schemaRef ds:uri="1e427746-d06a-4193-aa24-04f7d3cf6a94"/>
  </ds:schemaRefs>
</ds:datastoreItem>
</file>

<file path=customXml/itemProps4.xml><?xml version="1.0" encoding="utf-8"?>
<ds:datastoreItem xmlns:ds="http://schemas.openxmlformats.org/officeDocument/2006/customXml" ds:itemID="{E43D100E-9A49-4D2D-A645-055DA3A4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4089</Words>
  <Characters>22086</Characters>
  <Application>Microsoft Office Word</Application>
  <DocSecurity>0</DocSecurity>
  <Lines>184</Lines>
  <Paragraphs>52</Paragraphs>
  <ScaleCrop>false</ScaleCrop>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dicionario_de_dados_acomp._orcamentario_2021.xlsx</dc:title>
  <dc:subject/>
  <dc:creator>surin</dc:creator>
  <cp:keywords/>
  <cp:lastModifiedBy>Samantha Lemos Turte Cavadinha</cp:lastModifiedBy>
  <cp:revision>12</cp:revision>
  <dcterms:created xsi:type="dcterms:W3CDTF">2026-03-27T15:41:00Z</dcterms:created>
  <dcterms:modified xsi:type="dcterms:W3CDTF">2026-04-01T14:39:00Z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9e88b26983a0851add2c1c2e2b5a63163764cd4017b8dc2b180c8500b55d3ba2</vt:lpwstr>
  </property>
  <property fmtid="{D5CDD505-2E9C-101B-9397-08002B2CF9AE}" pid="3" name="ContentTypeId">
    <vt:lpwstr>0x01010000D3190560848C40B6A929426775C674</vt:lpwstr>
  </property>
  <property fmtid="{D5CDD505-2E9C-101B-9397-08002B2CF9AE}" pid="4" name="MediaServiceImageTags">
    <vt:lpwstr/>
  </property>
  <property fmtid="{D5CDD505-2E9C-101B-9397-08002B2CF9AE}" pid="5" name="Order">
    <vt:r8>10438000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pt</vt:lpwstr>
  </property>
</Properties>
</file>