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4E85E" w14:textId="3E9C3D02" w:rsidR="00B420AC" w:rsidRDefault="004439EF" w:rsidP="00B420AC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color w:val="44546A" w:themeColor="text2"/>
          <w:sz w:val="40"/>
          <w:szCs w:val="40"/>
        </w:rPr>
        <w:br/>
      </w:r>
      <w:r w:rsidR="00B420AC">
        <w:rPr>
          <w:rFonts w:ascii="Century Gothic" w:hAnsi="Century Gothic"/>
          <w:b/>
          <w:bCs/>
          <w:color w:val="44546A"/>
          <w:sz w:val="40"/>
          <w:szCs w:val="40"/>
        </w:rPr>
        <w:t>A presença feminina no serviço público</w:t>
      </w:r>
      <w:r w:rsidR="00B420AC">
        <w:rPr>
          <w:rFonts w:ascii="Century Gothic" w:hAnsi="Century Gothic"/>
          <w:b/>
          <w:bCs/>
          <w:color w:val="44546A"/>
          <w:sz w:val="40"/>
          <w:szCs w:val="40"/>
        </w:rPr>
        <w:br/>
      </w:r>
      <w:r w:rsidR="00B420AC">
        <w:rPr>
          <w:rFonts w:ascii="Century Gothic" w:hAnsi="Century Gothic"/>
          <w:b/>
          <w:bCs/>
          <w:color w:val="44546A"/>
          <w:sz w:val="28"/>
          <w:szCs w:val="28"/>
        </w:rPr>
        <w:br/>
      </w:r>
    </w:p>
    <w:p w14:paraId="433599CD" w14:textId="77777777" w:rsidR="00B420AC" w:rsidRDefault="00B420AC" w:rsidP="00B420AC">
      <w:pPr>
        <w:pStyle w:val="NormalWeb"/>
        <w:spacing w:before="0" w:beforeAutospacing="0" w:after="0" w:afterAutospacing="0"/>
        <w:ind w:firstLine="706"/>
        <w:jc w:val="both"/>
        <w:rPr>
          <w:rFonts w:ascii="Century Gothic" w:hAnsi="Century Gothic"/>
          <w:color w:val="000000"/>
          <w:sz w:val="25"/>
          <w:szCs w:val="25"/>
        </w:rPr>
        <w:sectPr w:rsidR="00B420AC" w:rsidSect="00B420A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18" w:right="656" w:bottom="567" w:left="720" w:header="450" w:footer="570" w:gutter="0"/>
          <w:cols w:space="540"/>
          <w:titlePg/>
          <w:docGrid w:linePitch="326"/>
        </w:sectPr>
      </w:pPr>
    </w:p>
    <w:p w14:paraId="4EB3118C" w14:textId="5FC48C55" w:rsidR="00B420AC" w:rsidRPr="009F5290" w:rsidRDefault="00B420AC" w:rsidP="009F5290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9F5290">
        <w:rPr>
          <w:rFonts w:ascii="Century Gothic" w:hAnsi="Century Gothic"/>
          <w:color w:val="000000"/>
        </w:rPr>
        <w:t xml:space="preserve">A Constituição Federal, em seu art. 5º, garante </w:t>
      </w:r>
      <w:r w:rsidRPr="009F5290">
        <w:rPr>
          <w:rFonts w:ascii="Century Gothic" w:hAnsi="Century Gothic"/>
          <w:b/>
          <w:color w:val="000000"/>
        </w:rPr>
        <w:t>a igualdade entre homens e mulheres, quanto aos seus direitos e obrigações</w:t>
      </w:r>
      <w:r w:rsidRPr="009F5290">
        <w:rPr>
          <w:rFonts w:ascii="Century Gothic" w:hAnsi="Century Gothic"/>
          <w:color w:val="000000"/>
        </w:rPr>
        <w:t xml:space="preserve">. Mas, mesmo este tema tendo sido elevado ao </w:t>
      </w:r>
      <w:r w:rsidRPr="009F5290">
        <w:rPr>
          <w:rFonts w:ascii="Century Gothic" w:hAnsi="Century Gothic"/>
          <w:i/>
          <w:iCs/>
          <w:color w:val="000000"/>
        </w:rPr>
        <w:t>status</w:t>
      </w:r>
      <w:r w:rsidRPr="009F5290">
        <w:rPr>
          <w:rFonts w:ascii="Century Gothic" w:hAnsi="Century Gothic"/>
          <w:color w:val="000000"/>
        </w:rPr>
        <w:t xml:space="preserve"> de direito fundamental, </w:t>
      </w:r>
      <w:r w:rsidR="00A43100">
        <w:rPr>
          <w:rFonts w:ascii="Century Gothic" w:hAnsi="Century Gothic"/>
          <w:color w:val="000000"/>
        </w:rPr>
        <w:t xml:space="preserve">o desequilíbrio na oferta de oportunidades </w:t>
      </w:r>
      <w:r w:rsidRPr="009F5290">
        <w:rPr>
          <w:rFonts w:ascii="Century Gothic" w:hAnsi="Century Gothic"/>
          <w:color w:val="000000"/>
        </w:rPr>
        <w:t xml:space="preserve">entre os </w:t>
      </w:r>
      <w:r w:rsidR="00CA1AF8">
        <w:rPr>
          <w:rFonts w:ascii="Century Gothic" w:hAnsi="Century Gothic"/>
          <w:color w:val="000000"/>
        </w:rPr>
        <w:t xml:space="preserve">gêneros </w:t>
      </w:r>
      <w:r w:rsidR="00A43100">
        <w:rPr>
          <w:rFonts w:ascii="Century Gothic" w:hAnsi="Century Gothic"/>
          <w:color w:val="000000"/>
        </w:rPr>
        <w:t xml:space="preserve">ainda </w:t>
      </w:r>
      <w:r w:rsidRPr="009F5290">
        <w:rPr>
          <w:rFonts w:ascii="Century Gothic" w:hAnsi="Century Gothic"/>
          <w:color w:val="000000"/>
        </w:rPr>
        <w:t xml:space="preserve">é uma </w:t>
      </w:r>
      <w:r w:rsidR="00A43100">
        <w:rPr>
          <w:rFonts w:ascii="Century Gothic" w:hAnsi="Century Gothic"/>
          <w:color w:val="000000"/>
        </w:rPr>
        <w:t xml:space="preserve">realidade </w:t>
      </w:r>
      <w:r w:rsidRPr="009F5290">
        <w:rPr>
          <w:rFonts w:ascii="Century Gothic" w:hAnsi="Century Gothic"/>
          <w:color w:val="000000"/>
        </w:rPr>
        <w:t>recorrente</w:t>
      </w:r>
      <w:r w:rsidR="00A43100">
        <w:rPr>
          <w:rFonts w:ascii="Century Gothic" w:hAnsi="Century Gothic"/>
          <w:color w:val="000000"/>
        </w:rPr>
        <w:t xml:space="preserve"> em vários setores da sociedade.  </w:t>
      </w:r>
    </w:p>
    <w:p w14:paraId="46B518ED" w14:textId="77777777" w:rsidR="00B420AC" w:rsidRPr="009F5290" w:rsidRDefault="00B420AC" w:rsidP="009F5290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9F5290">
        <w:rPr>
          <w:rFonts w:ascii="Century Gothic" w:hAnsi="Century Gothic"/>
          <w:color w:val="000000"/>
        </w:rPr>
        <w:t>No serviço público, por exemplo, ainda que as mulheres sejam a maioria nas três esferas, o acesso a áreas mais valorizadas da Administração Pública ainda é desigual. Estereótipos vinculados ao sexo feminino, como o relacionamento da figura feminina às atividades domésticas, o que poderia prejudicar a sua dedicação ao trabalho, e a própria maternidade, ainda impactam diretamente no alcance de mulheres a posições de liderança.</w:t>
      </w:r>
    </w:p>
    <w:p w14:paraId="2C8A199C" w14:textId="79637466" w:rsidR="00B420AC" w:rsidRPr="009F5290" w:rsidRDefault="00B420AC" w:rsidP="009F5290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9F5290">
        <w:rPr>
          <w:rFonts w:ascii="Century Gothic" w:hAnsi="Century Gothic"/>
          <w:color w:val="000000"/>
        </w:rPr>
        <w:t xml:space="preserve">Mas o problema não se </w:t>
      </w:r>
      <w:r w:rsidR="00B22413" w:rsidRPr="009F5290">
        <w:rPr>
          <w:rFonts w:ascii="Century Gothic" w:hAnsi="Century Gothic"/>
          <w:color w:val="000000"/>
        </w:rPr>
        <w:t>restringe</w:t>
      </w:r>
      <w:r w:rsidRPr="009F5290">
        <w:rPr>
          <w:rFonts w:ascii="Century Gothic" w:hAnsi="Century Gothic"/>
          <w:color w:val="000000"/>
        </w:rPr>
        <w:t xml:space="preserve"> ao acesso a altos cargos. As mulheres, por vezes, são julgadas incapazes de exercer tarefas considerada</w:t>
      </w:r>
      <w:r w:rsidR="00B22413" w:rsidRPr="009F5290">
        <w:rPr>
          <w:rFonts w:ascii="Century Gothic" w:hAnsi="Century Gothic"/>
          <w:color w:val="000000"/>
        </w:rPr>
        <w:t>s mais estratégicas ou que demandem</w:t>
      </w:r>
      <w:r w:rsidRPr="009F5290">
        <w:rPr>
          <w:rFonts w:ascii="Century Gothic" w:hAnsi="Century Gothic"/>
          <w:color w:val="000000"/>
        </w:rPr>
        <w:t xml:space="preserve"> maior conhecimento </w:t>
      </w:r>
      <w:r w:rsidRPr="009F5290">
        <w:rPr>
          <w:rFonts w:ascii="Century Gothic" w:hAnsi="Century Gothic"/>
          <w:color w:val="000000"/>
        </w:rPr>
        <w:t>técnico devido ao preconceito</w:t>
      </w:r>
      <w:r w:rsidR="00B22413" w:rsidRPr="009F5290">
        <w:rPr>
          <w:rFonts w:ascii="Century Gothic" w:hAnsi="Century Gothic"/>
          <w:color w:val="000000"/>
        </w:rPr>
        <w:t xml:space="preserve"> existente</w:t>
      </w:r>
      <w:r w:rsidRPr="009F5290">
        <w:rPr>
          <w:rFonts w:ascii="Century Gothic" w:hAnsi="Century Gothic"/>
          <w:color w:val="000000"/>
        </w:rPr>
        <w:t>. Enquanto homens são vistos como possuidores de maior racionalidade, mulheres são conhecidas como seres sensíveis e até mesmo menos inteligentes.</w:t>
      </w:r>
    </w:p>
    <w:p w14:paraId="49054386" w14:textId="2DA2E44F" w:rsidR="00B420AC" w:rsidRPr="009F5290" w:rsidRDefault="00A43100" w:rsidP="009F5290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Century Gothic" w:hAnsi="Century Gothic"/>
          <w:color w:val="000000"/>
        </w:rPr>
        <w:t>Isso s</w:t>
      </w:r>
      <w:r w:rsidR="00B420AC" w:rsidRPr="009F5290">
        <w:rPr>
          <w:rFonts w:ascii="Century Gothic" w:hAnsi="Century Gothic"/>
          <w:color w:val="000000"/>
        </w:rPr>
        <w:t>em falar em situações que envolvem assédio: mulheres que estão em altos cargos tendem a ser julgadas acerca dos meios utilizados para ascensão.</w:t>
      </w:r>
    </w:p>
    <w:p w14:paraId="69FC3AF4" w14:textId="77777777" w:rsidR="00B420AC" w:rsidRPr="009F5290" w:rsidRDefault="00B420AC" w:rsidP="009F5290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9F5290">
        <w:rPr>
          <w:rFonts w:ascii="Century Gothic" w:hAnsi="Century Gothic"/>
          <w:color w:val="000000"/>
        </w:rPr>
        <w:t>Então, como resolver essa questão? </w:t>
      </w:r>
    </w:p>
    <w:p w14:paraId="0C6E833A" w14:textId="4A259162" w:rsidR="00B420AC" w:rsidRPr="009F5290" w:rsidRDefault="00B420AC" w:rsidP="009F5290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9F5290">
        <w:rPr>
          <w:rFonts w:ascii="Century Gothic" w:hAnsi="Century Gothic"/>
          <w:color w:val="000000"/>
        </w:rPr>
        <w:t xml:space="preserve">Sem dúvida alguma, </w:t>
      </w:r>
      <w:r w:rsidRPr="009F5290">
        <w:rPr>
          <w:rFonts w:ascii="Century Gothic" w:hAnsi="Century Gothic"/>
          <w:b/>
          <w:color w:val="000000"/>
        </w:rPr>
        <w:t>a mudança de cultura</w:t>
      </w:r>
      <w:r w:rsidR="00B22413" w:rsidRPr="009F5290">
        <w:rPr>
          <w:rFonts w:ascii="Century Gothic" w:hAnsi="Century Gothic"/>
          <w:b/>
          <w:color w:val="000000"/>
        </w:rPr>
        <w:t xml:space="preserve"> com relação a este tema</w:t>
      </w:r>
      <w:r w:rsidRPr="009F5290">
        <w:rPr>
          <w:rFonts w:ascii="Century Gothic" w:hAnsi="Century Gothic"/>
          <w:b/>
          <w:color w:val="000000"/>
        </w:rPr>
        <w:t xml:space="preserve"> passa por ações voltadas para a educação contra estereótipos</w:t>
      </w:r>
      <w:r w:rsidR="00B22413" w:rsidRPr="009F5290">
        <w:rPr>
          <w:rFonts w:ascii="Century Gothic" w:hAnsi="Century Gothic"/>
          <w:color w:val="000000"/>
        </w:rPr>
        <w:t>, principalmente de gênero</w:t>
      </w:r>
      <w:r w:rsidRPr="009F5290">
        <w:rPr>
          <w:rFonts w:ascii="Century Gothic" w:hAnsi="Century Gothic"/>
          <w:color w:val="000000"/>
        </w:rPr>
        <w:t xml:space="preserve">. </w:t>
      </w:r>
      <w:r w:rsidR="00B22413" w:rsidRPr="009F5290">
        <w:rPr>
          <w:rFonts w:ascii="Century Gothic" w:hAnsi="Century Gothic"/>
          <w:color w:val="000000"/>
        </w:rPr>
        <w:t>Também a</w:t>
      </w:r>
      <w:r w:rsidRPr="009F5290">
        <w:rPr>
          <w:rFonts w:ascii="Century Gothic" w:hAnsi="Century Gothic"/>
          <w:color w:val="000000"/>
        </w:rPr>
        <w:t xml:space="preserve">ções que fomentem a participação feminina em áreas do setor público </w:t>
      </w:r>
      <w:r w:rsidR="00A43100">
        <w:rPr>
          <w:rFonts w:ascii="Century Gothic" w:hAnsi="Century Gothic"/>
          <w:color w:val="000000"/>
        </w:rPr>
        <w:t xml:space="preserve">ocupadas </w:t>
      </w:r>
      <w:r w:rsidRPr="009F5290">
        <w:rPr>
          <w:rFonts w:ascii="Century Gothic" w:hAnsi="Century Gothic"/>
          <w:color w:val="000000"/>
        </w:rPr>
        <w:t xml:space="preserve">majoritariamente por homens </w:t>
      </w:r>
      <w:r w:rsidR="00B22413" w:rsidRPr="009F5290">
        <w:rPr>
          <w:rFonts w:ascii="Century Gothic" w:hAnsi="Century Gothic"/>
          <w:color w:val="000000"/>
        </w:rPr>
        <w:t>podem ser uma alternativa</w:t>
      </w:r>
      <w:r w:rsidRPr="009F5290">
        <w:rPr>
          <w:rFonts w:ascii="Century Gothic" w:hAnsi="Century Gothic"/>
          <w:color w:val="000000"/>
        </w:rPr>
        <w:t>. </w:t>
      </w:r>
    </w:p>
    <w:p w14:paraId="06AD00B8" w14:textId="2047D2EA" w:rsidR="00B420AC" w:rsidRPr="009F5290" w:rsidRDefault="00B420AC" w:rsidP="009F5290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9F5290">
        <w:rPr>
          <w:rFonts w:ascii="Century Gothic" w:hAnsi="Century Gothic"/>
          <w:color w:val="000000"/>
        </w:rPr>
        <w:t xml:space="preserve">Seja como for, </w:t>
      </w:r>
      <w:r w:rsidRPr="009F5290">
        <w:rPr>
          <w:rFonts w:ascii="Century Gothic" w:hAnsi="Century Gothic"/>
          <w:b/>
          <w:color w:val="000000"/>
        </w:rPr>
        <w:t xml:space="preserve">é urgente </w:t>
      </w:r>
      <w:r w:rsidR="00B22413" w:rsidRPr="009F5290">
        <w:rPr>
          <w:rFonts w:ascii="Century Gothic" w:hAnsi="Century Gothic"/>
          <w:b/>
          <w:color w:val="000000"/>
        </w:rPr>
        <w:t>o reconhecimento d</w:t>
      </w:r>
      <w:r w:rsidRPr="009F5290">
        <w:rPr>
          <w:rFonts w:ascii="Century Gothic" w:hAnsi="Century Gothic"/>
          <w:b/>
          <w:color w:val="000000"/>
        </w:rPr>
        <w:t>a efetiva equidade de gênero no serviço público</w:t>
      </w:r>
      <w:r w:rsidRPr="009F5290">
        <w:rPr>
          <w:rFonts w:ascii="Century Gothic" w:hAnsi="Century Gothic"/>
          <w:color w:val="000000"/>
        </w:rPr>
        <w:t xml:space="preserve">. Afinal, essa é uma questão de direito humano e </w:t>
      </w:r>
      <w:r w:rsidR="00446CA2">
        <w:rPr>
          <w:rFonts w:ascii="Century Gothic" w:hAnsi="Century Gothic"/>
          <w:color w:val="000000"/>
        </w:rPr>
        <w:t xml:space="preserve">de </w:t>
      </w:r>
      <w:r w:rsidRPr="009F5290">
        <w:rPr>
          <w:rFonts w:ascii="Century Gothic" w:hAnsi="Century Gothic"/>
          <w:color w:val="000000"/>
        </w:rPr>
        <w:t>ética!</w:t>
      </w:r>
    </w:p>
    <w:p w14:paraId="3601529C" w14:textId="40371F8F" w:rsidR="00B420AC" w:rsidRPr="009F5290" w:rsidRDefault="00446CA2" w:rsidP="009F5290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Century Gothic" w:hAnsi="Century Gothic"/>
          <w:color w:val="000000"/>
        </w:rPr>
        <w:t xml:space="preserve">Se você souber de </w:t>
      </w:r>
      <w:r w:rsidR="00B420AC" w:rsidRPr="009F5290">
        <w:rPr>
          <w:rFonts w:ascii="Century Gothic" w:hAnsi="Century Gothic"/>
          <w:color w:val="000000"/>
        </w:rPr>
        <w:t>alguma situação que mereça atenção da Comissão de Ética, entre em contato conosco! </w:t>
      </w:r>
    </w:p>
    <w:sectPr w:rsidR="00B420AC" w:rsidRPr="009F5290" w:rsidSect="009F5290">
      <w:type w:val="continuous"/>
      <w:pgSz w:w="11906" w:h="16838"/>
      <w:pgMar w:top="518" w:right="656" w:bottom="567" w:left="720" w:header="450" w:footer="570" w:gutter="0"/>
      <w:cols w:num="2" w:space="54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0B4C8" w14:textId="77777777" w:rsidR="00B81580" w:rsidRDefault="00B81580" w:rsidP="00AB6383">
      <w:pPr>
        <w:spacing w:line="240" w:lineRule="auto"/>
      </w:pPr>
      <w:r>
        <w:separator/>
      </w:r>
    </w:p>
  </w:endnote>
  <w:endnote w:type="continuationSeparator" w:id="0">
    <w:p w14:paraId="20ACE6CC" w14:textId="77777777" w:rsidR="00B81580" w:rsidRDefault="00B81580" w:rsidP="00AB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12003" w14:textId="77777777" w:rsidR="006D09E5" w:rsidRDefault="006D09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5F96" w14:textId="77777777" w:rsidR="00AB6383" w:rsidRDefault="00AB6383" w:rsidP="00AB6383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F25989" wp14:editId="4B61DEEB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325D1628" id="Conector reto 2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" strokecolor="#ffc000 [3207]" strokeweight="1.5pt">
              <v:stroke joinstyle="miter"/>
            </v:line>
          </w:pict>
        </mc:Fallback>
      </mc:AlternateContent>
    </w:r>
  </w:p>
  <w:p w14:paraId="1332DCF4" w14:textId="77777777" w:rsidR="00AB6383" w:rsidRPr="00AB6383" w:rsidRDefault="00AB6383" w:rsidP="00AB6383">
    <w:pPr>
      <w:pStyle w:val="Rodap"/>
      <w:jc w:val="center"/>
      <w:rPr>
        <w:highlight w:val="yellow"/>
      </w:rPr>
    </w:pPr>
    <w:r>
      <w:t xml:space="preserve">Comissão de Ética </w:t>
    </w:r>
    <w:r w:rsidRPr="00AB6383">
      <w:rPr>
        <w:highlight w:val="yellow"/>
      </w:rPr>
      <w:t>[Inserir nome do órgão]</w:t>
    </w:r>
  </w:p>
  <w:p w14:paraId="21534001" w14:textId="77777777" w:rsidR="00AB6383" w:rsidRDefault="00AB6383" w:rsidP="00AB6383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8F0F2" w14:textId="77777777" w:rsidR="00C5041E" w:rsidRDefault="00C5041E" w:rsidP="00C5041E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AA3A0" wp14:editId="2E6414C8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309C569E" id="Conector reto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" strokecolor="#ffc000 [3207]" strokeweight="1.5pt">
              <v:stroke joinstyle="miter"/>
            </v:line>
          </w:pict>
        </mc:Fallback>
      </mc:AlternateContent>
    </w:r>
  </w:p>
  <w:p w14:paraId="2A7CC00B" w14:textId="77777777" w:rsidR="00D31A6E" w:rsidRPr="00AB6383" w:rsidRDefault="00D31A6E" w:rsidP="00D31A6E">
    <w:pPr>
      <w:pStyle w:val="Rodap"/>
      <w:jc w:val="center"/>
      <w:rPr>
        <w:highlight w:val="yellow"/>
      </w:rPr>
    </w:pPr>
    <w:r>
      <w:t xml:space="preserve">Comissão de Ética </w:t>
    </w:r>
    <w:proofErr w:type="gramStart"/>
    <w:r w:rsidRPr="00AB6383">
      <w:rPr>
        <w:highlight w:val="yellow"/>
      </w:rPr>
      <w:t>[Inserir</w:t>
    </w:r>
    <w:proofErr w:type="gramEnd"/>
    <w:r w:rsidRPr="00AB6383">
      <w:rPr>
        <w:highlight w:val="yellow"/>
      </w:rPr>
      <w:t xml:space="preserve"> nome do órgão]</w:t>
    </w:r>
  </w:p>
  <w:p w14:paraId="0EE02983" w14:textId="77777777" w:rsidR="00D31A6E" w:rsidRDefault="00D31A6E" w:rsidP="00D31A6E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EE585" w14:textId="77777777" w:rsidR="00B81580" w:rsidRDefault="00B81580" w:rsidP="00AB6383">
      <w:pPr>
        <w:spacing w:line="240" w:lineRule="auto"/>
      </w:pPr>
      <w:r>
        <w:separator/>
      </w:r>
    </w:p>
  </w:footnote>
  <w:footnote w:type="continuationSeparator" w:id="0">
    <w:p w14:paraId="2501D14A" w14:textId="77777777" w:rsidR="00B81580" w:rsidRDefault="00B81580" w:rsidP="00AB6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E55B7" w14:textId="77777777" w:rsidR="006D09E5" w:rsidRDefault="006D09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38963" w14:textId="77777777" w:rsidR="008D6F63" w:rsidRDefault="00820374" w:rsidP="008D6F63">
    <w:pPr>
      <w:pStyle w:val="Cabealho"/>
      <w:jc w:val="right"/>
      <w:rPr>
        <w:b/>
      </w:rPr>
    </w:pPr>
    <w:r>
      <w:rPr>
        <w:b/>
        <w:noProof/>
        <w:lang w:eastAsia="pt-BR"/>
      </w:rPr>
      <w:drawing>
        <wp:inline distT="0" distB="0" distL="0" distR="0" wp14:anchorId="1A6978F3" wp14:editId="5B51CB55">
          <wp:extent cx="6686550" cy="1253490"/>
          <wp:effectExtent l="0" t="0" r="0" b="381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uto da Ét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2B40" w14:textId="77777777" w:rsidR="00AB1C84" w:rsidRDefault="00AB1C84" w:rsidP="009858AE">
    <w:pPr>
      <w:pStyle w:val="Cabealho"/>
      <w:jc w:val="right"/>
      <w:rPr>
        <w:noProof/>
        <w:lang w:val="en-US"/>
      </w:rPr>
    </w:pPr>
    <w:r>
      <w:rPr>
        <w:noProof/>
        <w:lang w:eastAsia="pt-BR"/>
      </w:rPr>
      <w:drawing>
        <wp:inline distT="0" distB="0" distL="0" distR="0" wp14:anchorId="04B1CAD8" wp14:editId="33BF8268">
          <wp:extent cx="6960870" cy="109537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uto da Étic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19" b="5839"/>
                  <a:stretch/>
                </pic:blipFill>
                <pic:spPr bwMode="auto">
                  <a:xfrm>
                    <a:off x="0" y="0"/>
                    <a:ext cx="6960870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51072C" w14:textId="666CC828" w:rsidR="00AB1C84" w:rsidRPr="00AB1C84" w:rsidRDefault="006D09E5">
    <w:pPr>
      <w:pStyle w:val="Cabealho"/>
      <w:jc w:val="right"/>
      <w:rPr>
        <w:b/>
      </w:rPr>
    </w:pPr>
    <w:r>
      <w:rPr>
        <w:b/>
      </w:rPr>
      <w:t>Março</w:t>
    </w:r>
    <w:r w:rsidR="00820374" w:rsidRPr="00820374">
      <w:rPr>
        <w:b/>
      </w:rPr>
      <w:t xml:space="preserve"> /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5C5A1B"/>
    <w:multiLevelType w:val="multilevel"/>
    <w:tmpl w:val="22CE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383"/>
    <w:rsid w:val="00002356"/>
    <w:rsid w:val="00012EB6"/>
    <w:rsid w:val="00020C4B"/>
    <w:rsid w:val="000520CF"/>
    <w:rsid w:val="00052DAD"/>
    <w:rsid w:val="000544C5"/>
    <w:rsid w:val="00067856"/>
    <w:rsid w:val="00073844"/>
    <w:rsid w:val="000A2DBA"/>
    <w:rsid w:val="000C2695"/>
    <w:rsid w:val="000D5CE5"/>
    <w:rsid w:val="000E4A45"/>
    <w:rsid w:val="001317B3"/>
    <w:rsid w:val="00143F61"/>
    <w:rsid w:val="001443E4"/>
    <w:rsid w:val="0015709A"/>
    <w:rsid w:val="001801CD"/>
    <w:rsid w:val="00197EB4"/>
    <w:rsid w:val="001A1612"/>
    <w:rsid w:val="001B751B"/>
    <w:rsid w:val="001D4E78"/>
    <w:rsid w:val="001F509F"/>
    <w:rsid w:val="00226BEB"/>
    <w:rsid w:val="00234DF0"/>
    <w:rsid w:val="002663BC"/>
    <w:rsid w:val="002A005C"/>
    <w:rsid w:val="002A42A2"/>
    <w:rsid w:val="002B7E8A"/>
    <w:rsid w:val="002F7E17"/>
    <w:rsid w:val="00312828"/>
    <w:rsid w:val="00340E80"/>
    <w:rsid w:val="00396E23"/>
    <w:rsid w:val="003B0A73"/>
    <w:rsid w:val="003C5E1E"/>
    <w:rsid w:val="0042248D"/>
    <w:rsid w:val="00423EBF"/>
    <w:rsid w:val="004439EF"/>
    <w:rsid w:val="00446CA2"/>
    <w:rsid w:val="004513E0"/>
    <w:rsid w:val="00453EC5"/>
    <w:rsid w:val="00475101"/>
    <w:rsid w:val="00477C84"/>
    <w:rsid w:val="004901D0"/>
    <w:rsid w:val="004F2232"/>
    <w:rsid w:val="0056167A"/>
    <w:rsid w:val="0056271C"/>
    <w:rsid w:val="00592CB1"/>
    <w:rsid w:val="005F1AD0"/>
    <w:rsid w:val="00621617"/>
    <w:rsid w:val="00676025"/>
    <w:rsid w:val="00681817"/>
    <w:rsid w:val="006B08ED"/>
    <w:rsid w:val="006B5E96"/>
    <w:rsid w:val="006C128E"/>
    <w:rsid w:val="006D09E5"/>
    <w:rsid w:val="006E674F"/>
    <w:rsid w:val="00704102"/>
    <w:rsid w:val="007344F1"/>
    <w:rsid w:val="00740A0D"/>
    <w:rsid w:val="007500D1"/>
    <w:rsid w:val="00762304"/>
    <w:rsid w:val="007C1FD4"/>
    <w:rsid w:val="007D63C0"/>
    <w:rsid w:val="007E2FFC"/>
    <w:rsid w:val="007F1C9D"/>
    <w:rsid w:val="007F7C8A"/>
    <w:rsid w:val="00807B9E"/>
    <w:rsid w:val="00820374"/>
    <w:rsid w:val="00830B62"/>
    <w:rsid w:val="00841824"/>
    <w:rsid w:val="008D6F63"/>
    <w:rsid w:val="008F48D3"/>
    <w:rsid w:val="008F48E8"/>
    <w:rsid w:val="0090059A"/>
    <w:rsid w:val="0090137A"/>
    <w:rsid w:val="0091108B"/>
    <w:rsid w:val="00927629"/>
    <w:rsid w:val="00943D82"/>
    <w:rsid w:val="00944B6F"/>
    <w:rsid w:val="00962626"/>
    <w:rsid w:val="009858AE"/>
    <w:rsid w:val="00993925"/>
    <w:rsid w:val="009D55B8"/>
    <w:rsid w:val="009D7DB9"/>
    <w:rsid w:val="009F5290"/>
    <w:rsid w:val="00A272B6"/>
    <w:rsid w:val="00A43100"/>
    <w:rsid w:val="00A6006B"/>
    <w:rsid w:val="00A70762"/>
    <w:rsid w:val="00AB085D"/>
    <w:rsid w:val="00AB1C84"/>
    <w:rsid w:val="00AB6383"/>
    <w:rsid w:val="00AC3831"/>
    <w:rsid w:val="00AC7175"/>
    <w:rsid w:val="00B1590E"/>
    <w:rsid w:val="00B22413"/>
    <w:rsid w:val="00B420AC"/>
    <w:rsid w:val="00B619E1"/>
    <w:rsid w:val="00B71FC8"/>
    <w:rsid w:val="00B81580"/>
    <w:rsid w:val="00BA1175"/>
    <w:rsid w:val="00BC1B21"/>
    <w:rsid w:val="00BE1284"/>
    <w:rsid w:val="00BF47B9"/>
    <w:rsid w:val="00BF5560"/>
    <w:rsid w:val="00C066E3"/>
    <w:rsid w:val="00C40B01"/>
    <w:rsid w:val="00C5041E"/>
    <w:rsid w:val="00C524BC"/>
    <w:rsid w:val="00C723E3"/>
    <w:rsid w:val="00C9213D"/>
    <w:rsid w:val="00CA1AF8"/>
    <w:rsid w:val="00CC192B"/>
    <w:rsid w:val="00CC4C38"/>
    <w:rsid w:val="00CE22A9"/>
    <w:rsid w:val="00CE29EA"/>
    <w:rsid w:val="00CF5834"/>
    <w:rsid w:val="00D25795"/>
    <w:rsid w:val="00D31A6E"/>
    <w:rsid w:val="00D43B7A"/>
    <w:rsid w:val="00D46B41"/>
    <w:rsid w:val="00DE46B2"/>
    <w:rsid w:val="00E3450A"/>
    <w:rsid w:val="00E372B8"/>
    <w:rsid w:val="00E73481"/>
    <w:rsid w:val="00E840E4"/>
    <w:rsid w:val="00EB0530"/>
    <w:rsid w:val="00ED65C9"/>
    <w:rsid w:val="00EF38E9"/>
    <w:rsid w:val="00F46F65"/>
    <w:rsid w:val="00F81975"/>
    <w:rsid w:val="00F90D2D"/>
    <w:rsid w:val="00F94B1C"/>
    <w:rsid w:val="00FA6E9E"/>
    <w:rsid w:val="00FC1FE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CAB37D"/>
  <w15:docId w15:val="{4C1F042B-10FD-4FA9-AB1E-262A2E49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0410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20C4B"/>
    <w:pPr>
      <w:ind w:left="720"/>
      <w:contextualSpacing/>
    </w:pPr>
  </w:style>
  <w:style w:type="paragraph" w:styleId="Reviso">
    <w:name w:val="Revision"/>
    <w:hidden/>
    <w:uiPriority w:val="99"/>
    <w:semiHidden/>
    <w:rsid w:val="00762304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B4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CADAA3C1AFB24084D279DB48A589E4" ma:contentTypeVersion="10" ma:contentTypeDescription="Crie um novo documento." ma:contentTypeScope="" ma:versionID="d900bd869e00198eefb0133019baa35c">
  <xsd:schema xmlns:xsd="http://www.w3.org/2001/XMLSchema" xmlns:xs="http://www.w3.org/2001/XMLSchema" xmlns:p="http://schemas.microsoft.com/office/2006/metadata/properties" xmlns:ns3="63eb8dee-75aa-48d0-b99a-2d2ee96191da" targetNamespace="http://schemas.microsoft.com/office/2006/metadata/properties" ma:root="true" ma:fieldsID="5592dfdc9286231dcdc726c68e133035" ns3:_="">
    <xsd:import namespace="63eb8dee-75aa-48d0-b99a-2d2ee9619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b8dee-75aa-48d0-b99a-2d2ee9619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57D7-D39D-48FF-98A8-E2977C5CB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F93A1-F504-4BE6-9FD4-3E113607E7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AEB855-A62F-465A-A0B9-1F87377EA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b8dee-75aa-48d0-b99a-2d2ee9619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83B738-A638-4CB9-81D8-CA270383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Natalia Morato</cp:lastModifiedBy>
  <cp:revision>2</cp:revision>
  <cp:lastPrinted>2021-11-30T18:09:00Z</cp:lastPrinted>
  <dcterms:created xsi:type="dcterms:W3CDTF">2022-03-17T18:16:00Z</dcterms:created>
  <dcterms:modified xsi:type="dcterms:W3CDTF">2022-03-17T18:16:00Z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0x0101005DCADAA3C1AFB24084D279DB48A589E4</vt:lpwstr>
  </property>
</Properties>
</file>