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  <w:rtl w:val="0"/>
        </w:rPr>
        <w:t xml:space="preserve">Indicação de crédito financeiro do Programa Agora Tem Especialistas, regulamentado pela Lei 15.233/2025 e pela Portaria Conjunta PGFN/RFB nº 11/2025.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Este formulário é destinado aos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participantes do Programa Agora Tem Especialistas, com adesão deferida pelo Ministério da Saúde, para que indiquem créditos financeiros concedidos no âmbito do Programa para utilização na quitação de negociações ativas e de débitos próprios junto à Procuradoria-Geral da Fazenda Nacional (PGFN), nos termos da 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Portaria Conjunta MF/MS n° 10, de 2025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, e da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Portaria Conjunta PGFN/RFB n° 11, de 2025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 É indispensável a juntada do Certificado de Valor de Crédito Financeiro (CVCF) expedido pelo Ministério da Saúde </w:t>
      </w:r>
    </w:p>
    <w:p w:rsidR="00000000" w:rsidDel="00000000" w:rsidP="00000000" w:rsidRDefault="00000000" w:rsidRPr="00000000" w14:paraId="00000003">
      <w:pPr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  <w:rtl w:val="0"/>
        </w:rPr>
        <w:t xml:space="preserve">CNPJ do requerente:</w:t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right="600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222222"/>
          <w:sz w:val="20"/>
          <w:szCs w:val="20"/>
          <w:highlight w:val="white"/>
          <w:rtl w:val="0"/>
        </w:rPr>
        <w:t xml:space="preserve">Indique, em ordem de prioridade, quais contas de negociação devem receber os créditos financeiros e o valor exato a ser aplicado em cada uma das contas de negociação.</w:t>
      </w:r>
    </w:p>
    <w:p w:rsidR="00000000" w:rsidDel="00000000" w:rsidP="00000000" w:rsidRDefault="00000000" w:rsidRPr="00000000" w14:paraId="0000000A">
      <w:pPr>
        <w:spacing w:after="240" w:before="240" w:lineRule="auto"/>
        <w:ind w:right="600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4575"/>
        <w:gridCol w:w="3600"/>
        <w:tblGridChange w:id="0">
          <w:tblGrid>
            <w:gridCol w:w="825"/>
            <w:gridCol w:w="457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Número da Conta de Negociação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Valor do crédito financeiro (R$)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ind w:right="600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222222"/>
          <w:sz w:val="20"/>
          <w:szCs w:val="20"/>
          <w:highlight w:val="white"/>
          <w:rtl w:val="0"/>
        </w:rPr>
        <w:t xml:space="preserve">Atenção!</w:t>
      </w:r>
      <w:r w:rsidDel="00000000" w:rsidR="00000000" w:rsidRPr="00000000">
        <w:rPr>
          <w:rFonts w:ascii="Nunito" w:cs="Nunito" w:eastAsia="Nunito" w:hAnsi="Nunito"/>
          <w:color w:val="222222"/>
          <w:sz w:val="20"/>
          <w:szCs w:val="20"/>
          <w:highlight w:val="white"/>
          <w:rtl w:val="0"/>
        </w:rPr>
        <w:t xml:space="preserve"> No âmbito da PGFN, os créditos financeiros devem ser utilizados, prioritariamente, para o pagamento de prestações vencidas de negociações ativas. Somente se houver saldo remanescente, o crédito poderá ser utilizado para quitar prestações vincendas ou outros débitos inscritos não negociados, conforme o art. 2º, inciso II, da Portaria Conjunta PGFN/RFB nº 11, de 23 de junho de 2025.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222222"/>
          <w:sz w:val="20"/>
          <w:szCs w:val="20"/>
          <w:highlight w:val="white"/>
          <w:rtl w:val="0"/>
        </w:rPr>
        <w:t xml:space="preserve">Se ainda houver saldo de crédito financeiro não utilizado no quadro acima,  informe aqui as inscrições em dívida ativa não negociadas nas quais deseja utilizar esse saldo.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right="600"/>
        <w:jc w:val="both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3600"/>
        <w:tblGridChange w:id="0">
          <w:tblGrid>
            <w:gridCol w:w="457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Número da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Valor do crédito financeiro (R$)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rFonts w:ascii="Nunito" w:cs="Nunito" w:eastAsia="Nunito" w:hAnsi="Nunito"/>
          <w:i w:val="1"/>
          <w:i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color w:val="222222"/>
          <w:sz w:val="20"/>
          <w:szCs w:val="20"/>
          <w:highlight w:val="white"/>
          <w:rtl w:val="0"/>
        </w:rPr>
        <w:t xml:space="preserve">Declaro, sob as penas da lei, serem verdadeiros as informações deste formulário.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center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222222"/>
          <w:sz w:val="20"/>
          <w:szCs w:val="20"/>
          <w:highlight w:val="white"/>
          <w:rtl w:val="0"/>
        </w:rPr>
        <w:t xml:space="preserve">Identificação do responsável pelo preenchimento deste formulário:</w:t>
        <w:br w:type="textWrapping"/>
        <w:t xml:space="preserve"> Nome: _______________________</w:t>
        <w:br w:type="textWrapping"/>
        <w:t xml:space="preserve"> CPF: _____________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rFonts w:ascii="Nunito" w:cs="Nunito" w:eastAsia="Nunito" w:hAnsi="Nunit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.gov.br/en/web/dou/-/portaria-conjunta-mf/ms-n-10-de-23-de-junho-de-2025-637743212" TargetMode="External"/><Relationship Id="rId7" Type="http://schemas.openxmlformats.org/officeDocument/2006/relationships/hyperlink" Target="https://normasinternet2.receita.fazenda.gov.br/#/consulta/externa/14477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