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2B4DC" w14:textId="77777777" w:rsidR="00D24051" w:rsidRDefault="00D24051">
      <w:pPr>
        <w:jc w:val="center"/>
        <w:rPr>
          <w:b/>
          <w:bCs/>
        </w:rPr>
      </w:pPr>
    </w:p>
    <w:p w14:paraId="11011B8A" w14:textId="77777777" w:rsidR="00D24051" w:rsidRDefault="007A5C0F">
      <w:pPr>
        <w:jc w:val="center"/>
        <w:rPr>
          <w:rStyle w:val="Forte"/>
        </w:rPr>
      </w:pPr>
      <w:r>
        <w:rPr>
          <w:rStyle w:val="Forte"/>
        </w:rPr>
        <w:t xml:space="preserve">Anexo I </w:t>
      </w:r>
    </w:p>
    <w:p w14:paraId="728A38C6" w14:textId="77777777" w:rsidR="00D24051" w:rsidRDefault="00D24051">
      <w:pPr>
        <w:jc w:val="center"/>
        <w:rPr>
          <w:b/>
          <w:bCs/>
        </w:rPr>
      </w:pPr>
    </w:p>
    <w:p w14:paraId="3BB0F43F" w14:textId="77777777" w:rsidR="00D24051" w:rsidRDefault="00D24051">
      <w:pPr>
        <w:jc w:val="center"/>
        <w:rPr>
          <w:b/>
          <w:bCs/>
        </w:rPr>
      </w:pPr>
    </w:p>
    <w:p w14:paraId="0E96F985" w14:textId="5590D2F7" w:rsidR="00D24051" w:rsidRDefault="007A5C0F">
      <w:pPr>
        <w:pStyle w:val="Default"/>
        <w:ind w:right="680"/>
        <w:jc w:val="center"/>
        <w:rPr>
          <w:b/>
          <w:bCs/>
          <w:caps/>
        </w:rPr>
      </w:pPr>
      <w:r>
        <w:rPr>
          <w:b/>
          <w:bCs/>
          <w:caps/>
        </w:rPr>
        <w:t xml:space="preserve">Parecer Referencial CCA/PGFN nº </w:t>
      </w:r>
      <w:r w:rsidR="00C105B5">
        <w:rPr>
          <w:b/>
          <w:bCs/>
          <w:caps/>
        </w:rPr>
        <w:t>0</w:t>
      </w:r>
      <w:r w:rsidR="005D52B6">
        <w:rPr>
          <w:b/>
          <w:bCs/>
          <w:caps/>
        </w:rPr>
        <w:t>2</w:t>
      </w:r>
      <w:r w:rsidR="00A554A7">
        <w:rPr>
          <w:b/>
          <w:bCs/>
          <w:caps/>
        </w:rPr>
        <w:t>/2023</w:t>
      </w:r>
    </w:p>
    <w:p w14:paraId="50EF149E" w14:textId="77777777" w:rsidR="00D24051" w:rsidRDefault="00D24051">
      <w:pPr>
        <w:jc w:val="center"/>
        <w:rPr>
          <w:b/>
          <w:bCs/>
          <w:lang w:val="pt-PT"/>
        </w:rPr>
      </w:pPr>
    </w:p>
    <w:p w14:paraId="7EF6DF2A" w14:textId="77777777" w:rsidR="00D24051" w:rsidRDefault="007A5C0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Checklist</w:t>
      </w:r>
    </w:p>
    <w:p w14:paraId="5FDC526E" w14:textId="77777777" w:rsidR="00D24051" w:rsidRDefault="00D24051"/>
    <w:p w14:paraId="22532FB0" w14:textId="77777777" w:rsidR="00D24051" w:rsidRDefault="007A5C0F">
      <w:pPr>
        <w:jc w:val="both"/>
      </w:pPr>
      <w:r>
        <w:rPr>
          <w:rStyle w:val="Forte"/>
        </w:rPr>
        <w:t>Instruções</w:t>
      </w:r>
      <w:r>
        <w:rPr>
          <w:rStyle w:val="Nmerodepgina"/>
        </w:rPr>
        <w:t xml:space="preserve">: </w:t>
      </w:r>
    </w:p>
    <w:p w14:paraId="6C5931BA" w14:textId="77777777" w:rsidR="00D24051" w:rsidRDefault="007A5C0F">
      <w:pPr>
        <w:jc w:val="both"/>
      </w:pPr>
      <w:r>
        <w:rPr>
          <w:rStyle w:val="Nmerodepgina"/>
        </w:rPr>
        <w:t xml:space="preserve">O presente anexo deverá ser preenchido e juntado aos autos como providência prévia e necessária para a instrução de </w:t>
      </w:r>
      <w:r>
        <w:rPr>
          <w:rStyle w:val="Forte"/>
        </w:rPr>
        <w:t>todos</w:t>
      </w:r>
      <w:r>
        <w:rPr>
          <w:rStyle w:val="Nmerodepgina"/>
        </w:rPr>
        <w:t xml:space="preserve"> os processos de contratação direta de </w:t>
      </w:r>
      <w:r w:rsidR="005D52B6">
        <w:rPr>
          <w:rStyle w:val="Nmerodepgina"/>
        </w:rPr>
        <w:t>energia elétrica</w:t>
      </w:r>
      <w:r>
        <w:rPr>
          <w:rStyle w:val="Nmerodepgina"/>
        </w:rPr>
        <w:t>.</w:t>
      </w:r>
    </w:p>
    <w:p w14:paraId="34D58EA7" w14:textId="77777777" w:rsidR="00D24051" w:rsidRDefault="00D24051">
      <w:pPr>
        <w:jc w:val="both"/>
      </w:pPr>
    </w:p>
    <w:p w14:paraId="7FCE6DA9" w14:textId="2D95BDA4" w:rsidR="00D24051" w:rsidRDefault="007A5C0F">
      <w:pPr>
        <w:jc w:val="both"/>
      </w:pPr>
      <w:r>
        <w:t>Caso nenhuma resposta seja NÃO (todas SIM ou NÃO SE APLICA), poderá a autoridade atestar, ao final, a adequação do caso concreto ao</w:t>
      </w:r>
      <w:r>
        <w:rPr>
          <w:sz w:val="26"/>
          <w:szCs w:val="26"/>
          <w:lang w:val="pt-PT"/>
        </w:rPr>
        <w:t xml:space="preserve"> </w:t>
      </w:r>
      <w:r>
        <w:rPr>
          <w:b/>
          <w:bCs/>
          <w:sz w:val="26"/>
          <w:szCs w:val="26"/>
          <w:lang w:val="pt-PT"/>
        </w:rPr>
        <w:t>PARECER REFERENCIAL</w:t>
      </w:r>
      <w:r>
        <w:rPr>
          <w:b/>
          <w:bCs/>
          <w:caps/>
        </w:rPr>
        <w:t xml:space="preserve"> </w:t>
      </w:r>
      <w:r>
        <w:rPr>
          <w:b/>
          <w:bCs/>
        </w:rPr>
        <w:t xml:space="preserve">CCA/PGFN nº </w:t>
      </w:r>
      <w:r w:rsidR="005D52B6">
        <w:rPr>
          <w:b/>
          <w:bCs/>
          <w:lang w:val="pt-PT"/>
        </w:rPr>
        <w:t>002</w:t>
      </w:r>
      <w:r>
        <w:rPr>
          <w:b/>
          <w:bCs/>
        </w:rPr>
        <w:t>/202</w:t>
      </w:r>
      <w:r w:rsidR="00A554A7">
        <w:rPr>
          <w:b/>
          <w:bCs/>
          <w:lang w:val="pt-PT"/>
        </w:rPr>
        <w:t>3</w:t>
      </w:r>
      <w:r>
        <w:t>, hipótese em que, nos termos da ON/AGU n</w:t>
      </w:r>
      <w:r>
        <w:rPr>
          <w:strike/>
        </w:rPr>
        <w:t>º</w:t>
      </w:r>
      <w:r>
        <w:t xml:space="preserve"> 55/2014, fica dispensada a análise individualizada do processo, ou seja, dispensa-se a remessa dos autos a à Consultoria Jurídica para análise individualizada e aprovação prévia da contratação. </w:t>
      </w:r>
    </w:p>
    <w:p w14:paraId="2D51FA29" w14:textId="77777777" w:rsidR="00D24051" w:rsidRDefault="00D24051">
      <w:pPr>
        <w:jc w:val="both"/>
      </w:pPr>
    </w:p>
    <w:p w14:paraId="3CF6C3D9" w14:textId="77777777" w:rsidR="00D24051" w:rsidRDefault="007A5C0F">
      <w:pPr>
        <w:jc w:val="both"/>
      </w:pPr>
      <w:r>
        <w:rPr>
          <w:rStyle w:val="Nmerodepgina"/>
        </w:rPr>
        <w:t xml:space="preserve">No caso de haver alguma resposta NÃO, deverá ser providenciado o encaminhamento dos autos à unidade local da PGFN para análise. Por óbvio, os demais documentos e consultas que se prestam a instruir a contratação e fundamentam as respostas SIM deverão ser juntados aos autos, bem como o </w:t>
      </w:r>
      <w:r>
        <w:rPr>
          <w:i/>
          <w:iCs/>
        </w:rPr>
        <w:t>checklist</w:t>
      </w:r>
      <w:r>
        <w:rPr>
          <w:rStyle w:val="Nmerodepgina"/>
        </w:rPr>
        <w:t xml:space="preserve"> devidamente preenchido. </w:t>
      </w:r>
    </w:p>
    <w:p w14:paraId="61C42436" w14:textId="77777777" w:rsidR="00D24051" w:rsidRDefault="00D24051">
      <w:pPr>
        <w:jc w:val="both"/>
      </w:pPr>
    </w:p>
    <w:p w14:paraId="3CAE174A" w14:textId="77777777" w:rsidR="00D24051" w:rsidRDefault="00D24051">
      <w:pPr>
        <w:jc w:val="both"/>
      </w:pPr>
    </w:p>
    <w:tbl>
      <w:tblPr>
        <w:tblStyle w:val="TableNormal"/>
        <w:tblW w:w="6393" w:type="dxa"/>
        <w:tblInd w:w="15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4053"/>
        <w:gridCol w:w="513"/>
        <w:gridCol w:w="622"/>
        <w:gridCol w:w="707"/>
        <w:gridCol w:w="498"/>
      </w:tblGrid>
      <w:tr w:rsidR="00D24051" w14:paraId="3943EFE9" w14:textId="77777777">
        <w:trPr>
          <w:trHeight w:val="691"/>
          <w:tblHeader/>
        </w:trPr>
        <w:tc>
          <w:tcPr>
            <w:tcW w:w="6393" w:type="dxa"/>
            <w:gridSpan w:val="5"/>
            <w:tcBorders>
              <w:top w:val="single" w:sz="24" w:space="0" w:color="FFFFFF"/>
              <w:left w:val="single" w:sz="24" w:space="0" w:color="FFFFFF"/>
              <w:bottom w:val="single" w:sz="6" w:space="0" w:color="FFFFFF"/>
              <w:right w:val="single" w:sz="24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4C65" w14:textId="77777777" w:rsidR="00D24051" w:rsidRDefault="007A5C0F">
            <w:pPr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FFFF"/>
                <w:sz w:val="20"/>
                <w:szCs w:val="20"/>
                <w:u w:color="FFFFFF"/>
              </w:rPr>
            </w:pPr>
            <w:r>
              <w:rPr>
                <w:rFonts w:ascii="Arial" w:hAnsi="Arial"/>
                <w:b/>
                <w:bCs/>
                <w:i/>
                <w:iCs/>
                <w:color w:val="FFFFFF"/>
                <w:sz w:val="20"/>
                <w:szCs w:val="20"/>
                <w:u w:color="FFFFFF"/>
                <w:lang w:val="pt-PT"/>
              </w:rPr>
              <w:t xml:space="preserve">CHECKLIST </w:t>
            </w:r>
          </w:p>
          <w:p w14:paraId="553FA8B7" w14:textId="77777777" w:rsidR="00D24051" w:rsidRDefault="00D24051">
            <w:pPr>
              <w:jc w:val="center"/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</w:pPr>
          </w:p>
          <w:p w14:paraId="06384F39" w14:textId="77777777" w:rsidR="00D24051" w:rsidRDefault="007A5C0F" w:rsidP="005D52B6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  <w:lang w:val="pt-PT"/>
              </w:rPr>
              <w:t xml:space="preserve">Contratação direta de fornecimento 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 xml:space="preserve">de </w:t>
            </w:r>
            <w:r w:rsidR="005D52B6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energía elétrica</w:t>
            </w:r>
          </w:p>
        </w:tc>
      </w:tr>
      <w:tr w:rsidR="00D24051" w14:paraId="7ABC6D3F" w14:textId="77777777">
        <w:trPr>
          <w:trHeight w:val="888"/>
          <w:tblHeader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78BF1" w14:textId="77777777" w:rsidR="00D24051" w:rsidRDefault="00D24051"/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095A2" w14:textId="77777777" w:rsidR="00D24051" w:rsidRDefault="007A5C0F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Sim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95612" w14:textId="77777777" w:rsidR="00D24051" w:rsidRDefault="007A5C0F">
            <w:pPr>
              <w:jc w:val="center"/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Não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7D1DE" w14:textId="77777777" w:rsidR="00D24051" w:rsidRDefault="007A5C0F"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Não se aplica</w:t>
            </w:r>
          </w:p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80808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B2FFA" w14:textId="77777777" w:rsidR="00D24051" w:rsidRDefault="007A5C0F"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fls.</w:t>
            </w:r>
          </w:p>
        </w:tc>
      </w:tr>
      <w:tr w:rsidR="00D24051" w14:paraId="43A0D642" w14:textId="77777777">
        <w:tblPrEx>
          <w:shd w:val="clear" w:color="auto" w:fill="CED7E7"/>
        </w:tblPrEx>
        <w:trPr>
          <w:trHeight w:val="1424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29B80B84" w14:textId="77777777" w:rsidR="00D24051" w:rsidRDefault="007A5C0F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justificada a escolha do fornecedor, comprovando-se, nos autos, a exclusividade no âmbito do município em que localizado o órgão ou entidade contratante?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83B9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00F99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32DAE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C68E4" w14:textId="77777777" w:rsidR="00D24051" w:rsidRDefault="00D24051"/>
        </w:tc>
      </w:tr>
      <w:tr w:rsidR="00A621A4" w14:paraId="100908B8" w14:textId="77777777">
        <w:tblPrEx>
          <w:shd w:val="clear" w:color="auto" w:fill="CED7E7"/>
        </w:tblPrEx>
        <w:trPr>
          <w:trHeight w:val="1424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0C487D3E" w14:textId="77777777" w:rsidR="00A621A4" w:rsidRDefault="00A621A4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Trata-se de contratação de fornecimento de energia elétrica que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pt-BR"/>
              </w:rPr>
              <w:t>não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se enquadra nos parâmetros do artigo 15 e 16 da Lei nº 9.074/1995 (consumidor livre ou potencialmente livre de energia)?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97024" w14:textId="77777777" w:rsidR="00A621A4" w:rsidRDefault="00A621A4">
            <w:p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FECE5" w14:textId="77777777" w:rsidR="00A621A4" w:rsidRDefault="00A621A4">
            <w:p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E289" w14:textId="77777777" w:rsidR="00A621A4" w:rsidRDefault="00A621A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7756" w14:textId="77777777" w:rsidR="00A621A4" w:rsidRDefault="00A621A4"/>
        </w:tc>
      </w:tr>
      <w:tr w:rsidR="00A621A4" w14:paraId="612ED474" w14:textId="77777777">
        <w:tblPrEx>
          <w:shd w:val="clear" w:color="auto" w:fill="CED7E7"/>
        </w:tblPrEx>
        <w:trPr>
          <w:trHeight w:val="264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45A03297" w14:textId="77777777" w:rsidR="00A621A4" w:rsidRPr="00A621A4" w:rsidRDefault="00A621A4" w:rsidP="00A621A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lastRenderedPageBreak/>
              <w:t xml:space="preserve">Há justificativa para o preço da contratação, embasada em declaração fornecida pela concessionária acerca da regular e uniforme aplicação das tarifas homologadas pela ANEEL 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pt-BR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acerca da inexistência de condições mais vantajosas de contratação disponíveis para a Administração?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1AA17" w14:textId="77777777" w:rsidR="00A621A4" w:rsidRDefault="00A621A4">
            <w:p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70905" w14:textId="77777777" w:rsidR="00A621A4" w:rsidRDefault="00A621A4">
            <w:p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20EC3" w14:textId="77777777" w:rsidR="00A621A4" w:rsidRDefault="00A621A4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D11C1" w14:textId="77777777" w:rsidR="00A621A4" w:rsidRDefault="00A621A4"/>
        </w:tc>
      </w:tr>
      <w:tr w:rsidR="00D24051" w14:paraId="46487827" w14:textId="77777777">
        <w:tblPrEx>
          <w:shd w:val="clear" w:color="auto" w:fill="CED7E7"/>
        </w:tblPrEx>
        <w:trPr>
          <w:trHeight w:val="264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5C9960F2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032918F5" w14:textId="77777777" w:rsidR="00D24051" w:rsidRPr="00A621A4" w:rsidRDefault="00A621A4" w:rsidP="00A621A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Se a contratante caracterizar-se como consumidor do Grupo B, a minuta de contrato oferecida para a assinatura segue o modelo de minuta padronizada aprovada pela ANEEL?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pt-BR"/>
              </w:rPr>
              <w:t>OU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Se a contratante caracterizar-se como consumidor do Grupo A, as minutas de contrato respeitam as observações constantes do parecer referencial?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F17D7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26CBA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1C8FA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7FB82" w14:textId="77777777" w:rsidR="00D24051" w:rsidRDefault="00D24051"/>
        </w:tc>
      </w:tr>
      <w:tr w:rsidR="00D24051" w14:paraId="12FA9520" w14:textId="77777777">
        <w:tblPrEx>
          <w:shd w:val="clear" w:color="auto" w:fill="CED7E7"/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5364669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6E38069B" w14:textId="77777777" w:rsidR="00D24051" w:rsidRDefault="007A5C0F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autorização para a contratação por inexigibilidade emitida pela autoridade competente?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247B0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33FC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0690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0AF1C" w14:textId="77777777" w:rsidR="00D24051" w:rsidRDefault="00D24051"/>
        </w:tc>
      </w:tr>
      <w:tr w:rsidR="00D24051" w14:paraId="09B53811" w14:textId="77777777">
        <w:tblPrEx>
          <w:shd w:val="clear" w:color="auto" w:fill="CED7E7"/>
        </w:tblPrEx>
        <w:trPr>
          <w:trHeight w:val="24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323798D5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19EF03AA" w14:textId="77777777" w:rsidR="00D24051" w:rsidRDefault="007A5C0F">
            <w:pPr>
              <w:numPr>
                <w:ilvl w:val="0"/>
                <w:numId w:val="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Foram elaborados o documento de formalização da demanda, estudos técnicos preliminares, mapa de risco e termo de referência ou apresentadas justificativas da autoridade, com base em regulamentação existente, dispensando a elaboração desses documentos?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C53E6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4871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6DF21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AF6A7" w14:textId="77777777" w:rsidR="00D24051" w:rsidRDefault="00D24051"/>
        </w:tc>
      </w:tr>
      <w:tr w:rsidR="00D24051" w14:paraId="19E135A9" w14:textId="77777777">
        <w:tblPrEx>
          <w:shd w:val="clear" w:color="auto" w:fill="CED7E7"/>
        </w:tblPrEx>
        <w:trPr>
          <w:trHeight w:val="24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08349E06" w14:textId="77777777" w:rsidR="00D24051" w:rsidRDefault="007A5C0F">
            <w:pPr>
              <w:numPr>
                <w:ilvl w:val="0"/>
                <w:numId w:val="9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lastRenderedPageBreak/>
              <w:t>Foi juntado aos autos o comprovante da publicação do ato que autoriza a contratação direta ou o extrato decorrente do contrato no PNCP (sem preju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zo de sua divulgação tamb</w:t>
            </w:r>
            <w:r>
              <w:rPr>
                <w:rFonts w:ascii="Arial" w:hAnsi="Arial"/>
                <w:sz w:val="20"/>
                <w:szCs w:val="20"/>
                <w:lang w:val="fr-FR"/>
              </w:rPr>
              <w:t>é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m ocorrer no s</w:t>
            </w:r>
            <w:r>
              <w:rPr>
                <w:rFonts w:ascii="Arial" w:hAnsi="Arial"/>
                <w:sz w:val="20"/>
                <w:szCs w:val="20"/>
              </w:rPr>
              <w:t>í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tio eletr</w:t>
            </w:r>
            <w:r>
              <w:rPr>
                <w:rFonts w:ascii="Arial" w:hAnsi="Arial"/>
                <w:sz w:val="20"/>
                <w:szCs w:val="20"/>
              </w:rPr>
              <w:t>ô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nico do </w:t>
            </w:r>
            <w:r>
              <w:rPr>
                <w:rFonts w:ascii="Arial" w:hAnsi="Arial"/>
                <w:sz w:val="20"/>
                <w:szCs w:val="20"/>
              </w:rPr>
              <w:t>órg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ã</w:t>
            </w:r>
            <w:r>
              <w:rPr>
                <w:rFonts w:ascii="Arial" w:hAnsi="Arial"/>
                <w:sz w:val="20"/>
                <w:szCs w:val="20"/>
                <w:lang w:val="it-IT"/>
              </w:rPr>
              <w:t>o)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 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houve a </w:t>
            </w:r>
            <w:r>
              <w:rPr>
                <w:rFonts w:ascii="Arial" w:hAnsi="Arial"/>
                <w:sz w:val="20"/>
                <w:szCs w:val="20"/>
                <w:lang w:val="it-IT"/>
              </w:rPr>
              <w:t xml:space="preserve">integral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divulgação do contrato no PNCP, no prazo de 10 dias </w:t>
            </w:r>
            <w:r>
              <w:rPr>
                <w:rFonts w:ascii="Arial" w:hAnsi="Arial"/>
                <w:sz w:val="20"/>
                <w:szCs w:val="20"/>
              </w:rPr>
              <w:t>ú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teis contados da assinatura?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F0858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12B4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A4B1A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D168" w14:textId="77777777" w:rsidR="00D24051" w:rsidRDefault="00D24051"/>
        </w:tc>
      </w:tr>
      <w:tr w:rsidR="00D24051" w14:paraId="4CCE89F9" w14:textId="77777777">
        <w:tblPrEx>
          <w:shd w:val="clear" w:color="auto" w:fill="CED7E7"/>
        </w:tblPrEx>
        <w:trPr>
          <w:trHeight w:val="66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6FD4602F" w14:textId="77777777" w:rsidR="00D24051" w:rsidRDefault="007A5C0F">
            <w:pPr>
              <w:numPr>
                <w:ilvl w:val="0"/>
                <w:numId w:val="1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A contratação encontra-se formalizada em regular processo administrativo?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ACDB8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2D799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5D48E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852D5" w14:textId="77777777" w:rsidR="00D24051" w:rsidRDefault="00D24051"/>
        </w:tc>
      </w:tr>
      <w:tr w:rsidR="00D24051" w14:paraId="67A9F6D4" w14:textId="77777777">
        <w:tblPrEx>
          <w:shd w:val="clear" w:color="auto" w:fill="CED7E7"/>
        </w:tblPrEx>
        <w:trPr>
          <w:trHeight w:val="110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A8FF212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6F46637E" w14:textId="77777777" w:rsidR="00D24051" w:rsidRDefault="007A5C0F">
            <w:pPr>
              <w:numPr>
                <w:ilvl w:val="0"/>
                <w:numId w:val="13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colacionado aos autos o instrumento contratual que regerá a relação entre as partes?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3D97F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BDFBC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32036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7AD8E" w14:textId="77777777" w:rsidR="00D24051" w:rsidRDefault="00D24051"/>
        </w:tc>
      </w:tr>
      <w:tr w:rsidR="00D24051" w14:paraId="2CCAC2D8" w14:textId="77777777">
        <w:tblPrEx>
          <w:shd w:val="clear" w:color="auto" w:fill="CED7E7"/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E6EFF79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034BCAB5" w14:textId="77777777" w:rsidR="00D24051" w:rsidRDefault="007A5C0F">
            <w:pPr>
              <w:numPr>
                <w:ilvl w:val="0"/>
                <w:numId w:val="1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Há declaração de que a contratação que se pretende consta do Plano de Contratação Anual - PCA?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C3E13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61AD9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0CD4C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0CDFA" w14:textId="77777777" w:rsidR="00D24051" w:rsidRDefault="00D24051"/>
        </w:tc>
      </w:tr>
      <w:tr w:rsidR="00D24051" w14:paraId="5EFD1601" w14:textId="77777777">
        <w:tblPrEx>
          <w:shd w:val="clear" w:color="auto" w:fill="CED7E7"/>
        </w:tblPrEx>
        <w:trPr>
          <w:trHeight w:val="132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9A195D5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46FE0384" w14:textId="77777777" w:rsidR="00D24051" w:rsidRDefault="007A5C0F">
            <w:pPr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Há reserva de recursos orçamentários para a satisfação da despesa a ser criada com a contratação?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9B19A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F21D5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1CDC1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5C1A" w14:textId="77777777" w:rsidR="00D24051" w:rsidRDefault="00D24051"/>
        </w:tc>
      </w:tr>
      <w:tr w:rsidR="00D24051" w14:paraId="4372D520" w14:textId="77777777">
        <w:tblPrEx>
          <w:shd w:val="clear" w:color="auto" w:fill="CED7E7"/>
        </w:tblPrEx>
        <w:trPr>
          <w:trHeight w:val="154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E4205EC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35E9F53E" w14:textId="77777777" w:rsidR="00D24051" w:rsidRDefault="007A5C0F">
            <w:pPr>
              <w:numPr>
                <w:ilvl w:val="0"/>
                <w:numId w:val="19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declaração prevista no artigo 16 da Lei de Responsabilidade Fiscal OU a presente contratação se enquadra nos termos da ON n° 52/2014, da Advocacia Geral da União?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22270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01781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26A3B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24661" w14:textId="77777777" w:rsidR="00D24051" w:rsidRDefault="00D24051"/>
        </w:tc>
      </w:tr>
      <w:tr w:rsidR="00D24051" w14:paraId="642EF9E4" w14:textId="77777777">
        <w:tblPrEx>
          <w:shd w:val="clear" w:color="auto" w:fill="CED7E7"/>
        </w:tblPrEx>
        <w:trPr>
          <w:trHeight w:val="506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2766F6F5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341CCFAC" w14:textId="77777777" w:rsidR="00D24051" w:rsidRDefault="007A5C0F">
            <w:pPr>
              <w:numPr>
                <w:ilvl w:val="0"/>
                <w:numId w:val="21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 xml:space="preserve">Foi comprovada a regularidade trabalhista e a inexistência de óbices para a contratação mediante a juntada aos autos das seguintes consultas: Certidão Negativa do Cadastro Nacional de Empresas Inidôneas e Suspensa (CEIS); Certidão Negativa do Cadastro Nacional de Condenações Cíveis por Ato de Improbidade Administrativa e Inelegibilidade; consulta negativa ao Cadastro Informativo dos créditos não quitados de órgãos e entidades federais (CADIN); e declaração do Sistema de Cadastramento Unificado de Fornecedores (SICAF) 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  <w:lang w:val="pt-PT"/>
              </w:rPr>
              <w:t>OU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, excepcionalmente, observado o que determina a ON AGU nº 09/2009?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7DBF1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D79F3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5179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E3B8B" w14:textId="77777777" w:rsidR="00D24051" w:rsidRDefault="00D24051"/>
        </w:tc>
      </w:tr>
      <w:tr w:rsidR="00D24051" w14:paraId="1899BC97" w14:textId="77777777">
        <w:tblPrEx>
          <w:shd w:val="clear" w:color="auto" w:fill="CED7E7"/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9359B15" w14:textId="77777777" w:rsidR="00D24051" w:rsidRDefault="00D24051"/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B6D1E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5CE5F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AEE61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7A6E0" w14:textId="77777777" w:rsidR="00D24051" w:rsidRDefault="00D24051"/>
        </w:tc>
      </w:tr>
      <w:tr w:rsidR="00D24051" w14:paraId="298B9592" w14:textId="77777777">
        <w:tblPrEx>
          <w:shd w:val="clear" w:color="auto" w:fill="CED7E7"/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92" w:type="dxa"/>
              <w:bottom w:w="80" w:type="dxa"/>
              <w:right w:w="80" w:type="dxa"/>
            </w:tcMar>
            <w:vAlign w:val="center"/>
          </w:tcPr>
          <w:p w14:paraId="5CE49ED5" w14:textId="77777777" w:rsidR="00D24051" w:rsidRDefault="007A5C0F">
            <w:pPr>
              <w:numPr>
                <w:ilvl w:val="0"/>
                <w:numId w:val="23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juntada aos autos a autorização das autoridades elencadas no artigo 3º do Decreto nº 10.193/2019?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E3123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FEACD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F8135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C93B7" w14:textId="77777777" w:rsidR="00D24051" w:rsidRDefault="00D24051"/>
        </w:tc>
      </w:tr>
      <w:tr w:rsidR="00D24051" w14:paraId="38C4E2B6" w14:textId="77777777">
        <w:tblPrEx>
          <w:shd w:val="clear" w:color="auto" w:fill="CED7E7"/>
        </w:tblPrEx>
        <w:trPr>
          <w:trHeight w:val="4408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6AF5BD74" w14:textId="77777777" w:rsidR="00D24051" w:rsidRDefault="00D24051">
            <w:pPr>
              <w:ind w:left="720"/>
              <w:jc w:val="both"/>
              <w:rPr>
                <w:rFonts w:ascii="Arial" w:eastAsia="Arial" w:hAnsi="Arial" w:cs="Arial"/>
                <w:sz w:val="20"/>
                <w:szCs w:val="20"/>
                <w:lang w:val="pt-PT"/>
              </w:rPr>
            </w:pPr>
          </w:p>
          <w:p w14:paraId="70720CEA" w14:textId="259911ED" w:rsidR="00D24051" w:rsidRDefault="007A5C0F" w:rsidP="00414388">
            <w:pPr>
              <w:numPr>
                <w:ilvl w:val="0"/>
                <w:numId w:val="25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Com relação à vigência, foi adotada a vigência por prazo indeterminado, nos termos do artigo 109 da Lei nº 14.133/2021, obser</w:t>
            </w:r>
            <w:r w:rsidR="00414388">
              <w:rPr>
                <w:rFonts w:ascii="Arial" w:hAnsi="Arial"/>
                <w:sz w:val="20"/>
                <w:szCs w:val="20"/>
                <w:lang w:val="pt-PT"/>
              </w:rPr>
              <w:t>vados os seguintes requisitos: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 assunção do dever de, a cada exercício financeiro, certificar a manutenção da condição que ensejou a caracterização da situação de inexigibilidade, estimar o consumo, declarar a existência de previsão de recursos orçamentários, atualizar a comprovação da inexistência de óbices para a contratação da concessionária e obter a autorização nos termos do </w:t>
            </w:r>
            <w:r>
              <w:rPr>
                <w:rFonts w:ascii="Arial" w:hAnsi="Arial"/>
                <w:sz w:val="20"/>
                <w:szCs w:val="20"/>
              </w:rPr>
              <w:t>Decreto nº 10.193 / 2019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65DEC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1CC0" w14:textId="77777777" w:rsidR="00D24051" w:rsidRDefault="007A5C0F">
            <w:pPr>
              <w:jc w:val="both"/>
            </w:pPr>
            <w:r>
              <w:rPr>
                <w:rFonts w:ascii="Arial" w:hAnsi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1A872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80E2F" w14:textId="77777777" w:rsidR="00D24051" w:rsidRDefault="00D24051"/>
        </w:tc>
      </w:tr>
      <w:tr w:rsidR="00D24051" w14:paraId="40332160" w14:textId="77777777">
        <w:tblPrEx>
          <w:shd w:val="clear" w:color="auto" w:fill="CED7E7"/>
        </w:tblPrEx>
        <w:trPr>
          <w:trHeight w:val="1160"/>
        </w:trPr>
        <w:tc>
          <w:tcPr>
            <w:tcW w:w="4053" w:type="dxa"/>
            <w:tcBorders>
              <w:top w:val="single" w:sz="6" w:space="0" w:color="FFFFFF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0" w:type="dxa"/>
              <w:bottom w:w="80" w:type="dxa"/>
              <w:right w:w="80" w:type="dxa"/>
            </w:tcMar>
            <w:vAlign w:val="center"/>
          </w:tcPr>
          <w:p w14:paraId="743A3E73" w14:textId="5C3DC3BD" w:rsidR="00D24051" w:rsidRDefault="007A5C0F" w:rsidP="00A554A7">
            <w:pPr>
              <w:numPr>
                <w:ilvl w:val="0"/>
                <w:numId w:val="27"/>
              </w:numPr>
              <w:jc w:val="both"/>
              <w:rPr>
                <w:rFonts w:ascii="Arial" w:hAnsi="Arial"/>
                <w:sz w:val="20"/>
                <w:szCs w:val="20"/>
                <w:lang w:val="pt-PT"/>
              </w:rPr>
            </w:pPr>
            <w:r>
              <w:rPr>
                <w:rFonts w:ascii="Arial" w:hAnsi="Arial"/>
                <w:sz w:val="20"/>
                <w:szCs w:val="20"/>
                <w:lang w:val="pt-PT"/>
              </w:rPr>
              <w:t>Foi juntado aos autos o</w:t>
            </w:r>
            <w:r w:rsidR="00A621A4">
              <w:rPr>
                <w:rFonts w:ascii="Arial" w:hAnsi="Arial"/>
                <w:sz w:val="20"/>
                <w:szCs w:val="20"/>
                <w:lang w:val="pt-PT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val="pt-PT"/>
              </w:rPr>
              <w:t xml:space="preserve">Parecer Referencial CCA/PGFN nº </w:t>
            </w:r>
            <w:r w:rsidR="005D52B6">
              <w:rPr>
                <w:rFonts w:ascii="Arial" w:hAnsi="Arial"/>
                <w:sz w:val="20"/>
                <w:szCs w:val="20"/>
                <w:lang w:val="pt-PT"/>
              </w:rPr>
              <w:t>002</w:t>
            </w:r>
            <w:r>
              <w:rPr>
                <w:rFonts w:ascii="Arial" w:hAnsi="Arial"/>
                <w:sz w:val="20"/>
                <w:szCs w:val="20"/>
                <w:lang w:val="pt-PT"/>
              </w:rPr>
              <w:t>/202</w:t>
            </w:r>
            <w:r w:rsidR="00A554A7">
              <w:rPr>
                <w:rFonts w:ascii="Arial" w:hAnsi="Arial"/>
                <w:sz w:val="20"/>
                <w:szCs w:val="20"/>
                <w:lang w:val="pt-PT"/>
              </w:rPr>
              <w:t>3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  <w:lang w:val="pt-PT"/>
              </w:rPr>
              <w:t>?</w:t>
            </w:r>
          </w:p>
        </w:tc>
        <w:tc>
          <w:tcPr>
            <w:tcW w:w="513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AB5EA" w14:textId="77777777" w:rsidR="00D24051" w:rsidRDefault="00D24051"/>
        </w:tc>
        <w:tc>
          <w:tcPr>
            <w:tcW w:w="622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1C0D3" w14:textId="77777777" w:rsidR="00D24051" w:rsidRDefault="00D24051"/>
        </w:tc>
        <w:tc>
          <w:tcPr>
            <w:tcW w:w="707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F515F" w14:textId="77777777" w:rsidR="00D24051" w:rsidRDefault="00D24051"/>
        </w:tc>
        <w:tc>
          <w:tcPr>
            <w:tcW w:w="498" w:type="dxa"/>
            <w:tcBorders>
              <w:top w:val="single" w:sz="6" w:space="0" w:color="FFFFFF"/>
              <w:left w:val="single" w:sz="6" w:space="0" w:color="FFFFFF"/>
              <w:bottom w:val="single" w:sz="24" w:space="0" w:color="FFFFFF"/>
              <w:right w:val="single" w:sz="24" w:space="0" w:color="FFFFFF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16096" w14:textId="77777777" w:rsidR="00D24051" w:rsidRDefault="00D24051"/>
        </w:tc>
      </w:tr>
    </w:tbl>
    <w:p w14:paraId="04943346" w14:textId="77777777" w:rsidR="00D24051" w:rsidRDefault="00D24051">
      <w:pPr>
        <w:widowControl w:val="0"/>
        <w:ind w:left="1416" w:hanging="1416"/>
        <w:jc w:val="both"/>
      </w:pPr>
    </w:p>
    <w:p w14:paraId="447FBE46" w14:textId="77777777" w:rsidR="00D24051" w:rsidRDefault="00D24051">
      <w:pPr>
        <w:jc w:val="both"/>
        <w:rPr>
          <w:rStyle w:val="Nmerodepgina"/>
          <w:lang w:val="pt-PT"/>
        </w:rPr>
      </w:pPr>
    </w:p>
    <w:p w14:paraId="73B365F5" w14:textId="77777777" w:rsidR="00D24051" w:rsidRDefault="007A5C0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jc w:val="both"/>
        <w:rPr>
          <w:b/>
          <w:bCs/>
          <w:u w:val="single"/>
          <w:lang w:val="pt-PT"/>
        </w:rPr>
      </w:pPr>
      <w:r>
        <w:rPr>
          <w:b/>
          <w:bCs/>
          <w:u w:val="single"/>
          <w:lang w:val="pt-PT"/>
        </w:rPr>
        <w:t>ATENÇÃO: Caso uma ou mais respostas sejam “NÃO”, deverá a autoridade encaminhar o processo administrativo de contratação para análise da análise da unidade local da PGFN.</w:t>
      </w:r>
    </w:p>
    <w:p w14:paraId="445B62BD" w14:textId="77777777" w:rsidR="00D24051" w:rsidRDefault="00D24051">
      <w:pPr>
        <w:jc w:val="both"/>
      </w:pPr>
    </w:p>
    <w:sectPr w:rsidR="00D24051">
      <w:headerReference w:type="default" r:id="rId7"/>
      <w:footerReference w:type="default" r:id="rId8"/>
      <w:pgSz w:w="12240" w:h="15840"/>
      <w:pgMar w:top="993" w:right="1701" w:bottom="1417" w:left="1701" w:header="708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AB62C" w16cex:dateUtc="2023-03-14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88B02E" w16cid:durableId="27BAB6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6ACEC" w14:textId="77777777" w:rsidR="00814275" w:rsidRDefault="00814275">
      <w:r>
        <w:separator/>
      </w:r>
    </w:p>
  </w:endnote>
  <w:endnote w:type="continuationSeparator" w:id="0">
    <w:p w14:paraId="54D9E013" w14:textId="77777777" w:rsidR="00814275" w:rsidRDefault="0081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161AF" w14:textId="77777777" w:rsidR="00D24051" w:rsidRDefault="007A5C0F">
    <w:pPr>
      <w:pStyle w:val="Rodap"/>
      <w:tabs>
        <w:tab w:val="clear" w:pos="8838"/>
        <w:tab w:val="right" w:pos="8818"/>
      </w:tabs>
      <w:jc w:val="right"/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A554A7">
      <w:rPr>
        <w:noProof/>
      </w:rPr>
      <w:t>4</w:t>
    </w:r>
    <w:r>
      <w:fldChar w:fldCharType="end"/>
    </w:r>
  </w:p>
  <w:p w14:paraId="6F8D31FD" w14:textId="77777777" w:rsidR="00D24051" w:rsidRDefault="00D24051">
    <w:pPr>
      <w:pStyle w:val="Rodap"/>
      <w:tabs>
        <w:tab w:val="clear" w:pos="4419"/>
        <w:tab w:val="clear" w:pos="8838"/>
        <w:tab w:val="center" w:pos="1388"/>
        <w:tab w:val="right" w:pos="1618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B553E" w14:textId="77777777" w:rsidR="00814275" w:rsidRDefault="00814275">
      <w:r>
        <w:separator/>
      </w:r>
    </w:p>
  </w:footnote>
  <w:footnote w:type="continuationSeparator" w:id="0">
    <w:p w14:paraId="173EEDAD" w14:textId="77777777" w:rsidR="00814275" w:rsidRDefault="00814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79205" w14:textId="77777777" w:rsidR="00C105B5" w:rsidRDefault="00C105B5" w:rsidP="00C105B5">
    <w:pPr>
      <w:tabs>
        <w:tab w:val="center" w:pos="4252"/>
        <w:tab w:val="right" w:pos="8504"/>
      </w:tabs>
      <w:rPr>
        <w:sz w:val="20"/>
        <w:szCs w:val="20"/>
      </w:rPr>
    </w:pPr>
    <w:r>
      <w:t xml:space="preserve">         </w:t>
    </w:r>
    <w:r>
      <w:rPr>
        <w:sz w:val="20"/>
        <w:szCs w:val="20"/>
      </w:rPr>
      <w:t xml:space="preserve">Procuradoria-Geral da Fazenda Nacional </w:t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 wp14:anchorId="6F196B58" wp14:editId="3D380B93">
          <wp:simplePos x="0" y="0"/>
          <wp:positionH relativeFrom="column">
            <wp:posOffset>-309277</wp:posOffset>
          </wp:positionH>
          <wp:positionV relativeFrom="paragraph">
            <wp:posOffset>-128436</wp:posOffset>
          </wp:positionV>
          <wp:extent cx="524110" cy="48293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110" cy="482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49B6EA" w14:textId="77777777" w:rsidR="00D24051" w:rsidRDefault="00C105B5" w:rsidP="00C105B5">
    <w:pPr>
      <w:pStyle w:val="CabealhoeRodap"/>
      <w:rPr>
        <w:rFonts w:hint="eastAsia"/>
      </w:rPr>
    </w:pPr>
    <w:r>
      <w:rPr>
        <w:sz w:val="20"/>
        <w:szCs w:val="20"/>
      </w:rPr>
      <w:t xml:space="preserve">         Conselho de Consultoria Administrativa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C628F"/>
    <w:multiLevelType w:val="hybridMultilevel"/>
    <w:tmpl w:val="A12E0AB8"/>
    <w:lvl w:ilvl="0" w:tplc="A934C7A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A8D7E6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86377A">
      <w:start w:val="1"/>
      <w:numFmt w:val="decimal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864FD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524E3A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5ABEF4">
      <w:start w:val="1"/>
      <w:numFmt w:val="decimal"/>
      <w:lvlText w:val="%6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E65B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2F3F6">
      <w:start w:val="1"/>
      <w:numFmt w:val="decimal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E8FA2A">
      <w:start w:val="1"/>
      <w:numFmt w:val="decimal"/>
      <w:lvlText w:val="%9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10CA2"/>
    <w:multiLevelType w:val="hybridMultilevel"/>
    <w:tmpl w:val="8984F75E"/>
    <w:lvl w:ilvl="0" w:tplc="88D6F76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6A27E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64E332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6D63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E0033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80CFD4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4C33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C6B1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62C3FC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8D1D82"/>
    <w:multiLevelType w:val="hybridMultilevel"/>
    <w:tmpl w:val="56E4FA1C"/>
    <w:lvl w:ilvl="0" w:tplc="8D9AE49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491C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8E5E1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9EDFE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4727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F8AB90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06046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3E2B9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C45A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B20D54"/>
    <w:multiLevelType w:val="hybridMultilevel"/>
    <w:tmpl w:val="29226EE2"/>
    <w:lvl w:ilvl="0" w:tplc="56DCB82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DA794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88974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500A8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34FC0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40E468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10687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8910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94F51E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B51267D"/>
    <w:multiLevelType w:val="hybridMultilevel"/>
    <w:tmpl w:val="8AC06372"/>
    <w:lvl w:ilvl="0" w:tplc="63F2931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AEA2D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EC77C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4AD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B4C4D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52A8C8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464EF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2D46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B87870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D0066F"/>
    <w:multiLevelType w:val="hybridMultilevel"/>
    <w:tmpl w:val="DE7268CE"/>
    <w:lvl w:ilvl="0" w:tplc="38EADE2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1DD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AAFC0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B2EB9C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08FCD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88AA8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F6312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0C7C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01586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E61727A"/>
    <w:multiLevelType w:val="hybridMultilevel"/>
    <w:tmpl w:val="10200FAC"/>
    <w:lvl w:ilvl="0" w:tplc="7A52417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2E366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DCF94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709BB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DE9CF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B4701C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AAF93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68863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8C4A8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012661C"/>
    <w:multiLevelType w:val="hybridMultilevel"/>
    <w:tmpl w:val="F8881526"/>
    <w:lvl w:ilvl="0" w:tplc="CC90479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40303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2D632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48C96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C5D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E6DAAC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049E5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3247B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888556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306214E"/>
    <w:multiLevelType w:val="hybridMultilevel"/>
    <w:tmpl w:val="AB2C5AA6"/>
    <w:lvl w:ilvl="0" w:tplc="0C4C2D8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BAF1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322EAE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886BD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C0985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09B9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8EEFC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1AC7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C61DA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8C06DA1"/>
    <w:multiLevelType w:val="hybridMultilevel"/>
    <w:tmpl w:val="0FD48BF4"/>
    <w:lvl w:ilvl="0" w:tplc="8AE62E1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E4578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0AADE6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E7A6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E35A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EAC7B0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94015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AC29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36EFE0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8F67AFA"/>
    <w:multiLevelType w:val="hybridMultilevel"/>
    <w:tmpl w:val="51CC80E2"/>
    <w:lvl w:ilvl="0" w:tplc="D5387AC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180B3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F415CC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C82B2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8D79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078BA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5C68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30662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E86966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FC108D2"/>
    <w:multiLevelType w:val="hybridMultilevel"/>
    <w:tmpl w:val="1D70BDBA"/>
    <w:lvl w:ilvl="0" w:tplc="30B8913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6F1C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FEC2A0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04757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8CA95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27E0A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C4E69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5C47E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9E493A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2627602"/>
    <w:multiLevelType w:val="hybridMultilevel"/>
    <w:tmpl w:val="FAA04DF0"/>
    <w:lvl w:ilvl="0" w:tplc="47A03432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549B1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8CA89C">
      <w:start w:val="1"/>
      <w:numFmt w:val="lowerRoman"/>
      <w:lvlText w:val="%3."/>
      <w:lvlJc w:val="left"/>
      <w:pPr>
        <w:tabs>
          <w:tab w:val="num" w:pos="2124"/>
        </w:tabs>
        <w:ind w:left="2136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FEF85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EEE03A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A23AE">
      <w:start w:val="1"/>
      <w:numFmt w:val="lowerRoman"/>
      <w:lvlText w:val="%6."/>
      <w:lvlJc w:val="left"/>
      <w:pPr>
        <w:tabs>
          <w:tab w:val="num" w:pos="4248"/>
        </w:tabs>
        <w:ind w:left="4260" w:hanging="2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92554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665F4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4A5BA8">
      <w:start w:val="1"/>
      <w:numFmt w:val="lowerRoman"/>
      <w:lvlText w:val="%9."/>
      <w:lvlJc w:val="left"/>
      <w:pPr>
        <w:tabs>
          <w:tab w:val="num" w:pos="6372"/>
        </w:tabs>
        <w:ind w:left="6384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BD611DB"/>
    <w:multiLevelType w:val="hybridMultilevel"/>
    <w:tmpl w:val="56F0B108"/>
    <w:lvl w:ilvl="0" w:tplc="F2DCAA72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96B932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26F7A">
      <w:start w:val="1"/>
      <w:numFmt w:val="decimal"/>
      <w:lvlText w:val="%3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C6109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5C98E6">
      <w:start w:val="1"/>
      <w:numFmt w:val="decimal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7AF368">
      <w:start w:val="1"/>
      <w:numFmt w:val="decimal"/>
      <w:lvlText w:val="%6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3E253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87426B4">
      <w:start w:val="1"/>
      <w:numFmt w:val="decimal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FC8C96">
      <w:start w:val="1"/>
      <w:numFmt w:val="decimal"/>
      <w:lvlText w:val="%9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4"/>
  </w:num>
  <w:num w:numId="3">
    <w:abstractNumId w:val="4"/>
    <w:lvlOverride w:ilvl="0">
      <w:startOverride w:val="2"/>
    </w:lvlOverride>
  </w:num>
  <w:num w:numId="4">
    <w:abstractNumId w:val="8"/>
  </w:num>
  <w:num w:numId="5">
    <w:abstractNumId w:val="8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0"/>
  </w:num>
  <w:num w:numId="9">
    <w:abstractNumId w:val="0"/>
    <w:lvlOverride w:ilvl="0">
      <w:startOverride w:val="5"/>
    </w:lvlOverride>
  </w:num>
  <w:num w:numId="10">
    <w:abstractNumId w:val="12"/>
  </w:num>
  <w:num w:numId="11">
    <w:abstractNumId w:val="12"/>
    <w:lvlOverride w:ilvl="0">
      <w:startOverride w:val="6"/>
    </w:lvlOverride>
  </w:num>
  <w:num w:numId="12">
    <w:abstractNumId w:val="10"/>
  </w:num>
  <w:num w:numId="13">
    <w:abstractNumId w:val="10"/>
    <w:lvlOverride w:ilvl="0">
      <w:startOverride w:val="7"/>
    </w:lvlOverride>
  </w:num>
  <w:num w:numId="14">
    <w:abstractNumId w:val="9"/>
  </w:num>
  <w:num w:numId="15">
    <w:abstractNumId w:val="9"/>
    <w:lvlOverride w:ilvl="0">
      <w:startOverride w:val="8"/>
    </w:lvlOverride>
  </w:num>
  <w:num w:numId="16">
    <w:abstractNumId w:val="1"/>
  </w:num>
  <w:num w:numId="17">
    <w:abstractNumId w:val="1"/>
    <w:lvlOverride w:ilvl="0">
      <w:startOverride w:val="9"/>
    </w:lvlOverride>
  </w:num>
  <w:num w:numId="18">
    <w:abstractNumId w:val="2"/>
  </w:num>
  <w:num w:numId="19">
    <w:abstractNumId w:val="2"/>
    <w:lvlOverride w:ilvl="0">
      <w:startOverride w:val="10"/>
    </w:lvlOverride>
  </w:num>
  <w:num w:numId="20">
    <w:abstractNumId w:val="7"/>
  </w:num>
  <w:num w:numId="21">
    <w:abstractNumId w:val="7"/>
    <w:lvlOverride w:ilvl="0">
      <w:startOverride w:val="11"/>
    </w:lvlOverride>
  </w:num>
  <w:num w:numId="22">
    <w:abstractNumId w:val="6"/>
  </w:num>
  <w:num w:numId="23">
    <w:abstractNumId w:val="6"/>
    <w:lvlOverride w:ilvl="0">
      <w:startOverride w:val="12"/>
    </w:lvlOverride>
  </w:num>
  <w:num w:numId="24">
    <w:abstractNumId w:val="5"/>
  </w:num>
  <w:num w:numId="25">
    <w:abstractNumId w:val="5"/>
    <w:lvlOverride w:ilvl="0">
      <w:startOverride w:val="13"/>
    </w:lvlOverride>
  </w:num>
  <w:num w:numId="26">
    <w:abstractNumId w:val="13"/>
  </w:num>
  <w:num w:numId="27">
    <w:abstractNumId w:val="13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51"/>
    <w:rsid w:val="00297FEF"/>
    <w:rsid w:val="00414388"/>
    <w:rsid w:val="0043646A"/>
    <w:rsid w:val="005D52B6"/>
    <w:rsid w:val="007213EB"/>
    <w:rsid w:val="007A5C0F"/>
    <w:rsid w:val="00814275"/>
    <w:rsid w:val="00A554A7"/>
    <w:rsid w:val="00A621A4"/>
    <w:rsid w:val="00C105B5"/>
    <w:rsid w:val="00D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F78A"/>
  <w15:docId w15:val="{DE317B96-0290-447B-92E0-DB03A398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styleId="Nmerodepgina">
    <w:name w:val="page number"/>
  </w:style>
  <w:style w:type="character" w:styleId="Forte">
    <w:name w:val="Strong"/>
    <w:rPr>
      <w:rFonts w:ascii="Times New Roman" w:hAnsi="Times New Roman"/>
      <w:b/>
      <w:bCs/>
      <w:lang w:val="es-ES_tradnl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105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05B5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A621A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3646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646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646A"/>
    <w:rPr>
      <w:rFonts w:cs="Arial Unicode MS"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646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646A"/>
    <w:rPr>
      <w:rFonts w:cs="Arial Unicode MS"/>
      <w:b/>
      <w:bCs/>
      <w:color w:val="000000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43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388"/>
    <w:rPr>
      <w:rFonts w:ascii="Segoe UI" w:hAnsi="Segoe UI" w:cs="Segoe UI"/>
      <w:color w:val="000000"/>
      <w:sz w:val="18"/>
      <w:szCs w:val="18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Reviso">
    <w:name w:val="Revision"/>
    <w:hidden/>
    <w:uiPriority w:val="99"/>
    <w:semiHidden/>
    <w:rsid w:val="004143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753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Luiz Emmanuel Gois De Araujo</cp:lastModifiedBy>
  <cp:revision>7</cp:revision>
  <dcterms:created xsi:type="dcterms:W3CDTF">2022-12-16T22:03:00Z</dcterms:created>
  <dcterms:modified xsi:type="dcterms:W3CDTF">2023-03-30T15:36:00Z</dcterms:modified>
</cp:coreProperties>
</file>