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F12D" w14:textId="77777777" w:rsidR="006E78EF" w:rsidRDefault="006E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6095"/>
        <w:gridCol w:w="1276"/>
        <w:gridCol w:w="1134"/>
      </w:tblGrid>
      <w:tr w:rsidR="006E78EF" w14:paraId="00F0CE6D" w14:textId="77777777">
        <w:tc>
          <w:tcPr>
            <w:tcW w:w="9357" w:type="dxa"/>
            <w:gridSpan w:val="4"/>
            <w:shd w:val="clear" w:color="auto" w:fill="808080"/>
          </w:tcPr>
          <w:p w14:paraId="2C923B11" w14:textId="77777777" w:rsidR="006E78EF" w:rsidRDefault="00046CF4">
            <w:pPr>
              <w:tabs>
                <w:tab w:val="left" w:pos="2310"/>
              </w:tabs>
              <w:jc w:val="center"/>
              <w:rPr>
                <w:b/>
              </w:rPr>
            </w:pP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CHECK-LIST DE PRORROGAÇÃO DE VIGÊNCIA CONTRATUAL</w:t>
            </w:r>
          </w:p>
        </w:tc>
      </w:tr>
      <w:tr w:rsidR="006E78EF" w14:paraId="5321BCBE" w14:textId="77777777">
        <w:tc>
          <w:tcPr>
            <w:tcW w:w="852" w:type="dxa"/>
            <w:shd w:val="clear" w:color="auto" w:fill="808080"/>
          </w:tcPr>
          <w:p w14:paraId="312BD782" w14:textId="77777777" w:rsidR="006E78EF" w:rsidRDefault="006E78EF"/>
        </w:tc>
        <w:tc>
          <w:tcPr>
            <w:tcW w:w="6095" w:type="dxa"/>
            <w:shd w:val="clear" w:color="auto" w:fill="808080"/>
          </w:tcPr>
          <w:p w14:paraId="79F75AA2" w14:textId="77777777" w:rsidR="006E78EF" w:rsidRDefault="00046CF4">
            <w:pPr>
              <w:jc w:val="both"/>
              <w:rPr>
                <w:b/>
              </w:rPr>
            </w:pPr>
            <w:r>
              <w:rPr>
                <w:b/>
                <w:color w:val="FFFFFF"/>
              </w:rPr>
              <w:t>ATENÇÃO: Caso uma ou mais respostas sejam “NÃO”, deverá a autoridade encaminhar o termo aditivo e o processo administrativo de prorrogação contratual para análise da Procuradoria.</w:t>
            </w:r>
          </w:p>
        </w:tc>
        <w:tc>
          <w:tcPr>
            <w:tcW w:w="1276" w:type="dxa"/>
            <w:shd w:val="clear" w:color="auto" w:fill="808080"/>
          </w:tcPr>
          <w:p w14:paraId="215CFE57" w14:textId="77777777" w:rsidR="006E78EF" w:rsidRDefault="00046CF4">
            <w:pPr>
              <w:rPr>
                <w:color w:val="FFFFFF"/>
              </w:rPr>
            </w:pPr>
            <w:r>
              <w:rPr>
                <w:color w:val="FFFFFF"/>
              </w:rPr>
              <w:t>Sim,</w:t>
            </w:r>
          </w:p>
          <w:p w14:paraId="079606AE" w14:textId="77777777" w:rsidR="006E78EF" w:rsidRDefault="00046CF4">
            <w:pPr>
              <w:rPr>
                <w:color w:val="FFFFFF"/>
              </w:rPr>
            </w:pPr>
            <w:r>
              <w:rPr>
                <w:color w:val="FFFFFF"/>
              </w:rPr>
              <w:t>Não, ou</w:t>
            </w:r>
          </w:p>
          <w:p w14:paraId="218B0818" w14:textId="77777777" w:rsidR="006E78EF" w:rsidRDefault="00046CF4">
            <w:pPr>
              <w:rPr>
                <w:color w:val="FFFFFF"/>
              </w:rPr>
            </w:pPr>
            <w:r>
              <w:rPr>
                <w:color w:val="FFFFFF"/>
              </w:rPr>
              <w:t>Não se aplica?</w:t>
            </w:r>
          </w:p>
        </w:tc>
        <w:tc>
          <w:tcPr>
            <w:tcW w:w="1134" w:type="dxa"/>
            <w:shd w:val="clear" w:color="auto" w:fill="808080"/>
          </w:tcPr>
          <w:p w14:paraId="6DC2541D" w14:textId="77777777" w:rsidR="006E78EF" w:rsidRDefault="00046CF4">
            <w:pPr>
              <w:rPr>
                <w:color w:val="FFFFFF"/>
              </w:rPr>
            </w:pPr>
            <w:r>
              <w:rPr>
                <w:color w:val="FFFFFF"/>
              </w:rPr>
              <w:t>Doc. Sei nº</w:t>
            </w:r>
          </w:p>
        </w:tc>
      </w:tr>
      <w:tr w:rsidR="006E78EF" w14:paraId="74B482ED" w14:textId="77777777">
        <w:tc>
          <w:tcPr>
            <w:tcW w:w="852" w:type="dxa"/>
            <w:shd w:val="clear" w:color="auto" w:fill="A6A6A6"/>
          </w:tcPr>
          <w:p w14:paraId="5052A78E" w14:textId="77777777" w:rsidR="006E78EF" w:rsidRDefault="00046CF4">
            <w:r>
              <w:t>1</w:t>
            </w:r>
          </w:p>
        </w:tc>
        <w:tc>
          <w:tcPr>
            <w:tcW w:w="6095" w:type="dxa"/>
            <w:shd w:val="clear" w:color="auto" w:fill="A6A6A6"/>
          </w:tcPr>
          <w:p w14:paraId="0DF2C6F5" w14:textId="77777777" w:rsidR="006E78EF" w:rsidRDefault="00046CF4">
            <w:pPr>
              <w:jc w:val="both"/>
            </w:pPr>
            <w:r>
              <w:t>Trata-se de um contrato de serviço continuado OU exercido de forma contínua OU de locação de equipamentos OU utilização de programas de informática?</w:t>
            </w:r>
          </w:p>
        </w:tc>
        <w:tc>
          <w:tcPr>
            <w:tcW w:w="1276" w:type="dxa"/>
            <w:shd w:val="clear" w:color="auto" w:fill="A6A6A6"/>
          </w:tcPr>
          <w:p w14:paraId="35C76CB6" w14:textId="77777777" w:rsidR="006E78EF" w:rsidRDefault="006E78EF"/>
        </w:tc>
        <w:tc>
          <w:tcPr>
            <w:tcW w:w="1134" w:type="dxa"/>
            <w:shd w:val="clear" w:color="auto" w:fill="A6A6A6"/>
          </w:tcPr>
          <w:p w14:paraId="3EA25570" w14:textId="77777777" w:rsidR="006E78EF" w:rsidRDefault="006E78EF"/>
        </w:tc>
      </w:tr>
      <w:tr w:rsidR="006E78EF" w14:paraId="69396623" w14:textId="77777777">
        <w:tc>
          <w:tcPr>
            <w:tcW w:w="852" w:type="dxa"/>
            <w:shd w:val="clear" w:color="auto" w:fill="D9D9D9"/>
          </w:tcPr>
          <w:p w14:paraId="4C0FA4C0" w14:textId="77777777" w:rsidR="006E78EF" w:rsidRDefault="00046CF4">
            <w:r>
              <w:t>2</w:t>
            </w:r>
          </w:p>
        </w:tc>
        <w:tc>
          <w:tcPr>
            <w:tcW w:w="6095" w:type="dxa"/>
            <w:shd w:val="clear" w:color="auto" w:fill="D9D9D9"/>
          </w:tcPr>
          <w:p w14:paraId="0F302DE6" w14:textId="77777777" w:rsidR="006E78EF" w:rsidRDefault="00046CF4">
            <w:pPr>
              <w:jc w:val="both"/>
            </w:pPr>
            <w:r>
              <w:t xml:space="preserve">O contrato </w:t>
            </w:r>
            <w:r>
              <w:rPr>
                <w:b/>
              </w:rPr>
              <w:t>não</w:t>
            </w:r>
            <w:r>
              <w:t xml:space="preserve"> atingiu o prazo máximo de vigência previsto em lei ou no contrato, no caso, 60 (sessenta) meses para serviços contínuos ou exercidos de forma contínua </w:t>
            </w:r>
            <w:r>
              <w:rPr>
                <w:b/>
              </w:rPr>
              <w:t>OU</w:t>
            </w:r>
            <w:r>
              <w:t xml:space="preserve"> 48 (quarenta e oito) meses para serviços de aluguel de equipamentos ou serviços de informática?</w:t>
            </w:r>
          </w:p>
        </w:tc>
        <w:tc>
          <w:tcPr>
            <w:tcW w:w="1276" w:type="dxa"/>
            <w:shd w:val="clear" w:color="auto" w:fill="D9D9D9"/>
          </w:tcPr>
          <w:p w14:paraId="465D835B" w14:textId="77777777" w:rsidR="006E78EF" w:rsidRDefault="006E78EF"/>
        </w:tc>
        <w:tc>
          <w:tcPr>
            <w:tcW w:w="1134" w:type="dxa"/>
            <w:shd w:val="clear" w:color="auto" w:fill="D9D9D9"/>
          </w:tcPr>
          <w:p w14:paraId="0C8519BF" w14:textId="77777777" w:rsidR="006E78EF" w:rsidRDefault="006E78EF"/>
        </w:tc>
      </w:tr>
      <w:tr w:rsidR="006E78EF" w14:paraId="23CD65C2" w14:textId="77777777">
        <w:tc>
          <w:tcPr>
            <w:tcW w:w="852" w:type="dxa"/>
            <w:shd w:val="clear" w:color="auto" w:fill="A6A6A6"/>
          </w:tcPr>
          <w:p w14:paraId="5A103DEE" w14:textId="77777777" w:rsidR="006E78EF" w:rsidRDefault="00046CF4">
            <w:r>
              <w:t>3</w:t>
            </w:r>
          </w:p>
        </w:tc>
        <w:tc>
          <w:tcPr>
            <w:tcW w:w="6095" w:type="dxa"/>
            <w:shd w:val="clear" w:color="auto" w:fill="A6A6A6"/>
          </w:tcPr>
          <w:p w14:paraId="3C24BEE9" w14:textId="77777777" w:rsidR="006E78EF" w:rsidRDefault="00046CF4">
            <w:pPr>
              <w:jc w:val="both"/>
            </w:pPr>
            <w:r>
              <w:t>Está prevista a possibilidade de prorrogação contratual no edital ou contrato?</w:t>
            </w:r>
          </w:p>
        </w:tc>
        <w:tc>
          <w:tcPr>
            <w:tcW w:w="1276" w:type="dxa"/>
            <w:shd w:val="clear" w:color="auto" w:fill="A6A6A6"/>
          </w:tcPr>
          <w:p w14:paraId="68BCB640" w14:textId="77777777" w:rsidR="006E78EF" w:rsidRDefault="006E78EF"/>
        </w:tc>
        <w:tc>
          <w:tcPr>
            <w:tcW w:w="1134" w:type="dxa"/>
            <w:shd w:val="clear" w:color="auto" w:fill="A6A6A6"/>
          </w:tcPr>
          <w:p w14:paraId="2AA8ABA3" w14:textId="77777777" w:rsidR="006E78EF" w:rsidRDefault="006E78EF"/>
        </w:tc>
      </w:tr>
      <w:tr w:rsidR="006E78EF" w14:paraId="2360AC58" w14:textId="77777777">
        <w:tc>
          <w:tcPr>
            <w:tcW w:w="852" w:type="dxa"/>
            <w:shd w:val="clear" w:color="auto" w:fill="D9D9D9"/>
          </w:tcPr>
          <w:p w14:paraId="19C57947" w14:textId="77777777" w:rsidR="006E78EF" w:rsidRDefault="00046CF4">
            <w:r>
              <w:t>4</w:t>
            </w:r>
          </w:p>
        </w:tc>
        <w:tc>
          <w:tcPr>
            <w:tcW w:w="6095" w:type="dxa"/>
            <w:shd w:val="clear" w:color="auto" w:fill="D9D9D9"/>
          </w:tcPr>
          <w:p w14:paraId="47CA5C4E" w14:textId="77777777" w:rsidR="006E78EF" w:rsidRDefault="00046CF4">
            <w:pPr>
              <w:jc w:val="both"/>
            </w:pPr>
            <w:r>
              <w:t>Estão previstas, de maneira expressa, as datas de início e término da vigência contratual nos aditivos anteriores?</w:t>
            </w:r>
          </w:p>
        </w:tc>
        <w:tc>
          <w:tcPr>
            <w:tcW w:w="1276" w:type="dxa"/>
            <w:shd w:val="clear" w:color="auto" w:fill="D9D9D9"/>
          </w:tcPr>
          <w:p w14:paraId="3943E910" w14:textId="77777777" w:rsidR="006E78EF" w:rsidRDefault="006E78EF"/>
        </w:tc>
        <w:tc>
          <w:tcPr>
            <w:tcW w:w="1134" w:type="dxa"/>
            <w:shd w:val="clear" w:color="auto" w:fill="D9D9D9"/>
          </w:tcPr>
          <w:p w14:paraId="7D50E4A6" w14:textId="77777777" w:rsidR="006E78EF" w:rsidRDefault="006E78EF"/>
        </w:tc>
      </w:tr>
      <w:tr w:rsidR="006E78EF" w14:paraId="0E85BB4C" w14:textId="77777777">
        <w:tc>
          <w:tcPr>
            <w:tcW w:w="852" w:type="dxa"/>
            <w:shd w:val="clear" w:color="auto" w:fill="A6A6A6"/>
          </w:tcPr>
          <w:p w14:paraId="4EC05F25" w14:textId="77777777" w:rsidR="006E78EF" w:rsidRDefault="00046CF4">
            <w:r>
              <w:t>5</w:t>
            </w:r>
          </w:p>
        </w:tc>
        <w:tc>
          <w:tcPr>
            <w:tcW w:w="6095" w:type="dxa"/>
            <w:shd w:val="clear" w:color="auto" w:fill="A6A6A6"/>
          </w:tcPr>
          <w:p w14:paraId="450EEA9A" w14:textId="77777777" w:rsidR="006E78EF" w:rsidRDefault="00046CF4">
            <w:pPr>
              <w:jc w:val="both"/>
            </w:pPr>
            <w:r>
              <w:t>Os termos aditivos de prorrogação já celebrados foram assinados quando ainda vigente o contrato, de tal modo que se pode afirmar que não houve solução de continuidade?</w:t>
            </w:r>
          </w:p>
        </w:tc>
        <w:tc>
          <w:tcPr>
            <w:tcW w:w="1276" w:type="dxa"/>
            <w:shd w:val="clear" w:color="auto" w:fill="A6A6A6"/>
          </w:tcPr>
          <w:p w14:paraId="684AFFD1" w14:textId="77777777" w:rsidR="006E78EF" w:rsidRDefault="006E78EF"/>
        </w:tc>
        <w:tc>
          <w:tcPr>
            <w:tcW w:w="1134" w:type="dxa"/>
            <w:shd w:val="clear" w:color="auto" w:fill="A6A6A6"/>
          </w:tcPr>
          <w:p w14:paraId="2044E805" w14:textId="77777777" w:rsidR="006E78EF" w:rsidRDefault="006E78EF"/>
        </w:tc>
      </w:tr>
      <w:tr w:rsidR="006E78EF" w14:paraId="5CAF6D83" w14:textId="77777777">
        <w:tc>
          <w:tcPr>
            <w:tcW w:w="852" w:type="dxa"/>
            <w:shd w:val="clear" w:color="auto" w:fill="D9D9D9"/>
          </w:tcPr>
          <w:p w14:paraId="3B6EFDEB" w14:textId="77777777" w:rsidR="006E78EF" w:rsidRDefault="00046CF4">
            <w:r>
              <w:t>6</w:t>
            </w:r>
          </w:p>
        </w:tc>
        <w:tc>
          <w:tcPr>
            <w:tcW w:w="6095" w:type="dxa"/>
            <w:shd w:val="clear" w:color="auto" w:fill="D9D9D9"/>
          </w:tcPr>
          <w:p w14:paraId="2C0FF9C3" w14:textId="77777777" w:rsidR="006E78EF" w:rsidRDefault="00046CF4">
            <w:pPr>
              <w:jc w:val="both"/>
            </w:pPr>
            <w:r>
              <w:t>Há justificativa formal e autorização prévia da autoridade superior para a prorroga</w:t>
            </w:r>
            <w:r>
              <w:t>ção de vigência contratual?</w:t>
            </w:r>
          </w:p>
        </w:tc>
        <w:tc>
          <w:tcPr>
            <w:tcW w:w="1276" w:type="dxa"/>
            <w:shd w:val="clear" w:color="auto" w:fill="D9D9D9"/>
          </w:tcPr>
          <w:p w14:paraId="7BED7C10" w14:textId="77777777" w:rsidR="006E78EF" w:rsidRDefault="006E78EF"/>
        </w:tc>
        <w:tc>
          <w:tcPr>
            <w:tcW w:w="1134" w:type="dxa"/>
            <w:shd w:val="clear" w:color="auto" w:fill="D9D9D9"/>
          </w:tcPr>
          <w:p w14:paraId="60BD63ED" w14:textId="77777777" w:rsidR="006E78EF" w:rsidRDefault="006E78EF"/>
        </w:tc>
      </w:tr>
      <w:tr w:rsidR="006E78EF" w14:paraId="5C339081" w14:textId="77777777">
        <w:tc>
          <w:tcPr>
            <w:tcW w:w="852" w:type="dxa"/>
            <w:shd w:val="clear" w:color="auto" w:fill="A6A6A6"/>
          </w:tcPr>
          <w:p w14:paraId="51092271" w14:textId="77777777" w:rsidR="006E78EF" w:rsidRDefault="00046CF4">
            <w:r>
              <w:t>7</w:t>
            </w:r>
          </w:p>
        </w:tc>
        <w:tc>
          <w:tcPr>
            <w:tcW w:w="6095" w:type="dxa"/>
            <w:shd w:val="clear" w:color="auto" w:fill="A6A6A6"/>
          </w:tcPr>
          <w:p w14:paraId="667B1972" w14:textId="77777777" w:rsidR="006E78EF" w:rsidRDefault="00046CF4">
            <w:pPr>
              <w:jc w:val="both"/>
            </w:pPr>
            <w:r>
              <w:t>Há manifestação do contratado de interesse na prorrogação do prazo de vigência contratual?</w:t>
            </w:r>
          </w:p>
        </w:tc>
        <w:tc>
          <w:tcPr>
            <w:tcW w:w="1276" w:type="dxa"/>
            <w:shd w:val="clear" w:color="auto" w:fill="A6A6A6"/>
          </w:tcPr>
          <w:p w14:paraId="1B8C26CC" w14:textId="77777777" w:rsidR="006E78EF" w:rsidRDefault="006E78EF"/>
        </w:tc>
        <w:tc>
          <w:tcPr>
            <w:tcW w:w="1134" w:type="dxa"/>
            <w:shd w:val="clear" w:color="auto" w:fill="A6A6A6"/>
          </w:tcPr>
          <w:p w14:paraId="6AB927AA" w14:textId="77777777" w:rsidR="006E78EF" w:rsidRDefault="006E78EF"/>
        </w:tc>
      </w:tr>
      <w:tr w:rsidR="006E78EF" w14:paraId="0676FB71" w14:textId="77777777">
        <w:tc>
          <w:tcPr>
            <w:tcW w:w="852" w:type="dxa"/>
            <w:shd w:val="clear" w:color="auto" w:fill="D9D9D9"/>
          </w:tcPr>
          <w:p w14:paraId="413B8658" w14:textId="77777777" w:rsidR="006E78EF" w:rsidRDefault="00046CF4">
            <w:r>
              <w:t>8</w:t>
            </w:r>
          </w:p>
        </w:tc>
        <w:tc>
          <w:tcPr>
            <w:tcW w:w="6095" w:type="dxa"/>
            <w:shd w:val="clear" w:color="auto" w:fill="D9D9D9"/>
          </w:tcPr>
          <w:p w14:paraId="239DC3E0" w14:textId="77777777" w:rsidR="006E78EF" w:rsidRDefault="00046CF4">
            <w:r>
              <w:t>A prorrogação contratual é vantajosa para a Administração?</w:t>
            </w:r>
          </w:p>
        </w:tc>
        <w:tc>
          <w:tcPr>
            <w:tcW w:w="1276" w:type="dxa"/>
            <w:shd w:val="clear" w:color="auto" w:fill="D9D9D9"/>
          </w:tcPr>
          <w:p w14:paraId="76701D0C" w14:textId="77777777" w:rsidR="006E78EF" w:rsidRDefault="006E78EF"/>
        </w:tc>
        <w:tc>
          <w:tcPr>
            <w:tcW w:w="1134" w:type="dxa"/>
            <w:shd w:val="clear" w:color="auto" w:fill="D9D9D9"/>
          </w:tcPr>
          <w:p w14:paraId="461749CC" w14:textId="77777777" w:rsidR="006E78EF" w:rsidRDefault="006E78EF"/>
        </w:tc>
      </w:tr>
      <w:tr w:rsidR="006E78EF" w14:paraId="428210DF" w14:textId="77777777">
        <w:tc>
          <w:tcPr>
            <w:tcW w:w="852" w:type="dxa"/>
            <w:shd w:val="clear" w:color="auto" w:fill="A6A6A6"/>
          </w:tcPr>
          <w:p w14:paraId="1D98D9D9" w14:textId="77777777" w:rsidR="006E78EF" w:rsidRDefault="00046CF4">
            <w:r>
              <w:t>9  - 9.1</w:t>
            </w:r>
          </w:p>
        </w:tc>
        <w:tc>
          <w:tcPr>
            <w:tcW w:w="6095" w:type="dxa"/>
            <w:shd w:val="clear" w:color="auto" w:fill="A6A6A6"/>
          </w:tcPr>
          <w:p w14:paraId="0BEA0B5D" w14:textId="77777777" w:rsidR="006E78EF" w:rsidRDefault="00046CF4">
            <w:r>
              <w:t>9.1.1. Foi realizada a pesquisa de preços?</w:t>
            </w:r>
          </w:p>
        </w:tc>
        <w:tc>
          <w:tcPr>
            <w:tcW w:w="1276" w:type="dxa"/>
            <w:shd w:val="clear" w:color="auto" w:fill="A6A6A6"/>
          </w:tcPr>
          <w:p w14:paraId="2CC2A4BC" w14:textId="77777777" w:rsidR="006E78EF" w:rsidRDefault="006E78EF"/>
        </w:tc>
        <w:tc>
          <w:tcPr>
            <w:tcW w:w="1134" w:type="dxa"/>
            <w:shd w:val="clear" w:color="auto" w:fill="A6A6A6"/>
          </w:tcPr>
          <w:p w14:paraId="423691BE" w14:textId="77777777" w:rsidR="006E78EF" w:rsidRDefault="006E78EF"/>
        </w:tc>
      </w:tr>
      <w:tr w:rsidR="006E78EF" w14:paraId="1F7F745E" w14:textId="77777777">
        <w:tc>
          <w:tcPr>
            <w:tcW w:w="852" w:type="dxa"/>
            <w:shd w:val="clear" w:color="auto" w:fill="D9D9D9"/>
          </w:tcPr>
          <w:p w14:paraId="12CE159A" w14:textId="77777777" w:rsidR="006E78EF" w:rsidRDefault="006E78EF"/>
        </w:tc>
        <w:tc>
          <w:tcPr>
            <w:tcW w:w="6095" w:type="dxa"/>
            <w:shd w:val="clear" w:color="auto" w:fill="D9D9D9"/>
          </w:tcPr>
          <w:p w14:paraId="071F7F94" w14:textId="77777777" w:rsidR="006E78EF" w:rsidRDefault="00046CF4">
            <w:pPr>
              <w:jc w:val="both"/>
            </w:pPr>
            <w:r>
              <w:t>9.1.2. A pesquisa de preços obedece aos termos da IN SLTI/MPOG n° 5/2014?</w:t>
            </w:r>
          </w:p>
        </w:tc>
        <w:tc>
          <w:tcPr>
            <w:tcW w:w="1276" w:type="dxa"/>
            <w:shd w:val="clear" w:color="auto" w:fill="D9D9D9"/>
          </w:tcPr>
          <w:p w14:paraId="5E6E00F1" w14:textId="77777777" w:rsidR="006E78EF" w:rsidRDefault="006E78EF"/>
        </w:tc>
        <w:tc>
          <w:tcPr>
            <w:tcW w:w="1134" w:type="dxa"/>
            <w:shd w:val="clear" w:color="auto" w:fill="D9D9D9"/>
          </w:tcPr>
          <w:p w14:paraId="3D2715E3" w14:textId="77777777" w:rsidR="006E78EF" w:rsidRDefault="006E78EF"/>
        </w:tc>
      </w:tr>
      <w:tr w:rsidR="006E78EF" w14:paraId="20DA59C5" w14:textId="77777777">
        <w:tc>
          <w:tcPr>
            <w:tcW w:w="852" w:type="dxa"/>
            <w:shd w:val="clear" w:color="auto" w:fill="A6A6A6"/>
          </w:tcPr>
          <w:p w14:paraId="779FF7E3" w14:textId="77777777" w:rsidR="006E78EF" w:rsidRDefault="006E78EF"/>
        </w:tc>
        <w:tc>
          <w:tcPr>
            <w:tcW w:w="6095" w:type="dxa"/>
            <w:shd w:val="clear" w:color="auto" w:fill="A6A6A6"/>
          </w:tcPr>
          <w:p w14:paraId="4EF5B314" w14:textId="77777777" w:rsidR="006E78EF" w:rsidRDefault="00046CF4">
            <w:pPr>
              <w:jc w:val="both"/>
            </w:pPr>
            <w:r>
              <w:t>9.1.3. A pesquisa de preços reflete o valor de mercado dos serviços contratados, equipamentos locados ou bens de informática utilizados?</w:t>
            </w:r>
          </w:p>
        </w:tc>
        <w:tc>
          <w:tcPr>
            <w:tcW w:w="1276" w:type="dxa"/>
            <w:shd w:val="clear" w:color="auto" w:fill="A6A6A6"/>
          </w:tcPr>
          <w:p w14:paraId="42E3EA98" w14:textId="77777777" w:rsidR="006E78EF" w:rsidRDefault="006E78EF"/>
        </w:tc>
        <w:tc>
          <w:tcPr>
            <w:tcW w:w="1134" w:type="dxa"/>
            <w:shd w:val="clear" w:color="auto" w:fill="A6A6A6"/>
          </w:tcPr>
          <w:p w14:paraId="3CABAB60" w14:textId="77777777" w:rsidR="006E78EF" w:rsidRDefault="006E78EF"/>
        </w:tc>
      </w:tr>
      <w:tr w:rsidR="006E78EF" w14:paraId="0422DFC0" w14:textId="77777777">
        <w:tc>
          <w:tcPr>
            <w:tcW w:w="852" w:type="dxa"/>
            <w:shd w:val="clear" w:color="auto" w:fill="D9D9D9"/>
          </w:tcPr>
          <w:p w14:paraId="73B29083" w14:textId="77777777" w:rsidR="006E78EF" w:rsidRDefault="006E78EF"/>
        </w:tc>
        <w:tc>
          <w:tcPr>
            <w:tcW w:w="6095" w:type="dxa"/>
            <w:shd w:val="clear" w:color="auto" w:fill="D9D9D9"/>
          </w:tcPr>
          <w:p w14:paraId="245EE967" w14:textId="77777777" w:rsidR="006E78EF" w:rsidRDefault="00046CF4">
            <w:pPr>
              <w:jc w:val="both"/>
            </w:pPr>
            <w:r>
              <w:t>9.1.4. A autoridade competente atestou, expressamente, compatibilidade da pesquisa de preços com o mercado?</w:t>
            </w:r>
          </w:p>
        </w:tc>
        <w:tc>
          <w:tcPr>
            <w:tcW w:w="1276" w:type="dxa"/>
            <w:shd w:val="clear" w:color="auto" w:fill="D9D9D9"/>
          </w:tcPr>
          <w:p w14:paraId="682CD8FA" w14:textId="77777777" w:rsidR="006E78EF" w:rsidRDefault="006E78EF"/>
        </w:tc>
        <w:tc>
          <w:tcPr>
            <w:tcW w:w="1134" w:type="dxa"/>
            <w:shd w:val="clear" w:color="auto" w:fill="D9D9D9"/>
          </w:tcPr>
          <w:p w14:paraId="1B8CD061" w14:textId="77777777" w:rsidR="006E78EF" w:rsidRDefault="006E78EF"/>
        </w:tc>
      </w:tr>
      <w:tr w:rsidR="006E78EF" w14:paraId="30C80067" w14:textId="77777777">
        <w:tc>
          <w:tcPr>
            <w:tcW w:w="852" w:type="dxa"/>
            <w:shd w:val="clear" w:color="auto" w:fill="A6A6A6"/>
          </w:tcPr>
          <w:p w14:paraId="48EE794E" w14:textId="77777777" w:rsidR="006E78EF" w:rsidRDefault="006E78EF"/>
        </w:tc>
        <w:tc>
          <w:tcPr>
            <w:tcW w:w="6095" w:type="dxa"/>
            <w:shd w:val="clear" w:color="auto" w:fill="A6A6A6"/>
          </w:tcPr>
          <w:p w14:paraId="7FB073C8" w14:textId="77777777" w:rsidR="006E78EF" w:rsidRDefault="00046CF4">
            <w:pPr>
              <w:jc w:val="both"/>
            </w:pPr>
            <w:r>
              <w:t>9.1.5. Foram utilizados como base para os comparativos de preços os valores da contratação já repactuados ou reajustados?</w:t>
            </w:r>
          </w:p>
        </w:tc>
        <w:tc>
          <w:tcPr>
            <w:tcW w:w="1276" w:type="dxa"/>
            <w:shd w:val="clear" w:color="auto" w:fill="A6A6A6"/>
          </w:tcPr>
          <w:p w14:paraId="2F56C6AE" w14:textId="77777777" w:rsidR="006E78EF" w:rsidRDefault="006E78EF"/>
        </w:tc>
        <w:tc>
          <w:tcPr>
            <w:tcW w:w="1134" w:type="dxa"/>
            <w:shd w:val="clear" w:color="auto" w:fill="A6A6A6"/>
          </w:tcPr>
          <w:p w14:paraId="2F10C0FA" w14:textId="77777777" w:rsidR="006E78EF" w:rsidRDefault="006E78EF"/>
        </w:tc>
      </w:tr>
      <w:tr w:rsidR="006E78EF" w14:paraId="4FFEC6EA" w14:textId="77777777">
        <w:tc>
          <w:tcPr>
            <w:tcW w:w="852" w:type="dxa"/>
            <w:shd w:val="clear" w:color="auto" w:fill="D9D9D9"/>
          </w:tcPr>
          <w:p w14:paraId="03C43122" w14:textId="77777777" w:rsidR="006E78EF" w:rsidRDefault="00046CF4">
            <w:r>
              <w:t xml:space="preserve">   - 9.2</w:t>
            </w:r>
          </w:p>
        </w:tc>
        <w:tc>
          <w:tcPr>
            <w:tcW w:w="6095" w:type="dxa"/>
            <w:shd w:val="clear" w:color="auto" w:fill="D9D9D9"/>
          </w:tcPr>
          <w:p w14:paraId="189DA44B" w14:textId="77777777" w:rsidR="006E78EF" w:rsidRDefault="00046CF4">
            <w:pPr>
              <w:jc w:val="both"/>
            </w:pPr>
            <w:r>
              <w:t>9.2.1 Em sendo o caso de dispensa de pesquisa de preços, com base no Parecer nº 0001/2019/DECOR/CGU/AGU,  foram observados, cumulativamente, os requisitos nele estabelecidos:  a) ateste, em despacho fundamentado, de que o índice de reajuste aplicável ao co</w:t>
            </w:r>
            <w:r>
              <w:t>ntrato acompanha a ordinária variação dos preços de mercado; e b) apresentação de justificativa a ser indicada como elemento de vantajosidade legitimador da prorrogação contratual, seja de ordem econômica, administrativa ou outra pertinente ?</w:t>
            </w:r>
          </w:p>
        </w:tc>
        <w:tc>
          <w:tcPr>
            <w:tcW w:w="1276" w:type="dxa"/>
            <w:shd w:val="clear" w:color="auto" w:fill="D9D9D9"/>
          </w:tcPr>
          <w:p w14:paraId="72B49AE6" w14:textId="77777777" w:rsidR="006E78EF" w:rsidRDefault="006E78EF"/>
        </w:tc>
        <w:tc>
          <w:tcPr>
            <w:tcW w:w="1134" w:type="dxa"/>
            <w:shd w:val="clear" w:color="auto" w:fill="D9D9D9"/>
          </w:tcPr>
          <w:p w14:paraId="15A7589A" w14:textId="77777777" w:rsidR="006E78EF" w:rsidRDefault="006E78EF"/>
        </w:tc>
      </w:tr>
      <w:tr w:rsidR="006E78EF" w14:paraId="3E670886" w14:textId="77777777">
        <w:tc>
          <w:tcPr>
            <w:tcW w:w="852" w:type="dxa"/>
            <w:shd w:val="clear" w:color="auto" w:fill="A6A6A6"/>
          </w:tcPr>
          <w:p w14:paraId="7C21D6F8" w14:textId="77777777" w:rsidR="006E78EF" w:rsidRDefault="00046CF4">
            <w:r>
              <w:t xml:space="preserve">    - 9.3</w:t>
            </w:r>
          </w:p>
        </w:tc>
        <w:tc>
          <w:tcPr>
            <w:tcW w:w="6095" w:type="dxa"/>
            <w:shd w:val="clear" w:color="auto" w:fill="A6A6A6"/>
          </w:tcPr>
          <w:p w14:paraId="3940F1BD" w14:textId="77777777" w:rsidR="006E78EF" w:rsidRDefault="00046CF4">
            <w:pPr>
              <w:spacing w:before="16" w:line="231" w:lineRule="auto"/>
              <w:ind w:left="43" w:right="33"/>
              <w:jc w:val="both"/>
            </w:pPr>
            <w:r>
              <w:t xml:space="preserve">Em sendo o caso de dispensa de pesquisa de preços, </w:t>
            </w:r>
            <w:r>
              <w:br/>
              <w:t xml:space="preserve">aplicável para contratos de prestação de serviços continuados </w:t>
            </w:r>
            <w:r>
              <w:br/>
              <w:t>com cessão de mão de obra, foram observados, cumulativamente, todos os requisitos estabelecidos nas alíneas do item 7 do Anexo IX da Instruçã</w:t>
            </w:r>
            <w:r>
              <w:t xml:space="preserve">o Normativa SEGES/MP nº </w:t>
            </w:r>
            <w:r>
              <w:lastRenderedPageBreak/>
              <w:t>05/2017 ou as recomendações do Parecer Referencial CCA/PGFN n° 02/2019?</w:t>
            </w:r>
          </w:p>
        </w:tc>
        <w:tc>
          <w:tcPr>
            <w:tcW w:w="1276" w:type="dxa"/>
            <w:shd w:val="clear" w:color="auto" w:fill="A6A6A6"/>
          </w:tcPr>
          <w:p w14:paraId="0B86AD11" w14:textId="77777777" w:rsidR="006E78EF" w:rsidRDefault="006E78EF"/>
        </w:tc>
        <w:tc>
          <w:tcPr>
            <w:tcW w:w="1134" w:type="dxa"/>
            <w:shd w:val="clear" w:color="auto" w:fill="A6A6A6"/>
          </w:tcPr>
          <w:p w14:paraId="48AA0AA4" w14:textId="77777777" w:rsidR="006E78EF" w:rsidRDefault="006E78EF"/>
        </w:tc>
      </w:tr>
      <w:tr w:rsidR="006E78EF" w14:paraId="7311C3AB" w14:textId="77777777">
        <w:tc>
          <w:tcPr>
            <w:tcW w:w="852" w:type="dxa"/>
            <w:shd w:val="clear" w:color="auto" w:fill="D9D9D9"/>
          </w:tcPr>
          <w:p w14:paraId="11BED972" w14:textId="77777777" w:rsidR="006E78EF" w:rsidRDefault="00046CF4">
            <w:r>
              <w:t>10</w:t>
            </w:r>
          </w:p>
        </w:tc>
        <w:tc>
          <w:tcPr>
            <w:tcW w:w="6095" w:type="dxa"/>
            <w:shd w:val="clear" w:color="auto" w:fill="D9D9D9"/>
          </w:tcPr>
          <w:p w14:paraId="61A898F1" w14:textId="77777777" w:rsidR="006E78EF" w:rsidRDefault="00046CF4">
            <w:pPr>
              <w:spacing w:before="18" w:line="230" w:lineRule="auto"/>
              <w:ind w:left="71" w:right="127"/>
              <w:jc w:val="both"/>
            </w:pPr>
            <w:r>
              <w:t>Para os serviços em que há um valor máximo fixado por ato regulamentar do Ministério do Planejamento, Orçamento e Gestão, foi observado o teto previsto na citada norma?</w:t>
            </w:r>
          </w:p>
        </w:tc>
        <w:tc>
          <w:tcPr>
            <w:tcW w:w="1276" w:type="dxa"/>
            <w:shd w:val="clear" w:color="auto" w:fill="D9D9D9"/>
          </w:tcPr>
          <w:p w14:paraId="1C004E0A" w14:textId="77777777" w:rsidR="006E78EF" w:rsidRDefault="006E78EF"/>
        </w:tc>
        <w:tc>
          <w:tcPr>
            <w:tcW w:w="1134" w:type="dxa"/>
            <w:shd w:val="clear" w:color="auto" w:fill="D9D9D9"/>
          </w:tcPr>
          <w:p w14:paraId="52BE8C1B" w14:textId="77777777" w:rsidR="006E78EF" w:rsidRDefault="006E78EF"/>
        </w:tc>
      </w:tr>
      <w:tr w:rsidR="006E78EF" w14:paraId="59EB825C" w14:textId="77777777">
        <w:tc>
          <w:tcPr>
            <w:tcW w:w="852" w:type="dxa"/>
            <w:shd w:val="clear" w:color="auto" w:fill="A6A6A6"/>
          </w:tcPr>
          <w:p w14:paraId="0B8C6B7D" w14:textId="77777777" w:rsidR="006E78EF" w:rsidRDefault="00046CF4">
            <w:r>
              <w:t>11</w:t>
            </w:r>
          </w:p>
        </w:tc>
        <w:tc>
          <w:tcPr>
            <w:tcW w:w="6095" w:type="dxa"/>
            <w:shd w:val="clear" w:color="auto" w:fill="A6A6A6"/>
          </w:tcPr>
          <w:p w14:paraId="25045156" w14:textId="77777777" w:rsidR="006E78EF" w:rsidRDefault="00046CF4">
            <w:pPr>
              <w:jc w:val="both"/>
            </w:pPr>
            <w:r>
              <w:t>Caso os valores estejam abaixo dos limites estabelecidos nas normas regulamentares, foi exigida declaração da contratada quanto à exeqüibilidade do contrato?</w:t>
            </w:r>
          </w:p>
        </w:tc>
        <w:tc>
          <w:tcPr>
            <w:tcW w:w="1276" w:type="dxa"/>
            <w:shd w:val="clear" w:color="auto" w:fill="A6A6A6"/>
          </w:tcPr>
          <w:p w14:paraId="31B10930" w14:textId="77777777" w:rsidR="006E78EF" w:rsidRDefault="006E78EF"/>
        </w:tc>
        <w:tc>
          <w:tcPr>
            <w:tcW w:w="1134" w:type="dxa"/>
            <w:shd w:val="clear" w:color="auto" w:fill="A6A6A6"/>
          </w:tcPr>
          <w:p w14:paraId="6FBA5212" w14:textId="77777777" w:rsidR="006E78EF" w:rsidRDefault="006E78EF"/>
        </w:tc>
      </w:tr>
      <w:tr w:rsidR="006E78EF" w14:paraId="565541A0" w14:textId="77777777">
        <w:tc>
          <w:tcPr>
            <w:tcW w:w="852" w:type="dxa"/>
            <w:shd w:val="clear" w:color="auto" w:fill="D9D9D9"/>
          </w:tcPr>
          <w:p w14:paraId="3AF4ED25" w14:textId="77777777" w:rsidR="006E78EF" w:rsidRDefault="00046CF4">
            <w:r>
              <w:t>12</w:t>
            </w:r>
          </w:p>
        </w:tc>
        <w:tc>
          <w:tcPr>
            <w:tcW w:w="6095" w:type="dxa"/>
            <w:shd w:val="clear" w:color="auto" w:fill="D9D9D9"/>
          </w:tcPr>
          <w:p w14:paraId="613A8998" w14:textId="77777777" w:rsidR="006E78EF" w:rsidRDefault="00046CF4">
            <w:pPr>
              <w:jc w:val="both"/>
            </w:pPr>
            <w:r>
              <w:t>Foi juntada aos autos a autorização das autoridades elencadas no artigo 3º do Decreto nº 10.193/2019, se a hipótese for de contratação que esteja entre os limites de valores previstos pela citada norma?</w:t>
            </w:r>
          </w:p>
        </w:tc>
        <w:tc>
          <w:tcPr>
            <w:tcW w:w="1276" w:type="dxa"/>
            <w:shd w:val="clear" w:color="auto" w:fill="D9D9D9"/>
          </w:tcPr>
          <w:p w14:paraId="1DBD6E4D" w14:textId="77777777" w:rsidR="006E78EF" w:rsidRDefault="006E78EF"/>
        </w:tc>
        <w:tc>
          <w:tcPr>
            <w:tcW w:w="1134" w:type="dxa"/>
            <w:shd w:val="clear" w:color="auto" w:fill="D9D9D9"/>
          </w:tcPr>
          <w:p w14:paraId="073D50E6" w14:textId="77777777" w:rsidR="006E78EF" w:rsidRDefault="006E78EF"/>
        </w:tc>
      </w:tr>
      <w:tr w:rsidR="006E78EF" w14:paraId="6C347B2D" w14:textId="77777777">
        <w:tc>
          <w:tcPr>
            <w:tcW w:w="852" w:type="dxa"/>
            <w:shd w:val="clear" w:color="auto" w:fill="A6A6A6"/>
          </w:tcPr>
          <w:p w14:paraId="1FC36833" w14:textId="77777777" w:rsidR="006E78EF" w:rsidRDefault="00046CF4">
            <w:r>
              <w:t>13</w:t>
            </w:r>
          </w:p>
        </w:tc>
        <w:tc>
          <w:tcPr>
            <w:tcW w:w="6095" w:type="dxa"/>
            <w:shd w:val="clear" w:color="auto" w:fill="A6A6A6"/>
          </w:tcPr>
          <w:p w14:paraId="26813489" w14:textId="77777777" w:rsidR="006E78EF" w:rsidRDefault="00046CF4">
            <w:pPr>
              <w:jc w:val="both"/>
            </w:pPr>
            <w:r>
              <w:t>Em sendo a primeira prorrogação contratual, foi</w:t>
            </w:r>
            <w:r>
              <w:t xml:space="preserve"> realizada a negociação para eliminar os custos fixos variáveis não renováveis que já tenham sido amortizados ou pagos ou foi juntada aos autos declaração de inexistência de tais custos?</w:t>
            </w:r>
          </w:p>
        </w:tc>
        <w:tc>
          <w:tcPr>
            <w:tcW w:w="1276" w:type="dxa"/>
            <w:shd w:val="clear" w:color="auto" w:fill="A6A6A6"/>
          </w:tcPr>
          <w:p w14:paraId="45C9349A" w14:textId="77777777" w:rsidR="006E78EF" w:rsidRDefault="006E78EF"/>
        </w:tc>
        <w:tc>
          <w:tcPr>
            <w:tcW w:w="1134" w:type="dxa"/>
            <w:shd w:val="clear" w:color="auto" w:fill="A6A6A6"/>
          </w:tcPr>
          <w:p w14:paraId="52F3C0B3" w14:textId="77777777" w:rsidR="006E78EF" w:rsidRDefault="006E78EF"/>
        </w:tc>
      </w:tr>
      <w:tr w:rsidR="006E78EF" w14:paraId="6E5401DC" w14:textId="77777777">
        <w:tc>
          <w:tcPr>
            <w:tcW w:w="852" w:type="dxa"/>
            <w:shd w:val="clear" w:color="auto" w:fill="D9D9D9"/>
          </w:tcPr>
          <w:p w14:paraId="3466599F" w14:textId="77777777" w:rsidR="006E78EF" w:rsidRDefault="00046CF4">
            <w:r>
              <w:t>14</w:t>
            </w:r>
          </w:p>
        </w:tc>
        <w:tc>
          <w:tcPr>
            <w:tcW w:w="6095" w:type="dxa"/>
            <w:shd w:val="clear" w:color="auto" w:fill="D9D9D9"/>
          </w:tcPr>
          <w:p w14:paraId="5588EE5E" w14:textId="77777777" w:rsidR="006E78EF" w:rsidRDefault="00046CF4">
            <w:pPr>
              <w:jc w:val="both"/>
            </w:pPr>
            <w:r>
              <w:t>Consta dos autos manifestação favorável do fiscal do contrato quanto ao cumprimento das obrigações pela contratada?</w:t>
            </w:r>
          </w:p>
        </w:tc>
        <w:tc>
          <w:tcPr>
            <w:tcW w:w="1276" w:type="dxa"/>
            <w:shd w:val="clear" w:color="auto" w:fill="D9D9D9"/>
          </w:tcPr>
          <w:p w14:paraId="012D828A" w14:textId="77777777" w:rsidR="006E78EF" w:rsidRDefault="006E78EF"/>
        </w:tc>
        <w:tc>
          <w:tcPr>
            <w:tcW w:w="1134" w:type="dxa"/>
            <w:shd w:val="clear" w:color="auto" w:fill="D9D9D9"/>
          </w:tcPr>
          <w:p w14:paraId="49F59B4F" w14:textId="77777777" w:rsidR="006E78EF" w:rsidRDefault="006E78EF"/>
        </w:tc>
      </w:tr>
      <w:tr w:rsidR="006E78EF" w14:paraId="2BB051BA" w14:textId="77777777">
        <w:tc>
          <w:tcPr>
            <w:tcW w:w="852" w:type="dxa"/>
            <w:shd w:val="clear" w:color="auto" w:fill="A6A6A6"/>
          </w:tcPr>
          <w:p w14:paraId="27D84A43" w14:textId="77777777" w:rsidR="006E78EF" w:rsidRDefault="00046CF4">
            <w:r>
              <w:t>15</w:t>
            </w:r>
          </w:p>
        </w:tc>
        <w:tc>
          <w:tcPr>
            <w:tcW w:w="6095" w:type="dxa"/>
            <w:shd w:val="clear" w:color="auto" w:fill="A6A6A6"/>
          </w:tcPr>
          <w:p w14:paraId="2FA5B133" w14:textId="77777777" w:rsidR="006E78EF" w:rsidRDefault="00046CF4">
            <w:pPr>
              <w:jc w:val="both"/>
            </w:pPr>
            <w:r>
              <w:t>Haverá renovação ou atualização da garantia?</w:t>
            </w:r>
          </w:p>
        </w:tc>
        <w:tc>
          <w:tcPr>
            <w:tcW w:w="1276" w:type="dxa"/>
            <w:shd w:val="clear" w:color="auto" w:fill="A6A6A6"/>
          </w:tcPr>
          <w:p w14:paraId="028BC899" w14:textId="77777777" w:rsidR="006E78EF" w:rsidRDefault="006E78EF"/>
        </w:tc>
        <w:tc>
          <w:tcPr>
            <w:tcW w:w="1134" w:type="dxa"/>
            <w:shd w:val="clear" w:color="auto" w:fill="A6A6A6"/>
          </w:tcPr>
          <w:p w14:paraId="479B4B9B" w14:textId="77777777" w:rsidR="006E78EF" w:rsidRDefault="006E78EF"/>
        </w:tc>
      </w:tr>
      <w:tr w:rsidR="006E78EF" w14:paraId="09C8263F" w14:textId="77777777">
        <w:tc>
          <w:tcPr>
            <w:tcW w:w="852" w:type="dxa"/>
            <w:shd w:val="clear" w:color="auto" w:fill="D9D9D9"/>
          </w:tcPr>
          <w:p w14:paraId="263C23F0" w14:textId="77777777" w:rsidR="006E78EF" w:rsidRDefault="00046CF4">
            <w:r>
              <w:t>16</w:t>
            </w:r>
          </w:p>
        </w:tc>
        <w:tc>
          <w:tcPr>
            <w:tcW w:w="6095" w:type="dxa"/>
            <w:shd w:val="clear" w:color="auto" w:fill="D9D9D9"/>
          </w:tcPr>
          <w:p w14:paraId="6C3B8015" w14:textId="77777777" w:rsidR="006E78EF" w:rsidRDefault="00046CF4">
            <w:pPr>
              <w:jc w:val="both"/>
            </w:pPr>
            <w:r>
              <w:t>A contratada mantém as condições habilitatórias?</w:t>
            </w:r>
          </w:p>
        </w:tc>
        <w:tc>
          <w:tcPr>
            <w:tcW w:w="1276" w:type="dxa"/>
            <w:shd w:val="clear" w:color="auto" w:fill="D9D9D9"/>
          </w:tcPr>
          <w:p w14:paraId="41AD93EC" w14:textId="77777777" w:rsidR="006E78EF" w:rsidRDefault="006E78EF"/>
        </w:tc>
        <w:tc>
          <w:tcPr>
            <w:tcW w:w="1134" w:type="dxa"/>
            <w:shd w:val="clear" w:color="auto" w:fill="D9D9D9"/>
          </w:tcPr>
          <w:p w14:paraId="3B10ACF6" w14:textId="77777777" w:rsidR="006E78EF" w:rsidRDefault="006E78EF"/>
        </w:tc>
      </w:tr>
      <w:tr w:rsidR="006E78EF" w14:paraId="47391242" w14:textId="77777777">
        <w:tc>
          <w:tcPr>
            <w:tcW w:w="852" w:type="dxa"/>
            <w:shd w:val="clear" w:color="auto" w:fill="A6A6A6"/>
          </w:tcPr>
          <w:p w14:paraId="5E70004C" w14:textId="77777777" w:rsidR="006E78EF" w:rsidRDefault="00046CF4">
            <w:r>
              <w:t>17</w:t>
            </w:r>
          </w:p>
        </w:tc>
        <w:tc>
          <w:tcPr>
            <w:tcW w:w="6095" w:type="dxa"/>
            <w:shd w:val="clear" w:color="auto" w:fill="A6A6A6"/>
          </w:tcPr>
          <w:p w14:paraId="09C85368" w14:textId="77777777" w:rsidR="006E78EF" w:rsidRDefault="00046CF4">
            <w:pPr>
              <w:jc w:val="both"/>
            </w:pPr>
            <w:r>
              <w:t>Foi atestado que não existe proibitivo a que a empresa contratada preste serviços à Administração Pública, com a juntada aos autos das seguintes consultas: Certidão Negativa do Cadastro Nacional de Empresas Inidôneas e Suspensa (CEIS); Certidão Negativa do</w:t>
            </w:r>
            <w:r>
              <w:t xml:space="preserve"> Cadastro Nacional de Condenações Cíveis por Ato de Improbidade Administrativa e Inelegibilidade; Certidão Negativa de Débitos Trabalhistas (CNDT); consulta negativa ao Cadastro Informativo dos créditos não quitados de órgãos e entidades federais (CADIN); </w:t>
            </w:r>
            <w:r>
              <w:t>e declaração do Sistema de Cadastramento Unificado de Fornecedores (SICAF)?</w:t>
            </w:r>
          </w:p>
        </w:tc>
        <w:tc>
          <w:tcPr>
            <w:tcW w:w="1276" w:type="dxa"/>
            <w:shd w:val="clear" w:color="auto" w:fill="A6A6A6"/>
          </w:tcPr>
          <w:p w14:paraId="6534708E" w14:textId="77777777" w:rsidR="006E78EF" w:rsidRDefault="006E78EF"/>
        </w:tc>
        <w:tc>
          <w:tcPr>
            <w:tcW w:w="1134" w:type="dxa"/>
            <w:shd w:val="clear" w:color="auto" w:fill="A6A6A6"/>
          </w:tcPr>
          <w:p w14:paraId="27CEE522" w14:textId="77777777" w:rsidR="006E78EF" w:rsidRDefault="006E78EF"/>
        </w:tc>
      </w:tr>
      <w:tr w:rsidR="006E78EF" w14:paraId="2366DE68" w14:textId="77777777">
        <w:tc>
          <w:tcPr>
            <w:tcW w:w="852" w:type="dxa"/>
            <w:shd w:val="clear" w:color="auto" w:fill="D9D9D9"/>
          </w:tcPr>
          <w:p w14:paraId="737E3DB3" w14:textId="77777777" w:rsidR="006E78EF" w:rsidRDefault="00046CF4">
            <w:r>
              <w:t>18</w:t>
            </w:r>
          </w:p>
        </w:tc>
        <w:tc>
          <w:tcPr>
            <w:tcW w:w="6095" w:type="dxa"/>
            <w:shd w:val="clear" w:color="auto" w:fill="D9D9D9"/>
          </w:tcPr>
          <w:p w14:paraId="4D11E00E" w14:textId="77777777" w:rsidR="006E78EF" w:rsidRDefault="00046CF4">
            <w:pPr>
              <w:jc w:val="both"/>
            </w:pPr>
            <w:r>
              <w:t>Foi acostada aos autos a declaração de disponibilidade orçamentária, com a respectiva indicação da classificação funcional programática e da categoria econômica da despesa e registro de reserva de recursos?</w:t>
            </w:r>
          </w:p>
        </w:tc>
        <w:tc>
          <w:tcPr>
            <w:tcW w:w="1276" w:type="dxa"/>
            <w:shd w:val="clear" w:color="auto" w:fill="D9D9D9"/>
          </w:tcPr>
          <w:p w14:paraId="41CD65CF" w14:textId="77777777" w:rsidR="006E78EF" w:rsidRDefault="006E78EF"/>
        </w:tc>
        <w:tc>
          <w:tcPr>
            <w:tcW w:w="1134" w:type="dxa"/>
            <w:shd w:val="clear" w:color="auto" w:fill="D9D9D9"/>
          </w:tcPr>
          <w:p w14:paraId="7FC77F2D" w14:textId="77777777" w:rsidR="006E78EF" w:rsidRDefault="006E78EF"/>
        </w:tc>
      </w:tr>
      <w:tr w:rsidR="006E78EF" w14:paraId="71EE2DD6" w14:textId="77777777">
        <w:tc>
          <w:tcPr>
            <w:tcW w:w="852" w:type="dxa"/>
            <w:shd w:val="clear" w:color="auto" w:fill="A6A6A6"/>
          </w:tcPr>
          <w:p w14:paraId="3C6EF567" w14:textId="77777777" w:rsidR="006E78EF" w:rsidRDefault="00046CF4">
            <w:r>
              <w:t>19</w:t>
            </w:r>
          </w:p>
        </w:tc>
        <w:tc>
          <w:tcPr>
            <w:tcW w:w="6095" w:type="dxa"/>
            <w:shd w:val="clear" w:color="auto" w:fill="A6A6A6"/>
          </w:tcPr>
          <w:p w14:paraId="07C93E0C" w14:textId="77777777" w:rsidR="006E78EF" w:rsidRDefault="00046CF4">
            <w:pPr>
              <w:jc w:val="both"/>
            </w:pPr>
            <w:r>
              <w:t>Foi juntada aos autos a declaração prevista</w:t>
            </w:r>
            <w:r>
              <w:t xml:space="preserve"> no artigo 16 da Lei de Responsabilidade Fiscal OU a presente contratação se enquadra nos termos da ON n° 52/2014, da Advocacia Geral da União?</w:t>
            </w:r>
          </w:p>
        </w:tc>
        <w:tc>
          <w:tcPr>
            <w:tcW w:w="1276" w:type="dxa"/>
            <w:shd w:val="clear" w:color="auto" w:fill="A6A6A6"/>
          </w:tcPr>
          <w:p w14:paraId="4E5E0CBA" w14:textId="77777777" w:rsidR="006E78EF" w:rsidRDefault="006E78EF"/>
        </w:tc>
        <w:tc>
          <w:tcPr>
            <w:tcW w:w="1134" w:type="dxa"/>
            <w:shd w:val="clear" w:color="auto" w:fill="A6A6A6"/>
          </w:tcPr>
          <w:p w14:paraId="091B2885" w14:textId="77777777" w:rsidR="006E78EF" w:rsidRDefault="006E78EF"/>
        </w:tc>
      </w:tr>
      <w:tr w:rsidR="006E78EF" w14:paraId="7615D6E2" w14:textId="77777777">
        <w:tc>
          <w:tcPr>
            <w:tcW w:w="852" w:type="dxa"/>
            <w:shd w:val="clear" w:color="auto" w:fill="D9D9D9"/>
          </w:tcPr>
          <w:p w14:paraId="59615B6F" w14:textId="77777777" w:rsidR="006E78EF" w:rsidRDefault="00046CF4">
            <w:r>
              <w:t>20</w:t>
            </w:r>
          </w:p>
        </w:tc>
        <w:tc>
          <w:tcPr>
            <w:tcW w:w="6095" w:type="dxa"/>
            <w:shd w:val="clear" w:color="auto" w:fill="D9D9D9"/>
          </w:tcPr>
          <w:p w14:paraId="06FD925C" w14:textId="2B35C77E" w:rsidR="006E78EF" w:rsidRDefault="00046CF4">
            <w:pPr>
              <w:jc w:val="both"/>
            </w:pPr>
            <w:r>
              <w:t>O contrato</w:t>
            </w:r>
            <w:r>
              <w:t xml:space="preserve"> bem como os respectivos aditivos</w:t>
            </w:r>
            <w:r>
              <w:t xml:space="preserve"> integram um único processo administrativo, devidamente autuado em sequência cronológica, numerado, rubricado, contendo cada volume os respectivos termos de abertura e encerramento?</w:t>
            </w:r>
          </w:p>
        </w:tc>
        <w:tc>
          <w:tcPr>
            <w:tcW w:w="1276" w:type="dxa"/>
            <w:shd w:val="clear" w:color="auto" w:fill="D9D9D9"/>
          </w:tcPr>
          <w:p w14:paraId="48E48F84" w14:textId="77777777" w:rsidR="006E78EF" w:rsidRDefault="006E78EF"/>
        </w:tc>
        <w:tc>
          <w:tcPr>
            <w:tcW w:w="1134" w:type="dxa"/>
            <w:shd w:val="clear" w:color="auto" w:fill="D9D9D9"/>
          </w:tcPr>
          <w:p w14:paraId="0362885C" w14:textId="77777777" w:rsidR="006E78EF" w:rsidRDefault="006E78EF"/>
        </w:tc>
      </w:tr>
      <w:tr w:rsidR="006E78EF" w14:paraId="5EACF65F" w14:textId="77777777">
        <w:tc>
          <w:tcPr>
            <w:tcW w:w="852" w:type="dxa"/>
            <w:shd w:val="clear" w:color="auto" w:fill="A6A6A6"/>
          </w:tcPr>
          <w:p w14:paraId="3EE19569" w14:textId="77777777" w:rsidR="006E78EF" w:rsidRDefault="00046CF4">
            <w:r>
              <w:t>21</w:t>
            </w:r>
          </w:p>
        </w:tc>
        <w:tc>
          <w:tcPr>
            <w:tcW w:w="6095" w:type="dxa"/>
            <w:shd w:val="clear" w:color="auto" w:fill="A6A6A6"/>
          </w:tcPr>
          <w:p w14:paraId="6F2DB9FA" w14:textId="13905FB7" w:rsidR="006E78EF" w:rsidRDefault="00046CF4">
            <w:pPr>
              <w:jc w:val="both"/>
            </w:pPr>
            <w:r>
              <w:t>Foi elaborada a minuta do termo aditivo, de acordo com a minuta padrão constante do Parecer Referencial CCA/PGFN n° 02/20</w:t>
            </w:r>
            <w:r w:rsidR="007C3305">
              <w:t>20</w:t>
            </w:r>
            <w:r>
              <w:t>?</w:t>
            </w:r>
          </w:p>
        </w:tc>
        <w:tc>
          <w:tcPr>
            <w:tcW w:w="1276" w:type="dxa"/>
            <w:shd w:val="clear" w:color="auto" w:fill="A6A6A6"/>
          </w:tcPr>
          <w:p w14:paraId="4844AE0C" w14:textId="77777777" w:rsidR="006E78EF" w:rsidRDefault="006E78EF"/>
        </w:tc>
        <w:tc>
          <w:tcPr>
            <w:tcW w:w="1134" w:type="dxa"/>
            <w:shd w:val="clear" w:color="auto" w:fill="A6A6A6"/>
          </w:tcPr>
          <w:p w14:paraId="0DD5D083" w14:textId="77777777" w:rsidR="006E78EF" w:rsidRDefault="006E78EF"/>
        </w:tc>
      </w:tr>
    </w:tbl>
    <w:p w14:paraId="2C7490FA" w14:textId="77777777" w:rsidR="006E78EF" w:rsidRDefault="006E78EF"/>
    <w:p w14:paraId="0EEA80F8" w14:textId="77777777" w:rsidR="006E78EF" w:rsidRDefault="00046CF4">
      <w:r>
        <w:t>Local, data.</w:t>
      </w:r>
    </w:p>
    <w:p w14:paraId="55625BC5" w14:textId="77777777" w:rsidR="006E78EF" w:rsidRDefault="00046CF4">
      <w:r>
        <w:t>Assinatura equipe/cargo/função</w:t>
      </w:r>
    </w:p>
    <w:sectPr w:rsidR="006E78EF">
      <w:headerReference w:type="default" r:id="rId7"/>
      <w:footerReference w:type="default" r:id="rId8"/>
      <w:pgSz w:w="11906" w:h="16838"/>
      <w:pgMar w:top="1417" w:right="1701" w:bottom="1417" w:left="1701" w:header="708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6E884" w14:textId="77777777" w:rsidR="00046CF4" w:rsidRDefault="00046CF4">
      <w:pPr>
        <w:spacing w:after="0" w:line="240" w:lineRule="auto"/>
      </w:pPr>
      <w:r>
        <w:separator/>
      </w:r>
    </w:p>
  </w:endnote>
  <w:endnote w:type="continuationSeparator" w:id="0">
    <w:p w14:paraId="555125E4" w14:textId="77777777" w:rsidR="00046CF4" w:rsidRDefault="0004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B8070" w14:textId="7E23AE05" w:rsidR="006E78EF" w:rsidRDefault="00046CF4">
    <w:pPr>
      <w:tabs>
        <w:tab w:val="right" w:pos="8504"/>
      </w:tabs>
      <w:rPr>
        <w:sz w:val="20"/>
        <w:szCs w:val="20"/>
      </w:rPr>
    </w:pPr>
    <w:r>
      <w:rPr>
        <w:sz w:val="20"/>
        <w:szCs w:val="20"/>
      </w:rPr>
      <w:t xml:space="preserve">Versão </w:t>
    </w:r>
    <w:r w:rsidR="007C3305">
      <w:rPr>
        <w:sz w:val="20"/>
        <w:szCs w:val="20"/>
      </w:rPr>
      <w:t xml:space="preserve">05 </w:t>
    </w:r>
    <w:r>
      <w:rPr>
        <w:sz w:val="20"/>
        <w:szCs w:val="20"/>
      </w:rPr>
      <w:t xml:space="preserve">de </w:t>
    </w:r>
    <w:r w:rsidR="007C3305">
      <w:rPr>
        <w:sz w:val="20"/>
        <w:szCs w:val="20"/>
      </w:rPr>
      <w:t>agosto</w:t>
    </w:r>
    <w:r>
      <w:rPr>
        <w:sz w:val="20"/>
        <w:szCs w:val="20"/>
      </w:rPr>
      <w:t xml:space="preserve"> de 20</w:t>
    </w:r>
    <w:r w:rsidR="007C3305">
      <w:rPr>
        <w:sz w:val="20"/>
        <w:szCs w:val="20"/>
      </w:rPr>
      <w:t>20</w:t>
    </w:r>
    <w:r>
      <w:rPr>
        <w:sz w:val="20"/>
        <w:szCs w:val="20"/>
      </w:rPr>
      <w:t xml:space="preserve"> - Parecer Referencial CCA/PGFN nº 02/20</w:t>
    </w:r>
    <w:r w:rsidR="007C3305">
      <w:rPr>
        <w:sz w:val="20"/>
        <w:szCs w:val="20"/>
      </w:rPr>
      <w:t>20</w:t>
    </w:r>
    <w:r>
      <w:rPr>
        <w:sz w:val="20"/>
        <w:szCs w:val="20"/>
      </w:rPr>
      <w:tab/>
    </w:r>
  </w:p>
  <w:p w14:paraId="4ECB188F" w14:textId="77777777" w:rsidR="006E78EF" w:rsidRDefault="006E78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84D0F" w14:textId="77777777" w:rsidR="00046CF4" w:rsidRDefault="00046CF4">
      <w:pPr>
        <w:spacing w:after="0" w:line="240" w:lineRule="auto"/>
      </w:pPr>
      <w:r>
        <w:separator/>
      </w:r>
    </w:p>
  </w:footnote>
  <w:footnote w:type="continuationSeparator" w:id="0">
    <w:p w14:paraId="63A5C341" w14:textId="77777777" w:rsidR="00046CF4" w:rsidRDefault="0004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00803" w14:textId="5DAF6863" w:rsidR="006E78EF" w:rsidRDefault="007C33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BDB545" wp14:editId="1B2377B4">
          <wp:simplePos x="0" y="0"/>
          <wp:positionH relativeFrom="column">
            <wp:posOffset>-677545</wp:posOffset>
          </wp:positionH>
          <wp:positionV relativeFrom="paragraph">
            <wp:posOffset>-172720</wp:posOffset>
          </wp:positionV>
          <wp:extent cx="524110" cy="48293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110" cy="482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46CF4">
      <w:rPr>
        <w:color w:val="000000"/>
        <w:sz w:val="20"/>
        <w:szCs w:val="20"/>
      </w:rPr>
      <w:t xml:space="preserve">Procuradoria-Geral da Fazenda Nacional </w:t>
    </w:r>
  </w:p>
  <w:p w14:paraId="7A300738" w14:textId="46F43E1A" w:rsidR="006E78EF" w:rsidRDefault="00046C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 xml:space="preserve">Conselho </w:t>
    </w:r>
    <w:r w:rsidR="007C3305">
      <w:rPr>
        <w:color w:val="000000"/>
        <w:sz w:val="20"/>
        <w:szCs w:val="20"/>
      </w:rPr>
      <w:t>Consulto</w:t>
    </w:r>
    <w:r>
      <w:rPr>
        <w:color w:val="000000"/>
        <w:sz w:val="20"/>
        <w:szCs w:val="20"/>
      </w:rPr>
      <w:t>ria Administrativa</w:t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674D6E" wp14:editId="7C1242F5">
          <wp:simplePos x="0" y="0"/>
          <wp:positionH relativeFrom="column">
            <wp:posOffset>889000</wp:posOffset>
          </wp:positionH>
          <wp:positionV relativeFrom="paragraph">
            <wp:posOffset>553085</wp:posOffset>
          </wp:positionV>
          <wp:extent cx="654685" cy="6032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68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EF"/>
    <w:rsid w:val="00046CF4"/>
    <w:rsid w:val="00200DB4"/>
    <w:rsid w:val="006E78EF"/>
    <w:rsid w:val="007C3305"/>
    <w:rsid w:val="00A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6A1C"/>
  <w15:docId w15:val="{43041AC6-495E-45BD-9A79-0438AF5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2C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05E3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05E3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05E3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5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E3E"/>
  </w:style>
  <w:style w:type="paragraph" w:styleId="Rodap">
    <w:name w:val="footer"/>
    <w:basedOn w:val="Normal"/>
    <w:link w:val="RodapChar"/>
    <w:uiPriority w:val="99"/>
    <w:unhideWhenUsed/>
    <w:rsid w:val="00305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E3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X9f+1Evbla6scKC65Ius2M0A8Q==">AMUW2mXNdGmrtrRIZCFr+8SdxQeXxmFGx+ni/Oz5Ipghg0+0AH4vwv6tSCoRzkr50L9K7nUsuI7zSahUQs4jkA/ROuVjgI+OFGpx/k5Z88uvb1685mRnhlk=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Lima de Andrade Ximenes Lessa</dc:creator>
  <cp:lastModifiedBy>Paulo Roberto Ramalho</cp:lastModifiedBy>
  <cp:revision>3</cp:revision>
  <dcterms:created xsi:type="dcterms:W3CDTF">2020-08-11T16:24:00Z</dcterms:created>
  <dcterms:modified xsi:type="dcterms:W3CDTF">2020-08-11T16:24:00Z</dcterms:modified>
</cp:coreProperties>
</file>