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LISTA DE VERIFICAÇÃO PARA CONTRATAÇÃO DE SERVIÇOS DE CAPACITAÇÃO POR INEXIGIBILIDADE DE 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(Parecer Referencial PGFN/CCA nº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09/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before="40" w:line="240" w:lineRule="auto"/>
        <w:ind w:left="40" w:right="4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80" w:before="40" w:line="240" w:lineRule="auto"/>
        <w:ind w:left="40" w:right="4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Obs.1: Na coluna “ESTADO” preencher apenas com as letras “S”, “N”, “N.A.”, sendo:</w:t>
      </w:r>
    </w:p>
    <w:p w:rsidR="00000000" w:rsidDel="00000000" w:rsidP="00000000" w:rsidRDefault="00000000" w:rsidRPr="00000000" w14:paraId="00000005">
      <w:pPr>
        <w:spacing w:after="80" w:before="40" w:line="240" w:lineRule="auto"/>
        <w:ind w:left="40" w:right="4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 – SIM</w:t>
      </w:r>
    </w:p>
    <w:p w:rsidR="00000000" w:rsidDel="00000000" w:rsidP="00000000" w:rsidRDefault="00000000" w:rsidRPr="00000000" w14:paraId="00000006">
      <w:pPr>
        <w:spacing w:after="80" w:before="40" w:line="240" w:lineRule="auto"/>
        <w:ind w:left="40" w:right="4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 – NÃO</w:t>
      </w:r>
    </w:p>
    <w:p w:rsidR="00000000" w:rsidDel="00000000" w:rsidP="00000000" w:rsidRDefault="00000000" w:rsidRPr="00000000" w14:paraId="00000007">
      <w:pPr>
        <w:spacing w:after="80" w:before="40" w:line="240" w:lineRule="auto"/>
        <w:ind w:left="40" w:right="4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N.A.– NÃO SE APLICA</w:t>
      </w:r>
    </w:p>
    <w:tbl>
      <w:tblPr>
        <w:tblStyle w:val="Table1"/>
        <w:tblW w:w="848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510"/>
        <w:gridCol w:w="978"/>
        <w:tblGridChange w:id="0">
          <w:tblGrid>
            <w:gridCol w:w="7510"/>
            <w:gridCol w:w="97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ESTADO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Houve abertura de processo administrativo devidamente autuado e numerado, quando processo físico, ou registrado quando processo eletrônico, nos termos da ON-AGU nº 2/2009?</w:t>
            </w:r>
          </w:p>
          <w:p w:rsidR="00000000" w:rsidDel="00000000" w:rsidP="00000000" w:rsidRDefault="00000000" w:rsidRPr="00000000" w14:paraId="0000000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Obs.: Dispõe a ON-AGU 2/2009: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Consta o documento de formalização da demanda, elaborado pelo setor requisitante do serviço, nos termos do modelo do Anexo II, IN SEGES 05/2017?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2.1. A contratação NÃO incide nas hipóteses vedadas pelo art. 9º da IN SEGES 05/2017?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2.2 Há manifestação sobre a observância do alinhamento com o Plano Estratégico do órgão ou entidade, quando houver? (art. 1º, inc. III, IN SEGES 05/2017)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2.3. Da solicitação/requisição constam os itens do inciso I do art. 21 da IN/SEGES 5/2017?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2.4. O objeto requisitado está contemplado no Plano Anual de Contratações, de acordo com a IN SEGES nº 1/2019?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2.4.1. Caso negativo, foi providenciada a sua inclusão, nos termos do art. 11 da IN SEGES/ME nº 1/2019?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Foi instituída Equipe de Planejamento da Contratação pela autoridade competente do setor de licitação? (art. 21, inc. III, IN/SEGES 5/2017 )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Foi elaborado e juntado ao processo os Estudos Preliminares, conforme as diretrizes constantes da IN SEGES/MP nº 40/2020? (arts. 20 e 24 da IN SEGES/MP nº 5/2017 e IN SEGES/ME nº 40/2020)</w:t>
            </w:r>
          </w:p>
          <w:p w:rsidR="00000000" w:rsidDel="00000000" w:rsidP="00000000" w:rsidRDefault="00000000" w:rsidRPr="00000000" w14:paraId="0000001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Obs.:  O §2º do artigo 20 da IN 05/2017 estabelece que ficam dispensadas da elaboração dos Estudos Preliminares, na fase de planejamento da contratação, nas contratações de serviços cujos valores se enquadrem nos limites dos incisos I e II do art. 24 da Lei nº 8.666, de 1993.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4.1. Os estudos desenvolvidos atenderam a todas as exigências do art. 7º da IN SEGES 40/2020?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4.2. A não previsão, nos estudos preliminares, de qualquer dos conteúdos do art. 7º da IN SEGES/ME nº 40/2020 foi devidamente justificada no próprio documento? (art. 7º, §2º, da IN SEGES/ME nº 40/2020)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Houve a adequação da contratação com o Plano de Desenvolvimento de Pessoas do órgão - PDP, conforme Decreto nº 9.991/19 e IN SGP nº 201/19?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5.1. Não havendo Plano de Desenvolvimento de Pessoas, a contratação foi autorizada pela autoridade máxima do órgão ou entidade, conforme justificativa constante do procedimento administrativo, nos termos do art. 16, §2º do Decreto nº 9.991/19?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 Ressalvada a hipótese de dispensa, foi elaborado e junto aos autos o Mapa de Riscos previsto no art. 26, §1º, incisos I e II, de acordo com o modelo do anexo IV da IN SEGES/MP 5/2017? (arts. 20 e 26 da IN/SEGES 5/2017)</w:t>
            </w:r>
          </w:p>
          <w:p w:rsidR="00000000" w:rsidDel="00000000" w:rsidP="00000000" w:rsidRDefault="00000000" w:rsidRPr="00000000" w14:paraId="00000027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Obs.:  O §2º do artigo 20 da IN 05/2017 estabelece que ficam dispensadas da elaboração do mapa de riscos, na fase de planejamento da contratação, nas contratações de serviços cujos valores se enquadrem nos limites dos incisos I e II do art. 24 da Lei nº 8.666, de 1993.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6.1. O mapa confeccionado atende às exigências do art. 25 da IN SEGES/MP 5/2017?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 O Projeto Básico elaborado pelo setor requisitante baseou-se nos Estudos Técnicos Preliminares, Gerenciamento de Riscos e Diretrizes constantes do Anexo V, da IN 5/2017? (art. 27 e 28, §2º, IN SEGES/MP 05/2017)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7.1. Foi utilizado o modelo de minuta padronizada de Projeto Básico constante como anexo ao Parecer Referencial PGFN/CCA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7.1.1. Foram justificadas e destacadas visualmente, no processo, eventuais alterações do modelo de Projeto Básico?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  Consta a aprovação do projeto básico pela autoridade competente? (art. 7º, §2º, I da Lei 8.666/93)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 Constam estimativas detalhadas dos preços, com ampla pesquisa de mercado nos termos da Instrução Normativa SEGES/ME nº 73/2020  (arts. 15, III,  43, IV da Lei nº 8.666/93, art. 7º, inc. V e VI da IN SEGES/ME nº 40/2020, e art. 30, inc. X, da IN/SEGES nº 5/2017)?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9.1 Consta manifestação da área técnica com análise dos preços obtidos na pesquisa (art. 6º, §3º da IN SEGES/ME nº 73/2020)?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9.2 Havendo comparação de preços com outros prestadores de serviços, consta justificativa da não-incidência do art. 7º, §3 da IN SEGES/ME nº 73/2020, de modo que remanesce inviável a competição e possível o uso da inexigibilidade de licitação?</w:t>
            </w:r>
          </w:p>
          <w:p w:rsidR="00000000" w:rsidDel="00000000" w:rsidP="00000000" w:rsidRDefault="00000000" w:rsidRPr="00000000" w14:paraId="00000038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 1: Prevê o art. 7º, §3º que: "Caso a justificativa de preços aponte para a possibilidade de competição no mercado, vedada está a inexigibilidade."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 Tratando-se de atividade de custeio, foi observado o art. 3º do Decreto 10.193, de 2019 c/c as portarias de delegação e subdelegação, considerando os níveis de alçadas?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Consta indicação do recurso orçamentário próprio para a despesa e da respectiva rubrica, com reserva de recursos ou empenho? (arts. 7º, § 2º, III, 14 e 38, caput, da Lei 8.666/93 - c/c art. 60 e 61 da Lei 4.320/64).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11.1. Se for o caso, consta a estimativa do impacto orçamentário financeiro da despesa prevista no art. 16, inc. I da LC 101/2000 e a declaração prevista no art. 16, II do mesmo diploma na hipótese da despesa incidir no caput do art. 16? (ON/AGU 52/2014)</w:t>
            </w:r>
          </w:p>
          <w:p w:rsidR="00000000" w:rsidDel="00000000" w:rsidP="00000000" w:rsidRDefault="00000000" w:rsidRPr="00000000" w14:paraId="0000003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 1: ON AGU 52: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As despesas ordinárias e rotineiras da administração, já previstas no orçamento e destinadas à manutenção das ações governamentais preexistentes, dispensam as exigências previstas nos incisos I e II do art. 16 da Lei Complementar 101, de 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 Ressalvada a dispensa do instrumento contratual em razão do valor da contratação, foi utilizado o modelo de minuta padronizada de Contrato constante como anexo ao Parecer Referencial PGFN/CCA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/2021?</w:t>
            </w:r>
          </w:p>
          <w:p w:rsidR="00000000" w:rsidDel="00000000" w:rsidP="00000000" w:rsidRDefault="00000000" w:rsidRPr="00000000" w14:paraId="00000042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Obs. 1: Pelo art. 62 da Lei nº 8.666/93, o instrumento contratual é dispensado caso o valor da contratação não supere o limite máximo para uso da modalidade "convite", hoje em R$176.000,00 (art. 1, II, "a" do Decreto nº 9.412/18).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12.1. Eventuais alterações no modelo foram devidamente justificadas no processo?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 Consta dos autos prova: a) de regularidade fiscal federal; b) de regularidade com a Seguridade Social; c) de regularidade com o Fundo de Garantia por Tempo de Serviço; d) de regularidade trabalhista; e) declaração de cumprimento do disposto no inciso XXXIII do art. 7o da Constituição Federal; e f) ausência de penalidade que vede a contratação com o órgão (artigo 27 e seguintes da Lei 8.666/1993)?</w:t>
            </w:r>
          </w:p>
          <w:p w:rsidR="00000000" w:rsidDel="00000000" w:rsidP="00000000" w:rsidRDefault="00000000" w:rsidRPr="00000000" w14:paraId="00000047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OBS: A consulta deve ser feita nos seguintes endereços: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a) SICAF;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b) Cadastro Nacional de Empresas Inidôneas e Suspensas - CEIS, mantido pela Controladoria-Geral da União (www.portaldatransparencia.gov.br/ceis);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c) Cadastro Nacional de Condenações Cíveis por Atos de Improbidade Administrativa, mantido pelo Conselho Nacional de Justiça (www.cnj.jus.br/improbidade_adm/consultar_requerido.php).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d) Lista de Inidôneos, mantida pelo Tribunal de Contas da União – TCU (https://contas.tcu.gov.br/ords/f?p=INABILITADO:INIDONEOS);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 2: Para a consulta de licitantes pessoa jurídica poderá haver a substituição das consultas das alíneas “b”, “c” e “d” acima pela Consulta Consolidada de Pessoa Jurídica do TCU (https://certidoesapf.apps.tcu.gov.br/)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 Foi juntada aos autos consulta ao CADIN? (art. 6º, III da Lei nº 10.522/02)</w:t>
            </w:r>
          </w:p>
          <w:p w:rsidR="00000000" w:rsidDel="00000000" w:rsidP="00000000" w:rsidRDefault="00000000" w:rsidRPr="00000000" w14:paraId="0000004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OBS: Atente-se que o cadastro do CADIN é meramente informativo, de modo que a existência de pendências não impede a contratação.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 Houve o reconhecimento da inexigibilidade de licitação e a sua ratificação, nos termos do art. 26 da Lei nº 8.666/93, com a publicação do respectivo extrato, no prazo de 5 (cinco) dias?</w:t>
            </w:r>
          </w:p>
          <w:p w:rsidR="00000000" w:rsidDel="00000000" w:rsidP="00000000" w:rsidRDefault="00000000" w:rsidRPr="00000000" w14:paraId="00000052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OBS: Registre-se que a Orientação Normativa AGU n. 33, de 13/12/2011, dispensa a publicação do extrato contratual caso seja publicado o ato de autorização/ratificação da contratação direta.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 2: Nos termos da Orientação Normativa AGU n. 34, de 13/12/2011, as contratações diretas cujos valores não ultrapassem aqueles fixados no art. 24, I e II da Lei nº 8.666/93 dispensam inclusive a publicação do ato que autoriza/ratifica a contratação direta, sem prejuízo de outros meios de publicidade do ato.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3d3d3" w:val="clear"/>
                <w:rtl w:val="0"/>
              </w:rPr>
              <w:t xml:space="preserve">SENDO INEXIGIBILIDADE FUNDAMENTADA NO ART. 25, II DA LEI Nº 8.666/93, ADOTAR OS TRÊS QUESTIONAMENTOS ABAIXO: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 Houve comprovação dos autos da especialização do profissional e/ou da empresa contratada, incluindo, quando for o caso, experiência prévia, currículo e formação dos palestrantes/professores, eventuais prêmios ou publicações relevantes ao tema e outros elementos associados ao serviço a ser prestado?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 Consta dos autos declaração da área demandante acerca da notoriedade do profissional ou da empresa a ser contratada, junto ao público relevante, embasada na documentação juntada?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 Consta dos autos demonstração da singularidade da demanda da Administração e da adequação do serviço a ser prestado especificamente pelo contratado, incluindo conteúdo programático do curso, objetivos, competências desenvolvidas etc.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3d3d3" w:val="clear"/>
                <w:rtl w:val="0"/>
              </w:rPr>
              <w:t xml:space="preserve">SENDO INEXIGIBILIDADE FUNDAMENTADA NO ART. 25,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hd w:fill="d3d3d3" w:val="clear"/>
                <w:rtl w:val="0"/>
              </w:rPr>
              <w:t xml:space="preserve">caput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3d3d3" w:val="clear"/>
                <w:rtl w:val="0"/>
              </w:rPr>
              <w:t xml:space="preserve"> DA LEI Nº 8.666/93, ADOTAR O QUESTIONAMENTO ABAIXO: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 Consta dos autos demonstração, pela área demandante, de ocorrência de situação de inviabilidade de competição a afastar a licitação nos termos do art. 25,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caput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da Lei nº 8.666/93? </w:t>
            </w:r>
          </w:p>
          <w:p w:rsidR="00000000" w:rsidDel="00000000" w:rsidP="00000000" w:rsidRDefault="00000000" w:rsidRPr="00000000" w14:paraId="00000060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Obs: Nos termos do Parecer Referencial PGFN/CCA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/2021, a notória especialização do contratado ou a singularidade da demanda normalmente não devem ser usadas isoladamente para fundamentar uma contratação com base no art. 25,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caput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. Se presente a singularidade da demanda (e portanto houver a necessidade de um fornecedor diferenciado), a inexigibilidade em regra deverá seguir as regras do art. 25, II da Lei nº 8.666/93.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80" w:before="40" w:line="240" w:lineRule="auto"/>
              <w:ind w:left="40" w:right="4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12" w:customStyle="1">
    <w:name w:val="texto_centralizado_12"/>
    <w:basedOn w:val="Normal"/>
    <w:rsid w:val="001E15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1E1594"/>
    <w:rPr>
      <w:b w:val="1"/>
      <w:bCs w:val="1"/>
    </w:rPr>
  </w:style>
  <w:style w:type="paragraph" w:styleId="tabelatextojustificado" w:customStyle="1">
    <w:name w:val="tabela_texto_justificado"/>
    <w:basedOn w:val="Normal"/>
    <w:rsid w:val="001E15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1E159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DsLllP/uCeEA2Zmfn00vWQ8FA==">AMUW2mWOsd043HFvchWDYAvfCGAFn/7/J1W6bAzts9c51dxQDi9uZRPxTc8GTh6s64WqW5SPEhdLr6KB61qtxYFCHCtbcTAIT0/Eb9txk9oVeorquPh/wMk=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2021-03-30T22:29:00Z</dcterms:created>
  <dc:creator>Rachel Nogueira de Souza</dc:creator>
</cp:coreProperties>
</file>