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866968" cy="628977"/>
            <wp:effectExtent b="0" l="0" r="0" t="0"/>
            <wp:docPr descr="Comunicação PGFN — Procuradoria-Geral da Fazenda Nacional" id="98" name="image1.png"/>
            <a:graphic>
              <a:graphicData uri="http://schemas.openxmlformats.org/drawingml/2006/picture">
                <pic:pic>
                  <pic:nvPicPr>
                    <pic:cNvPr descr="Comunicação PGFN — Procuradoria-Geral da Fazenda Naciona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968" cy="628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CHECKLIST DO CANDIDATO </w:t>
      </w:r>
      <w:r w:rsidDel="00000000" w:rsidR="00000000" w:rsidRPr="00000000">
        <w:rPr>
          <w:b w:val="1"/>
          <w:rtl w:val="0"/>
        </w:rPr>
        <w:t xml:space="preserve">NOMEADO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before="240" w:line="480" w:lineRule="auto"/>
        <w:ind w:left="1276" w:right="31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OBRIGATÓRIOS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Formulário de dados cadastrais de ingresso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Comprovante de Situação Cadastral - CPF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6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9781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de Identificação: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apresentar apenas um dos seguintes documentos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9781"/>
        </w:tabs>
        <w:spacing w:after="120" w:before="0" w:line="276" w:lineRule="auto"/>
        <w:ind w:left="1276" w:right="3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   ) Registro Geral (RG) - (número, órgão expedidor, UF e data de expedição)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9781"/>
        </w:tabs>
        <w:spacing w:after="120" w:before="0" w:line="276" w:lineRule="auto"/>
        <w:ind w:left="1276" w:right="3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   ) Carteira de Identidade Nacional - (número, órgão expedidor, UF e data de expedição)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9781"/>
        </w:tabs>
        <w:spacing w:after="120" w:before="0" w:line="276" w:lineRule="auto"/>
        <w:ind w:left="1276" w:right="3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   ) Passaporte (número, UF e data da emissão)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9781"/>
        </w:tabs>
        <w:spacing w:after="120" w:before="0" w:line="276" w:lineRule="auto"/>
        <w:ind w:left="1276" w:right="3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   ) CNH (número, UF e data da emissão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Certidão de Registro Civil da situação atual (nascimento ou casamento – com eventual averbação)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7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Título de eleitor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9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Comprovante de votação da última eleição (dois turnos)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ou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certidão de quitação eleitoral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Certificado de reservista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dispensa de incorporação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sexo masculino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Cartão de inscrição PIS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formulário para inclusão de dados do participante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Comprovante de residência com CEP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Comprovante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 salário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nos bancos cadastrados, </w:t>
      </w:r>
      <w:r w:rsidDel="00000000" w:rsidR="00000000" w:rsidRPr="00000000">
        <w:rPr>
          <w:rtl w:val="0"/>
        </w:rPr>
        <w:t xml:space="preserve">vide relação anexa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6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(frente e verso) de conclusão de curso de graduação de nível superior em Direito, fornecido por instituição de ensino superior reconhecida pelo MEC devidamente registrado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na Ordem dos Advogados do Brasil -OAB. Caso o candidato nomeado ainda não possua a carteira da OAB, poderá apresentar o protocolo de requerimento de expedição da carteira (Atenção: observar o item 3.13 dos Editais nº 1/2022, para os casos de incompatibilidade anterior para o exercício da advocacia Para comprovar que o registro está ativo e sua regularidade, será necessária a certidão de regularidade, que pode ser obtida acessando o sítio da OAB, no portal da advocacia, com login e senha pessoal, levando em torno de 48h a emissão do documento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 de naturalizado ou equiparado, apresentar cópia da publicação da Portaria de Naturalização ou Equiparação e informar a data de chegada ao Brasil e o país de origem e para o cidadão português, apresentar o certificado que outorga os mesmos direitos do brasileiro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Comprovante de entrega da declaração obtida 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Sistema e-Patr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(Art. 13, §5º, Lei nº 8.112/1990)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Declaração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Acúmulo de cargos e empregos públicos (Art. 13, §5º, Lei nº 8.112/1990) e não participação de gerência de empresa privada e de não exercer comércio e nem ser proprietário de firma individual (Art. 117, X, Lei nº 8.112/1990)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Cópia da solicitação de demissão, exoneração ou vacância, se for o caso. ATENÇÃO: para concomitância entre a vacância no antigo órgão e a posse na </w:t>
      </w:r>
      <w:r w:rsidDel="00000000" w:rsidR="00000000" w:rsidRPr="00000000">
        <w:rPr>
          <w:rtl w:val="0"/>
        </w:rPr>
        <w:t xml:space="preserve">PGFN, para não haver quebra de vínculo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confeccionada pelo órgão/entidade a que está vinculado, se for o caso, informando: nome completo, cargo ocupado, ato de nomeação, data da posse, data do exercício e regime previdenciário (se foi optado pelo Regime de Previdência Complementar, instituído pela Lei nº 12.168/2012)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Declaração teto constitucional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(CFRB/88, artigo 37, inciso XI)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Declaração para atendimento aos art. 132, 135 e 137 da Lei nº 8.112/199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eclaração de não beneficiário de seguro-desemprego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(art. 24 da Lei nº 7.998/1990 e Portaria Normativa MPOG nº 4/2013)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7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Declaração expressa da vedação de exercer a advocacia fora de suas atribuições do 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(art. 4º Resolução CSAGU nº 1/2002)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8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Currículo (Vitae, Lattes ou SIGEPE)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9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276" w:right="312" w:hanging="28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Atestado/Laudo de aptidão de saúde física e mental (Item 3.8 do Edita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nº 1/2022)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9485" y="3723485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555" cy="122555"/>
                <wp:effectExtent b="0" l="0" r="0" t="0"/>
                <wp:wrapNone/>
                <wp:docPr id="7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tabs>
          <w:tab w:val="left" w:leader="none" w:pos="8581"/>
          <w:tab w:val="left" w:leader="none" w:pos="10478"/>
        </w:tabs>
        <w:spacing w:after="120" w:line="276" w:lineRule="auto"/>
        <w:ind w:left="1428" w:right="312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- Fica facultado aos candidatos a realização dos exames em clínicas e médicos particulares, devendo o atestado final de aptidão física e mental ser emitido por médico oficial (art. 14 da Lei nº 8.112/90), datado após o ato de nomeação no concurso público</w:t>
      </w:r>
    </w:p>
    <w:p w:rsidR="00000000" w:rsidDel="00000000" w:rsidP="00000000" w:rsidRDefault="00000000" w:rsidRPr="00000000" w14:paraId="00000020">
      <w:pPr>
        <w:tabs>
          <w:tab w:val="left" w:leader="none" w:pos="8581"/>
          <w:tab w:val="left" w:leader="none" w:pos="10478"/>
        </w:tabs>
        <w:spacing w:after="120" w:line="276" w:lineRule="auto"/>
        <w:ind w:left="1428" w:right="312" w:firstLine="0"/>
        <w:jc w:val="both"/>
        <w:rPr>
          <w:color w:val="000000"/>
          <w:highlight w:val="white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highlight w:val="white"/>
          <w:rtl w:val="0"/>
        </w:rPr>
        <w:t xml:space="preserve">II – No momento da perícia oficial, o médico poderá solicitar exames complementares, caso seja necessário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before="240" w:line="480" w:lineRule="auto"/>
        <w:ind w:left="992" w:right="3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220" w:before="0" w:line="480" w:lineRule="auto"/>
        <w:ind w:left="1276" w:right="31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RELAÇÃO DE EXAMES MÉDICOS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0"/>
          <w:tab w:val="left" w:leader="none" w:pos="8581"/>
          <w:tab w:val="left" w:leader="none" w:pos="10478"/>
        </w:tabs>
        <w:spacing w:after="0" w:before="220" w:line="276" w:lineRule="auto"/>
        <w:ind w:left="720" w:right="3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candidato deverá preencher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white"/>
          <w:vertAlign w:val="baseline"/>
          <w:rtl w:val="0"/>
        </w:rPr>
        <w:t xml:space="preserve">Questionário Para </w:t>
      </w: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white"/>
          <w:vertAlign w:val="baseline"/>
          <w:rtl w:val="0"/>
        </w:rPr>
        <w:t xml:space="preserve">xame </w:t>
      </w:r>
      <w:r w:rsidDel="00000000" w:rsidR="00000000" w:rsidRPr="00000000">
        <w:rPr>
          <w:highlight w:val="white"/>
          <w:rtl w:val="0"/>
        </w:rPr>
        <w:t xml:space="preserve">Pré-Admissional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apresentá-lo ao serviço médico oficial juntamente com os exames relacionados abaixo, para emissão do 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testado/Laudo de Apt</w:t>
      </w:r>
      <w:r w:rsidDel="00000000" w:rsidR="00000000" w:rsidRPr="00000000">
        <w:rPr>
          <w:highlight w:val="white"/>
          <w:rtl w:val="0"/>
        </w:rPr>
        <w:t xml:space="preserve">idão de Saúde Física e Mental (item 23 de documentos exigidos)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0"/>
          <w:tab w:val="left" w:leader="none" w:pos="8581"/>
          <w:tab w:val="left" w:leader="none" w:pos="10478"/>
        </w:tabs>
        <w:spacing w:after="0" w:before="24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Hemograma Completo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122736" cy="122736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122736" cy="122736"/>
                <wp:effectExtent b="0" l="0" r="0" t="0"/>
                <wp:wrapNone/>
                <wp:docPr id="7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afterAutospacing="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V.D.R.L (sorologia para Lues)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afterAutospacing="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Pesquisa para Doença de Chagas (Imunofluorescencia ou Reação Machado e Guerreiro)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afterAutospacing="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Eletrocardiograma de repouso (com laudo)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9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afterAutospacing="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RX do Tórax - P.A e perfil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afterAutospacing="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Glicemia em jejum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7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0" w:afterAutospacing="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Exame de urina (E.A.S - elementos anormais e sedimentoscopia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8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120" w:before="0" w:line="276" w:lineRule="auto"/>
        <w:ind w:left="1440" w:right="3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Tipagem sanguínea - ABO e fator Rh.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395" y="3723395"/>
                          <a:ext cx="113211" cy="11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122736" cy="122736"/>
                <wp:effectExtent b="0" l="0" r="0" t="0"/>
                <wp:wrapNone/>
                <wp:docPr id="6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6" cy="122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110"/>
        </w:tabs>
        <w:spacing w:after="0" w:before="167" w:line="240" w:lineRule="auto"/>
        <w:ind w:right="3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1110"/>
        </w:tabs>
        <w:spacing w:after="0" w:before="167" w:line="240" w:lineRule="auto"/>
        <w:ind w:right="3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581"/>
          <w:tab w:val="left" w:leader="none" w:pos="10478"/>
        </w:tabs>
        <w:spacing w:after="120" w:line="276" w:lineRule="auto"/>
        <w:ind w:left="708" w:right="312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Observação importante!</w:t>
      </w:r>
      <w:r w:rsidDel="00000000" w:rsidR="00000000" w:rsidRPr="00000000">
        <w:rPr>
          <w:highlight w:val="white"/>
          <w:rtl w:val="0"/>
        </w:rPr>
        <w:t xml:space="preserve"> Toda a documentação obrigatória deverá ser anexada ao respectivo SEI do candidato, conforme orientações acima, </w:t>
      </w:r>
      <w:r w:rsidDel="00000000" w:rsidR="00000000" w:rsidRPr="00000000">
        <w:rPr>
          <w:highlight w:val="white"/>
          <w:rtl w:val="0"/>
        </w:rPr>
        <w:t xml:space="preserve">em até 5(cinco) dias antes da posse, </w:t>
      </w:r>
      <w:r w:rsidDel="00000000" w:rsidR="00000000" w:rsidRPr="00000000">
        <w:rPr>
          <w:highlight w:val="white"/>
          <w:rtl w:val="0"/>
        </w:rPr>
        <w:t xml:space="preserve">para conferência</w:t>
      </w:r>
      <w:r w:rsidDel="00000000" w:rsidR="00000000" w:rsidRPr="00000000">
        <w:rPr>
          <w:highlight w:val="white"/>
          <w:rtl w:val="0"/>
        </w:rPr>
        <w:t xml:space="preserve">, conforme Art. 45 da CSAGU RESOLUÇÃO Nº 1/2002 e art. 50 da IN AGU Nº 1/2009.</w:t>
      </w:r>
      <w:r w:rsidDel="00000000" w:rsidR="00000000" w:rsidRPr="00000000">
        <w:rPr>
          <w:rtl w:val="0"/>
        </w:rPr>
      </w:r>
    </w:p>
    <w:sectPr>
      <w:headerReference r:id="rId40" w:type="default"/>
      <w:pgSz w:h="16838" w:w="11906" w:orient="portrait"/>
      <w:pgMar w:bottom="1281" w:top="568" w:left="624" w:right="624" w:header="568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0" w:lineRule="auto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168" w:hanging="360"/>
      </w:pPr>
      <w:rPr/>
    </w:lvl>
    <w:lvl w:ilvl="2">
      <w:start w:val="1"/>
      <w:numFmt w:val="lowerRoman"/>
      <w:lvlText w:val="%3."/>
      <w:lvlJc w:val="right"/>
      <w:pPr>
        <w:ind w:left="8888" w:hanging="180"/>
      </w:pPr>
      <w:rPr/>
    </w:lvl>
    <w:lvl w:ilvl="3">
      <w:start w:val="1"/>
      <w:numFmt w:val="decimal"/>
      <w:lvlText w:val="%4."/>
      <w:lvlJc w:val="left"/>
      <w:pPr>
        <w:ind w:left="9608" w:hanging="360"/>
      </w:pPr>
      <w:rPr/>
    </w:lvl>
    <w:lvl w:ilvl="4">
      <w:start w:val="1"/>
      <w:numFmt w:val="lowerLetter"/>
      <w:lvlText w:val="%5."/>
      <w:lvlJc w:val="left"/>
      <w:pPr>
        <w:ind w:left="10328" w:hanging="360"/>
      </w:pPr>
      <w:rPr/>
    </w:lvl>
    <w:lvl w:ilvl="5">
      <w:start w:val="1"/>
      <w:numFmt w:val="lowerRoman"/>
      <w:lvlText w:val="%6."/>
      <w:lvlJc w:val="right"/>
      <w:pPr>
        <w:ind w:left="11048" w:hanging="180"/>
      </w:pPr>
      <w:rPr/>
    </w:lvl>
    <w:lvl w:ilvl="6">
      <w:start w:val="1"/>
      <w:numFmt w:val="decimal"/>
      <w:lvlText w:val="%7."/>
      <w:lvlJc w:val="left"/>
      <w:pPr>
        <w:ind w:left="11768" w:hanging="360"/>
      </w:pPr>
      <w:rPr/>
    </w:lvl>
    <w:lvl w:ilvl="7">
      <w:start w:val="1"/>
      <w:numFmt w:val="lowerLetter"/>
      <w:lvlText w:val="%8."/>
      <w:lvlJc w:val="left"/>
      <w:pPr>
        <w:ind w:left="12488" w:hanging="360"/>
      </w:pPr>
      <w:rPr/>
    </w:lvl>
    <w:lvl w:ilvl="8">
      <w:start w:val="1"/>
      <w:numFmt w:val="lowerRoman"/>
      <w:lvlText w:val="%9."/>
      <w:lvlJc w:val="right"/>
      <w:pPr>
        <w:ind w:left="13208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6FDE"/>
  </w:style>
  <w:style w:type="paragraph" w:styleId="Rodap">
    <w:name w:val="footer"/>
    <w:basedOn w:val="Normal"/>
    <w:link w:val="RodapChar"/>
    <w:uiPriority w:val="99"/>
    <w:unhideWhenUsed w:val="1"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 w:val="1"/>
    <w:rsid w:val="00746FDE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746FDE"/>
    <w:rPr>
      <w:rFonts w:ascii="Tahoma" w:cs="Tahoma" w:eastAsia="Tahoma" w:hAnsi="Tahoma"/>
      <w:lang w:val="pt-PT"/>
    </w:rPr>
  </w:style>
  <w:style w:type="paragraph" w:styleId="PargrafodaLista">
    <w:name w:val="List Paragraph"/>
    <w:basedOn w:val="Normal"/>
    <w:uiPriority w:val="1"/>
    <w:qFormat w:val="1"/>
    <w:rsid w:val="00746FD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647A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647AC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0330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ui-provider" w:customStyle="1">
    <w:name w:val="ui-provider"/>
    <w:basedOn w:val="Fontepargpadro"/>
    <w:rsid w:val="00DA69BD"/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056644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4583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25.png"/><Relationship Id="rId22" Type="http://schemas.openxmlformats.org/officeDocument/2006/relationships/image" Target="media/image6.png"/><Relationship Id="rId21" Type="http://schemas.openxmlformats.org/officeDocument/2006/relationships/image" Target="media/image18.png"/><Relationship Id="rId24" Type="http://schemas.openxmlformats.org/officeDocument/2006/relationships/image" Target="media/image9.png"/><Relationship Id="rId23" Type="http://schemas.openxmlformats.org/officeDocument/2006/relationships/image" Target="media/image3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image" Target="media/image24.png"/><Relationship Id="rId25" Type="http://schemas.openxmlformats.org/officeDocument/2006/relationships/image" Target="media/image10.png"/><Relationship Id="rId28" Type="http://schemas.openxmlformats.org/officeDocument/2006/relationships/image" Target="media/image32.png"/><Relationship Id="rId27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3.png"/><Relationship Id="rId7" Type="http://schemas.openxmlformats.org/officeDocument/2006/relationships/image" Target="media/image1.png"/><Relationship Id="rId8" Type="http://schemas.openxmlformats.org/officeDocument/2006/relationships/image" Target="media/image15.png"/><Relationship Id="rId31" Type="http://schemas.openxmlformats.org/officeDocument/2006/relationships/image" Target="media/image12.png"/><Relationship Id="rId30" Type="http://schemas.openxmlformats.org/officeDocument/2006/relationships/image" Target="media/image27.png"/><Relationship Id="rId11" Type="http://schemas.openxmlformats.org/officeDocument/2006/relationships/image" Target="media/image8.png"/><Relationship Id="rId33" Type="http://schemas.openxmlformats.org/officeDocument/2006/relationships/image" Target="media/image14.png"/><Relationship Id="rId10" Type="http://schemas.openxmlformats.org/officeDocument/2006/relationships/image" Target="media/image17.png"/><Relationship Id="rId32" Type="http://schemas.openxmlformats.org/officeDocument/2006/relationships/image" Target="media/image7.png"/><Relationship Id="rId13" Type="http://schemas.openxmlformats.org/officeDocument/2006/relationships/hyperlink" Target="https://www.tse.jus.br/servicos-eleitorais/certidoes/certidao-de-quitacao-eleitoral" TargetMode="External"/><Relationship Id="rId35" Type="http://schemas.openxmlformats.org/officeDocument/2006/relationships/image" Target="media/image28.png"/><Relationship Id="rId12" Type="http://schemas.openxmlformats.org/officeDocument/2006/relationships/image" Target="media/image29.png"/><Relationship Id="rId34" Type="http://schemas.openxmlformats.org/officeDocument/2006/relationships/image" Target="media/image16.png"/><Relationship Id="rId15" Type="http://schemas.openxmlformats.org/officeDocument/2006/relationships/image" Target="media/image26.png"/><Relationship Id="rId37" Type="http://schemas.openxmlformats.org/officeDocument/2006/relationships/image" Target="media/image11.png"/><Relationship Id="rId14" Type="http://schemas.openxmlformats.org/officeDocument/2006/relationships/image" Target="media/image30.png"/><Relationship Id="rId36" Type="http://schemas.openxmlformats.org/officeDocument/2006/relationships/image" Target="media/image20.png"/><Relationship Id="rId17" Type="http://schemas.openxmlformats.org/officeDocument/2006/relationships/image" Target="media/image21.png"/><Relationship Id="rId39" Type="http://schemas.openxmlformats.org/officeDocument/2006/relationships/image" Target="media/image3.png"/><Relationship Id="rId16" Type="http://schemas.openxmlformats.org/officeDocument/2006/relationships/image" Target="media/image5.png"/><Relationship Id="rId38" Type="http://schemas.openxmlformats.org/officeDocument/2006/relationships/image" Target="media/image19.png"/><Relationship Id="rId19" Type="http://schemas.openxmlformats.org/officeDocument/2006/relationships/image" Target="media/image22.png"/><Relationship Id="rId1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q7FAOcquC+PJi+0lU1x6QsFNQ==">CgMxLjAyCGguZ2pkZ3hzMgloLjMwajB6bGwyCWguMWZvYjl0ZTgAciExeXJXTGpycTI1QWxkTFpXUHNYVWNjV3dmZUxDaDRSa3I=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2024-05-16T02:37:00Z</dcterms:created>
  <dc:creator>Rodolfo Gabriel Ceolin Lacerda</dc:creator>
</cp:coreProperties>
</file>