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A3" w:rsidRDefault="004A3D75" w:rsidP="003675A3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</w:pPr>
      <w:r w:rsidRPr="004A3D75"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>TERMO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 xml:space="preserve"> </w:t>
      </w:r>
      <w:r w:rsidRPr="004A3D75"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>DE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 xml:space="preserve"> </w:t>
      </w:r>
      <w:r w:rsidRPr="004A3D75">
        <w:rPr>
          <w:rFonts w:eastAsia="Times New Roman" w:cstheme="minorHAnsi"/>
          <w:b/>
          <w:caps/>
          <w:color w:val="000000"/>
          <w:sz w:val="24"/>
          <w:szCs w:val="24"/>
          <w:lang w:eastAsia="pt-BR"/>
        </w:rPr>
        <w:t>REFERÊNCIA</w:t>
      </w:r>
    </w:p>
    <w:p w:rsidR="00577682" w:rsidRPr="00577682" w:rsidRDefault="00577682" w:rsidP="003675A3">
      <w:pPr>
        <w:spacing w:after="0" w:line="240" w:lineRule="auto"/>
        <w:jc w:val="center"/>
        <w:rPr>
          <w:rFonts w:eastAsia="Times New Roman" w:cstheme="minorHAnsi"/>
          <w:b/>
          <w:caps/>
          <w:color w:val="FF0000"/>
          <w:sz w:val="24"/>
          <w:szCs w:val="24"/>
          <w:lang w:eastAsia="pt-BR"/>
        </w:rPr>
      </w:pPr>
      <w:bookmarkStart w:id="0" w:name="_GoBack"/>
      <w:r w:rsidRPr="00577682">
        <w:rPr>
          <w:rFonts w:eastAsia="Times New Roman" w:cstheme="minorHAnsi"/>
          <w:b/>
          <w:caps/>
          <w:color w:val="FF0000"/>
          <w:sz w:val="24"/>
          <w:szCs w:val="24"/>
          <w:lang w:eastAsia="pt-BR"/>
        </w:rPr>
        <w:t>COTAÇÃO ELETRÔNICA 20/2022</w:t>
      </w:r>
    </w:p>
    <w:bookmarkEnd w:id="0"/>
    <w:p w:rsid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08532.001091/2022-18</w:t>
      </w:r>
    </w:p>
    <w:p w:rsid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Aquisição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material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consumo: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bandeiras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institucionais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atender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necessidades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elegacia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Polícia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Rondonópolis/MT</w:t>
      </w:r>
      <w:r w:rsidR="003D73C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SR/PF/MT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1" w:name="_Hlk13127870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bookmarkStart w:id="2" w:name="_Hlk13127882"/>
      <w:bookmarkEnd w:id="1"/>
      <w:bookmarkEnd w:id="2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vigência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30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(trinta)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emissão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empenho,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n°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8.666/93.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081"/>
        <w:gridCol w:w="650"/>
        <w:gridCol w:w="733"/>
        <w:gridCol w:w="1045"/>
        <w:gridCol w:w="1363"/>
        <w:gridCol w:w="2284"/>
      </w:tblGrid>
      <w:tr w:rsidR="008D4DF4" w:rsidRPr="003675A3" w:rsidTr="00E417E8">
        <w:trPr>
          <w:tblCellSpacing w:w="0" w:type="dxa"/>
        </w:trPr>
        <w:tc>
          <w:tcPr>
            <w:tcW w:w="472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3081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DESCRIÇÃO/ESPECIFICAÇÃO</w:t>
            </w:r>
          </w:p>
        </w:tc>
        <w:tc>
          <w:tcPr>
            <w:tcW w:w="650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33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QTIDADE</w:t>
            </w:r>
          </w:p>
        </w:tc>
        <w:tc>
          <w:tcPr>
            <w:tcW w:w="1045" w:type="dxa"/>
            <w:vAlign w:val="center"/>
          </w:tcPr>
          <w:p w:rsidR="00E417E8" w:rsidRPr="003675A3" w:rsidRDefault="00E417E8" w:rsidP="00821F0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VALOR</w:t>
            </w:r>
            <w:r w:rsidR="004A3D7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UNIT.</w:t>
            </w:r>
          </w:p>
        </w:tc>
        <w:tc>
          <w:tcPr>
            <w:tcW w:w="1363" w:type="dxa"/>
            <w:vAlign w:val="center"/>
          </w:tcPr>
          <w:p w:rsidR="00E417E8" w:rsidRDefault="00E417E8" w:rsidP="00E417E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VALOR</w:t>
            </w:r>
            <w:r w:rsidR="004A3D75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2284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ILUSTRAÇÃO</w:t>
            </w:r>
          </w:p>
        </w:tc>
      </w:tr>
      <w:tr w:rsidR="008D4DF4" w:rsidRPr="003675A3" w:rsidTr="00E417E8">
        <w:trPr>
          <w:tblCellSpacing w:w="0" w:type="dxa"/>
        </w:trPr>
        <w:tc>
          <w:tcPr>
            <w:tcW w:w="472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3081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</w:pP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OFICIAL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REPÚBLICA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FEDERATIVA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BRASIL.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Para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uso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externo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(duas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faces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exatamente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iguais);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Dimensão: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02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panos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(90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x</w:t>
            </w:r>
            <w:proofErr w:type="gramEnd"/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130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0,90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x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1,28m);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Tecido: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costuras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duplas,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linha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fio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resistência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malha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bloqueada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spell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indesmalhável</w:t>
            </w:r>
            <w:proofErr w:type="spellEnd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Processo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e/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estampa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digital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resolução,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cores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vibrantes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duráveis;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Tarja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reforçada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entretela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branca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ilhoses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latão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cromado;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disposto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anexo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deste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termo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referência;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Os</w:t>
            </w:r>
            <w:proofErr w:type="gramEnd"/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costuras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conter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falhas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acabamento;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deverá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acordo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exigências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leis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5.700(01/09/71)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8.421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(11/05/92).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Confeccionada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conforme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Normas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ABNT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NBR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16286:2019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NBR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16287:2019.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deverá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entregue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dobrada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individualmente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empacotada</w:t>
            </w:r>
          </w:p>
        </w:tc>
        <w:tc>
          <w:tcPr>
            <w:tcW w:w="650" w:type="dxa"/>
            <w:vAlign w:val="center"/>
            <w:hideMark/>
          </w:tcPr>
          <w:p w:rsidR="00E417E8" w:rsidRPr="003675A3" w:rsidRDefault="00E417E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33" w:type="dxa"/>
            <w:vAlign w:val="center"/>
            <w:hideMark/>
          </w:tcPr>
          <w:p w:rsidR="00E417E8" w:rsidRPr="003675A3" w:rsidRDefault="003D73C8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5" w:type="dxa"/>
            <w:vAlign w:val="center"/>
          </w:tcPr>
          <w:p w:rsidR="00E417E8" w:rsidRDefault="008D4DF4" w:rsidP="00821F0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t>186,92</w:t>
            </w:r>
          </w:p>
        </w:tc>
        <w:tc>
          <w:tcPr>
            <w:tcW w:w="1363" w:type="dxa"/>
            <w:vAlign w:val="center"/>
          </w:tcPr>
          <w:p w:rsidR="00E417E8" w:rsidRDefault="003D73C8" w:rsidP="00E417E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t>1.869,20</w:t>
            </w:r>
          </w:p>
        </w:tc>
        <w:tc>
          <w:tcPr>
            <w:tcW w:w="2284" w:type="dxa"/>
            <w:vAlign w:val="center"/>
            <w:hideMark/>
          </w:tcPr>
          <w:p w:rsidR="00E417E8" w:rsidRPr="003675A3" w:rsidRDefault="008D4DF4" w:rsidP="003675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>
                  <wp:extent cx="1377350" cy="953942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.jf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99" cy="100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DF4" w:rsidRPr="003675A3" w:rsidTr="00E417E8">
        <w:trPr>
          <w:tblCellSpacing w:w="0" w:type="dxa"/>
        </w:trPr>
        <w:tc>
          <w:tcPr>
            <w:tcW w:w="472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3081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</w:pP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OFICIAL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MATO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GROSSO.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Uso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externo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(duas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faces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exatamente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iguais</w:t>
            </w:r>
            <w:proofErr w:type="gram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);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Dimensão</w:t>
            </w:r>
            <w:proofErr w:type="gramEnd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: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02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panos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(90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x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130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0,90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x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1,28m);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Tecido: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costuras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duplas,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linha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fio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resistência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malha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bloqueada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spell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indesmalhável</w:t>
            </w:r>
            <w:proofErr w:type="spellEnd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Processo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e/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estampa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digital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resolução,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cores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vibrantes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duráveis;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Tarja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reforçada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entretela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branca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ilhoses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latão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cromado;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Os</w:t>
            </w:r>
            <w:proofErr w:type="gramEnd"/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costuras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conter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falhas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acabamento;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Confeccionada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conforme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Normas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ABNT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NBR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16286:2019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ABNT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NBR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16287:2019.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desenho/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modelo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rigorosamente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conformidade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especificações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regras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básicas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estabelecidas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PELA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Lei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Estadual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n°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2.628,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23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setembro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1963;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disposto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anexo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II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deste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termo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referência;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deverá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entregue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dobrada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individualmente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empacotada.</w:t>
            </w:r>
          </w:p>
        </w:tc>
        <w:tc>
          <w:tcPr>
            <w:tcW w:w="650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33" w:type="dxa"/>
            <w:vAlign w:val="center"/>
            <w:hideMark/>
          </w:tcPr>
          <w:p w:rsidR="008D4DF4" w:rsidRPr="003675A3" w:rsidRDefault="003D73C8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5" w:type="dxa"/>
            <w:vAlign w:val="center"/>
          </w:tcPr>
          <w:p w:rsidR="008D4DF4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t>186,92</w:t>
            </w:r>
          </w:p>
        </w:tc>
        <w:tc>
          <w:tcPr>
            <w:tcW w:w="1363" w:type="dxa"/>
            <w:vAlign w:val="center"/>
          </w:tcPr>
          <w:p w:rsidR="008D4DF4" w:rsidRDefault="003D73C8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t>1.869,20</w:t>
            </w:r>
          </w:p>
        </w:tc>
        <w:tc>
          <w:tcPr>
            <w:tcW w:w="2284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 wp14:anchorId="6F6193A0" wp14:editId="0D694AED">
                  <wp:extent cx="1437777" cy="1437777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270" cy="144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DF4" w:rsidRPr="003675A3" w:rsidTr="00E417E8">
        <w:trPr>
          <w:tblCellSpacing w:w="0" w:type="dxa"/>
        </w:trPr>
        <w:tc>
          <w:tcPr>
            <w:tcW w:w="472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3081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</w:pP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INSTITUCIONAL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POLÍCIA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FEDERAL.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Uso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externo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(duas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faces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exatamente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iguais,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forro);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Dimensão: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02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panos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(90cm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altura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x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130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largura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0,90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gram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x</w:t>
            </w:r>
            <w:proofErr w:type="gramEnd"/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1,28m);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Tecido: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costuras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duplas,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linha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fio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resistência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malha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bloqueada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spell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indesmalhável</w:t>
            </w:r>
            <w:proofErr w:type="spellEnd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Processo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e/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estampa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digital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resolução,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cores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vibrantes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duráveis;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Tarja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reforçada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entretela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branca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ilhoses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latão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cromado;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costuras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conter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falhas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acabamento;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forro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tecido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Oxford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lycra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100%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poliéster,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fio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alta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resistência,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proofErr w:type="spellStart"/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indesmalhável</w:t>
            </w:r>
            <w:proofErr w:type="spellEnd"/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que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bloqueie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avesso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bordado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e/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ou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disposto;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desenho/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modelo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rigorosamente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conformidade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com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especificações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regras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básicas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estabelecidas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pelas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normas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jurídicas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vigentes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(Instrução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Normativa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nº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005-DG/DPF,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14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dezembro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1999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Decreto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98.380,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9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novembro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1989.).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Bandeira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deverá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ser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entregue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dobrada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individualmente</w:t>
            </w:r>
            <w:r w:rsidR="004A3D75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3675A3">
              <w:rPr>
                <w:rFonts w:eastAsia="Times New Roman" w:cstheme="minorHAnsi"/>
                <w:color w:val="000000"/>
                <w:sz w:val="12"/>
                <w:szCs w:val="12"/>
                <w:lang w:eastAsia="pt-BR"/>
              </w:rPr>
              <w:t>empacotada</w:t>
            </w:r>
          </w:p>
        </w:tc>
        <w:tc>
          <w:tcPr>
            <w:tcW w:w="650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 w:rsidRPr="003675A3"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733" w:type="dxa"/>
            <w:vAlign w:val="center"/>
            <w:hideMark/>
          </w:tcPr>
          <w:p w:rsidR="008D4DF4" w:rsidRPr="003675A3" w:rsidRDefault="003D73C8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5" w:type="dxa"/>
            <w:vAlign w:val="center"/>
          </w:tcPr>
          <w:p w:rsidR="008D4DF4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t>186,92</w:t>
            </w:r>
          </w:p>
        </w:tc>
        <w:tc>
          <w:tcPr>
            <w:tcW w:w="1363" w:type="dxa"/>
            <w:vAlign w:val="center"/>
          </w:tcPr>
          <w:p w:rsidR="008D4DF4" w:rsidRDefault="003D73C8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t>1.869,20</w:t>
            </w:r>
          </w:p>
        </w:tc>
        <w:tc>
          <w:tcPr>
            <w:tcW w:w="2284" w:type="dxa"/>
            <w:vAlign w:val="center"/>
            <w:hideMark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</w:p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  <w:drawing>
                <wp:inline distT="0" distB="0" distL="0" distR="0" wp14:anchorId="34E44ABF" wp14:editId="35145109">
                  <wp:extent cx="1279448" cy="851414"/>
                  <wp:effectExtent l="0" t="0" r="0" b="635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037" cy="86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</w:p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</w:p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8D4DF4" w:rsidRPr="003675A3" w:rsidTr="0031295C">
        <w:trPr>
          <w:tblCellSpacing w:w="0" w:type="dxa"/>
        </w:trPr>
        <w:tc>
          <w:tcPr>
            <w:tcW w:w="5981" w:type="dxa"/>
            <w:gridSpan w:val="5"/>
            <w:vAlign w:val="center"/>
          </w:tcPr>
          <w:p w:rsidR="008D4DF4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63" w:type="dxa"/>
            <w:vAlign w:val="center"/>
          </w:tcPr>
          <w:p w:rsidR="008D4DF4" w:rsidRDefault="008D4DF4" w:rsidP="003D73C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  <w:r w:rsidRPr="008D4DF4">
              <w:rPr>
                <w:rFonts w:eastAsia="Times New Roman" w:cstheme="minorHAnsi"/>
                <w:b/>
                <w:noProof/>
                <w:color w:val="FF0000"/>
                <w:sz w:val="16"/>
                <w:szCs w:val="16"/>
                <w:lang w:eastAsia="pt-BR"/>
              </w:rPr>
              <w:t>R$</w:t>
            </w:r>
            <w:r w:rsidR="004A3D75">
              <w:rPr>
                <w:rFonts w:eastAsia="Times New Roman" w:cstheme="minorHAnsi"/>
                <w:b/>
                <w:noProof/>
                <w:color w:val="FF0000"/>
                <w:sz w:val="16"/>
                <w:szCs w:val="16"/>
                <w:lang w:eastAsia="pt-BR"/>
              </w:rPr>
              <w:t xml:space="preserve"> </w:t>
            </w:r>
            <w:r w:rsidR="003D73C8">
              <w:rPr>
                <w:rFonts w:eastAsia="Times New Roman" w:cstheme="minorHAnsi"/>
                <w:b/>
                <w:noProof/>
                <w:color w:val="FF0000"/>
                <w:sz w:val="16"/>
                <w:szCs w:val="16"/>
                <w:lang w:eastAsia="pt-BR"/>
              </w:rPr>
              <w:t>5.607,60</w:t>
            </w:r>
          </w:p>
        </w:tc>
        <w:tc>
          <w:tcPr>
            <w:tcW w:w="2284" w:type="dxa"/>
            <w:vAlign w:val="center"/>
          </w:tcPr>
          <w:p w:rsidR="008D4DF4" w:rsidRPr="003675A3" w:rsidRDefault="008D4DF4" w:rsidP="008D4DF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JUSTIFICATIVA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OBJETIVO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CONTRATAÇÃO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aquisições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visa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suprir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DPF/ROO/MT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bandeiras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institucionais,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vez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permanente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mastros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Superintendência,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fincando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expostas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chuva,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situações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aceleram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desgaste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daqueles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materiais.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CLASSIFICAÇÃO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COMUNS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adquiridos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enquadram-se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classificação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comuns,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cujos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padrões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desempenho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objetivamente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definidos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Básico,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especificações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usuais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mercado.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4.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ENTREGA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C</w:t>
      </w:r>
      <w:r w:rsidR="004A3D75"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RITÉRIOS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="004A3D75"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="004A3D75"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ACEITAÇÃO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="004A3D75"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 xml:space="preserve"> </w:t>
      </w:r>
      <w:r w:rsidR="004A3D75" w:rsidRPr="004A3D75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OBJETO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(quinze)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dias,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partir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recebimento/ciência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Empenho,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§4°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62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8.666/93,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endereço: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Setembro,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558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Vila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Birigui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Rondonópolis/MT,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Telefone: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66)-</w:t>
      </w:r>
      <w:proofErr w:type="gramEnd"/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3439-6224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segunda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sexta-feira.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prorrogado,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pedido,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devidamente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justificado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fornecedor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analisado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Esclarecimentos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obtidos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telefone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66)-</w:t>
      </w:r>
      <w:proofErr w:type="gramEnd"/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3439-6224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4.1.2.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despesas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frete,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carregamento,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descarregamento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outras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existentes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empresa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vencedora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responsável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itens.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materiais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acondicionados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embalados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prática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fabricante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respeitando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diretrizes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01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SLTI/MPOG,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19/01/2010,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resguardar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integridade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material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durante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transporte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armazenamento.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provisoriamente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05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(cinco)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pelo(</w:t>
      </w:r>
      <w:proofErr w:type="gramEnd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responsável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acompanhamento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efeito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posterior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verificação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especificações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básico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proposta.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rejeitados,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desacordo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especificações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básico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proposta,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substituídos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(quinze)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custas,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4.5.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definitivamente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05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(cinco)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provisório,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após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verificação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quantidade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material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consequente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aceitação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mediante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circunstanciado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atesto.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4.5.1.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hipótese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verificação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refere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subitem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anterior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procedida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dentro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fixado,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reputar-se-á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realizada,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consumando-se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definitivo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esgotamento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4.6.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provisório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definitivo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exclui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responsabilidade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resultantes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incorreta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execução/entrega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material.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CONTRATANTE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receber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estabelecidas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Básico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anexos;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5.1.2.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verificar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minuciosamente,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fixado,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provisoriamente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especificações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proposta,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aceitação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definitivo;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5.1.3.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comunicar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escrito,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imperfeições,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falhas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irregularidades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verificadas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fornecido,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seja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substituído,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reparado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corrigido;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5.1.4.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acompanhar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fiscalizar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cumprimento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através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comissão/servidor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especialmente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designado;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5.1.5.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efetuar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correspondente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fornecimento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estabelecidos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responderá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quaisquer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compromissos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assumidos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terceiros,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ainda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vinculados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presente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causado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terceiros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empregados,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prepostos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subordinados.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CONTRATADA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cumprir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documento,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anexos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proposta,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assumindo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exclusivamente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riscos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despesas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boa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perfeita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ainda: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6.1.1.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efetuar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perfeitas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condições,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especificações,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local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Edital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anexos,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acompanhado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respectiva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indicações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referentes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marca,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fabricante,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modelo,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procedência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garantia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validade;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6.1.2.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responsabilizar</w:t>
      </w:r>
      <w:proofErr w:type="gramEnd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-se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vícios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acordo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artigos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13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17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27,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Código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Consumidor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8.078,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1990);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6.1.3.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substituir</w:t>
      </w:r>
      <w:proofErr w:type="gramEnd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reparar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corrigir,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expensas,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fixado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avarias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defeitos;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6.1.4.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comunicar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máximo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24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(vinte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quatro)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horas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antecede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motivos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impossibilitem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cumprimento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comprovação;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6.1.5.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manter</w:t>
      </w:r>
      <w:proofErr w:type="gramEnd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durante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compatibilidade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assumidas,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habilitação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exigidas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licitação;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6.1.6.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indicar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preposto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representá-la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durante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SUBCONTRATAÇÃO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7.1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admitida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subcontratação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licitatório.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ALTERAÇÃO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SUBJETIVA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admissível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fusão,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cisão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incorporação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com/em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outra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pessoa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jurídica,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sejam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observados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pessoa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jurídica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requisitos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habilitação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exigidos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original;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sejam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mantidas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demais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cláusulas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contrato;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haja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pactuado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haja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anuência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expressa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continuidade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9.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CONTROLE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EXECUÇÃO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9.1.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67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designado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representante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acompanhar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fiscalizar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entrega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bens,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anotando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registro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próprio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ocorrências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relacionadas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determinando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necessário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falhas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defeitos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observados.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9.2.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item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exclui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reduz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responsabilidade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inclusive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terceiros,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irregularidade,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ainda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resultante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imperfeições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técnicas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vícios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redibitórios,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desta,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implica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corresponsabilidade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agentes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prepostos,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70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9.3.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representante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anotará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registro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próprio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ocorrências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relacionadas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indicando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mês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nome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funcionários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eventualmente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envolvidos,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determinando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necessário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falhas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defeitos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observados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encaminhando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apontamentos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competente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providências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cabíveis.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10.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PAGAMENTO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realizado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máximo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30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(trinta)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partir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Fatura,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através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ordem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bancária,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crédito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banco,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agência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indicados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despesas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cujos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ultrapassem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limite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inciso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24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efetuados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(cinco)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úteis,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apresentação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5º,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§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3º,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Considera-se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ocorrido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fatura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órgão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atestar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Fatura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obrigatoriamente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acompanhada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comprovação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on-line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impossibilidade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acesso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referido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Sistema,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mediante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sítios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eletrônicos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oficiais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documentação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mencionada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29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10.3.1.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Constatando-se,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situação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irregularidade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fornecedor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tomadas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providências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31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Instrução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Normativa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26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abril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2018.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Havendo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erro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apresentação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documentos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pertinentes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ainda,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circunstância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impeça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liquidação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despesa,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exemplo,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financeira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pendente,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imposta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inadimplência,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ficará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sobrestado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providencie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medidas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saneadoras.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hipótese,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iniciar-se-á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após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comprovação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situação,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acarretando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ônus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10.5.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considerada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emitida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ordem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bancária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10.6.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realizada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verificar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manutenção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habilitação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exigidas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documento.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10.7.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Constatando-se,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situação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irregularidade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providenciada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notificação,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escrito,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(cinco)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úteis,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regularize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situação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mesmo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apresente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defesa.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prorrogado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vez,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igual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período,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critério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10.8.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emissão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empenho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realizar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identificar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possível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suspensão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temporária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participação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âmbito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órgão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entidade,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proibição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ocorrências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impeditivas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indiretas,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observado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disposto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29,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Instrução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Normativa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26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abril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2018.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10.9.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havendo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considerada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improcedente,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comunicar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órgãos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responsáveis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inadimplência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existência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efetuado,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sejam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acionados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pertinentes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necessários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garantir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créditos.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10.10.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Persistindo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irregularidade,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adotar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medidas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necessárias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rescisão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correspondente,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assegurada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ampla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defesa.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Havendo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realizados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normalmente,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rescisão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regularize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situação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rescindido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inadimplente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salvo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economicidade,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segurança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nacional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outro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interesse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relevância,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devidamente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justificado,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máxima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efetuada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retenção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tributária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legislação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aplicável.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10.12.1.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optante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Simples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Nacional,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Complementar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2006,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sofrerá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retenção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tributária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impostos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contribuições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abrangidos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aquele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regime.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entanto,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ficará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condicionado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apresentação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comprovação,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documento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oficial,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faz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tratamento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tributário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favorecido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referida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Complementar.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10.13.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eventuais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atrasos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tenha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concorrido,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alguma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forma,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tanto,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convencionado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taxa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compensação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financeira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vencimento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adimplemento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parcela,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calculada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mediante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fórmula: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x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x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VP,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sendo: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Encargos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moratórios;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Número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VP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parcela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Índice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compensação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financeira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0,00016438,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assim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apurado: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(TX)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100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365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0,00016438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TX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Percentual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taxa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=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6%</w:t>
      </w:r>
    </w:p>
    <w:p w:rsidR="003675A3" w:rsidRPr="003675A3" w:rsidRDefault="004A3D75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11.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REAJUSTE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preços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fixos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irreajustáveis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limite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apresentação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propostas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emissão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empenho.</w:t>
      </w:r>
    </w:p>
    <w:p w:rsidR="003675A3" w:rsidRPr="003675A3" w:rsidRDefault="004A3D75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12.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SANÇÕES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ADMINISTRATIVAS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Comete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infração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cometer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fraude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fiscal;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comportar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>-se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inidôneo;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falhar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fraudar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ensejar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retardamento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total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parcial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seguintes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sanções: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Advertência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escrito,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cumprimento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quaisquer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contratuais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consideradas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faltas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leves,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assim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entendidas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aquelas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acarretam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significativos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serviço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contratado;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12.2.2.1.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01%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(um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décimo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cento)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0,2%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(dois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décimos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cento)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adjudicado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atraso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serviços,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limitada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incidência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(quinze)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Após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décimo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quinto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critério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atraso,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não-aceitação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configurar,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nessa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hipótese,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total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assumida,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rescisão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unilateral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avença;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12.2.2.2.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0,1%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(um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décimo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cento)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10%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(dez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cento)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adjudicado,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atraso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objeto,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período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superior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subitem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acima,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parcial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assumida;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12.2.2.3.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0,1%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(um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décimo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cento)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15%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(quinze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cento)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adjudicado,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inexecução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total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assumida;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12.2.2.4.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diversos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independentes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Suspensão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impedimento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órgão,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opera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atua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concretamente,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anos;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12.2.4.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inidoneidade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enquanto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perdurarem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motivos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determinantes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punição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seja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promovida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reabilitação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perante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própria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concedida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sempre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ressarcir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causados;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sanções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subitens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14.2.1,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14.2.3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14.2.4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juntamente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multa,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descontando-a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pagamentos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efetuados.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durante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houver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indícios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prática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infração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tipificada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12.846,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agosto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2013,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nacional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estrangeira,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cópias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necessárias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apuração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responsabilidade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empresa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remetidas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competente,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despacho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fundamentado,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ciência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decisão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sobre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eventual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instauração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investigação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preliminar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Responsabilização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-PAR.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12.5.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apuração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julgamento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demais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infrações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consideradas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nacional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estrangeira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termos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12.846,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agosto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2013,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seguirão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rito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normal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administrativa.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12.6.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interfere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seguimento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regular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específicos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apuração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ocorrência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danos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resultantes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lesivo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cometido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pessoa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jurídica,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participação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agente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público.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12.7.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qualquer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realizar-se-á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processo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assegurará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contraditório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ampla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defesa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observando-se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procedimento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8.666,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1993,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subsidiariamente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Lei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nº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9.784,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1999.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12.8.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competente,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aplicação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sanções,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levará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consideração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gravidade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conduta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infrator,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caráter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educativo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bem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causado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Administração,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observado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princípio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proporcionalidade.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12.9.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multas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devidas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e/ou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causados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deduzidos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recolhidos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favor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deduzidos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garantia,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ainda,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quando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inscritos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Dívida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Ativa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cobrados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judicialmente.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12.10.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seja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suficiente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cobrir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prejuízos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causados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conduta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licitante,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ou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Entidade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poderá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cobrar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valor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remanescente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judicialmente,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conforme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artigo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419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Código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Civil.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Caso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determine,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multa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deverá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recolhida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prazo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máximo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10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gramStart"/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dez</w:t>
      </w:r>
      <w:proofErr w:type="gramEnd"/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)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dias,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contar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recebimento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comunicação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enviada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pela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autoridade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competente.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12.12.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penalidades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serão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obrigatoriamente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registradas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SICAF.</w:t>
      </w:r>
    </w:p>
    <w:p w:rsidR="003675A3" w:rsidRPr="003675A3" w:rsidRDefault="004A3D75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13.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ESTIMATIVA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PREÇOS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PREÇOS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REFERENCIAIS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13.1.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custo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estimado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é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color w:val="FF0000"/>
          <w:sz w:val="24"/>
          <w:szCs w:val="24"/>
          <w:lang w:eastAsia="pt-BR"/>
        </w:rPr>
        <w:t>R$</w:t>
      </w:r>
      <w:r w:rsidR="004A3D75" w:rsidRPr="004A3D75">
        <w:rPr>
          <w:rFonts w:eastAsia="Times New Roman" w:cstheme="minorHAnsi"/>
          <w:b/>
          <w:color w:val="FF0000"/>
          <w:sz w:val="24"/>
          <w:szCs w:val="24"/>
          <w:lang w:eastAsia="pt-BR"/>
        </w:rPr>
        <w:t xml:space="preserve"> 2.243,04 (dois mil duzentos e quarenta e três reais e quatro centavos).</w:t>
      </w:r>
    </w:p>
    <w:p w:rsidR="003675A3" w:rsidRPr="003675A3" w:rsidRDefault="004A3D75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14.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RECURSOS</w:t>
      </w:r>
      <w:r w:rsidR="004A3D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ORÇAMENTÁRIOS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14.1.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despesas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decorrentes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contratação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estão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programadas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dotação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própria,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prevista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orçamento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União,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exercício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202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classificação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abaixo: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14.2.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Gestão/Unidade: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01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14.3.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Fonte: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100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14.4.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Programa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Trabalho:</w:t>
      </w:r>
    </w:p>
    <w:p w:rsidR="003675A3" w:rsidRPr="003675A3" w:rsidRDefault="003675A3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14.5.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Elemento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Despesa:</w:t>
      </w:r>
      <w:r w:rsidR="004A3D7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339030</w:t>
      </w:r>
    </w:p>
    <w:p w:rsidR="003675A3" w:rsidRPr="003675A3" w:rsidRDefault="004A3D75" w:rsidP="003675A3">
      <w:pPr>
        <w:spacing w:after="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3675A3" w:rsidRPr="003675A3" w:rsidRDefault="003675A3" w:rsidP="003675A3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Rondonó</w:t>
      </w: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polis/MT,</w:t>
      </w:r>
    </w:p>
    <w:p w:rsidR="003675A3" w:rsidRPr="003675A3" w:rsidRDefault="003675A3" w:rsidP="003675A3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675A3" w:rsidRPr="003675A3" w:rsidRDefault="003675A3" w:rsidP="003675A3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3675A3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</w:t>
      </w:r>
    </w:p>
    <w:p w:rsidR="003675A3" w:rsidRDefault="00635A91" w:rsidP="00635A9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Otávio José Lima de Oliveira</w:t>
      </w:r>
    </w:p>
    <w:p w:rsidR="00635A91" w:rsidRPr="003675A3" w:rsidRDefault="00635A91" w:rsidP="00635A9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Chefe da DPF/ROO/MT</w:t>
      </w:r>
    </w:p>
    <w:p w:rsidR="002B62B6" w:rsidRPr="003675A3" w:rsidRDefault="002B62B6" w:rsidP="003675A3">
      <w:pPr>
        <w:spacing w:after="0" w:line="240" w:lineRule="auto"/>
        <w:rPr>
          <w:rFonts w:cstheme="minorHAnsi"/>
          <w:sz w:val="24"/>
          <w:szCs w:val="24"/>
        </w:rPr>
      </w:pPr>
    </w:p>
    <w:sectPr w:rsidR="002B62B6" w:rsidRPr="003675A3" w:rsidSect="00367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A3"/>
    <w:rsid w:val="002B62B6"/>
    <w:rsid w:val="003675A3"/>
    <w:rsid w:val="003D73C8"/>
    <w:rsid w:val="004A3D75"/>
    <w:rsid w:val="00577682"/>
    <w:rsid w:val="00635A91"/>
    <w:rsid w:val="00821F0D"/>
    <w:rsid w:val="008D4DF4"/>
    <w:rsid w:val="00E4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817D"/>
  <w15:chartTrackingRefBased/>
  <w15:docId w15:val="{C1BBFE30-5353-4ACB-B93C-70D76FB4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3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75A3"/>
    <w:rPr>
      <w:b/>
      <w:bCs/>
    </w:rPr>
  </w:style>
  <w:style w:type="paragraph" w:customStyle="1" w:styleId="tabelatextocentralizado">
    <w:name w:val="tabela_texto_centralizado"/>
    <w:basedOn w:val="Normal"/>
    <w:rsid w:val="003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3144</Words>
  <Characters>16981</Characters>
  <Application>Microsoft Office Word</Application>
  <DocSecurity>0</DocSecurity>
  <Lines>141</Lines>
  <Paragraphs>40</Paragraphs>
  <ScaleCrop>false</ScaleCrop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Gentil de Souza</dc:creator>
  <cp:keywords/>
  <dc:description/>
  <cp:lastModifiedBy>Eliezer Gentil de Souza</cp:lastModifiedBy>
  <cp:revision>8</cp:revision>
  <dcterms:created xsi:type="dcterms:W3CDTF">2022-11-24T12:56:00Z</dcterms:created>
  <dcterms:modified xsi:type="dcterms:W3CDTF">2022-11-29T12:18:00Z</dcterms:modified>
</cp:coreProperties>
</file>