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D88F" w14:textId="77777777" w:rsidR="009B53E6" w:rsidRDefault="00901E84">
      <w:pPr>
        <w:pStyle w:val="Corpodetexto"/>
        <w:spacing w:before="90" w:line="244" w:lineRule="auto"/>
        <w:ind w:left="2002" w:right="2004" w:hanging="5"/>
        <w:jc w:val="center"/>
      </w:pPr>
      <w:bookmarkStart w:id="0" w:name="Ministério_dos_Direitos_Humanos_e_da_Cid"/>
      <w:bookmarkEnd w:id="0"/>
      <w:r>
        <w:t xml:space="preserve">Ministério dos Direitos Humanos e da Cidadania </w:t>
      </w:r>
      <w:bookmarkStart w:id="1" w:name="Secretaria_Nacional_dos_Direitos_das_Pes"/>
      <w:bookmarkEnd w:id="1"/>
      <w:r>
        <w:t>Secretaria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LGBTQIA+</w:t>
      </w:r>
    </w:p>
    <w:p w14:paraId="6E3BEBB2" w14:textId="77777777" w:rsidR="009B53E6" w:rsidRDefault="00901E84">
      <w:pPr>
        <w:pStyle w:val="Corpodetexto"/>
        <w:spacing w:before="7" w:line="244" w:lineRule="auto"/>
        <w:ind w:left="205" w:right="211"/>
        <w:jc w:val="center"/>
      </w:pPr>
      <w:bookmarkStart w:id="2" w:name="Conselho_Nacional_dos_Direitos_das_Pesso"/>
      <w:bookmarkEnd w:id="2"/>
      <w:r>
        <w:t>Conselho</w:t>
      </w:r>
      <w:r>
        <w:rPr>
          <w:spacing w:val="-7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Lésbicas,</w:t>
      </w:r>
      <w:r>
        <w:rPr>
          <w:spacing w:val="-5"/>
        </w:rPr>
        <w:t xml:space="preserve"> </w:t>
      </w:r>
      <w:r>
        <w:t>Gays,</w:t>
      </w:r>
      <w:r>
        <w:rPr>
          <w:spacing w:val="-5"/>
        </w:rPr>
        <w:t xml:space="preserve"> </w:t>
      </w:r>
      <w:r>
        <w:t>Bissexuais,</w:t>
      </w:r>
      <w:r>
        <w:rPr>
          <w:spacing w:val="-5"/>
        </w:rPr>
        <w:t xml:space="preserve"> </w:t>
      </w:r>
      <w:r>
        <w:t>Travestis, Transexuais, Queers, Intersexos, Assexuais e Outras – CNLGBTQIA+</w:t>
      </w:r>
    </w:p>
    <w:p w14:paraId="0BCDEE59" w14:textId="77777777" w:rsidR="009B53E6" w:rsidRDefault="009B53E6">
      <w:pPr>
        <w:pStyle w:val="Corpodetexto"/>
        <w:ind w:left="0"/>
        <w:jc w:val="left"/>
      </w:pPr>
    </w:p>
    <w:p w14:paraId="763D8859" w14:textId="77777777" w:rsidR="009B53E6" w:rsidRDefault="009B53E6">
      <w:pPr>
        <w:pStyle w:val="Corpodetexto"/>
        <w:ind w:left="0"/>
        <w:jc w:val="left"/>
      </w:pPr>
    </w:p>
    <w:p w14:paraId="31A4AB21" w14:textId="77777777" w:rsidR="009B53E6" w:rsidRDefault="009B53E6">
      <w:pPr>
        <w:pStyle w:val="Corpodetexto"/>
        <w:spacing w:before="39"/>
        <w:ind w:left="0"/>
        <w:jc w:val="left"/>
      </w:pPr>
    </w:p>
    <w:p w14:paraId="1545E0F1" w14:textId="77777777" w:rsidR="009B53E6" w:rsidRDefault="00901E84">
      <w:pPr>
        <w:pStyle w:val="Ttulo"/>
      </w:pPr>
      <w:bookmarkStart w:id="3" w:name="NOTA_DE_REPÚDIO"/>
      <w:bookmarkEnd w:id="3"/>
      <w:r>
        <w:t>NOTA DE</w:t>
      </w:r>
      <w:r>
        <w:rPr>
          <w:spacing w:val="-1"/>
        </w:rPr>
        <w:t xml:space="preserve"> </w:t>
      </w:r>
      <w:r>
        <w:rPr>
          <w:spacing w:val="-2"/>
        </w:rPr>
        <w:t>REPÚDIO</w:t>
      </w:r>
    </w:p>
    <w:p w14:paraId="34D329C2" w14:textId="77777777" w:rsidR="009B53E6" w:rsidRDefault="009B53E6">
      <w:pPr>
        <w:pStyle w:val="Corpodetexto"/>
        <w:ind w:left="0"/>
        <w:jc w:val="left"/>
        <w:rPr>
          <w:b/>
        </w:rPr>
      </w:pPr>
    </w:p>
    <w:p w14:paraId="23F5D7C3" w14:textId="77777777" w:rsidR="009B53E6" w:rsidRDefault="009B53E6">
      <w:pPr>
        <w:pStyle w:val="Corpodetexto"/>
        <w:spacing w:before="31"/>
        <w:ind w:left="0"/>
        <w:jc w:val="left"/>
        <w:rPr>
          <w:b/>
        </w:rPr>
      </w:pPr>
    </w:p>
    <w:p w14:paraId="13B5EBB0" w14:textId="5795CCE0" w:rsidR="001E28B3" w:rsidRPr="00C723AB" w:rsidRDefault="00901E84" w:rsidP="001E28B3">
      <w:pPr>
        <w:pStyle w:val="itemnivel2"/>
        <w:spacing w:before="120" w:beforeAutospacing="0" w:after="120" w:afterAutospacing="0" w:line="360" w:lineRule="auto"/>
        <w:ind w:left="120" w:right="120" w:firstLine="588"/>
        <w:jc w:val="both"/>
        <w:rPr>
          <w:color w:val="000000"/>
        </w:rPr>
      </w:pPr>
      <w:bookmarkStart w:id="4" w:name="O_Conselho_Nacional_dos_Direitos_das_Pes"/>
      <w:bookmarkEnd w:id="4"/>
      <w:r>
        <w:t>O</w:t>
      </w:r>
      <w:r>
        <w:rPr>
          <w:spacing w:val="-14"/>
        </w:rPr>
        <w:t xml:space="preserve"> </w:t>
      </w:r>
      <w:r>
        <w:t>Conselho</w:t>
      </w:r>
      <w:r>
        <w:rPr>
          <w:spacing w:val="-14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Direitos</w:t>
      </w:r>
      <w:r>
        <w:rPr>
          <w:spacing w:val="-13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Pessoas</w:t>
      </w:r>
      <w:r>
        <w:rPr>
          <w:spacing w:val="-13"/>
        </w:rPr>
        <w:t xml:space="preserve"> </w:t>
      </w:r>
      <w:r>
        <w:t>LGBTQIA+</w:t>
      </w:r>
      <w:r>
        <w:rPr>
          <w:spacing w:val="-13"/>
        </w:rPr>
        <w:t xml:space="preserve"> </w:t>
      </w:r>
      <w:r w:rsidR="001E28B3">
        <w:t>vem</w:t>
      </w:r>
      <w:r w:rsidR="001E28B3">
        <w:rPr>
          <w:spacing w:val="-14"/>
        </w:rPr>
        <w:t xml:space="preserve"> </w:t>
      </w:r>
      <w:r w:rsidR="001E28B3">
        <w:t>a</w:t>
      </w:r>
      <w:r w:rsidR="001E28B3">
        <w:rPr>
          <w:spacing w:val="-13"/>
        </w:rPr>
        <w:t xml:space="preserve"> </w:t>
      </w:r>
      <w:r w:rsidR="001E28B3">
        <w:t>público</w:t>
      </w:r>
      <w:r w:rsidR="001E28B3">
        <w:rPr>
          <w:spacing w:val="-14"/>
        </w:rPr>
        <w:t xml:space="preserve"> </w:t>
      </w:r>
      <w:r w:rsidR="001E28B3">
        <w:t>manifestar</w:t>
      </w:r>
      <w:r w:rsidR="001E28B3">
        <w:rPr>
          <w:spacing w:val="-12"/>
        </w:rPr>
        <w:t xml:space="preserve"> </w:t>
      </w:r>
      <w:r w:rsidR="001E28B3">
        <w:t>seu</w:t>
      </w:r>
      <w:r w:rsidR="001E28B3">
        <w:rPr>
          <w:spacing w:val="-14"/>
        </w:rPr>
        <w:t xml:space="preserve"> </w:t>
      </w:r>
      <w:r w:rsidR="001E28B3">
        <w:t xml:space="preserve">repúdio </w:t>
      </w:r>
      <w:r w:rsidR="001E28B3" w:rsidRPr="00C723AB">
        <w:rPr>
          <w:color w:val="000000"/>
        </w:rPr>
        <w:t xml:space="preserve">a respeito do surgimento e atuação de organizações políticas LGB, nacionais e internacionais, cuja proposta centra-se na "independência" de lésbicas, gays e bissexuais em relação às pautas trans, </w:t>
      </w:r>
      <w:r w:rsidR="00AC0757">
        <w:rPr>
          <w:color w:val="000000"/>
        </w:rPr>
        <w:t>pois a mistura de</w:t>
      </w:r>
      <w:r w:rsidR="001E28B3" w:rsidRPr="00C723AB">
        <w:rPr>
          <w:color w:val="000000"/>
        </w:rPr>
        <w:t>ssas lutas dilui</w:t>
      </w:r>
      <w:r w:rsidR="00AC0757">
        <w:rPr>
          <w:color w:val="000000"/>
        </w:rPr>
        <w:t>ria</w:t>
      </w:r>
      <w:r w:rsidR="001E28B3" w:rsidRPr="00C723AB">
        <w:rPr>
          <w:color w:val="000000"/>
        </w:rPr>
        <w:t xml:space="preserve"> o foco da</w:t>
      </w:r>
      <w:r w:rsidR="00AC0757">
        <w:rPr>
          <w:color w:val="000000"/>
        </w:rPr>
        <w:t>s questões relacionadas à</w:t>
      </w:r>
      <w:r w:rsidR="001E28B3" w:rsidRPr="00C723AB">
        <w:rPr>
          <w:color w:val="000000"/>
        </w:rPr>
        <w:t xml:space="preserve"> orientação sexual.</w:t>
      </w:r>
    </w:p>
    <w:p w14:paraId="68BB40C9" w14:textId="77777777" w:rsidR="001E28B3" w:rsidRDefault="001E28B3" w:rsidP="001E28B3">
      <w:pPr>
        <w:pStyle w:val="itemnivel2"/>
        <w:spacing w:before="120" w:beforeAutospacing="0" w:after="120" w:afterAutospacing="0" w:line="360" w:lineRule="auto"/>
        <w:ind w:left="120" w:right="120" w:firstLine="588"/>
        <w:jc w:val="both"/>
        <w:rPr>
          <w:color w:val="000000"/>
        </w:rPr>
      </w:pPr>
      <w:r w:rsidRPr="00C723AB">
        <w:rPr>
          <w:color w:val="000000"/>
        </w:rPr>
        <w:t xml:space="preserve">Inicialmente, cabe destacar a contradição intrínseca de pessoas lésbicas, bissexuais e gays cisgêneras em estruturar suas lutas a partir do apagamento estrutural de suas alianças com a população transgênero. Esta, durante toda a trajetória histórica do movimento LGBTQIA+ no mundo, sempre representou, de forma material e discursiva, a qualidade humana de contestação às normativas de gênero e sexualidade, que regulam, determinam e estabelecem diretrizes asfixiantes sobre o que um corpo pode ser. As pessoas trans, em toda sua diversidade, foram pioneiras em destrinchar, denunciar e fissurar os limites da ordem patriarcal que busca a separação estéril, </w:t>
      </w:r>
      <w:proofErr w:type="spellStart"/>
      <w:r w:rsidRPr="00C723AB">
        <w:rPr>
          <w:color w:val="000000"/>
        </w:rPr>
        <w:t>binarista</w:t>
      </w:r>
      <w:proofErr w:type="spellEnd"/>
      <w:r w:rsidRPr="00C723AB">
        <w:rPr>
          <w:color w:val="000000"/>
        </w:rPr>
        <w:t xml:space="preserve">, opositora, complementar e estática dos universos femininos e masculinos. Tais críticas e experiências pavimentaram um caminho de libertação e autodeterminação capaz de elucidar e compor o histórico de luta dos movimentos homossexuais e feministas no ocidente. </w:t>
      </w:r>
    </w:p>
    <w:p w14:paraId="72B13C4D" w14:textId="77777777" w:rsidR="001E28B3" w:rsidRPr="00C723AB" w:rsidRDefault="001E28B3" w:rsidP="001E28B3">
      <w:pPr>
        <w:pStyle w:val="itemnivel2"/>
        <w:spacing w:before="120" w:beforeAutospacing="0" w:after="120" w:afterAutospacing="0" w:line="360" w:lineRule="auto"/>
        <w:ind w:left="120" w:right="120" w:firstLine="588"/>
        <w:jc w:val="both"/>
        <w:rPr>
          <w:color w:val="000000"/>
        </w:rPr>
      </w:pPr>
      <w:r w:rsidRPr="00C723AB">
        <w:rPr>
          <w:color w:val="000000"/>
        </w:rPr>
        <w:t xml:space="preserve">Durante muitos anos, a mobilização de pessoas trans pautou as contradições e hipocrisias que são inerentes ao regime de gênero, o qual tenta incessantemente </w:t>
      </w:r>
      <w:proofErr w:type="spellStart"/>
      <w:r w:rsidRPr="00C723AB">
        <w:rPr>
          <w:color w:val="000000"/>
        </w:rPr>
        <w:t>essencializar</w:t>
      </w:r>
      <w:proofErr w:type="spellEnd"/>
      <w:r w:rsidRPr="00C723AB">
        <w:rPr>
          <w:color w:val="000000"/>
        </w:rPr>
        <w:t xml:space="preserve"> os papéis sociais e discriminar todos os corpos que não se conformam com suas regras arbitrárias. O conceito de "</w:t>
      </w:r>
      <w:proofErr w:type="spellStart"/>
      <w:r w:rsidRPr="00C723AB">
        <w:rPr>
          <w:color w:val="000000"/>
        </w:rPr>
        <w:t>cisheteronormatividade</w:t>
      </w:r>
      <w:proofErr w:type="spellEnd"/>
      <w:r w:rsidRPr="00C723AB">
        <w:rPr>
          <w:color w:val="000000"/>
        </w:rPr>
        <w:t xml:space="preserve">", notoriamente conhecido e utilizado por ativistas LGBTQIA+, exemplifica a interconexão existente entre "orientação sexual", "identidade de gênero" e "características sexuais", já que são fatores que se interseccionam quando da produção de vulnerabilidades econômicas, culturais e políticas. A </w:t>
      </w:r>
      <w:proofErr w:type="spellStart"/>
      <w:r w:rsidRPr="00C723AB">
        <w:rPr>
          <w:color w:val="000000"/>
        </w:rPr>
        <w:t>cisheteronormatividade</w:t>
      </w:r>
      <w:proofErr w:type="spellEnd"/>
      <w:r w:rsidRPr="00C723AB">
        <w:rPr>
          <w:color w:val="000000"/>
        </w:rPr>
        <w:t xml:space="preserve"> é um processo cultural, forjado durante o período colonial, o qual requer que todas as pessoas, desde o nascimento, se enquadrem, com base na força e na violência, em determinados desígnios rígidos de gênero e sexualidade, a fim de perpetuar relações históricas de poder baseadas na desigualdade</w:t>
      </w:r>
      <w:r>
        <w:rPr>
          <w:color w:val="000000"/>
        </w:rPr>
        <w:t>.</w:t>
      </w:r>
    </w:p>
    <w:p w14:paraId="14635BA6" w14:textId="565E087B" w:rsidR="001E28B3" w:rsidRPr="00C723AB" w:rsidRDefault="001E28B3" w:rsidP="001E28B3">
      <w:pPr>
        <w:pStyle w:val="itemnivel2"/>
        <w:spacing w:before="120" w:beforeAutospacing="0" w:after="120" w:afterAutospacing="0" w:line="360" w:lineRule="auto"/>
        <w:ind w:left="120" w:right="120" w:firstLine="588"/>
        <w:jc w:val="both"/>
        <w:rPr>
          <w:color w:val="000000"/>
        </w:rPr>
      </w:pPr>
      <w:r w:rsidRPr="00C723AB">
        <w:rPr>
          <w:color w:val="000000"/>
        </w:rPr>
        <w:lastRenderedPageBreak/>
        <w:t>Apesar das injustiças baseadas no gênero serem entendidas, há muito, apenas a partir da relação desigual entre homens e mulheres, como alguns desses movimentos antitrans ainda teimam em defender, é preciso avançar para uma concepção mais ampla diante dos elementos constituintes desse regime de violência, ou seja, é necessário acrescentar também a esse enquadramento as relações de desigualdade existentes entre as pessoas transgênero e as pessoas cisgênero. Assim, pode-se explorar mais um viés essencial às estruturas de gênero: a que diz respeito à produção de estigmas, estereótipos, marginalização e vulnerabilidade social dos corpos que não se enquadram no alinhamento entre "sexo biológico" e "gênero", no alinhamento de "macho para homem" ou de "fêmea para mulher". As pessoas trans, ao experienciarem suas identidades de gênero de forma não congruente à padronização imposta, deixam de serem percebidas pela sociedade como sujeitos inteligíveis, possíveis, autênticos, viáveis de existirem, o que faz com que suas humanidades sejam questionadas; por conseguinte, suas vivências são atravessadas, em geral, por constrangimentos, violências físicas, psicológicas e institucionais, além do acesso a seus direitos humanos não serem assegurados. A transfobia, portanto, assim como o racismo e o machismo, tece sua agressividade de modo estrutural na sociedade brasileira, pois exerce sua força por meio de um conjunto violento de opiniões e atitudes culturais e pessoais contra indivíduos ou grupos que não se encaixam nos pressupostos e nas expectativas sociais de gênero</w:t>
      </w:r>
      <w:r>
        <w:rPr>
          <w:color w:val="000000"/>
        </w:rPr>
        <w:t>.</w:t>
      </w:r>
    </w:p>
    <w:p w14:paraId="42BFA494" w14:textId="77777777" w:rsidR="001E28B3" w:rsidRDefault="001E28B3" w:rsidP="001E28B3">
      <w:pPr>
        <w:pStyle w:val="itemnivel2"/>
        <w:spacing w:before="120" w:beforeAutospacing="0" w:after="120" w:afterAutospacing="0" w:line="360" w:lineRule="auto"/>
        <w:ind w:left="120" w:right="120" w:firstLine="588"/>
        <w:jc w:val="both"/>
        <w:rPr>
          <w:color w:val="000000"/>
        </w:rPr>
      </w:pPr>
      <w:r w:rsidRPr="00C723AB">
        <w:rPr>
          <w:color w:val="000000"/>
        </w:rPr>
        <w:t xml:space="preserve">Dito isso, é mister relembrar o quanto as pessoas trans foram basilares e primordiais na história de reivindicação dos direitos de toda a população LGBTQIA+, tanto no Brasil quanto no exterior. Figuras emblemáticas como Marsha P. Johnson e Sylvia Rivera, duas pessoas </w:t>
      </w:r>
      <w:proofErr w:type="spellStart"/>
      <w:r w:rsidRPr="00C723AB">
        <w:rPr>
          <w:color w:val="000000"/>
        </w:rPr>
        <w:t>transfemininas</w:t>
      </w:r>
      <w:proofErr w:type="spellEnd"/>
      <w:r w:rsidRPr="00C723AB">
        <w:rPr>
          <w:color w:val="000000"/>
        </w:rPr>
        <w:t xml:space="preserve"> </w:t>
      </w:r>
      <w:proofErr w:type="spellStart"/>
      <w:r w:rsidRPr="00C723AB">
        <w:rPr>
          <w:color w:val="000000"/>
        </w:rPr>
        <w:t>racializadas</w:t>
      </w:r>
      <w:proofErr w:type="spellEnd"/>
      <w:r w:rsidRPr="00C723AB">
        <w:rPr>
          <w:color w:val="000000"/>
        </w:rPr>
        <w:t xml:space="preserve"> nos Estados Unidos, dedicaram suas vidas à libertação e autodeterminação de todos os corpos dissidentes no regime de gênero, sejam eles cis ou trans; inclusive, foram as propulsoras da conhecida Revolta de Stonewall, a qual deu origem, mais tarde, às paradas e marchas do Orgulho em todo o mundo. Já em terras brasileiras, as travestis Marcinha do Corinto e Camille K, por exemplo, usaram suas artes e irreverências para enfrentar a Ditadura Civil-Militar; João Nery, por sua vez, o primeiro homem trans a realizar uma cirurgia de redesignação sexual no país, ainda em 1977, foi o grande responsável por articular uma rede nacional de apoio entre homens trans, proporcionando amizades e circuitos de conhecimento e cuidado também com profissionais da área de gênero e sexualidade, desde médicos e psicólogos até advogados. Graças à coletividade plural formulada por João Nery, homens cis e trans podem, hoje, refletir e remodelar seus ideais de masculinidade. </w:t>
      </w:r>
    </w:p>
    <w:p w14:paraId="4D19A139" w14:textId="77777777" w:rsidR="001E28B3" w:rsidRPr="00C723AB" w:rsidRDefault="001E28B3" w:rsidP="001E28B3">
      <w:pPr>
        <w:pStyle w:val="itemnivel2"/>
        <w:spacing w:before="120" w:beforeAutospacing="0" w:after="120" w:afterAutospacing="0" w:line="360" w:lineRule="auto"/>
        <w:ind w:left="120" w:right="120" w:firstLine="588"/>
        <w:jc w:val="both"/>
        <w:rPr>
          <w:color w:val="000000"/>
        </w:rPr>
      </w:pPr>
      <w:r w:rsidRPr="00C723AB">
        <w:rPr>
          <w:color w:val="000000"/>
        </w:rPr>
        <w:t xml:space="preserve">Além desses ícones brasileiros, têm-se as próprias colegas conselheiras deste CNLGBTQIA+ </w:t>
      </w:r>
      <w:proofErr w:type="spellStart"/>
      <w:r w:rsidRPr="00C723AB">
        <w:rPr>
          <w:color w:val="000000"/>
        </w:rPr>
        <w:t>Jovanna</w:t>
      </w:r>
      <w:proofErr w:type="spellEnd"/>
      <w:r w:rsidRPr="00C723AB">
        <w:rPr>
          <w:color w:val="000000"/>
        </w:rPr>
        <w:t xml:space="preserve"> Cardoso e Keila Simpson, as quais são referências de ancestralidade para a promoção e a defesa dos direitos de todas as pessoas LGBTQIA+. Essas travestis negras </w:t>
      </w:r>
      <w:r w:rsidRPr="00C723AB">
        <w:rPr>
          <w:color w:val="000000"/>
        </w:rPr>
        <w:lastRenderedPageBreak/>
        <w:t xml:space="preserve">sempre estiveram à frente de seu tempo, pontuando a importância das discussões fronteiriças das identidades políticas, ao reconhecer a importância de aliar os debates de gênero à raça. A propósito, requer-se mencionar que, atualmente, </w:t>
      </w:r>
      <w:proofErr w:type="spellStart"/>
      <w:r w:rsidRPr="00C723AB">
        <w:rPr>
          <w:color w:val="000000"/>
        </w:rPr>
        <w:t>Jovanna</w:t>
      </w:r>
      <w:proofErr w:type="spellEnd"/>
      <w:r w:rsidRPr="00C723AB">
        <w:rPr>
          <w:color w:val="000000"/>
        </w:rPr>
        <w:t xml:space="preserve"> Cardoso, devido a sua firmeza e prontidão em combater a transfobia em todos os seus aspectos, tem sido alvo de ataques constantes propulsionados por esses grupos trans excludentes, muitos dos quais formados por pessoas LGB cis.</w:t>
      </w:r>
    </w:p>
    <w:p w14:paraId="6B4AF147" w14:textId="365AD9B0" w:rsidR="001E28B3" w:rsidRDefault="001E28B3" w:rsidP="00140DCB">
      <w:pPr>
        <w:pStyle w:val="itemnivel2"/>
        <w:rPr>
          <w:color w:val="000000"/>
        </w:rPr>
      </w:pPr>
      <w:r w:rsidRPr="00C723AB">
        <w:rPr>
          <w:color w:val="000000"/>
        </w:rPr>
        <w:t>Seja no passado, seja no presente, a totalidade do movimento LGBTQIA+ deve muito de suas conquistas à coragem e à audácia de pessoas trans. O surgimento de organizações LGB cis que se autointitulam "</w:t>
      </w:r>
      <w:proofErr w:type="spellStart"/>
      <w:r w:rsidRPr="00C723AB">
        <w:rPr>
          <w:color w:val="000000"/>
        </w:rPr>
        <w:t>trans-excludentes</w:t>
      </w:r>
      <w:proofErr w:type="spellEnd"/>
      <w:r w:rsidRPr="00C723AB">
        <w:rPr>
          <w:color w:val="000000"/>
        </w:rPr>
        <w:t>", pois se sentem ameaçados com a visibilidade e as transformações sociais proporcionadas pela população trans, configura nada mais que traição e deslealdade, ainda mais diante dos alarmantes números de violências de cunho transfóbico que assolam essas pessoas. O relatório Discriminação e Violência contra a População LGBTQIA+, por exemplo, produzido pelo Conselho Nacional de Justiça (CNJ), mapeou que parte significativa dos casos de violência contra pessoas LGBTQIA+ possuem como vítimas mulheres trans. De acordo com os dados desse relatório, os casos de violência analisados apontaram que a pessoa agressora morava com a vítima em 14,7% dos casos, e 14,2% das vítimas se tratava de violência doméstica. Dessas vítimas, 37,5% se identificavam justamente como mulheres trans. O estudo do CNJ concluiu, ainda, que o processo de violência contra pessoas LGBTQIA+ com frequência se concretiza no próprio núcleo familiar, o que faz com que a única opção para muitas pessoas seja sair de casa e, na ausência de políticas públicas de acolhimento, a sujeição à situação de rua</w:t>
      </w:r>
      <w:r>
        <w:rPr>
          <w:color w:val="000000"/>
        </w:rPr>
        <w:t>.</w:t>
      </w:r>
    </w:p>
    <w:p w14:paraId="35172E60" w14:textId="77777777" w:rsidR="001E28B3" w:rsidRPr="00C723AB" w:rsidRDefault="001E28B3" w:rsidP="001E28B3">
      <w:pPr>
        <w:pStyle w:val="itemnivel2"/>
        <w:spacing w:before="120" w:beforeAutospacing="0" w:after="120" w:afterAutospacing="0" w:line="360" w:lineRule="auto"/>
        <w:ind w:left="120" w:right="120" w:firstLine="588"/>
        <w:jc w:val="both"/>
        <w:rPr>
          <w:color w:val="000000"/>
        </w:rPr>
      </w:pPr>
      <w:r w:rsidRPr="00C723AB">
        <w:rPr>
          <w:color w:val="000000"/>
        </w:rPr>
        <w:t>Ainda, no que diz respeito especificamente à população trans, os dados do Dossiê Assassinatos e Violências contra Travestis e Transexuais Brasileiras em 2023, da Associação Nacional de Travestis e Transexuais (ANTRA), apresentam que, no período entre 2017 e 2023, houve 1.057 (mil e cinquenta e sete) assassinatos de pessoas trans no Brasil. Sendo 145 casos em 2023; 131 casos em 2022; 140 casos em 2021; 175 casos em 2020; 124 casos em 2019; 163 casos em 2018; e 179 casos em 2017; o que representa uma média de 151 assassinatos por ano e 13 casos por mês. Outros dados relevantes dispostos no mesmo Dossiê são: em 2023, 57% dos assassinatos foram cometidos contra travestis e mulheres trans que atuam como profissionais do sexo, já que estão mais expostas a processos de marginalização, estigma e à violência direta; e em 2023, pelo menos 72% das vítimas eram pessoas trans negras, sendo que a média de assassinatos de pessoas trans negras, entre 2017 e 2023, é de 78,7%, enquanto que o índice das brancas cai para 21,1%, o que demonstra como o racismo é fator preponderante na produção de vulnerabilidade junto à transfobia. Além disso, sobre a situação educacional das pessoas trans, estima-se que cerca de 70% não concluiu o ensino médio e que apenas 0,02% encontra-se no ensino superior. Como se vê, o panorama denunciado por essas informações aponta a necessidade urgente da criação de mecanismos, de instituições de proteção e de demais esforços por parte da sociedade e do Estado no acolhimento das demandas e especificidades das pessoas trans.</w:t>
      </w:r>
    </w:p>
    <w:p w14:paraId="555ADCD6" w14:textId="77777777" w:rsidR="001E28B3" w:rsidRDefault="001E28B3" w:rsidP="001E28B3">
      <w:pPr>
        <w:pStyle w:val="itemnivel2"/>
        <w:spacing w:before="120" w:beforeAutospacing="0" w:after="120" w:afterAutospacing="0" w:line="360" w:lineRule="auto"/>
        <w:ind w:left="120" w:right="120" w:firstLine="588"/>
        <w:jc w:val="both"/>
        <w:rPr>
          <w:color w:val="000000"/>
        </w:rPr>
      </w:pPr>
      <w:r w:rsidRPr="00C723AB">
        <w:rPr>
          <w:color w:val="000000"/>
        </w:rPr>
        <w:lastRenderedPageBreak/>
        <w:t>Diante de tudo isso, este Conselho Nacional dos Direitos das Pessoas LGBTQIA+, ao se atentar às demandas e reivindicações da sociedade civil, faz questão de investir, assegurar e capilarizar uma ética interseccional de luta. Para este colegiado, não existe a possibilidade de debater sexualidade, sexo, poder, diferença, raça e desigualdade de classes, sem o intermédio das especificidades relativas à identidade de gênero de pessoas trans. Para este colegiado, o processo democrático de afirmação dos direitos humanos para todas as minorias políticas deve se atentar, ao mesmo tempo, para as diferenças e semelhanças, aproximações e afastamentos, inerentes à pluralidade constituinte de qualquer coletividade. Para este colegiado, qualquer tentativa de manipulação discursiva que vise enquadrar determinado segmento social historicamente marginalizado enquanto bode expiatório e precursor das problemáticas sociais existentes deve ser caracterizada como fascismo, autoritarismo e repressão. As reivindicações políticas da população trans não são as responsáveis pelos conflitos estruturais que assolam outras comunidades, pelo contrário, são as responsáveis por ampliar as vozes, a participação direta e o espectro democrático de nosso Estado de Direito.</w:t>
      </w:r>
    </w:p>
    <w:p w14:paraId="296316FA" w14:textId="07407EFB" w:rsidR="001E28B3" w:rsidRDefault="001E28B3" w:rsidP="001E28B3">
      <w:pPr>
        <w:pStyle w:val="Corpodetexto"/>
        <w:spacing w:before="1" w:line="367" w:lineRule="auto"/>
        <w:ind w:right="136"/>
      </w:pPr>
    </w:p>
    <w:p w14:paraId="46046DE7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 w:rsidRPr="007F6D09">
        <w:rPr>
          <w:color w:val="000000"/>
          <w:u w:val="single"/>
        </w:rPr>
        <w:t>Assinam esta Nota</w:t>
      </w:r>
      <w:r>
        <w:rPr>
          <w:color w:val="000000"/>
        </w:rPr>
        <w:t>:</w:t>
      </w:r>
    </w:p>
    <w:p w14:paraId="32F91A93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Associação Brasileira de Lésbicas, Gays, Bissexuais, Travestis, Transexuais e Intersexos (ABGLT)</w:t>
      </w:r>
    </w:p>
    <w:p w14:paraId="197D4336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Articulação Brasileira de Lésbicas (ABL)</w:t>
      </w:r>
    </w:p>
    <w:p w14:paraId="75881EDE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Associação Brasileira de Organizações Não-Governamentais (Abong)</w:t>
      </w:r>
    </w:p>
    <w:p w14:paraId="021529F5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Aliança Nacional LGBTI+</w:t>
      </w:r>
    </w:p>
    <w:p w14:paraId="00F74080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Associação Nacional de Pós-Graduação e Pesquisa em Educação (ANPED)</w:t>
      </w:r>
    </w:p>
    <w:p w14:paraId="28720D3A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Associação Nacional de Travestis e Transexuais (ANTRA)</w:t>
      </w:r>
    </w:p>
    <w:p w14:paraId="3A722050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Articulação Brasileira de Jovens Lésbicas, Gays, Bissexuais, Travestis e Transexuais (ART JOVEM LGBT)</w:t>
      </w:r>
    </w:p>
    <w:p w14:paraId="474E773D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Articulação Brasileira de Gays (ARTGAY)</w:t>
      </w:r>
    </w:p>
    <w:p w14:paraId="28413CF9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Rede Nacional de Lésbicas e Bissexuais Negras Feministas (CANDACES)</w:t>
      </w:r>
    </w:p>
    <w:p w14:paraId="69CCDFD1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Confederação Nacional dos Trabalhadores em Educação (CNTE)</w:t>
      </w:r>
    </w:p>
    <w:p w14:paraId="73B33A13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Coletivo LGBT da Central única dos Trabalhadores (LGBT-CUT)</w:t>
      </w:r>
    </w:p>
    <w:p w14:paraId="3DC7F359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Coletivo LGBTI+ Sem Terra</w:t>
      </w:r>
    </w:p>
    <w:p w14:paraId="3ACF6E55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Fórum Nacional de Travestis e Transexuais Negras e Negros (FONATRANS)</w:t>
      </w:r>
    </w:p>
    <w:p w14:paraId="42C873EB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lastRenderedPageBreak/>
        <w:t xml:space="preserve">Instituto Brasileiro de </w:t>
      </w:r>
      <w:proofErr w:type="spellStart"/>
      <w:r>
        <w:rPr>
          <w:color w:val="000000"/>
        </w:rPr>
        <w:t>Transmasculinidades</w:t>
      </w:r>
      <w:proofErr w:type="spellEnd"/>
      <w:r>
        <w:rPr>
          <w:color w:val="000000"/>
        </w:rPr>
        <w:t xml:space="preserve"> (IBRAT)</w:t>
      </w:r>
    </w:p>
    <w:p w14:paraId="1F13CB53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Liga Brasileira de Lésbicas (LBL)</w:t>
      </w:r>
    </w:p>
    <w:p w14:paraId="556BF788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Mães da Resistência</w:t>
      </w:r>
    </w:p>
    <w:p w14:paraId="2A040814" w14:textId="77777777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Rede Nacional de Negras e Negros LGBT (REDE AFRO)</w:t>
      </w:r>
    </w:p>
    <w:p w14:paraId="77B6C1C7" w14:textId="061B364D" w:rsidR="00DD1ED4" w:rsidRDefault="00DD1ED4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Rede Nacional de Operadores de Segurança Pública LGBTI+ (RENOSP-LGBTI+)</w:t>
      </w:r>
    </w:p>
    <w:p w14:paraId="5CFEE2F1" w14:textId="587AB2D7" w:rsidR="00750909" w:rsidRPr="00C723AB" w:rsidRDefault="00750909" w:rsidP="00DD1ED4">
      <w:pPr>
        <w:pStyle w:val="itemnivel2"/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União Nacional LGBT (UNA LGBT)</w:t>
      </w:r>
    </w:p>
    <w:p w14:paraId="50541DB4" w14:textId="77777777" w:rsidR="00DD1ED4" w:rsidRDefault="00DD1ED4" w:rsidP="001E28B3">
      <w:pPr>
        <w:pStyle w:val="Corpodetexto"/>
        <w:spacing w:before="1" w:line="367" w:lineRule="auto"/>
        <w:ind w:right="136"/>
      </w:pPr>
    </w:p>
    <w:p w14:paraId="6D4F7BDF" w14:textId="7D99D091" w:rsidR="009B53E6" w:rsidRDefault="009B53E6">
      <w:pPr>
        <w:pStyle w:val="Corpodetexto"/>
        <w:spacing w:before="10" w:line="367" w:lineRule="auto"/>
        <w:ind w:right="135"/>
      </w:pPr>
    </w:p>
    <w:sectPr w:rsidR="009B53E6">
      <w:headerReference w:type="default" r:id="rId6"/>
      <w:pgSz w:w="11910" w:h="16840"/>
      <w:pgMar w:top="1600" w:right="992" w:bottom="280" w:left="1559" w:header="5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F2B2" w14:textId="77777777" w:rsidR="003221C3" w:rsidRDefault="003221C3">
      <w:r>
        <w:separator/>
      </w:r>
    </w:p>
  </w:endnote>
  <w:endnote w:type="continuationSeparator" w:id="0">
    <w:p w14:paraId="4355CB19" w14:textId="77777777" w:rsidR="003221C3" w:rsidRDefault="0032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5C10" w14:textId="77777777" w:rsidR="003221C3" w:rsidRDefault="003221C3">
      <w:r>
        <w:separator/>
      </w:r>
    </w:p>
  </w:footnote>
  <w:footnote w:type="continuationSeparator" w:id="0">
    <w:p w14:paraId="45468269" w14:textId="77777777" w:rsidR="003221C3" w:rsidRDefault="0032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7B13" w14:textId="77777777" w:rsidR="009B53E6" w:rsidRDefault="00901E84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5072" behindDoc="1" locked="0" layoutInCell="1" allowOverlap="1" wp14:anchorId="56D64EA5" wp14:editId="7693E7FB">
          <wp:simplePos x="0" y="0"/>
          <wp:positionH relativeFrom="page">
            <wp:posOffset>2966085</wp:posOffset>
          </wp:positionH>
          <wp:positionV relativeFrom="page">
            <wp:posOffset>364490</wp:posOffset>
          </wp:positionV>
          <wp:extent cx="636270" cy="647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27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5584" behindDoc="1" locked="0" layoutInCell="1" allowOverlap="1" wp14:anchorId="2337726F" wp14:editId="212DD5AE">
          <wp:simplePos x="0" y="0"/>
          <wp:positionH relativeFrom="page">
            <wp:posOffset>4505792</wp:posOffset>
          </wp:positionH>
          <wp:positionV relativeFrom="page">
            <wp:posOffset>426146</wp:posOffset>
          </wp:positionV>
          <wp:extent cx="722966" cy="5586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2966" cy="558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E6"/>
    <w:rsid w:val="00140DCB"/>
    <w:rsid w:val="001E28B3"/>
    <w:rsid w:val="003221C3"/>
    <w:rsid w:val="006442AB"/>
    <w:rsid w:val="00750909"/>
    <w:rsid w:val="00901E84"/>
    <w:rsid w:val="009B53E6"/>
    <w:rsid w:val="00AC0757"/>
    <w:rsid w:val="00DD1ED4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45E8"/>
  <w15:docId w15:val="{03E5EB4A-8285-4CBF-9E67-22C1FE1F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10" w:right="21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temnivel2">
    <w:name w:val="item_nivel2"/>
    <w:basedOn w:val="Normal"/>
    <w:rsid w:val="001E28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dark-mode-color-black">
    <w:name w:val="dark-mode-color-black"/>
    <w:basedOn w:val="Fontepargpadro"/>
    <w:rsid w:val="001E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1752</Words>
  <Characters>9467</Characters>
  <Application>Microsoft Office Word</Application>
  <DocSecurity>0</DocSecurity>
  <Lines>78</Lines>
  <Paragraphs>22</Paragraphs>
  <ScaleCrop>false</ScaleCrop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Cavichioli</dc:creator>
  <cp:lastModifiedBy>Maalik Neves Franco</cp:lastModifiedBy>
  <cp:revision>6</cp:revision>
  <dcterms:created xsi:type="dcterms:W3CDTF">2025-10-07T20:45:00Z</dcterms:created>
  <dcterms:modified xsi:type="dcterms:W3CDTF">2025-10-09T17:49:00Z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