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9268D2" w14:textId="41C42B60" w:rsidR="00352CD7" w:rsidRPr="00603E07" w:rsidRDefault="00352CD7" w:rsidP="00352CD7">
      <w:pPr>
        <w:jc w:val="center"/>
        <w:rPr>
          <w:rFonts w:ascii="Times New Roman" w:hAnsi="Times New Roman" w:cs="Times New Roman"/>
          <w:b/>
          <w:bCs/>
          <w:sz w:val="28"/>
          <w:szCs w:val="28"/>
        </w:rPr>
      </w:pPr>
      <w:r w:rsidRPr="00603E07">
        <w:rPr>
          <w:rFonts w:ascii="Times New Roman" w:hAnsi="Times New Roman" w:cs="Times New Roman"/>
          <w:b/>
          <w:bCs/>
          <w:sz w:val="28"/>
          <w:szCs w:val="28"/>
        </w:rPr>
        <w:t>RELATÓRIO</w:t>
      </w:r>
    </w:p>
    <w:p w14:paraId="5BD35007" w14:textId="77777777" w:rsidR="00603E07" w:rsidRPr="003733A1" w:rsidRDefault="00603E07" w:rsidP="00352CD7">
      <w:pPr>
        <w:jc w:val="center"/>
        <w:rPr>
          <w:rFonts w:ascii="Times New Roman" w:hAnsi="Times New Roman" w:cs="Times New Roman"/>
          <w:b/>
          <w:bCs/>
        </w:rPr>
      </w:pPr>
    </w:p>
    <w:p w14:paraId="08D6D97C" w14:textId="3331398B" w:rsidR="006C170D" w:rsidRPr="003733A1" w:rsidRDefault="006C170D" w:rsidP="006C170D">
      <w:pPr>
        <w:rPr>
          <w:rFonts w:ascii="Times New Roman" w:hAnsi="Times New Roman" w:cs="Times New Roman"/>
          <w:b/>
          <w:bCs/>
        </w:rPr>
      </w:pPr>
      <w:r w:rsidRPr="003733A1">
        <w:rPr>
          <w:rFonts w:ascii="Times New Roman" w:hAnsi="Times New Roman" w:cs="Times New Roman"/>
          <w:b/>
          <w:bCs/>
        </w:rPr>
        <w:t>C</w:t>
      </w:r>
      <w:r w:rsidR="009B72BA">
        <w:rPr>
          <w:rFonts w:ascii="Times New Roman" w:hAnsi="Times New Roman" w:cs="Times New Roman"/>
          <w:b/>
          <w:bCs/>
        </w:rPr>
        <w:t>ONSIDERAÇÕES INICIAIS</w:t>
      </w:r>
    </w:p>
    <w:p w14:paraId="08780727" w14:textId="30E387CA" w:rsidR="00352CD7" w:rsidRPr="003733A1" w:rsidRDefault="007A23EA" w:rsidP="00545177">
      <w:pPr>
        <w:jc w:val="both"/>
        <w:rPr>
          <w:rFonts w:ascii="Times New Roman" w:hAnsi="Times New Roman" w:cs="Times New Roman"/>
        </w:rPr>
      </w:pPr>
      <w:r w:rsidRPr="28067F80">
        <w:rPr>
          <w:rFonts w:ascii="Times New Roman" w:hAnsi="Times New Roman" w:cs="Times New Roman"/>
        </w:rPr>
        <w:t>A Secretaria de Reformas Econômicas</w:t>
      </w:r>
      <w:r w:rsidR="00D63F91" w:rsidRPr="28067F80">
        <w:rPr>
          <w:rFonts w:ascii="Times New Roman" w:hAnsi="Times New Roman" w:cs="Times New Roman"/>
        </w:rPr>
        <w:t xml:space="preserve"> (SRE) </w:t>
      </w:r>
      <w:r w:rsidRPr="28067F80">
        <w:rPr>
          <w:rFonts w:ascii="Times New Roman" w:hAnsi="Times New Roman" w:cs="Times New Roman"/>
        </w:rPr>
        <w:t>do Ministério da Fazenda</w:t>
      </w:r>
      <w:r w:rsidR="00545177" w:rsidRPr="28067F80">
        <w:rPr>
          <w:rFonts w:ascii="Times New Roman" w:hAnsi="Times New Roman" w:cs="Times New Roman"/>
        </w:rPr>
        <w:t xml:space="preserve"> </w:t>
      </w:r>
      <w:r w:rsidRPr="28067F80">
        <w:rPr>
          <w:rFonts w:ascii="Times New Roman" w:hAnsi="Times New Roman" w:cs="Times New Roman"/>
        </w:rPr>
        <w:t>realizou a Consulta Pública nº 02/2024</w:t>
      </w:r>
      <w:r w:rsidR="00545177" w:rsidRPr="28067F80">
        <w:rPr>
          <w:rFonts w:ascii="Times New Roman" w:hAnsi="Times New Roman" w:cs="Times New Roman"/>
        </w:rPr>
        <w:t xml:space="preserve"> sobre a minuta de proposta destinada </w:t>
      </w:r>
      <w:r w:rsidR="007C2DEC">
        <w:rPr>
          <w:rFonts w:ascii="Times New Roman" w:hAnsi="Times New Roman" w:cs="Times New Roman"/>
        </w:rPr>
        <w:t>a</w:t>
      </w:r>
      <w:r w:rsidR="007C2DEC" w:rsidRPr="28067F80">
        <w:rPr>
          <w:rFonts w:ascii="Times New Roman" w:hAnsi="Times New Roman" w:cs="Times New Roman"/>
        </w:rPr>
        <w:t xml:space="preserve"> </w:t>
      </w:r>
      <w:r w:rsidR="00545177" w:rsidRPr="28067F80">
        <w:rPr>
          <w:rFonts w:ascii="Times New Roman" w:hAnsi="Times New Roman" w:cs="Times New Roman"/>
        </w:rPr>
        <w:t>regulamentar a Lei nº 14.</w:t>
      </w:r>
      <w:r w:rsidR="00A62AAE" w:rsidRPr="28067F80">
        <w:rPr>
          <w:rFonts w:ascii="Times New Roman" w:hAnsi="Times New Roman" w:cs="Times New Roman"/>
        </w:rPr>
        <w:t>652</w:t>
      </w:r>
      <w:r w:rsidR="00545177" w:rsidRPr="28067F80">
        <w:rPr>
          <w:rFonts w:ascii="Times New Roman" w:hAnsi="Times New Roman" w:cs="Times New Roman"/>
        </w:rPr>
        <w:t xml:space="preserve">, de 23 de agosto de 2023, </w:t>
      </w:r>
      <w:r w:rsidR="00C8394A" w:rsidRPr="28067F80">
        <w:rPr>
          <w:rFonts w:ascii="Times New Roman" w:hAnsi="Times New Roman" w:cs="Times New Roman"/>
        </w:rPr>
        <w:t xml:space="preserve">especificamente no </w:t>
      </w:r>
      <w:r w:rsidR="00545177" w:rsidRPr="28067F80">
        <w:rPr>
          <w:rFonts w:ascii="Times New Roman" w:hAnsi="Times New Roman" w:cs="Times New Roman"/>
        </w:rPr>
        <w:t xml:space="preserve">que </w:t>
      </w:r>
      <w:r w:rsidR="00C8394A" w:rsidRPr="28067F80">
        <w:rPr>
          <w:rFonts w:ascii="Times New Roman" w:hAnsi="Times New Roman" w:cs="Times New Roman"/>
        </w:rPr>
        <w:t>se refere à</w:t>
      </w:r>
      <w:r w:rsidR="00545177" w:rsidRPr="28067F80">
        <w:rPr>
          <w:rFonts w:ascii="Times New Roman" w:hAnsi="Times New Roman" w:cs="Times New Roman"/>
        </w:rPr>
        <w:t xml:space="preserve"> faculdade de concessão, como garantia de crédito, do direito de resgate assegurado aos participantes de planos de previdência complementar aberta, aos segurados de seguros de pessoas</w:t>
      </w:r>
      <w:r w:rsidR="00C8394A" w:rsidRPr="28067F80">
        <w:rPr>
          <w:rFonts w:ascii="Times New Roman" w:hAnsi="Times New Roman" w:cs="Times New Roman"/>
        </w:rPr>
        <w:t xml:space="preserve"> </w:t>
      </w:r>
      <w:r w:rsidR="00545177" w:rsidRPr="28067F80">
        <w:rPr>
          <w:rFonts w:ascii="Times New Roman" w:hAnsi="Times New Roman" w:cs="Times New Roman"/>
        </w:rPr>
        <w:t>e aos titulares de títulos de capitalização.</w:t>
      </w:r>
    </w:p>
    <w:p w14:paraId="37F1A44B" w14:textId="73D9A605" w:rsidR="00C8394A" w:rsidRPr="003733A1" w:rsidRDefault="00C8394A" w:rsidP="00545177">
      <w:pPr>
        <w:jc w:val="both"/>
        <w:rPr>
          <w:rFonts w:ascii="Times New Roman" w:hAnsi="Times New Roman" w:cs="Times New Roman"/>
          <w:shd w:val="clear" w:color="auto" w:fill="FFFFFF"/>
        </w:rPr>
      </w:pPr>
      <w:r w:rsidRPr="003733A1">
        <w:rPr>
          <w:rFonts w:ascii="Times New Roman" w:hAnsi="Times New Roman" w:cs="Times New Roman"/>
        </w:rPr>
        <w:t>A Lei nº 14.6</w:t>
      </w:r>
      <w:r w:rsidR="00F473CE">
        <w:rPr>
          <w:rFonts w:ascii="Times New Roman" w:hAnsi="Times New Roman" w:cs="Times New Roman"/>
        </w:rPr>
        <w:t>5</w:t>
      </w:r>
      <w:r w:rsidRPr="003733A1">
        <w:rPr>
          <w:rFonts w:ascii="Times New Roman" w:hAnsi="Times New Roman" w:cs="Times New Roman"/>
        </w:rPr>
        <w:t>2</w:t>
      </w:r>
      <w:r w:rsidR="002F2438">
        <w:rPr>
          <w:rFonts w:ascii="Times New Roman" w:hAnsi="Times New Roman" w:cs="Times New Roman"/>
        </w:rPr>
        <w:t>, de 2023,</w:t>
      </w:r>
      <w:r w:rsidRPr="003733A1">
        <w:rPr>
          <w:rFonts w:ascii="Times New Roman" w:hAnsi="Times New Roman" w:cs="Times New Roman"/>
        </w:rPr>
        <w:t xml:space="preserve"> resultou de </w:t>
      </w:r>
      <w:r w:rsidRPr="003733A1">
        <w:rPr>
          <w:rFonts w:ascii="Times New Roman" w:hAnsi="Times New Roman" w:cs="Times New Roman"/>
          <w:shd w:val="clear" w:color="auto" w:fill="FFFFFF"/>
        </w:rPr>
        <w:t>projeto de lei encaminhado pelo Ministério da Fazenda em abril de 2023 ao Congresso Nacional (PL nº 2.250 de 2023), com a finalidade de se estabelecer a previsibilidade legal específica de concessão, como garantia de operações de crédito, do direito de resgate dos participantes de planos de previdência complementar aberta, dos segurados de seguro de pessoas, dos cotistas de FAPI e dos titulares de títulos de capitalização.</w:t>
      </w:r>
    </w:p>
    <w:p w14:paraId="3F0347C1" w14:textId="0E403C30" w:rsidR="00C8394A" w:rsidRPr="003733A1" w:rsidRDefault="00C8394A" w:rsidP="00545177">
      <w:pPr>
        <w:jc w:val="both"/>
        <w:rPr>
          <w:rFonts w:ascii="Times New Roman" w:hAnsi="Times New Roman" w:cs="Times New Roman"/>
        </w:rPr>
      </w:pPr>
      <w:r w:rsidRPr="003733A1">
        <w:rPr>
          <w:rFonts w:ascii="Times New Roman" w:hAnsi="Times New Roman" w:cs="Times New Roman"/>
          <w:shd w:val="clear" w:color="auto" w:fill="FFFFFF"/>
        </w:rPr>
        <w:t>Importante destacar que</w:t>
      </w:r>
      <w:r w:rsidR="00DB74B9">
        <w:rPr>
          <w:rFonts w:ascii="Times New Roman" w:hAnsi="Times New Roman" w:cs="Times New Roman"/>
          <w:shd w:val="clear" w:color="auto" w:fill="FFFFFF"/>
        </w:rPr>
        <w:t xml:space="preserve"> </w:t>
      </w:r>
      <w:r w:rsidRPr="003733A1">
        <w:rPr>
          <w:rFonts w:ascii="Times New Roman" w:hAnsi="Times New Roman" w:cs="Times New Roman"/>
          <w:shd w:val="clear" w:color="auto" w:fill="FFFFFF"/>
        </w:rPr>
        <w:t>a regulamentação ora proposta não se aplica à faculdade de concessão, como garantia de operações de crédito, do direito de resgate assegurado aos cotistas de FAPI, a qual poderá ser objeto de regulamentação futura específica.</w:t>
      </w:r>
    </w:p>
    <w:p w14:paraId="00852EC6" w14:textId="4A73C381" w:rsidR="00A53108" w:rsidRDefault="00A53108" w:rsidP="00545177">
      <w:pPr>
        <w:jc w:val="both"/>
        <w:rPr>
          <w:rFonts w:ascii="Times New Roman" w:hAnsi="Times New Roman" w:cs="Times New Roman"/>
        </w:rPr>
      </w:pPr>
      <w:r w:rsidRPr="003733A1">
        <w:rPr>
          <w:rFonts w:ascii="Times New Roman" w:hAnsi="Times New Roman" w:cs="Times New Roman"/>
        </w:rPr>
        <w:t xml:space="preserve">A proposta normativa trazida à consulta pública é oriunda de debate conduzido no âmbito da Agenda de Reformas Financeiras (ARF), iniciativa coordenada pela SRE, que reuniu participantes do governo e da sociedade com o objetivo de debater propostas que </w:t>
      </w:r>
      <w:r w:rsidRPr="002D5E42">
        <w:rPr>
          <w:rFonts w:ascii="Times New Roman" w:hAnsi="Times New Roman" w:cs="Times New Roman"/>
        </w:rPr>
        <w:t>contribuam</w:t>
      </w:r>
      <w:r w:rsidRPr="003733A1">
        <w:rPr>
          <w:rFonts w:ascii="Times New Roman" w:hAnsi="Times New Roman" w:cs="Times New Roman"/>
        </w:rPr>
        <w:t xml:space="preserve"> para o avanço do sistema financeiro brasileiro.</w:t>
      </w:r>
    </w:p>
    <w:p w14:paraId="7A22A12F" w14:textId="6E319DF2" w:rsidR="00D63F91" w:rsidRPr="003733A1" w:rsidRDefault="00D63F91" w:rsidP="00545177">
      <w:pPr>
        <w:jc w:val="both"/>
        <w:rPr>
          <w:rFonts w:ascii="Times New Roman" w:hAnsi="Times New Roman" w:cs="Times New Roman"/>
        </w:rPr>
      </w:pPr>
      <w:r w:rsidRPr="003733A1">
        <w:rPr>
          <w:rFonts w:ascii="Times New Roman" w:hAnsi="Times New Roman" w:cs="Times New Roman"/>
        </w:rPr>
        <w:t>O aviso da consulta pública foi publicado no DOU de 04/04/2024</w:t>
      </w:r>
      <w:r w:rsidRPr="003733A1">
        <w:rPr>
          <w:rStyle w:val="Refdenotaderodap"/>
          <w:rFonts w:ascii="Times New Roman" w:hAnsi="Times New Roman" w:cs="Times New Roman"/>
        </w:rPr>
        <w:footnoteReference w:id="2"/>
      </w:r>
      <w:r w:rsidRPr="003733A1">
        <w:rPr>
          <w:rFonts w:ascii="Times New Roman" w:hAnsi="Times New Roman" w:cs="Times New Roman"/>
        </w:rPr>
        <w:t xml:space="preserve">, </w:t>
      </w:r>
      <w:r w:rsidR="0099500B" w:rsidRPr="003733A1">
        <w:rPr>
          <w:rFonts w:ascii="Times New Roman" w:hAnsi="Times New Roman" w:cs="Times New Roman"/>
        </w:rPr>
        <w:t>tendo ficado aberta a contribuições no período de 4 de abril a 10 de maio de 2024</w:t>
      </w:r>
      <w:r w:rsidR="00C8394A" w:rsidRPr="003733A1">
        <w:rPr>
          <w:rFonts w:ascii="Times New Roman" w:hAnsi="Times New Roman" w:cs="Times New Roman"/>
        </w:rPr>
        <w:t xml:space="preserve"> no Portal Participa + Brasil</w:t>
      </w:r>
      <w:r w:rsidR="00C8394A" w:rsidRPr="003733A1">
        <w:rPr>
          <w:rStyle w:val="Refdenotaderodap"/>
          <w:rFonts w:ascii="Times New Roman" w:hAnsi="Times New Roman" w:cs="Times New Roman"/>
        </w:rPr>
        <w:footnoteReference w:id="3"/>
      </w:r>
      <w:r w:rsidR="00C8394A" w:rsidRPr="003733A1">
        <w:rPr>
          <w:rFonts w:ascii="Times New Roman" w:hAnsi="Times New Roman" w:cs="Times New Roman"/>
        </w:rPr>
        <w:t>.</w:t>
      </w:r>
    </w:p>
    <w:p w14:paraId="318DE3C9" w14:textId="3B157D62" w:rsidR="00C8394A" w:rsidRPr="003733A1" w:rsidRDefault="00C8394A" w:rsidP="00545177">
      <w:pPr>
        <w:jc w:val="both"/>
        <w:rPr>
          <w:rFonts w:ascii="Times New Roman" w:hAnsi="Times New Roman" w:cs="Times New Roman"/>
        </w:rPr>
      </w:pPr>
      <w:r w:rsidRPr="003733A1">
        <w:rPr>
          <w:rFonts w:ascii="Times New Roman" w:hAnsi="Times New Roman" w:cs="Times New Roman"/>
        </w:rPr>
        <w:t>A minuta</w:t>
      </w:r>
      <w:r w:rsidR="006E1B87" w:rsidRPr="003733A1">
        <w:rPr>
          <w:rFonts w:ascii="Times New Roman" w:hAnsi="Times New Roman" w:cs="Times New Roman"/>
        </w:rPr>
        <w:t xml:space="preserve"> de resolução conjunta</w:t>
      </w:r>
      <w:r w:rsidR="001E6DCD">
        <w:rPr>
          <w:rFonts w:ascii="Times New Roman" w:hAnsi="Times New Roman" w:cs="Times New Roman"/>
        </w:rPr>
        <w:t xml:space="preserve"> do Conselho Monetário Nacional (CMN) e do Conselho Nacional de Seguros Privados (CNSP)</w:t>
      </w:r>
      <w:r w:rsidR="006E1B87" w:rsidRPr="003733A1">
        <w:rPr>
          <w:rFonts w:ascii="Times New Roman" w:hAnsi="Times New Roman" w:cs="Times New Roman"/>
        </w:rPr>
        <w:t xml:space="preserve"> submetida à consulta pública divide-se em cinco capítulos.</w:t>
      </w:r>
    </w:p>
    <w:p w14:paraId="698D66BD" w14:textId="3BCCEFBB" w:rsidR="00AC3AF8" w:rsidRPr="003733A1" w:rsidRDefault="006E1B87" w:rsidP="00545177">
      <w:pPr>
        <w:jc w:val="both"/>
        <w:rPr>
          <w:rFonts w:ascii="Times New Roman" w:hAnsi="Times New Roman" w:cs="Times New Roman"/>
        </w:rPr>
      </w:pPr>
      <w:r w:rsidRPr="003733A1">
        <w:rPr>
          <w:rFonts w:ascii="Times New Roman" w:hAnsi="Times New Roman" w:cs="Times New Roman"/>
        </w:rPr>
        <w:t>O primeiro, denominado “das disposições gerais”, traz o escopo de aplicação, definição dos conceitos a serem utilizados na norma</w:t>
      </w:r>
      <w:r w:rsidR="006F654C" w:rsidRPr="003733A1">
        <w:rPr>
          <w:rFonts w:ascii="Times New Roman" w:hAnsi="Times New Roman" w:cs="Times New Roman"/>
        </w:rPr>
        <w:t xml:space="preserve">, </w:t>
      </w:r>
      <w:r w:rsidR="00453D22" w:rsidRPr="003733A1">
        <w:rPr>
          <w:rFonts w:ascii="Times New Roman" w:hAnsi="Times New Roman" w:cs="Times New Roman"/>
        </w:rPr>
        <w:t>tais</w:t>
      </w:r>
      <w:r w:rsidR="006F654C" w:rsidRPr="003733A1">
        <w:rPr>
          <w:rFonts w:ascii="Times New Roman" w:hAnsi="Times New Roman" w:cs="Times New Roman"/>
        </w:rPr>
        <w:t xml:space="preserve"> como</w:t>
      </w:r>
      <w:r w:rsidR="00D40AD7" w:rsidRPr="003733A1">
        <w:rPr>
          <w:rFonts w:ascii="Times New Roman" w:hAnsi="Times New Roman" w:cs="Times New Roman"/>
        </w:rPr>
        <w:t xml:space="preserve"> garantidor, cliente, comunicabilidade, dentre outros.</w:t>
      </w:r>
    </w:p>
    <w:p w14:paraId="76CFF110" w14:textId="6C12B9DD" w:rsidR="00AC3AF8" w:rsidRPr="003733A1" w:rsidRDefault="006E1B87" w:rsidP="00545177">
      <w:pPr>
        <w:jc w:val="both"/>
        <w:rPr>
          <w:rFonts w:ascii="Times New Roman" w:hAnsi="Times New Roman" w:cs="Times New Roman"/>
        </w:rPr>
      </w:pPr>
      <w:r w:rsidRPr="003733A1">
        <w:rPr>
          <w:rFonts w:ascii="Times New Roman" w:hAnsi="Times New Roman" w:cs="Times New Roman"/>
        </w:rPr>
        <w:t>O segundo elenca os produtos aptos à elegibilidade do direito de resgate à concessão de garantia de operações de crédito</w:t>
      </w:r>
      <w:r w:rsidR="001A00C7" w:rsidRPr="003733A1">
        <w:rPr>
          <w:rFonts w:ascii="Times New Roman" w:hAnsi="Times New Roman" w:cs="Times New Roman"/>
        </w:rPr>
        <w:t xml:space="preserve">, além de </w:t>
      </w:r>
      <w:r w:rsidR="002328B1" w:rsidRPr="003733A1">
        <w:rPr>
          <w:rFonts w:ascii="Times New Roman" w:hAnsi="Times New Roman" w:cs="Times New Roman"/>
        </w:rPr>
        <w:t>elementos necessários para a caracterização da elegibilidade desses produtos.</w:t>
      </w:r>
    </w:p>
    <w:p w14:paraId="65E80E35" w14:textId="2893CAED" w:rsidR="006E1B87" w:rsidRPr="003733A1" w:rsidRDefault="006E1B87" w:rsidP="00545177">
      <w:pPr>
        <w:jc w:val="both"/>
        <w:rPr>
          <w:rFonts w:ascii="Times New Roman" w:hAnsi="Times New Roman" w:cs="Times New Roman"/>
        </w:rPr>
      </w:pPr>
      <w:r w:rsidRPr="28067F80">
        <w:rPr>
          <w:rFonts w:ascii="Times New Roman" w:hAnsi="Times New Roman" w:cs="Times New Roman"/>
        </w:rPr>
        <w:lastRenderedPageBreak/>
        <w:t>No capítulo terceiro são disciplinados</w:t>
      </w:r>
      <w:r w:rsidR="00AC3AF8" w:rsidRPr="28067F80">
        <w:rPr>
          <w:rFonts w:ascii="Times New Roman" w:hAnsi="Times New Roman" w:cs="Times New Roman"/>
        </w:rPr>
        <w:t xml:space="preserve"> aspectos relacionados às informações a serem fornecidas pela entidade operadora à instituição financeira, elementos mínimos do instrumento contratual, prazos, dentre outros aspectos.</w:t>
      </w:r>
    </w:p>
    <w:p w14:paraId="147F2A1A" w14:textId="6228AD50" w:rsidR="00AC3AF8" w:rsidRPr="003733A1" w:rsidRDefault="00AC3AF8" w:rsidP="00545177">
      <w:pPr>
        <w:jc w:val="both"/>
        <w:rPr>
          <w:rFonts w:ascii="Times New Roman" w:hAnsi="Times New Roman" w:cs="Times New Roman"/>
        </w:rPr>
      </w:pPr>
      <w:r w:rsidRPr="28067F80">
        <w:rPr>
          <w:rFonts w:ascii="Times New Roman" w:hAnsi="Times New Roman" w:cs="Times New Roman"/>
        </w:rPr>
        <w:t>O quarto capítulo trata da operacionalização da liquidação da garantia</w:t>
      </w:r>
      <w:r w:rsidR="006D647E" w:rsidRPr="28067F80">
        <w:rPr>
          <w:rFonts w:ascii="Times New Roman" w:hAnsi="Times New Roman" w:cs="Times New Roman"/>
        </w:rPr>
        <w:t>, estabelecendo</w:t>
      </w:r>
      <w:r w:rsidR="00266891" w:rsidRPr="28067F80">
        <w:rPr>
          <w:rFonts w:ascii="Times New Roman" w:hAnsi="Times New Roman" w:cs="Times New Roman"/>
        </w:rPr>
        <w:t xml:space="preserve"> o período mínimo de inadimplência e critérios para efetivação do resgate, cuida</w:t>
      </w:r>
      <w:r w:rsidR="0451EFE9" w:rsidRPr="28067F80">
        <w:rPr>
          <w:rFonts w:ascii="Times New Roman" w:hAnsi="Times New Roman" w:cs="Times New Roman"/>
        </w:rPr>
        <w:t>ndo</w:t>
      </w:r>
      <w:r w:rsidR="00266891" w:rsidRPr="28067F80">
        <w:rPr>
          <w:rFonts w:ascii="Times New Roman" w:hAnsi="Times New Roman" w:cs="Times New Roman"/>
        </w:rPr>
        <w:t xml:space="preserve"> de situações específicas, ta</w:t>
      </w:r>
      <w:r w:rsidR="00CB7711" w:rsidRPr="28067F80">
        <w:rPr>
          <w:rFonts w:ascii="Times New Roman" w:hAnsi="Times New Roman" w:cs="Times New Roman"/>
        </w:rPr>
        <w:t>l</w:t>
      </w:r>
      <w:r w:rsidR="00266891" w:rsidRPr="28067F80">
        <w:rPr>
          <w:rFonts w:ascii="Times New Roman" w:hAnsi="Times New Roman" w:cs="Times New Roman"/>
        </w:rPr>
        <w:t xml:space="preserve"> como o resgate</w:t>
      </w:r>
      <w:r w:rsidR="001F48B0" w:rsidRPr="28067F80">
        <w:rPr>
          <w:rFonts w:ascii="Times New Roman" w:hAnsi="Times New Roman" w:cs="Times New Roman"/>
        </w:rPr>
        <w:t xml:space="preserve"> em caso de seguro prestamista</w:t>
      </w:r>
      <w:r w:rsidR="00CB7711" w:rsidRPr="28067F80">
        <w:rPr>
          <w:rFonts w:ascii="Times New Roman" w:hAnsi="Times New Roman" w:cs="Times New Roman"/>
        </w:rPr>
        <w:t xml:space="preserve"> com </w:t>
      </w:r>
      <w:r w:rsidR="001F48B0" w:rsidRPr="28067F80">
        <w:rPr>
          <w:rFonts w:ascii="Times New Roman" w:hAnsi="Times New Roman" w:cs="Times New Roman"/>
        </w:rPr>
        <w:t>cobertura de morte</w:t>
      </w:r>
      <w:r w:rsidR="00CB7711" w:rsidRPr="28067F80">
        <w:rPr>
          <w:rFonts w:ascii="Times New Roman" w:hAnsi="Times New Roman" w:cs="Times New Roman"/>
        </w:rPr>
        <w:t>.</w:t>
      </w:r>
    </w:p>
    <w:p w14:paraId="6030F57E" w14:textId="504D7471" w:rsidR="0022657E" w:rsidRDefault="0022657E" w:rsidP="00545177">
      <w:pPr>
        <w:jc w:val="both"/>
        <w:rPr>
          <w:rFonts w:ascii="Times New Roman" w:hAnsi="Times New Roman" w:cs="Times New Roman"/>
        </w:rPr>
      </w:pPr>
      <w:r w:rsidRPr="003733A1">
        <w:rPr>
          <w:rFonts w:ascii="Times New Roman" w:hAnsi="Times New Roman" w:cs="Times New Roman"/>
        </w:rPr>
        <w:t>O último capítulo</w:t>
      </w:r>
      <w:r w:rsidR="00AC69E1" w:rsidRPr="003733A1">
        <w:rPr>
          <w:rFonts w:ascii="Times New Roman" w:hAnsi="Times New Roman" w:cs="Times New Roman"/>
        </w:rPr>
        <w:t xml:space="preserve"> traz as disposições finais e transitórias</w:t>
      </w:r>
      <w:r w:rsidR="00FA3B2F" w:rsidRPr="003733A1">
        <w:rPr>
          <w:rFonts w:ascii="Times New Roman" w:hAnsi="Times New Roman" w:cs="Times New Roman"/>
        </w:rPr>
        <w:t>, dat</w:t>
      </w:r>
      <w:r w:rsidR="00C67010">
        <w:rPr>
          <w:rFonts w:ascii="Times New Roman" w:hAnsi="Times New Roman" w:cs="Times New Roman"/>
        </w:rPr>
        <w:t>a</w:t>
      </w:r>
      <w:r w:rsidR="00FA3B2F" w:rsidRPr="003733A1">
        <w:rPr>
          <w:rFonts w:ascii="Times New Roman" w:hAnsi="Times New Roman" w:cs="Times New Roman"/>
        </w:rPr>
        <w:t xml:space="preserve"> de entrada em vigor da resolução, bem como inclui prazos diferenciados para alguns dispositivos.</w:t>
      </w:r>
    </w:p>
    <w:p w14:paraId="05A3ACCC" w14:textId="77777777" w:rsidR="00147D0F" w:rsidRPr="003733A1" w:rsidRDefault="00147D0F" w:rsidP="00545177">
      <w:pPr>
        <w:jc w:val="both"/>
        <w:rPr>
          <w:rFonts w:ascii="Times New Roman" w:hAnsi="Times New Roman" w:cs="Times New Roman"/>
        </w:rPr>
      </w:pPr>
    </w:p>
    <w:p w14:paraId="534933E9" w14:textId="28117380" w:rsidR="004A6E7B" w:rsidRDefault="004A6E7B" w:rsidP="00545177">
      <w:pPr>
        <w:jc w:val="both"/>
        <w:rPr>
          <w:rFonts w:ascii="Times New Roman" w:hAnsi="Times New Roman" w:cs="Times New Roman"/>
          <w:b/>
          <w:bCs/>
        </w:rPr>
      </w:pPr>
      <w:r w:rsidRPr="003733A1">
        <w:rPr>
          <w:rFonts w:ascii="Times New Roman" w:hAnsi="Times New Roman" w:cs="Times New Roman"/>
          <w:b/>
          <w:bCs/>
        </w:rPr>
        <w:t>M</w:t>
      </w:r>
      <w:r w:rsidR="009B72BA">
        <w:rPr>
          <w:rFonts w:ascii="Times New Roman" w:hAnsi="Times New Roman" w:cs="Times New Roman"/>
          <w:b/>
          <w:bCs/>
        </w:rPr>
        <w:t>ANIFESTAÇÕES</w:t>
      </w:r>
    </w:p>
    <w:p w14:paraId="5A39778D" w14:textId="042B373A" w:rsidR="001E6937" w:rsidRPr="003733A1" w:rsidRDefault="006C170D" w:rsidP="00545177">
      <w:pPr>
        <w:jc w:val="both"/>
        <w:rPr>
          <w:rFonts w:ascii="Times New Roman" w:hAnsi="Times New Roman" w:cs="Times New Roman"/>
        </w:rPr>
      </w:pPr>
      <w:r w:rsidRPr="28067F80">
        <w:rPr>
          <w:rFonts w:ascii="Times New Roman" w:hAnsi="Times New Roman" w:cs="Times New Roman"/>
        </w:rPr>
        <w:t>Ao todo, foram recebidas 14</w:t>
      </w:r>
      <w:r w:rsidR="001C5785" w:rsidRPr="28067F80">
        <w:rPr>
          <w:rFonts w:ascii="Times New Roman" w:hAnsi="Times New Roman" w:cs="Times New Roman"/>
        </w:rPr>
        <w:t>0</w:t>
      </w:r>
      <w:r w:rsidR="35526FA8" w:rsidRPr="28067F80">
        <w:rPr>
          <w:rFonts w:ascii="Times New Roman" w:hAnsi="Times New Roman" w:cs="Times New Roman"/>
        </w:rPr>
        <w:t xml:space="preserve"> (cento e quarenta)</w:t>
      </w:r>
      <w:r w:rsidRPr="28067F80">
        <w:rPr>
          <w:rFonts w:ascii="Times New Roman" w:hAnsi="Times New Roman" w:cs="Times New Roman"/>
        </w:rPr>
        <w:t xml:space="preserve"> </w:t>
      </w:r>
      <w:r w:rsidR="002B0F89" w:rsidRPr="28067F80">
        <w:rPr>
          <w:rFonts w:ascii="Times New Roman" w:hAnsi="Times New Roman" w:cs="Times New Roman"/>
        </w:rPr>
        <w:t>manifestações</w:t>
      </w:r>
      <w:r w:rsidRPr="28067F80">
        <w:rPr>
          <w:rFonts w:ascii="Times New Roman" w:hAnsi="Times New Roman" w:cs="Times New Roman"/>
        </w:rPr>
        <w:t>, oriundas</w:t>
      </w:r>
      <w:r w:rsidR="00EE0901" w:rsidRPr="28067F80">
        <w:rPr>
          <w:rFonts w:ascii="Times New Roman" w:hAnsi="Times New Roman" w:cs="Times New Roman"/>
        </w:rPr>
        <w:t xml:space="preserve"> de</w:t>
      </w:r>
      <w:r w:rsidR="005B1CEF" w:rsidRPr="28067F80">
        <w:rPr>
          <w:rFonts w:ascii="Times New Roman" w:hAnsi="Times New Roman" w:cs="Times New Roman"/>
        </w:rPr>
        <w:t xml:space="preserve"> </w:t>
      </w:r>
      <w:r w:rsidR="5DBBA30F" w:rsidRPr="28067F80">
        <w:rPr>
          <w:rFonts w:ascii="Times New Roman" w:hAnsi="Times New Roman" w:cs="Times New Roman"/>
        </w:rPr>
        <w:t>10 (</w:t>
      </w:r>
      <w:r w:rsidR="005B1CEF" w:rsidRPr="28067F80">
        <w:rPr>
          <w:rFonts w:ascii="Times New Roman" w:hAnsi="Times New Roman" w:cs="Times New Roman"/>
        </w:rPr>
        <w:t>dez</w:t>
      </w:r>
      <w:r w:rsidR="5A469DA3" w:rsidRPr="28067F80">
        <w:rPr>
          <w:rFonts w:ascii="Times New Roman" w:hAnsi="Times New Roman" w:cs="Times New Roman"/>
        </w:rPr>
        <w:t>)</w:t>
      </w:r>
      <w:r w:rsidR="005B1CEF" w:rsidRPr="28067F80">
        <w:rPr>
          <w:rFonts w:ascii="Times New Roman" w:hAnsi="Times New Roman" w:cs="Times New Roman"/>
        </w:rPr>
        <w:t xml:space="preserve"> participantes di</w:t>
      </w:r>
      <w:r w:rsidR="00745C32" w:rsidRPr="28067F80">
        <w:rPr>
          <w:rFonts w:ascii="Times New Roman" w:hAnsi="Times New Roman" w:cs="Times New Roman"/>
        </w:rPr>
        <w:t>stintos</w:t>
      </w:r>
      <w:r w:rsidR="00077891" w:rsidRPr="28067F80">
        <w:rPr>
          <w:rFonts w:ascii="Times New Roman" w:hAnsi="Times New Roman" w:cs="Times New Roman"/>
        </w:rPr>
        <w:t>, dentre pessoas físicas e jurídicas, quais sejam:</w:t>
      </w:r>
    </w:p>
    <w:p w14:paraId="78B0D3D7" w14:textId="0A2CA8A1" w:rsidR="009925C1" w:rsidRPr="003733A1" w:rsidRDefault="009925C1" w:rsidP="00AC49AF">
      <w:pPr>
        <w:pStyle w:val="PargrafodaLista"/>
        <w:numPr>
          <w:ilvl w:val="0"/>
          <w:numId w:val="1"/>
        </w:numPr>
        <w:jc w:val="both"/>
        <w:rPr>
          <w:rFonts w:ascii="Times New Roman" w:hAnsi="Times New Roman" w:cs="Times New Roman"/>
        </w:rPr>
      </w:pPr>
      <w:r w:rsidRPr="003733A1">
        <w:rPr>
          <w:rFonts w:ascii="Times New Roman" w:hAnsi="Times New Roman" w:cs="Times New Roman"/>
        </w:rPr>
        <w:t>ABBC -</w:t>
      </w:r>
      <w:r w:rsidR="0088750B" w:rsidRPr="003733A1">
        <w:rPr>
          <w:rFonts w:ascii="Times New Roman" w:hAnsi="Times New Roman" w:cs="Times New Roman"/>
        </w:rPr>
        <w:t xml:space="preserve"> </w:t>
      </w:r>
      <w:r w:rsidRPr="003733A1">
        <w:rPr>
          <w:rFonts w:ascii="Times New Roman" w:hAnsi="Times New Roman" w:cs="Times New Roman"/>
        </w:rPr>
        <w:t>Associação Brasileira de Bancos</w:t>
      </w:r>
    </w:p>
    <w:p w14:paraId="674D8888" w14:textId="23389980" w:rsidR="00CC1991" w:rsidRPr="003733A1" w:rsidRDefault="00CC1991" w:rsidP="00AC49AF">
      <w:pPr>
        <w:pStyle w:val="PargrafodaLista"/>
        <w:numPr>
          <w:ilvl w:val="0"/>
          <w:numId w:val="1"/>
        </w:numPr>
        <w:jc w:val="both"/>
        <w:rPr>
          <w:rFonts w:ascii="Times New Roman" w:hAnsi="Times New Roman" w:cs="Times New Roman"/>
        </w:rPr>
      </w:pPr>
      <w:proofErr w:type="spellStart"/>
      <w:r w:rsidRPr="003733A1">
        <w:rPr>
          <w:rFonts w:ascii="Times New Roman" w:hAnsi="Times New Roman" w:cs="Times New Roman"/>
        </w:rPr>
        <w:t>Abranet</w:t>
      </w:r>
      <w:proofErr w:type="spellEnd"/>
      <w:r w:rsidR="0088750B" w:rsidRPr="003733A1">
        <w:rPr>
          <w:rFonts w:ascii="Times New Roman" w:hAnsi="Times New Roman" w:cs="Times New Roman"/>
        </w:rPr>
        <w:t xml:space="preserve"> </w:t>
      </w:r>
      <w:r w:rsidR="000F716C">
        <w:rPr>
          <w:rFonts w:ascii="Times New Roman" w:hAnsi="Times New Roman" w:cs="Times New Roman"/>
        </w:rPr>
        <w:t>-</w:t>
      </w:r>
      <w:r w:rsidR="0088750B" w:rsidRPr="003733A1">
        <w:rPr>
          <w:rFonts w:ascii="Times New Roman" w:hAnsi="Times New Roman" w:cs="Times New Roman"/>
        </w:rPr>
        <w:t xml:space="preserve"> Associação Brasileira de Internet</w:t>
      </w:r>
    </w:p>
    <w:p w14:paraId="756C7D0C" w14:textId="123FBBF3" w:rsidR="007B1F18" w:rsidRPr="003733A1" w:rsidRDefault="007B1F18" w:rsidP="00AC49AF">
      <w:pPr>
        <w:pStyle w:val="PargrafodaLista"/>
        <w:numPr>
          <w:ilvl w:val="0"/>
          <w:numId w:val="1"/>
        </w:numPr>
        <w:jc w:val="both"/>
        <w:rPr>
          <w:rFonts w:ascii="Times New Roman" w:hAnsi="Times New Roman" w:cs="Times New Roman"/>
        </w:rPr>
      </w:pPr>
      <w:r w:rsidRPr="003733A1">
        <w:rPr>
          <w:rFonts w:ascii="Times New Roman" w:hAnsi="Times New Roman" w:cs="Times New Roman"/>
        </w:rPr>
        <w:t>Febraban - Federação Brasileira de Bancos</w:t>
      </w:r>
    </w:p>
    <w:p w14:paraId="7D0525E2" w14:textId="0A540CFA" w:rsidR="00AC49AF" w:rsidRPr="003733A1" w:rsidRDefault="00AC49AF" w:rsidP="00AC49AF">
      <w:pPr>
        <w:pStyle w:val="PargrafodaLista"/>
        <w:numPr>
          <w:ilvl w:val="0"/>
          <w:numId w:val="1"/>
        </w:numPr>
        <w:jc w:val="both"/>
        <w:rPr>
          <w:rFonts w:ascii="Times New Roman" w:hAnsi="Times New Roman" w:cs="Times New Roman"/>
        </w:rPr>
      </w:pPr>
      <w:proofErr w:type="spellStart"/>
      <w:r w:rsidRPr="003733A1">
        <w:rPr>
          <w:rFonts w:ascii="Times New Roman" w:hAnsi="Times New Roman" w:cs="Times New Roman"/>
        </w:rPr>
        <w:t>Fenacap</w:t>
      </w:r>
      <w:proofErr w:type="spellEnd"/>
      <w:r w:rsidR="0088750B" w:rsidRPr="003733A1">
        <w:rPr>
          <w:rFonts w:ascii="Times New Roman" w:hAnsi="Times New Roman" w:cs="Times New Roman"/>
        </w:rPr>
        <w:t xml:space="preserve"> </w:t>
      </w:r>
      <w:r w:rsidR="007B1F18" w:rsidRPr="003733A1">
        <w:rPr>
          <w:rFonts w:ascii="Times New Roman" w:hAnsi="Times New Roman" w:cs="Times New Roman"/>
        </w:rPr>
        <w:t>(</w:t>
      </w:r>
      <w:r w:rsidR="00B43851" w:rsidRPr="003733A1">
        <w:rPr>
          <w:rFonts w:ascii="Times New Roman" w:hAnsi="Times New Roman" w:cs="Times New Roman"/>
        </w:rPr>
        <w:t>Federação Nacional de Capitalização</w:t>
      </w:r>
      <w:r w:rsidR="007B1F18" w:rsidRPr="003733A1">
        <w:rPr>
          <w:rFonts w:ascii="Times New Roman" w:hAnsi="Times New Roman" w:cs="Times New Roman"/>
        </w:rPr>
        <w:t xml:space="preserve">) e </w:t>
      </w:r>
      <w:proofErr w:type="spellStart"/>
      <w:r w:rsidR="00B81B33" w:rsidRPr="003733A1">
        <w:rPr>
          <w:rFonts w:ascii="Times New Roman" w:hAnsi="Times New Roman" w:cs="Times New Roman"/>
        </w:rPr>
        <w:t>Fenaprevi</w:t>
      </w:r>
      <w:proofErr w:type="spellEnd"/>
      <w:r w:rsidR="001A0B53" w:rsidRPr="003733A1">
        <w:rPr>
          <w:rFonts w:ascii="Times New Roman" w:hAnsi="Times New Roman" w:cs="Times New Roman"/>
        </w:rPr>
        <w:t xml:space="preserve"> </w:t>
      </w:r>
      <w:r w:rsidR="007B1F18" w:rsidRPr="003733A1">
        <w:rPr>
          <w:rFonts w:ascii="Times New Roman" w:hAnsi="Times New Roman" w:cs="Times New Roman"/>
        </w:rPr>
        <w:t>(</w:t>
      </w:r>
      <w:r w:rsidR="001A0B53" w:rsidRPr="003733A1">
        <w:rPr>
          <w:rFonts w:ascii="Times New Roman" w:hAnsi="Times New Roman" w:cs="Times New Roman"/>
        </w:rPr>
        <w:t>Federação Nacional de Previdência Privada e Vida</w:t>
      </w:r>
      <w:r w:rsidR="007B1F18" w:rsidRPr="003733A1">
        <w:rPr>
          <w:rFonts w:ascii="Times New Roman" w:hAnsi="Times New Roman" w:cs="Times New Roman"/>
        </w:rPr>
        <w:t>) - apresentaram as manifestações em conjunto</w:t>
      </w:r>
    </w:p>
    <w:p w14:paraId="5D7EA06E" w14:textId="232A30BD" w:rsidR="009576DB" w:rsidRPr="003733A1" w:rsidRDefault="009576DB" w:rsidP="00AC49AF">
      <w:pPr>
        <w:pStyle w:val="PargrafodaLista"/>
        <w:numPr>
          <w:ilvl w:val="0"/>
          <w:numId w:val="1"/>
        </w:numPr>
        <w:jc w:val="both"/>
        <w:rPr>
          <w:rFonts w:ascii="Times New Roman" w:hAnsi="Times New Roman" w:cs="Times New Roman"/>
        </w:rPr>
      </w:pPr>
      <w:r w:rsidRPr="003733A1">
        <w:rPr>
          <w:rFonts w:ascii="Times New Roman" w:hAnsi="Times New Roman" w:cs="Times New Roman"/>
        </w:rPr>
        <w:t xml:space="preserve">IBDS </w:t>
      </w:r>
      <w:r w:rsidR="007E1376">
        <w:rPr>
          <w:rFonts w:ascii="Times New Roman" w:hAnsi="Times New Roman" w:cs="Times New Roman"/>
        </w:rPr>
        <w:t>-</w:t>
      </w:r>
      <w:r w:rsidR="007E1376" w:rsidRPr="003733A1">
        <w:rPr>
          <w:rFonts w:ascii="Times New Roman" w:hAnsi="Times New Roman" w:cs="Times New Roman"/>
        </w:rPr>
        <w:t xml:space="preserve"> </w:t>
      </w:r>
      <w:r w:rsidR="00CC0475" w:rsidRPr="003733A1">
        <w:rPr>
          <w:rFonts w:ascii="Times New Roman" w:hAnsi="Times New Roman" w:cs="Times New Roman"/>
        </w:rPr>
        <w:t>Instituto Brasileiro de Direito do Seguro</w:t>
      </w:r>
    </w:p>
    <w:p w14:paraId="685715E2" w14:textId="7DCE6766" w:rsidR="009B5679" w:rsidRPr="003733A1" w:rsidRDefault="009B5679" w:rsidP="00AC49AF">
      <w:pPr>
        <w:pStyle w:val="PargrafodaLista"/>
        <w:numPr>
          <w:ilvl w:val="0"/>
          <w:numId w:val="1"/>
        </w:numPr>
        <w:jc w:val="both"/>
        <w:rPr>
          <w:rFonts w:ascii="Times New Roman" w:hAnsi="Times New Roman" w:cs="Times New Roman"/>
        </w:rPr>
      </w:pPr>
      <w:r w:rsidRPr="003733A1">
        <w:rPr>
          <w:rFonts w:ascii="Times New Roman" w:hAnsi="Times New Roman" w:cs="Times New Roman"/>
        </w:rPr>
        <w:t>Leonardo Juan Herrera</w:t>
      </w:r>
    </w:p>
    <w:p w14:paraId="29139C50" w14:textId="71B9A286" w:rsidR="009B5679" w:rsidRPr="003733A1" w:rsidRDefault="009B5679" w:rsidP="00AC49AF">
      <w:pPr>
        <w:pStyle w:val="PargrafodaLista"/>
        <w:numPr>
          <w:ilvl w:val="0"/>
          <w:numId w:val="1"/>
        </w:numPr>
        <w:jc w:val="both"/>
        <w:rPr>
          <w:rFonts w:ascii="Times New Roman" w:hAnsi="Times New Roman" w:cs="Times New Roman"/>
        </w:rPr>
      </w:pPr>
      <w:r w:rsidRPr="003733A1">
        <w:rPr>
          <w:rFonts w:ascii="Times New Roman" w:hAnsi="Times New Roman" w:cs="Times New Roman"/>
        </w:rPr>
        <w:t>Luiz</w:t>
      </w:r>
      <w:r w:rsidR="0009560A" w:rsidRPr="003733A1">
        <w:rPr>
          <w:rFonts w:ascii="Times New Roman" w:hAnsi="Times New Roman" w:cs="Times New Roman"/>
        </w:rPr>
        <w:t xml:space="preserve"> Roberto de Assis</w:t>
      </w:r>
    </w:p>
    <w:p w14:paraId="6753E215" w14:textId="4A166670" w:rsidR="005A3A72" w:rsidRPr="003733A1" w:rsidRDefault="005A3A72" w:rsidP="00AC49AF">
      <w:pPr>
        <w:pStyle w:val="PargrafodaLista"/>
        <w:numPr>
          <w:ilvl w:val="0"/>
          <w:numId w:val="1"/>
        </w:numPr>
        <w:jc w:val="both"/>
        <w:rPr>
          <w:rFonts w:ascii="Times New Roman" w:hAnsi="Times New Roman" w:cs="Times New Roman"/>
        </w:rPr>
      </w:pPr>
      <w:proofErr w:type="spellStart"/>
      <w:r w:rsidRPr="003733A1">
        <w:rPr>
          <w:rFonts w:ascii="Times New Roman" w:hAnsi="Times New Roman" w:cs="Times New Roman"/>
        </w:rPr>
        <w:t>Núclea</w:t>
      </w:r>
      <w:proofErr w:type="spellEnd"/>
      <w:r w:rsidR="009576DB" w:rsidRPr="003733A1">
        <w:rPr>
          <w:rFonts w:ascii="Times New Roman" w:hAnsi="Times New Roman" w:cs="Times New Roman"/>
        </w:rPr>
        <w:t xml:space="preserve"> </w:t>
      </w:r>
    </w:p>
    <w:p w14:paraId="1209E282" w14:textId="3200E4ED" w:rsidR="0009560A" w:rsidRPr="003733A1" w:rsidRDefault="0009560A" w:rsidP="00AC49AF">
      <w:pPr>
        <w:pStyle w:val="PargrafodaLista"/>
        <w:numPr>
          <w:ilvl w:val="0"/>
          <w:numId w:val="1"/>
        </w:numPr>
        <w:jc w:val="both"/>
        <w:rPr>
          <w:rFonts w:ascii="Times New Roman" w:hAnsi="Times New Roman" w:cs="Times New Roman"/>
        </w:rPr>
      </w:pPr>
      <w:r w:rsidRPr="003733A1">
        <w:rPr>
          <w:rFonts w:ascii="Times New Roman" w:hAnsi="Times New Roman" w:cs="Times New Roman"/>
        </w:rPr>
        <w:t xml:space="preserve">Thiago </w:t>
      </w:r>
      <w:proofErr w:type="spellStart"/>
      <w:r w:rsidRPr="003733A1">
        <w:rPr>
          <w:rFonts w:ascii="Times New Roman" w:hAnsi="Times New Roman" w:cs="Times New Roman"/>
        </w:rPr>
        <w:t>Reus</w:t>
      </w:r>
      <w:proofErr w:type="spellEnd"/>
      <w:r w:rsidRPr="003733A1">
        <w:rPr>
          <w:rFonts w:ascii="Times New Roman" w:hAnsi="Times New Roman" w:cs="Times New Roman"/>
        </w:rPr>
        <w:t xml:space="preserve"> Roza Lopes Estevem</w:t>
      </w:r>
    </w:p>
    <w:p w14:paraId="1743316D" w14:textId="41398DD3" w:rsidR="009925C1" w:rsidRPr="003733A1" w:rsidRDefault="009925C1" w:rsidP="00AC49AF">
      <w:pPr>
        <w:pStyle w:val="PargrafodaLista"/>
        <w:numPr>
          <w:ilvl w:val="0"/>
          <w:numId w:val="1"/>
        </w:numPr>
        <w:jc w:val="both"/>
        <w:rPr>
          <w:rFonts w:ascii="Times New Roman" w:hAnsi="Times New Roman" w:cs="Times New Roman"/>
        </w:rPr>
      </w:pPr>
      <w:proofErr w:type="spellStart"/>
      <w:r w:rsidRPr="003733A1">
        <w:rPr>
          <w:rFonts w:ascii="Times New Roman" w:hAnsi="Times New Roman" w:cs="Times New Roman"/>
        </w:rPr>
        <w:t>Zetta</w:t>
      </w:r>
      <w:proofErr w:type="spellEnd"/>
    </w:p>
    <w:p w14:paraId="5E824066" w14:textId="24D42E62" w:rsidR="00266891" w:rsidRPr="003733A1" w:rsidRDefault="002B0F89" w:rsidP="00545177">
      <w:pPr>
        <w:jc w:val="both"/>
        <w:rPr>
          <w:rFonts w:ascii="Times New Roman" w:hAnsi="Times New Roman" w:cs="Times New Roman"/>
        </w:rPr>
      </w:pPr>
      <w:r w:rsidRPr="28067F80">
        <w:rPr>
          <w:rFonts w:ascii="Times New Roman" w:hAnsi="Times New Roman" w:cs="Times New Roman"/>
        </w:rPr>
        <w:t xml:space="preserve">O número de contribuições por participante </w:t>
      </w:r>
      <w:r w:rsidR="00DC5742" w:rsidRPr="28067F80">
        <w:rPr>
          <w:rFonts w:ascii="Times New Roman" w:hAnsi="Times New Roman" w:cs="Times New Roman"/>
        </w:rPr>
        <w:t xml:space="preserve">foi variado. </w:t>
      </w:r>
      <w:proofErr w:type="spellStart"/>
      <w:r w:rsidR="009F141E" w:rsidRPr="28067F80">
        <w:rPr>
          <w:rFonts w:ascii="Times New Roman" w:hAnsi="Times New Roman" w:cs="Times New Roman"/>
        </w:rPr>
        <w:t>Fenacap</w:t>
      </w:r>
      <w:proofErr w:type="spellEnd"/>
      <w:r w:rsidR="009F141E" w:rsidRPr="28067F80">
        <w:rPr>
          <w:rFonts w:ascii="Times New Roman" w:hAnsi="Times New Roman" w:cs="Times New Roman"/>
        </w:rPr>
        <w:t xml:space="preserve"> e </w:t>
      </w:r>
      <w:proofErr w:type="spellStart"/>
      <w:r w:rsidR="009F141E" w:rsidRPr="28067F80">
        <w:rPr>
          <w:rFonts w:ascii="Times New Roman" w:hAnsi="Times New Roman" w:cs="Times New Roman"/>
        </w:rPr>
        <w:t>Fenaprevi</w:t>
      </w:r>
      <w:proofErr w:type="spellEnd"/>
      <w:r w:rsidR="009F141E" w:rsidRPr="28067F80">
        <w:rPr>
          <w:rFonts w:ascii="Times New Roman" w:hAnsi="Times New Roman" w:cs="Times New Roman"/>
        </w:rPr>
        <w:t xml:space="preserve"> </w:t>
      </w:r>
      <w:r w:rsidR="0069666B" w:rsidRPr="28067F80">
        <w:rPr>
          <w:rFonts w:ascii="Times New Roman" w:hAnsi="Times New Roman" w:cs="Times New Roman"/>
        </w:rPr>
        <w:t xml:space="preserve">apresentaram </w:t>
      </w:r>
      <w:r w:rsidR="009F141E" w:rsidRPr="28067F80">
        <w:rPr>
          <w:rFonts w:ascii="Times New Roman" w:hAnsi="Times New Roman" w:cs="Times New Roman"/>
        </w:rPr>
        <w:t>50</w:t>
      </w:r>
      <w:r w:rsidR="790CBC17" w:rsidRPr="28067F80">
        <w:rPr>
          <w:rFonts w:ascii="Times New Roman" w:hAnsi="Times New Roman" w:cs="Times New Roman"/>
        </w:rPr>
        <w:t xml:space="preserve"> (cinquenta)</w:t>
      </w:r>
      <w:r w:rsidR="009F141E" w:rsidRPr="28067F80">
        <w:rPr>
          <w:rFonts w:ascii="Times New Roman" w:hAnsi="Times New Roman" w:cs="Times New Roman"/>
        </w:rPr>
        <w:t xml:space="preserve"> </w:t>
      </w:r>
      <w:r w:rsidR="00E5745C" w:rsidRPr="28067F80">
        <w:rPr>
          <w:rFonts w:ascii="Times New Roman" w:hAnsi="Times New Roman" w:cs="Times New Roman"/>
        </w:rPr>
        <w:t>sugestões</w:t>
      </w:r>
      <w:r w:rsidR="00C96E0E" w:rsidRPr="28067F80">
        <w:rPr>
          <w:rFonts w:ascii="Times New Roman" w:hAnsi="Times New Roman" w:cs="Times New Roman"/>
        </w:rPr>
        <w:t>, seguidos pela Febraban</w:t>
      </w:r>
      <w:r w:rsidR="00EA67F7" w:rsidRPr="28067F80">
        <w:rPr>
          <w:rFonts w:ascii="Times New Roman" w:hAnsi="Times New Roman" w:cs="Times New Roman"/>
        </w:rPr>
        <w:t xml:space="preserve">, </w:t>
      </w:r>
      <w:r w:rsidR="0069666B" w:rsidRPr="28067F80">
        <w:rPr>
          <w:rFonts w:ascii="Times New Roman" w:hAnsi="Times New Roman" w:cs="Times New Roman"/>
        </w:rPr>
        <w:t>com</w:t>
      </w:r>
      <w:r w:rsidR="00EA67F7" w:rsidRPr="28067F80">
        <w:rPr>
          <w:rFonts w:ascii="Times New Roman" w:hAnsi="Times New Roman" w:cs="Times New Roman"/>
        </w:rPr>
        <w:t xml:space="preserve"> 3</w:t>
      </w:r>
      <w:r w:rsidR="009F55C9" w:rsidRPr="28067F80">
        <w:rPr>
          <w:rFonts w:ascii="Times New Roman" w:hAnsi="Times New Roman" w:cs="Times New Roman"/>
        </w:rPr>
        <w:t>3</w:t>
      </w:r>
      <w:r w:rsidR="0C9991CC" w:rsidRPr="28067F80">
        <w:rPr>
          <w:rFonts w:ascii="Times New Roman" w:hAnsi="Times New Roman" w:cs="Times New Roman"/>
        </w:rPr>
        <w:t xml:space="preserve"> (trinta e três)</w:t>
      </w:r>
      <w:r w:rsidR="00EA67F7" w:rsidRPr="28067F80">
        <w:rPr>
          <w:rFonts w:ascii="Times New Roman" w:hAnsi="Times New Roman" w:cs="Times New Roman"/>
        </w:rPr>
        <w:t xml:space="preserve"> </w:t>
      </w:r>
      <w:r w:rsidR="00345F5A" w:rsidRPr="28067F80">
        <w:rPr>
          <w:rFonts w:ascii="Times New Roman" w:hAnsi="Times New Roman" w:cs="Times New Roman"/>
        </w:rPr>
        <w:t>manifestações</w:t>
      </w:r>
      <w:r w:rsidR="00EA67F7" w:rsidRPr="28067F80">
        <w:rPr>
          <w:rFonts w:ascii="Times New Roman" w:hAnsi="Times New Roman" w:cs="Times New Roman"/>
        </w:rPr>
        <w:t xml:space="preserve">. </w:t>
      </w:r>
      <w:r w:rsidR="005F28A6" w:rsidRPr="28067F80">
        <w:rPr>
          <w:rFonts w:ascii="Times New Roman" w:hAnsi="Times New Roman" w:cs="Times New Roman"/>
        </w:rPr>
        <w:t xml:space="preserve">Alguns participantes, como </w:t>
      </w:r>
      <w:r w:rsidR="00EA67F7" w:rsidRPr="28067F80">
        <w:rPr>
          <w:rFonts w:ascii="Times New Roman" w:hAnsi="Times New Roman" w:cs="Times New Roman"/>
        </w:rPr>
        <w:t>IBDS</w:t>
      </w:r>
      <w:r w:rsidR="005F28A6" w:rsidRPr="28067F80">
        <w:rPr>
          <w:rFonts w:ascii="Times New Roman" w:hAnsi="Times New Roman" w:cs="Times New Roman"/>
        </w:rPr>
        <w:t xml:space="preserve"> e </w:t>
      </w:r>
      <w:proofErr w:type="spellStart"/>
      <w:r w:rsidR="005F28A6" w:rsidRPr="28067F80">
        <w:rPr>
          <w:rFonts w:ascii="Times New Roman" w:hAnsi="Times New Roman" w:cs="Times New Roman"/>
        </w:rPr>
        <w:t>Zetta</w:t>
      </w:r>
      <w:proofErr w:type="spellEnd"/>
      <w:r w:rsidR="005F28A6" w:rsidRPr="28067F80">
        <w:rPr>
          <w:rFonts w:ascii="Times New Roman" w:hAnsi="Times New Roman" w:cs="Times New Roman"/>
        </w:rPr>
        <w:t xml:space="preserve"> optaram por enviar apenas </w:t>
      </w:r>
      <w:r w:rsidR="00384894" w:rsidRPr="28067F80">
        <w:rPr>
          <w:rFonts w:ascii="Times New Roman" w:hAnsi="Times New Roman" w:cs="Times New Roman"/>
        </w:rPr>
        <w:t xml:space="preserve">um arquivo apartado com suas considerações sem o detalhamento por dispositivo na minuta, pelo que </w:t>
      </w:r>
      <w:r w:rsidR="009B284E" w:rsidRPr="28067F80">
        <w:rPr>
          <w:rFonts w:ascii="Times New Roman" w:hAnsi="Times New Roman" w:cs="Times New Roman"/>
        </w:rPr>
        <w:t>aparecem no quadro geral de contribuições com 1</w:t>
      </w:r>
      <w:r w:rsidR="58C3F4F3" w:rsidRPr="28067F80">
        <w:rPr>
          <w:rFonts w:ascii="Times New Roman" w:hAnsi="Times New Roman" w:cs="Times New Roman"/>
        </w:rPr>
        <w:t xml:space="preserve"> (uma)</w:t>
      </w:r>
      <w:r w:rsidR="009B284E" w:rsidRPr="28067F80">
        <w:rPr>
          <w:rFonts w:ascii="Times New Roman" w:hAnsi="Times New Roman" w:cs="Times New Roman"/>
        </w:rPr>
        <w:t xml:space="preserve"> contribuição:</w:t>
      </w:r>
    </w:p>
    <w:tbl>
      <w:tblPr>
        <w:tblStyle w:val="Tabelacomgrade"/>
        <w:tblW w:w="0" w:type="auto"/>
        <w:tblInd w:w="137" w:type="dxa"/>
        <w:tblLook w:val="04A0" w:firstRow="1" w:lastRow="0" w:firstColumn="1" w:lastColumn="0" w:noHBand="0" w:noVBand="1"/>
      </w:tblPr>
      <w:tblGrid>
        <w:gridCol w:w="4110"/>
        <w:gridCol w:w="3828"/>
      </w:tblGrid>
      <w:tr w:rsidR="00FE139F" w:rsidRPr="003733A1" w14:paraId="7CDD37F2" w14:textId="77777777" w:rsidTr="00155109">
        <w:tc>
          <w:tcPr>
            <w:tcW w:w="4110" w:type="dxa"/>
          </w:tcPr>
          <w:p w14:paraId="1AF5972D" w14:textId="5DD71445" w:rsidR="00FE139F" w:rsidRPr="003733A1" w:rsidRDefault="00FE139F" w:rsidP="00991F97">
            <w:pPr>
              <w:jc w:val="center"/>
              <w:rPr>
                <w:rFonts w:ascii="Times New Roman" w:hAnsi="Times New Roman" w:cs="Times New Roman"/>
                <w:b/>
                <w:bCs/>
              </w:rPr>
            </w:pPr>
            <w:r w:rsidRPr="003733A1">
              <w:rPr>
                <w:rFonts w:ascii="Times New Roman" w:hAnsi="Times New Roman" w:cs="Times New Roman"/>
                <w:b/>
                <w:bCs/>
              </w:rPr>
              <w:t>PARTICIPANTE</w:t>
            </w:r>
          </w:p>
        </w:tc>
        <w:tc>
          <w:tcPr>
            <w:tcW w:w="3828" w:type="dxa"/>
          </w:tcPr>
          <w:p w14:paraId="5AB56B2B" w14:textId="08A67E70" w:rsidR="00FE139F" w:rsidRPr="003733A1" w:rsidRDefault="00FE139F" w:rsidP="00991F97">
            <w:pPr>
              <w:jc w:val="center"/>
              <w:rPr>
                <w:rFonts w:ascii="Times New Roman" w:hAnsi="Times New Roman" w:cs="Times New Roman"/>
                <w:b/>
                <w:bCs/>
              </w:rPr>
            </w:pPr>
            <w:r w:rsidRPr="003733A1">
              <w:rPr>
                <w:rFonts w:ascii="Times New Roman" w:hAnsi="Times New Roman" w:cs="Times New Roman"/>
                <w:b/>
                <w:bCs/>
              </w:rPr>
              <w:t>CONTRIBUIÇÕES</w:t>
            </w:r>
          </w:p>
        </w:tc>
      </w:tr>
      <w:tr w:rsidR="00FE139F" w:rsidRPr="003733A1" w14:paraId="689B6424" w14:textId="77777777" w:rsidTr="00155109">
        <w:tc>
          <w:tcPr>
            <w:tcW w:w="4110" w:type="dxa"/>
          </w:tcPr>
          <w:p w14:paraId="4DB82B43" w14:textId="5CF1335C" w:rsidR="00FE139F" w:rsidRPr="003733A1" w:rsidRDefault="00FE139F" w:rsidP="00D81C82">
            <w:pPr>
              <w:jc w:val="center"/>
              <w:rPr>
                <w:rFonts w:ascii="Times New Roman" w:hAnsi="Times New Roman" w:cs="Times New Roman"/>
              </w:rPr>
            </w:pPr>
            <w:r w:rsidRPr="003733A1">
              <w:rPr>
                <w:rFonts w:ascii="Times New Roman" w:hAnsi="Times New Roman" w:cs="Times New Roman"/>
              </w:rPr>
              <w:t>ABBC</w:t>
            </w:r>
          </w:p>
        </w:tc>
        <w:tc>
          <w:tcPr>
            <w:tcW w:w="3828" w:type="dxa"/>
          </w:tcPr>
          <w:p w14:paraId="2D6075FE" w14:textId="58096B6D" w:rsidR="00FE139F" w:rsidRPr="003733A1" w:rsidRDefault="00FE139F" w:rsidP="00991F97">
            <w:pPr>
              <w:jc w:val="center"/>
              <w:rPr>
                <w:rFonts w:ascii="Times New Roman" w:hAnsi="Times New Roman" w:cs="Times New Roman"/>
              </w:rPr>
            </w:pPr>
            <w:r w:rsidRPr="003733A1">
              <w:rPr>
                <w:rFonts w:ascii="Times New Roman" w:hAnsi="Times New Roman" w:cs="Times New Roman"/>
              </w:rPr>
              <w:t>1</w:t>
            </w:r>
            <w:r w:rsidR="00652F2E" w:rsidRPr="003733A1">
              <w:rPr>
                <w:rFonts w:ascii="Times New Roman" w:hAnsi="Times New Roman" w:cs="Times New Roman"/>
              </w:rPr>
              <w:t>8</w:t>
            </w:r>
          </w:p>
        </w:tc>
      </w:tr>
      <w:tr w:rsidR="00FE139F" w:rsidRPr="003733A1" w14:paraId="3F12D84F" w14:textId="77777777" w:rsidTr="00155109">
        <w:tc>
          <w:tcPr>
            <w:tcW w:w="4110" w:type="dxa"/>
          </w:tcPr>
          <w:p w14:paraId="2C5DB53C" w14:textId="35943DCE" w:rsidR="00FE139F" w:rsidRPr="003733A1" w:rsidRDefault="001800CB" w:rsidP="00D81C82">
            <w:pPr>
              <w:jc w:val="center"/>
              <w:rPr>
                <w:rFonts w:ascii="Times New Roman" w:hAnsi="Times New Roman" w:cs="Times New Roman"/>
              </w:rPr>
            </w:pPr>
            <w:proofErr w:type="spellStart"/>
            <w:r w:rsidRPr="003733A1">
              <w:rPr>
                <w:rFonts w:ascii="Times New Roman" w:hAnsi="Times New Roman" w:cs="Times New Roman"/>
              </w:rPr>
              <w:t>A</w:t>
            </w:r>
            <w:r w:rsidR="00882286" w:rsidRPr="003733A1">
              <w:rPr>
                <w:rFonts w:ascii="Times New Roman" w:hAnsi="Times New Roman" w:cs="Times New Roman"/>
              </w:rPr>
              <w:t>branet</w:t>
            </w:r>
            <w:proofErr w:type="spellEnd"/>
          </w:p>
        </w:tc>
        <w:tc>
          <w:tcPr>
            <w:tcW w:w="3828" w:type="dxa"/>
          </w:tcPr>
          <w:p w14:paraId="21FE97D0" w14:textId="70AC4FAE" w:rsidR="00FE139F" w:rsidRPr="003733A1" w:rsidRDefault="001800CB" w:rsidP="00991F97">
            <w:pPr>
              <w:jc w:val="center"/>
              <w:rPr>
                <w:rFonts w:ascii="Times New Roman" w:hAnsi="Times New Roman" w:cs="Times New Roman"/>
              </w:rPr>
            </w:pPr>
            <w:r w:rsidRPr="003733A1">
              <w:rPr>
                <w:rFonts w:ascii="Times New Roman" w:hAnsi="Times New Roman" w:cs="Times New Roman"/>
              </w:rPr>
              <w:t>16</w:t>
            </w:r>
          </w:p>
        </w:tc>
      </w:tr>
      <w:tr w:rsidR="00FE139F" w:rsidRPr="003733A1" w14:paraId="358F3FB7" w14:textId="77777777" w:rsidTr="00155109">
        <w:tc>
          <w:tcPr>
            <w:tcW w:w="4110" w:type="dxa"/>
          </w:tcPr>
          <w:p w14:paraId="51012F0E" w14:textId="41DCC20E" w:rsidR="00FE139F" w:rsidRPr="003733A1" w:rsidRDefault="008517AF" w:rsidP="00D81C82">
            <w:pPr>
              <w:jc w:val="center"/>
              <w:rPr>
                <w:rFonts w:ascii="Times New Roman" w:hAnsi="Times New Roman" w:cs="Times New Roman"/>
              </w:rPr>
            </w:pPr>
            <w:r w:rsidRPr="003733A1">
              <w:rPr>
                <w:rFonts w:ascii="Times New Roman" w:hAnsi="Times New Roman" w:cs="Times New Roman"/>
              </w:rPr>
              <w:t>F</w:t>
            </w:r>
            <w:r w:rsidR="00882286" w:rsidRPr="003733A1">
              <w:rPr>
                <w:rFonts w:ascii="Times New Roman" w:hAnsi="Times New Roman" w:cs="Times New Roman"/>
              </w:rPr>
              <w:t>ebraban</w:t>
            </w:r>
          </w:p>
        </w:tc>
        <w:tc>
          <w:tcPr>
            <w:tcW w:w="3828" w:type="dxa"/>
          </w:tcPr>
          <w:p w14:paraId="35771C8E" w14:textId="341E1C7E" w:rsidR="00FE139F" w:rsidRPr="003733A1" w:rsidRDefault="008517AF" w:rsidP="00991F97">
            <w:pPr>
              <w:jc w:val="center"/>
              <w:rPr>
                <w:rFonts w:ascii="Times New Roman" w:hAnsi="Times New Roman" w:cs="Times New Roman"/>
              </w:rPr>
            </w:pPr>
            <w:r w:rsidRPr="003733A1">
              <w:rPr>
                <w:rFonts w:ascii="Times New Roman" w:hAnsi="Times New Roman" w:cs="Times New Roman"/>
              </w:rPr>
              <w:t>3</w:t>
            </w:r>
            <w:r w:rsidR="009F55C9">
              <w:rPr>
                <w:rFonts w:ascii="Times New Roman" w:hAnsi="Times New Roman" w:cs="Times New Roman"/>
              </w:rPr>
              <w:t>3</w:t>
            </w:r>
          </w:p>
        </w:tc>
      </w:tr>
      <w:tr w:rsidR="007B1F18" w:rsidRPr="003733A1" w14:paraId="214DDDCE" w14:textId="77777777" w:rsidTr="00155109">
        <w:tc>
          <w:tcPr>
            <w:tcW w:w="4110" w:type="dxa"/>
          </w:tcPr>
          <w:p w14:paraId="18F3D70D" w14:textId="008ED3E0" w:rsidR="007B1F18" w:rsidRPr="003733A1" w:rsidRDefault="00882286" w:rsidP="00D81C82">
            <w:pPr>
              <w:jc w:val="center"/>
              <w:rPr>
                <w:rFonts w:ascii="Times New Roman" w:hAnsi="Times New Roman" w:cs="Times New Roman"/>
              </w:rPr>
            </w:pPr>
            <w:proofErr w:type="spellStart"/>
            <w:r w:rsidRPr="003733A1">
              <w:rPr>
                <w:rFonts w:ascii="Times New Roman" w:hAnsi="Times New Roman" w:cs="Times New Roman"/>
              </w:rPr>
              <w:t>Fena</w:t>
            </w:r>
            <w:r w:rsidR="00A95AD5" w:rsidRPr="003733A1">
              <w:rPr>
                <w:rFonts w:ascii="Times New Roman" w:hAnsi="Times New Roman" w:cs="Times New Roman"/>
              </w:rPr>
              <w:t>cap</w:t>
            </w:r>
            <w:proofErr w:type="spellEnd"/>
            <w:r w:rsidR="00A95AD5" w:rsidRPr="003733A1">
              <w:rPr>
                <w:rFonts w:ascii="Times New Roman" w:hAnsi="Times New Roman" w:cs="Times New Roman"/>
              </w:rPr>
              <w:t xml:space="preserve"> e </w:t>
            </w:r>
            <w:proofErr w:type="spellStart"/>
            <w:r w:rsidR="00A95AD5" w:rsidRPr="003733A1">
              <w:rPr>
                <w:rFonts w:ascii="Times New Roman" w:hAnsi="Times New Roman" w:cs="Times New Roman"/>
              </w:rPr>
              <w:t>Fenaprevi</w:t>
            </w:r>
            <w:proofErr w:type="spellEnd"/>
          </w:p>
        </w:tc>
        <w:tc>
          <w:tcPr>
            <w:tcW w:w="3828" w:type="dxa"/>
          </w:tcPr>
          <w:p w14:paraId="5D8DBB0E" w14:textId="1C93AA1D" w:rsidR="007B1F18" w:rsidRPr="003733A1" w:rsidRDefault="00991F97" w:rsidP="00991F97">
            <w:pPr>
              <w:jc w:val="center"/>
              <w:rPr>
                <w:rFonts w:ascii="Times New Roman" w:hAnsi="Times New Roman" w:cs="Times New Roman"/>
              </w:rPr>
            </w:pPr>
            <w:r w:rsidRPr="003733A1">
              <w:rPr>
                <w:rFonts w:ascii="Times New Roman" w:hAnsi="Times New Roman" w:cs="Times New Roman"/>
              </w:rPr>
              <w:t>50</w:t>
            </w:r>
          </w:p>
        </w:tc>
      </w:tr>
      <w:tr w:rsidR="007B1F18" w:rsidRPr="003733A1" w14:paraId="1280A982" w14:textId="77777777" w:rsidTr="00155109">
        <w:tc>
          <w:tcPr>
            <w:tcW w:w="4110" w:type="dxa"/>
          </w:tcPr>
          <w:p w14:paraId="72259213" w14:textId="0579552C" w:rsidR="007B1F18" w:rsidRPr="003733A1" w:rsidRDefault="00DD0E46" w:rsidP="002D10BF">
            <w:pPr>
              <w:jc w:val="center"/>
              <w:rPr>
                <w:rFonts w:ascii="Times New Roman" w:hAnsi="Times New Roman" w:cs="Times New Roman"/>
              </w:rPr>
            </w:pPr>
            <w:r w:rsidRPr="003733A1">
              <w:rPr>
                <w:rFonts w:ascii="Times New Roman" w:hAnsi="Times New Roman" w:cs="Times New Roman"/>
              </w:rPr>
              <w:t>IBDS</w:t>
            </w:r>
          </w:p>
        </w:tc>
        <w:tc>
          <w:tcPr>
            <w:tcW w:w="3828" w:type="dxa"/>
          </w:tcPr>
          <w:p w14:paraId="2661D6F8" w14:textId="1AC52784" w:rsidR="007B1F18" w:rsidRPr="003733A1" w:rsidRDefault="00DD0E46" w:rsidP="002D10BF">
            <w:pPr>
              <w:jc w:val="center"/>
              <w:rPr>
                <w:rFonts w:ascii="Times New Roman" w:hAnsi="Times New Roman" w:cs="Times New Roman"/>
              </w:rPr>
            </w:pPr>
            <w:r w:rsidRPr="003733A1">
              <w:rPr>
                <w:rFonts w:ascii="Times New Roman" w:hAnsi="Times New Roman" w:cs="Times New Roman"/>
              </w:rPr>
              <w:t>1</w:t>
            </w:r>
          </w:p>
        </w:tc>
      </w:tr>
      <w:tr w:rsidR="007B1F18" w:rsidRPr="003733A1" w14:paraId="487A39A8" w14:textId="77777777" w:rsidTr="00155109">
        <w:tc>
          <w:tcPr>
            <w:tcW w:w="4110" w:type="dxa"/>
          </w:tcPr>
          <w:p w14:paraId="23029B3E" w14:textId="0EB4691E" w:rsidR="007B1F18" w:rsidRPr="003733A1" w:rsidRDefault="00DD0E46" w:rsidP="002D10BF">
            <w:pPr>
              <w:jc w:val="center"/>
              <w:rPr>
                <w:rFonts w:ascii="Times New Roman" w:hAnsi="Times New Roman" w:cs="Times New Roman"/>
              </w:rPr>
            </w:pPr>
            <w:r w:rsidRPr="003733A1">
              <w:rPr>
                <w:rFonts w:ascii="Times New Roman" w:hAnsi="Times New Roman" w:cs="Times New Roman"/>
              </w:rPr>
              <w:t>Leonardo Juan Herrera</w:t>
            </w:r>
          </w:p>
        </w:tc>
        <w:tc>
          <w:tcPr>
            <w:tcW w:w="3828" w:type="dxa"/>
          </w:tcPr>
          <w:p w14:paraId="360A6966" w14:textId="543A9F53" w:rsidR="007B1F18" w:rsidRPr="003733A1" w:rsidRDefault="008A5529" w:rsidP="002D10BF">
            <w:pPr>
              <w:jc w:val="center"/>
              <w:rPr>
                <w:rFonts w:ascii="Times New Roman" w:hAnsi="Times New Roman" w:cs="Times New Roman"/>
              </w:rPr>
            </w:pPr>
            <w:r w:rsidRPr="003733A1">
              <w:rPr>
                <w:rFonts w:ascii="Times New Roman" w:hAnsi="Times New Roman" w:cs="Times New Roman"/>
              </w:rPr>
              <w:t>1</w:t>
            </w:r>
          </w:p>
        </w:tc>
      </w:tr>
      <w:tr w:rsidR="007B1F18" w:rsidRPr="003733A1" w14:paraId="73E7F777" w14:textId="77777777" w:rsidTr="00155109">
        <w:tc>
          <w:tcPr>
            <w:tcW w:w="4110" w:type="dxa"/>
          </w:tcPr>
          <w:p w14:paraId="5445A5DB" w14:textId="069B3CCB" w:rsidR="007B1F18" w:rsidRPr="003733A1" w:rsidRDefault="00DD0E46" w:rsidP="002D10BF">
            <w:pPr>
              <w:jc w:val="center"/>
              <w:rPr>
                <w:rFonts w:ascii="Times New Roman" w:hAnsi="Times New Roman" w:cs="Times New Roman"/>
              </w:rPr>
            </w:pPr>
            <w:r w:rsidRPr="003733A1">
              <w:rPr>
                <w:rFonts w:ascii="Times New Roman" w:hAnsi="Times New Roman" w:cs="Times New Roman"/>
              </w:rPr>
              <w:t>Luiz Roberto de Assis</w:t>
            </w:r>
          </w:p>
        </w:tc>
        <w:tc>
          <w:tcPr>
            <w:tcW w:w="3828" w:type="dxa"/>
          </w:tcPr>
          <w:p w14:paraId="0EF8A53E" w14:textId="67FF0C17" w:rsidR="007B1F18" w:rsidRPr="003733A1" w:rsidRDefault="008A5529" w:rsidP="002D10BF">
            <w:pPr>
              <w:jc w:val="center"/>
              <w:rPr>
                <w:rFonts w:ascii="Times New Roman" w:hAnsi="Times New Roman" w:cs="Times New Roman"/>
              </w:rPr>
            </w:pPr>
            <w:r w:rsidRPr="003733A1">
              <w:rPr>
                <w:rFonts w:ascii="Times New Roman" w:hAnsi="Times New Roman" w:cs="Times New Roman"/>
              </w:rPr>
              <w:t>8</w:t>
            </w:r>
          </w:p>
        </w:tc>
      </w:tr>
      <w:tr w:rsidR="007B1F18" w:rsidRPr="003733A1" w14:paraId="0A1D07CA" w14:textId="77777777" w:rsidTr="00155109">
        <w:tc>
          <w:tcPr>
            <w:tcW w:w="4110" w:type="dxa"/>
          </w:tcPr>
          <w:p w14:paraId="53D7048C" w14:textId="72A04F93" w:rsidR="007B1F18" w:rsidRPr="003733A1" w:rsidRDefault="00DD0E46" w:rsidP="002D10BF">
            <w:pPr>
              <w:jc w:val="center"/>
              <w:rPr>
                <w:rFonts w:ascii="Times New Roman" w:hAnsi="Times New Roman" w:cs="Times New Roman"/>
              </w:rPr>
            </w:pPr>
            <w:proofErr w:type="spellStart"/>
            <w:r w:rsidRPr="003733A1">
              <w:rPr>
                <w:rFonts w:ascii="Times New Roman" w:hAnsi="Times New Roman" w:cs="Times New Roman"/>
              </w:rPr>
              <w:t>Núclea</w:t>
            </w:r>
            <w:proofErr w:type="spellEnd"/>
          </w:p>
        </w:tc>
        <w:tc>
          <w:tcPr>
            <w:tcW w:w="3828" w:type="dxa"/>
          </w:tcPr>
          <w:p w14:paraId="7AD64B8B" w14:textId="740F6007" w:rsidR="007B1F18" w:rsidRPr="003733A1" w:rsidRDefault="00D41669" w:rsidP="002D10BF">
            <w:pPr>
              <w:jc w:val="center"/>
              <w:rPr>
                <w:rFonts w:ascii="Times New Roman" w:hAnsi="Times New Roman" w:cs="Times New Roman"/>
              </w:rPr>
            </w:pPr>
            <w:r w:rsidRPr="003733A1">
              <w:rPr>
                <w:rFonts w:ascii="Times New Roman" w:hAnsi="Times New Roman" w:cs="Times New Roman"/>
              </w:rPr>
              <w:t>11</w:t>
            </w:r>
          </w:p>
        </w:tc>
      </w:tr>
      <w:tr w:rsidR="00DD0E46" w:rsidRPr="003733A1" w14:paraId="141ADFD3" w14:textId="77777777" w:rsidTr="00155109">
        <w:tc>
          <w:tcPr>
            <w:tcW w:w="4110" w:type="dxa"/>
          </w:tcPr>
          <w:p w14:paraId="0163DD19" w14:textId="05D8A1A3" w:rsidR="00DD0E46" w:rsidRPr="003733A1" w:rsidRDefault="002D10BF" w:rsidP="002D10BF">
            <w:pPr>
              <w:jc w:val="center"/>
              <w:rPr>
                <w:rFonts w:ascii="Times New Roman" w:hAnsi="Times New Roman" w:cs="Times New Roman"/>
              </w:rPr>
            </w:pPr>
            <w:r w:rsidRPr="003733A1">
              <w:rPr>
                <w:rFonts w:ascii="Times New Roman" w:hAnsi="Times New Roman" w:cs="Times New Roman"/>
              </w:rPr>
              <w:t xml:space="preserve">Thiago </w:t>
            </w:r>
            <w:proofErr w:type="spellStart"/>
            <w:r w:rsidRPr="003733A1">
              <w:rPr>
                <w:rFonts w:ascii="Times New Roman" w:hAnsi="Times New Roman" w:cs="Times New Roman"/>
              </w:rPr>
              <w:t>Reus</w:t>
            </w:r>
            <w:proofErr w:type="spellEnd"/>
            <w:r w:rsidRPr="003733A1">
              <w:rPr>
                <w:rFonts w:ascii="Times New Roman" w:hAnsi="Times New Roman" w:cs="Times New Roman"/>
              </w:rPr>
              <w:t xml:space="preserve"> Roza Lopes Estevem</w:t>
            </w:r>
          </w:p>
        </w:tc>
        <w:tc>
          <w:tcPr>
            <w:tcW w:w="3828" w:type="dxa"/>
          </w:tcPr>
          <w:p w14:paraId="6F25B197" w14:textId="3E7FBF7F" w:rsidR="00DD0E46" w:rsidRPr="003733A1" w:rsidRDefault="008A5529" w:rsidP="002D10BF">
            <w:pPr>
              <w:jc w:val="center"/>
              <w:rPr>
                <w:rFonts w:ascii="Times New Roman" w:hAnsi="Times New Roman" w:cs="Times New Roman"/>
              </w:rPr>
            </w:pPr>
            <w:r w:rsidRPr="003733A1">
              <w:rPr>
                <w:rFonts w:ascii="Times New Roman" w:hAnsi="Times New Roman" w:cs="Times New Roman"/>
              </w:rPr>
              <w:t>1</w:t>
            </w:r>
          </w:p>
        </w:tc>
      </w:tr>
      <w:tr w:rsidR="00DD0E46" w:rsidRPr="003733A1" w14:paraId="458ADA8A" w14:textId="77777777" w:rsidTr="00155109">
        <w:tc>
          <w:tcPr>
            <w:tcW w:w="4110" w:type="dxa"/>
          </w:tcPr>
          <w:p w14:paraId="5431ECAD" w14:textId="15741356" w:rsidR="00DD0E46" w:rsidRPr="003733A1" w:rsidRDefault="002D10BF" w:rsidP="002D10BF">
            <w:pPr>
              <w:jc w:val="center"/>
              <w:rPr>
                <w:rFonts w:ascii="Times New Roman" w:hAnsi="Times New Roman" w:cs="Times New Roman"/>
              </w:rPr>
            </w:pPr>
            <w:proofErr w:type="spellStart"/>
            <w:r w:rsidRPr="003733A1">
              <w:rPr>
                <w:rFonts w:ascii="Times New Roman" w:hAnsi="Times New Roman" w:cs="Times New Roman"/>
              </w:rPr>
              <w:t>Zetta</w:t>
            </w:r>
            <w:proofErr w:type="spellEnd"/>
          </w:p>
        </w:tc>
        <w:tc>
          <w:tcPr>
            <w:tcW w:w="3828" w:type="dxa"/>
          </w:tcPr>
          <w:p w14:paraId="1A518C94" w14:textId="45E3CFA1" w:rsidR="00DD0E46" w:rsidRPr="003733A1" w:rsidRDefault="00F667FB" w:rsidP="002D10BF">
            <w:pPr>
              <w:jc w:val="center"/>
              <w:rPr>
                <w:rFonts w:ascii="Times New Roman" w:hAnsi="Times New Roman" w:cs="Times New Roman"/>
              </w:rPr>
            </w:pPr>
            <w:r w:rsidRPr="003733A1">
              <w:rPr>
                <w:rFonts w:ascii="Times New Roman" w:hAnsi="Times New Roman" w:cs="Times New Roman"/>
              </w:rPr>
              <w:t>1</w:t>
            </w:r>
          </w:p>
        </w:tc>
      </w:tr>
    </w:tbl>
    <w:p w14:paraId="0DB728C8" w14:textId="77777777" w:rsidR="00FE139F" w:rsidRPr="003733A1" w:rsidRDefault="00FE139F" w:rsidP="00545177">
      <w:pPr>
        <w:jc w:val="both"/>
        <w:rPr>
          <w:rFonts w:ascii="Times New Roman" w:hAnsi="Times New Roman" w:cs="Times New Roman"/>
        </w:rPr>
      </w:pPr>
    </w:p>
    <w:p w14:paraId="7A8A78AB" w14:textId="5222C247" w:rsidR="00CC152B" w:rsidRPr="003733A1" w:rsidRDefault="00DB784C" w:rsidP="00545177">
      <w:pPr>
        <w:jc w:val="both"/>
        <w:rPr>
          <w:rFonts w:ascii="Times New Roman" w:hAnsi="Times New Roman" w:cs="Times New Roman"/>
        </w:rPr>
      </w:pPr>
      <w:r w:rsidRPr="003733A1">
        <w:rPr>
          <w:rFonts w:ascii="Times New Roman" w:hAnsi="Times New Roman" w:cs="Times New Roman"/>
        </w:rPr>
        <w:lastRenderedPageBreak/>
        <w:t xml:space="preserve">As </w:t>
      </w:r>
      <w:r w:rsidR="002B4A67" w:rsidRPr="003733A1">
        <w:rPr>
          <w:rFonts w:ascii="Times New Roman" w:hAnsi="Times New Roman" w:cs="Times New Roman"/>
        </w:rPr>
        <w:t>manifestações</w:t>
      </w:r>
      <w:r w:rsidRPr="003733A1">
        <w:rPr>
          <w:rFonts w:ascii="Times New Roman" w:hAnsi="Times New Roman" w:cs="Times New Roman"/>
        </w:rPr>
        <w:t xml:space="preserve"> apresentadas </w:t>
      </w:r>
      <w:r w:rsidR="0061717F" w:rsidRPr="003733A1">
        <w:rPr>
          <w:rFonts w:ascii="Times New Roman" w:hAnsi="Times New Roman" w:cs="Times New Roman"/>
        </w:rPr>
        <w:t>foram de diversas naturezas</w:t>
      </w:r>
      <w:r w:rsidR="002B4A67" w:rsidRPr="003733A1">
        <w:rPr>
          <w:rFonts w:ascii="Times New Roman" w:hAnsi="Times New Roman" w:cs="Times New Roman"/>
        </w:rPr>
        <w:t>: ajustes redacionais</w:t>
      </w:r>
      <w:r w:rsidR="00CC152B" w:rsidRPr="003733A1">
        <w:rPr>
          <w:rFonts w:ascii="Times New Roman" w:hAnsi="Times New Roman" w:cs="Times New Roman"/>
        </w:rPr>
        <w:t xml:space="preserve"> com o objetivo de aclarar </w:t>
      </w:r>
      <w:r w:rsidR="00F45003" w:rsidRPr="003733A1">
        <w:rPr>
          <w:rFonts w:ascii="Times New Roman" w:hAnsi="Times New Roman" w:cs="Times New Roman"/>
        </w:rPr>
        <w:t>o texto</w:t>
      </w:r>
      <w:r w:rsidR="007F730E" w:rsidRPr="003733A1">
        <w:rPr>
          <w:rFonts w:ascii="Times New Roman" w:hAnsi="Times New Roman" w:cs="Times New Roman"/>
        </w:rPr>
        <w:t>; conceituais, que versaram sobre eventuais problemas em relação à interpretação de determinados dispositivos, mas sem</w:t>
      </w:r>
      <w:r w:rsidR="00A83CEE" w:rsidRPr="003733A1">
        <w:rPr>
          <w:rFonts w:ascii="Times New Roman" w:hAnsi="Times New Roman" w:cs="Times New Roman"/>
        </w:rPr>
        <w:t xml:space="preserve"> sugestão redacional;</w:t>
      </w:r>
      <w:r w:rsidR="009E154E" w:rsidRPr="003733A1">
        <w:rPr>
          <w:rFonts w:ascii="Times New Roman" w:hAnsi="Times New Roman" w:cs="Times New Roman"/>
        </w:rPr>
        <w:t xml:space="preserve"> </w:t>
      </w:r>
      <w:r w:rsidR="005861E5" w:rsidRPr="003733A1">
        <w:rPr>
          <w:rFonts w:ascii="Times New Roman" w:hAnsi="Times New Roman" w:cs="Times New Roman"/>
        </w:rPr>
        <w:t xml:space="preserve">sugestões de </w:t>
      </w:r>
      <w:r w:rsidR="009E154E" w:rsidRPr="003733A1">
        <w:rPr>
          <w:rFonts w:ascii="Times New Roman" w:hAnsi="Times New Roman" w:cs="Times New Roman"/>
        </w:rPr>
        <w:t>exclusão, inclusão</w:t>
      </w:r>
      <w:r w:rsidR="00561B8F" w:rsidRPr="003733A1">
        <w:rPr>
          <w:rFonts w:ascii="Times New Roman" w:hAnsi="Times New Roman" w:cs="Times New Roman"/>
        </w:rPr>
        <w:t xml:space="preserve"> e modificação de artigos, de modo a retirar/inserir ou </w:t>
      </w:r>
      <w:r w:rsidR="005861E5" w:rsidRPr="003733A1">
        <w:rPr>
          <w:rFonts w:ascii="Times New Roman" w:hAnsi="Times New Roman" w:cs="Times New Roman"/>
        </w:rPr>
        <w:t>esclarecer determinad</w:t>
      </w:r>
      <w:r w:rsidR="009E2311" w:rsidRPr="003733A1">
        <w:rPr>
          <w:rFonts w:ascii="Times New Roman" w:hAnsi="Times New Roman" w:cs="Times New Roman"/>
        </w:rPr>
        <w:t>o</w:t>
      </w:r>
      <w:r w:rsidR="0044533D" w:rsidRPr="003733A1">
        <w:rPr>
          <w:rFonts w:ascii="Times New Roman" w:hAnsi="Times New Roman" w:cs="Times New Roman"/>
        </w:rPr>
        <w:t xml:space="preserve">s </w:t>
      </w:r>
      <w:r w:rsidR="00382F42" w:rsidRPr="003733A1">
        <w:rPr>
          <w:rFonts w:ascii="Times New Roman" w:hAnsi="Times New Roman" w:cs="Times New Roman"/>
        </w:rPr>
        <w:t>casos</w:t>
      </w:r>
      <w:r w:rsidR="0044533D" w:rsidRPr="003733A1">
        <w:rPr>
          <w:rFonts w:ascii="Times New Roman" w:hAnsi="Times New Roman" w:cs="Times New Roman"/>
        </w:rPr>
        <w:t xml:space="preserve"> específic</w:t>
      </w:r>
      <w:r w:rsidR="00382F42" w:rsidRPr="003733A1">
        <w:rPr>
          <w:rFonts w:ascii="Times New Roman" w:hAnsi="Times New Roman" w:cs="Times New Roman"/>
        </w:rPr>
        <w:t>o</w:t>
      </w:r>
      <w:r w:rsidR="0044533D" w:rsidRPr="003733A1">
        <w:rPr>
          <w:rFonts w:ascii="Times New Roman" w:hAnsi="Times New Roman" w:cs="Times New Roman"/>
        </w:rPr>
        <w:t>s.</w:t>
      </w:r>
    </w:p>
    <w:p w14:paraId="54EDA5F1" w14:textId="71064183" w:rsidR="00F45003" w:rsidRDefault="00F45003" w:rsidP="00545177">
      <w:pPr>
        <w:jc w:val="both"/>
        <w:rPr>
          <w:rFonts w:ascii="Times New Roman" w:hAnsi="Times New Roman" w:cs="Times New Roman"/>
        </w:rPr>
      </w:pPr>
      <w:r w:rsidRPr="7046D250">
        <w:rPr>
          <w:rFonts w:ascii="Times New Roman" w:hAnsi="Times New Roman" w:cs="Times New Roman"/>
        </w:rPr>
        <w:t xml:space="preserve">O dispositivo que </w:t>
      </w:r>
      <w:r w:rsidR="00934CC6" w:rsidRPr="7046D250">
        <w:rPr>
          <w:rFonts w:ascii="Times New Roman" w:hAnsi="Times New Roman" w:cs="Times New Roman"/>
        </w:rPr>
        <w:t>recebeu o maior número de sugestões, incluindo eventuais parágrafos e incisos, foi o art. 5º, que teve</w:t>
      </w:r>
      <w:r w:rsidR="000746C8" w:rsidRPr="7046D250">
        <w:rPr>
          <w:rFonts w:ascii="Times New Roman" w:hAnsi="Times New Roman" w:cs="Times New Roman"/>
        </w:rPr>
        <w:t xml:space="preserve"> 24</w:t>
      </w:r>
      <w:r w:rsidR="103B95B3" w:rsidRPr="7046D250">
        <w:rPr>
          <w:rFonts w:ascii="Times New Roman" w:hAnsi="Times New Roman" w:cs="Times New Roman"/>
        </w:rPr>
        <w:t xml:space="preserve"> (vinte e quatro)</w:t>
      </w:r>
      <w:r w:rsidR="000746C8" w:rsidRPr="7046D250">
        <w:rPr>
          <w:rFonts w:ascii="Times New Roman" w:hAnsi="Times New Roman" w:cs="Times New Roman"/>
        </w:rPr>
        <w:t xml:space="preserve"> sugestões. Em segundo lugar</w:t>
      </w:r>
      <w:r w:rsidR="0018217F">
        <w:rPr>
          <w:rFonts w:ascii="Times New Roman" w:hAnsi="Times New Roman" w:cs="Times New Roman"/>
        </w:rPr>
        <w:t>,</w:t>
      </w:r>
      <w:r w:rsidR="000746C8" w:rsidRPr="7046D250">
        <w:rPr>
          <w:rFonts w:ascii="Times New Roman" w:hAnsi="Times New Roman" w:cs="Times New Roman"/>
        </w:rPr>
        <w:t xml:space="preserve"> com 19</w:t>
      </w:r>
      <w:r w:rsidR="1F5761AB" w:rsidRPr="7046D250">
        <w:rPr>
          <w:rFonts w:ascii="Times New Roman" w:hAnsi="Times New Roman" w:cs="Times New Roman"/>
        </w:rPr>
        <w:t xml:space="preserve"> (dezenove)</w:t>
      </w:r>
      <w:r w:rsidR="000746C8" w:rsidRPr="7046D250">
        <w:rPr>
          <w:rFonts w:ascii="Times New Roman" w:hAnsi="Times New Roman" w:cs="Times New Roman"/>
        </w:rPr>
        <w:t xml:space="preserve"> propostas</w:t>
      </w:r>
      <w:r w:rsidR="00F234F3" w:rsidRPr="7046D250">
        <w:rPr>
          <w:rFonts w:ascii="Times New Roman" w:hAnsi="Times New Roman" w:cs="Times New Roman"/>
        </w:rPr>
        <w:t xml:space="preserve"> cada</w:t>
      </w:r>
      <w:r w:rsidR="000746C8" w:rsidRPr="7046D250">
        <w:rPr>
          <w:rFonts w:ascii="Times New Roman" w:hAnsi="Times New Roman" w:cs="Times New Roman"/>
        </w:rPr>
        <w:t>, estão os artigos 1º e</w:t>
      </w:r>
      <w:r w:rsidR="00F234F3" w:rsidRPr="7046D250">
        <w:rPr>
          <w:rFonts w:ascii="Times New Roman" w:hAnsi="Times New Roman" w:cs="Times New Roman"/>
        </w:rPr>
        <w:t xml:space="preserve"> 6º. Em</w:t>
      </w:r>
      <w:r w:rsidR="05D6F444" w:rsidRPr="7046D250">
        <w:rPr>
          <w:rFonts w:ascii="Times New Roman" w:hAnsi="Times New Roman" w:cs="Times New Roman"/>
        </w:rPr>
        <w:t xml:space="preserve"> terceiro</w:t>
      </w:r>
      <w:r w:rsidR="00F234F3" w:rsidRPr="7046D250">
        <w:rPr>
          <w:rFonts w:ascii="Times New Roman" w:hAnsi="Times New Roman" w:cs="Times New Roman"/>
        </w:rPr>
        <w:t xml:space="preserve"> lugar</w:t>
      </w:r>
      <w:r w:rsidR="0018217F">
        <w:rPr>
          <w:rFonts w:ascii="Times New Roman" w:hAnsi="Times New Roman" w:cs="Times New Roman"/>
        </w:rPr>
        <w:t>,</w:t>
      </w:r>
      <w:r w:rsidR="000C789D" w:rsidRPr="7046D250">
        <w:rPr>
          <w:rFonts w:ascii="Times New Roman" w:hAnsi="Times New Roman" w:cs="Times New Roman"/>
        </w:rPr>
        <w:t xml:space="preserve"> o art. 9º, com 16</w:t>
      </w:r>
      <w:r w:rsidR="21126A89" w:rsidRPr="7046D250">
        <w:rPr>
          <w:rFonts w:ascii="Times New Roman" w:hAnsi="Times New Roman" w:cs="Times New Roman"/>
        </w:rPr>
        <w:t xml:space="preserve"> (dezesseis)</w:t>
      </w:r>
      <w:r w:rsidR="00F64CE4" w:rsidRPr="7046D250">
        <w:rPr>
          <w:rFonts w:ascii="Times New Roman" w:hAnsi="Times New Roman" w:cs="Times New Roman"/>
        </w:rPr>
        <w:t xml:space="preserve"> manifestações. O artigo q</w:t>
      </w:r>
      <w:r w:rsidR="00EB55CC" w:rsidRPr="7046D250">
        <w:rPr>
          <w:rFonts w:ascii="Times New Roman" w:hAnsi="Times New Roman" w:cs="Times New Roman"/>
        </w:rPr>
        <w:t xml:space="preserve">ue recebeu menos sugestões foi o </w:t>
      </w:r>
      <w:r w:rsidR="007F6054" w:rsidRPr="7046D250">
        <w:rPr>
          <w:rFonts w:ascii="Times New Roman" w:hAnsi="Times New Roman" w:cs="Times New Roman"/>
        </w:rPr>
        <w:t xml:space="preserve">art. </w:t>
      </w:r>
      <w:r w:rsidR="00EB55CC" w:rsidRPr="7046D250">
        <w:rPr>
          <w:rFonts w:ascii="Times New Roman" w:hAnsi="Times New Roman" w:cs="Times New Roman"/>
        </w:rPr>
        <w:t xml:space="preserve">10, com </w:t>
      </w:r>
      <w:r w:rsidR="39F1AC96" w:rsidRPr="7046D250">
        <w:rPr>
          <w:rFonts w:ascii="Times New Roman" w:hAnsi="Times New Roman" w:cs="Times New Roman"/>
        </w:rPr>
        <w:t xml:space="preserve">duas </w:t>
      </w:r>
      <w:r w:rsidR="007F6054" w:rsidRPr="7046D250">
        <w:rPr>
          <w:rFonts w:ascii="Times New Roman" w:hAnsi="Times New Roman" w:cs="Times New Roman"/>
        </w:rPr>
        <w:t>manifestações</w:t>
      </w:r>
      <w:r w:rsidR="000A13E1" w:rsidRPr="7046D250">
        <w:rPr>
          <w:rFonts w:ascii="Times New Roman" w:hAnsi="Times New Roman" w:cs="Times New Roman"/>
        </w:rPr>
        <w:t xml:space="preserve">. </w:t>
      </w:r>
      <w:r w:rsidR="006605CB" w:rsidRPr="7046D250">
        <w:rPr>
          <w:rFonts w:ascii="Times New Roman" w:hAnsi="Times New Roman" w:cs="Times New Roman"/>
        </w:rPr>
        <w:t xml:space="preserve">Não foram apresentadas propostas para os </w:t>
      </w:r>
      <w:proofErr w:type="spellStart"/>
      <w:r w:rsidR="006605CB" w:rsidRPr="7046D250">
        <w:rPr>
          <w:rFonts w:ascii="Times New Roman" w:hAnsi="Times New Roman" w:cs="Times New Roman"/>
        </w:rPr>
        <w:t>arts</w:t>
      </w:r>
      <w:proofErr w:type="spellEnd"/>
      <w:r w:rsidR="006605CB" w:rsidRPr="7046D250">
        <w:rPr>
          <w:rFonts w:ascii="Times New Roman" w:hAnsi="Times New Roman" w:cs="Times New Roman"/>
        </w:rPr>
        <w:t>.</w:t>
      </w:r>
      <w:r w:rsidR="000A13E1" w:rsidRPr="7046D250">
        <w:rPr>
          <w:rFonts w:ascii="Times New Roman" w:hAnsi="Times New Roman" w:cs="Times New Roman"/>
        </w:rPr>
        <w:t xml:space="preserve"> 8º e 15</w:t>
      </w:r>
      <w:r w:rsidR="00A9639E" w:rsidRPr="7046D250">
        <w:rPr>
          <w:rFonts w:ascii="Times New Roman" w:hAnsi="Times New Roman" w:cs="Times New Roman"/>
        </w:rPr>
        <w:t>.</w:t>
      </w:r>
    </w:p>
    <w:p w14:paraId="64F91F50" w14:textId="26AF9C11" w:rsidR="00FA7099" w:rsidRDefault="00A9639E" w:rsidP="00545177">
      <w:pPr>
        <w:jc w:val="both"/>
        <w:rPr>
          <w:rFonts w:ascii="Times New Roman" w:hAnsi="Times New Roman" w:cs="Times New Roman"/>
        </w:rPr>
      </w:pPr>
      <w:r>
        <w:rPr>
          <w:rFonts w:ascii="Times New Roman" w:hAnsi="Times New Roman" w:cs="Times New Roman"/>
        </w:rPr>
        <w:t xml:space="preserve">Estes números não contemplam todas as </w:t>
      </w:r>
      <w:r w:rsidR="00242CCC">
        <w:rPr>
          <w:rFonts w:ascii="Times New Roman" w:hAnsi="Times New Roman" w:cs="Times New Roman"/>
        </w:rPr>
        <w:t>sugestões</w:t>
      </w:r>
      <w:r>
        <w:rPr>
          <w:rFonts w:ascii="Times New Roman" w:hAnsi="Times New Roman" w:cs="Times New Roman"/>
        </w:rPr>
        <w:t xml:space="preserve">, vez que </w:t>
      </w:r>
      <w:r w:rsidR="00247AA8">
        <w:rPr>
          <w:rFonts w:ascii="Times New Roman" w:hAnsi="Times New Roman" w:cs="Times New Roman"/>
        </w:rPr>
        <w:t>alguns participantes optaram por fazer</w:t>
      </w:r>
      <w:r w:rsidR="00A92968">
        <w:rPr>
          <w:rFonts w:ascii="Times New Roman" w:hAnsi="Times New Roman" w:cs="Times New Roman"/>
        </w:rPr>
        <w:t xml:space="preserve"> suas contribuições </w:t>
      </w:r>
      <w:r w:rsidR="00E61C13">
        <w:rPr>
          <w:rFonts w:ascii="Times New Roman" w:hAnsi="Times New Roman" w:cs="Times New Roman"/>
        </w:rPr>
        <w:t xml:space="preserve">em </w:t>
      </w:r>
      <w:r w:rsidR="00142470">
        <w:rPr>
          <w:rFonts w:ascii="Times New Roman" w:hAnsi="Times New Roman" w:cs="Times New Roman"/>
        </w:rPr>
        <w:t>arquivo apartado</w:t>
      </w:r>
      <w:r w:rsidR="003B7F99">
        <w:rPr>
          <w:rFonts w:ascii="Times New Roman" w:hAnsi="Times New Roman" w:cs="Times New Roman"/>
        </w:rPr>
        <w:t xml:space="preserve">, tecendo considerações sobre a minuta, mas sem indicar especificamente </w:t>
      </w:r>
      <w:r w:rsidR="00064CEB">
        <w:rPr>
          <w:rFonts w:ascii="Times New Roman" w:hAnsi="Times New Roman" w:cs="Times New Roman"/>
        </w:rPr>
        <w:t xml:space="preserve">o dispositivo ou </w:t>
      </w:r>
      <w:r w:rsidR="003B7F99">
        <w:rPr>
          <w:rFonts w:ascii="Times New Roman" w:hAnsi="Times New Roman" w:cs="Times New Roman"/>
        </w:rPr>
        <w:t xml:space="preserve">a redação </w:t>
      </w:r>
      <w:r w:rsidR="00775491">
        <w:rPr>
          <w:rFonts w:ascii="Times New Roman" w:hAnsi="Times New Roman" w:cs="Times New Roman"/>
        </w:rPr>
        <w:t xml:space="preserve">a ser </w:t>
      </w:r>
      <w:r w:rsidR="00064CEB">
        <w:rPr>
          <w:rFonts w:ascii="Times New Roman" w:hAnsi="Times New Roman" w:cs="Times New Roman"/>
        </w:rPr>
        <w:t xml:space="preserve">neste </w:t>
      </w:r>
      <w:r w:rsidR="00775491">
        <w:rPr>
          <w:rFonts w:ascii="Times New Roman" w:hAnsi="Times New Roman" w:cs="Times New Roman"/>
        </w:rPr>
        <w:t>adotada</w:t>
      </w:r>
      <w:r w:rsidR="00064CEB">
        <w:rPr>
          <w:rFonts w:ascii="Times New Roman" w:hAnsi="Times New Roman" w:cs="Times New Roman"/>
        </w:rPr>
        <w:t>, razão pela qual não entraram no cômputo</w:t>
      </w:r>
      <w:r w:rsidR="00EF7AFB">
        <w:rPr>
          <w:rFonts w:ascii="Times New Roman" w:hAnsi="Times New Roman" w:cs="Times New Roman"/>
        </w:rPr>
        <w:t xml:space="preserve"> acima, mas </w:t>
      </w:r>
      <w:r w:rsidR="00242CCC">
        <w:rPr>
          <w:rFonts w:ascii="Times New Roman" w:hAnsi="Times New Roman" w:cs="Times New Roman"/>
        </w:rPr>
        <w:t xml:space="preserve">foram </w:t>
      </w:r>
      <w:r w:rsidR="00EF7AFB">
        <w:rPr>
          <w:rFonts w:ascii="Times New Roman" w:hAnsi="Times New Roman" w:cs="Times New Roman"/>
        </w:rPr>
        <w:t>objeto de análise pel</w:t>
      </w:r>
      <w:r w:rsidR="00640136">
        <w:rPr>
          <w:rFonts w:ascii="Times New Roman" w:hAnsi="Times New Roman" w:cs="Times New Roman"/>
        </w:rPr>
        <w:t>as autoridades responsáveis.</w:t>
      </w:r>
    </w:p>
    <w:p w14:paraId="43F06783" w14:textId="049D96D2" w:rsidR="006439FF" w:rsidRDefault="006439FF" w:rsidP="00545177">
      <w:pPr>
        <w:jc w:val="both"/>
        <w:rPr>
          <w:rFonts w:ascii="Times New Roman" w:hAnsi="Times New Roman" w:cs="Times New Roman"/>
        </w:rPr>
      </w:pPr>
      <w:r w:rsidRPr="0D90FD93">
        <w:rPr>
          <w:rFonts w:ascii="Times New Roman" w:hAnsi="Times New Roman" w:cs="Times New Roman"/>
        </w:rPr>
        <w:t xml:space="preserve">Vale destacar que ABBC, Febraban, </w:t>
      </w:r>
      <w:proofErr w:type="spellStart"/>
      <w:r w:rsidR="00A770B6" w:rsidRPr="0D90FD93">
        <w:rPr>
          <w:rFonts w:ascii="Times New Roman" w:hAnsi="Times New Roman" w:cs="Times New Roman"/>
        </w:rPr>
        <w:t>Fenaprevi</w:t>
      </w:r>
      <w:proofErr w:type="spellEnd"/>
      <w:r w:rsidR="00A770B6" w:rsidRPr="0D90FD93">
        <w:rPr>
          <w:rFonts w:ascii="Times New Roman" w:hAnsi="Times New Roman" w:cs="Times New Roman"/>
        </w:rPr>
        <w:t xml:space="preserve">, </w:t>
      </w:r>
      <w:proofErr w:type="spellStart"/>
      <w:r w:rsidR="00A770B6" w:rsidRPr="0D90FD93">
        <w:rPr>
          <w:rFonts w:ascii="Times New Roman" w:hAnsi="Times New Roman" w:cs="Times New Roman"/>
        </w:rPr>
        <w:t>Fenacap</w:t>
      </w:r>
      <w:proofErr w:type="spellEnd"/>
      <w:r w:rsidR="00A770B6" w:rsidRPr="0D90FD93">
        <w:rPr>
          <w:rFonts w:ascii="Times New Roman" w:hAnsi="Times New Roman" w:cs="Times New Roman"/>
        </w:rPr>
        <w:t xml:space="preserve"> e </w:t>
      </w:r>
      <w:proofErr w:type="spellStart"/>
      <w:r w:rsidR="00A770B6" w:rsidRPr="0D90FD93">
        <w:rPr>
          <w:rFonts w:ascii="Times New Roman" w:hAnsi="Times New Roman" w:cs="Times New Roman"/>
        </w:rPr>
        <w:t>Zetta</w:t>
      </w:r>
      <w:proofErr w:type="spellEnd"/>
      <w:r w:rsidR="00A770B6" w:rsidRPr="0D90FD93">
        <w:rPr>
          <w:rFonts w:ascii="Times New Roman" w:hAnsi="Times New Roman" w:cs="Times New Roman"/>
        </w:rPr>
        <w:t xml:space="preserve"> participaram da equipe da ARF que tratou do tema</w:t>
      </w:r>
      <w:r w:rsidR="00D43925">
        <w:rPr>
          <w:rFonts w:ascii="Times New Roman" w:hAnsi="Times New Roman" w:cs="Times New Roman"/>
        </w:rPr>
        <w:t xml:space="preserve">, </w:t>
      </w:r>
      <w:r w:rsidR="00D43925" w:rsidRPr="00D43925">
        <w:rPr>
          <w:rFonts w:ascii="Times New Roman" w:hAnsi="Times New Roman" w:cs="Times New Roman"/>
        </w:rPr>
        <w:t>de forma que parte dos comentários e posicionamentos trazidos na consulta pública por estas entidades foram debatidos ao longo das reuniões do grupo</w:t>
      </w:r>
      <w:r w:rsidR="00D43925">
        <w:rPr>
          <w:rFonts w:ascii="Times New Roman" w:hAnsi="Times New Roman" w:cs="Times New Roman"/>
        </w:rPr>
        <w:t>.</w:t>
      </w:r>
    </w:p>
    <w:p w14:paraId="322C3C5D" w14:textId="77777777" w:rsidR="009B72BA" w:rsidRDefault="009B72BA" w:rsidP="009B72BA">
      <w:pPr>
        <w:jc w:val="both"/>
        <w:rPr>
          <w:rFonts w:ascii="Times New Roman" w:hAnsi="Times New Roman" w:cs="Times New Roman"/>
        </w:rPr>
      </w:pPr>
      <w:r w:rsidRPr="4FBC26FC">
        <w:rPr>
          <w:rFonts w:ascii="Times New Roman" w:hAnsi="Times New Roman" w:cs="Times New Roman"/>
        </w:rPr>
        <w:t>Após a realização da consulta pública, as contribuições recebidas foram consolidadas e submetidas formalmente à Superintendência de Seguros Privados e ao Banco Central do Brasil para discussão, análise de mérito e tramitação pertinentes</w:t>
      </w:r>
      <w:r w:rsidRPr="716C4E39">
        <w:rPr>
          <w:rFonts w:ascii="Times New Roman" w:hAnsi="Times New Roman" w:cs="Times New Roman"/>
        </w:rPr>
        <w:t xml:space="preserve">. </w:t>
      </w:r>
    </w:p>
    <w:p w14:paraId="709B3017" w14:textId="77777777" w:rsidR="000B5BD1" w:rsidRDefault="000B5BD1" w:rsidP="00545177">
      <w:pPr>
        <w:jc w:val="both"/>
        <w:rPr>
          <w:rFonts w:ascii="Times New Roman" w:hAnsi="Times New Roman" w:cs="Times New Roman"/>
        </w:rPr>
      </w:pPr>
    </w:p>
    <w:p w14:paraId="2B64CFBD" w14:textId="0C9BC6B9" w:rsidR="000B5BD1" w:rsidRPr="000B5BD1" w:rsidRDefault="000B5BD1" w:rsidP="00545177">
      <w:pPr>
        <w:jc w:val="both"/>
        <w:rPr>
          <w:rFonts w:ascii="Times New Roman" w:hAnsi="Times New Roman" w:cs="Times New Roman"/>
          <w:b/>
          <w:bCs/>
        </w:rPr>
      </w:pPr>
      <w:r w:rsidRPr="000B5BD1">
        <w:rPr>
          <w:rFonts w:ascii="Times New Roman" w:hAnsi="Times New Roman" w:cs="Times New Roman"/>
          <w:b/>
          <w:bCs/>
        </w:rPr>
        <w:t>CONCLUSÃO</w:t>
      </w:r>
    </w:p>
    <w:p w14:paraId="42BA8698" w14:textId="3A0301E8" w:rsidR="00861CA3" w:rsidRDefault="00F56BC9" w:rsidP="00545177">
      <w:pPr>
        <w:jc w:val="both"/>
        <w:rPr>
          <w:rFonts w:ascii="Times New Roman" w:hAnsi="Times New Roman" w:cs="Times New Roman"/>
        </w:rPr>
      </w:pPr>
      <w:r w:rsidRPr="28067F80">
        <w:rPr>
          <w:rFonts w:ascii="Times New Roman" w:hAnsi="Times New Roman" w:cs="Times New Roman"/>
        </w:rPr>
        <w:t>A possibilidade de concessão, como garantia de operações de crédito</w:t>
      </w:r>
      <w:r w:rsidR="005711DD" w:rsidRPr="28067F80">
        <w:rPr>
          <w:rFonts w:ascii="Times New Roman" w:hAnsi="Times New Roman" w:cs="Times New Roman"/>
        </w:rPr>
        <w:t>, d</w:t>
      </w:r>
      <w:r w:rsidR="00700C05" w:rsidRPr="28067F80">
        <w:rPr>
          <w:rFonts w:ascii="Times New Roman" w:hAnsi="Times New Roman" w:cs="Times New Roman"/>
        </w:rPr>
        <w:t>o direito de resgate d</w:t>
      </w:r>
      <w:r w:rsidR="005711DD" w:rsidRPr="28067F80">
        <w:rPr>
          <w:rFonts w:ascii="Times New Roman" w:hAnsi="Times New Roman" w:cs="Times New Roman"/>
        </w:rPr>
        <w:t>e recursos oriundos de planos de previdência complementar aberta</w:t>
      </w:r>
      <w:r w:rsidR="00A909DC" w:rsidRPr="28067F80">
        <w:rPr>
          <w:rFonts w:ascii="Times New Roman" w:hAnsi="Times New Roman" w:cs="Times New Roman"/>
        </w:rPr>
        <w:t xml:space="preserve">, </w:t>
      </w:r>
      <w:r w:rsidR="00804B8D" w:rsidRPr="28067F80">
        <w:rPr>
          <w:rFonts w:ascii="Times New Roman" w:hAnsi="Times New Roman" w:cs="Times New Roman"/>
        </w:rPr>
        <w:t>aos</w:t>
      </w:r>
      <w:r w:rsidR="00A909DC" w:rsidRPr="28067F80">
        <w:rPr>
          <w:rFonts w:ascii="Times New Roman" w:hAnsi="Times New Roman" w:cs="Times New Roman"/>
        </w:rPr>
        <w:t xml:space="preserve"> segurados d</w:t>
      </w:r>
      <w:r w:rsidR="00804B8D" w:rsidRPr="28067F80">
        <w:rPr>
          <w:rFonts w:ascii="Times New Roman" w:hAnsi="Times New Roman" w:cs="Times New Roman"/>
        </w:rPr>
        <w:t xml:space="preserve">e seguros de pessoas e </w:t>
      </w:r>
      <w:r w:rsidR="00157587" w:rsidRPr="28067F80">
        <w:rPr>
          <w:rFonts w:ascii="Times New Roman" w:hAnsi="Times New Roman" w:cs="Times New Roman"/>
        </w:rPr>
        <w:t>aos titulares de títulos de capitalização</w:t>
      </w:r>
      <w:r w:rsidR="00804B8D" w:rsidRPr="28067F80">
        <w:rPr>
          <w:rFonts w:ascii="Times New Roman" w:hAnsi="Times New Roman" w:cs="Times New Roman"/>
        </w:rPr>
        <w:t xml:space="preserve"> </w:t>
      </w:r>
      <w:r w:rsidR="00EC3B34" w:rsidRPr="28067F80">
        <w:rPr>
          <w:rFonts w:ascii="Times New Roman" w:hAnsi="Times New Roman" w:cs="Times New Roman"/>
        </w:rPr>
        <w:t>é medida importante para a</w:t>
      </w:r>
      <w:r w:rsidR="005A4B09" w:rsidRPr="28067F80">
        <w:rPr>
          <w:rFonts w:ascii="Times New Roman" w:hAnsi="Times New Roman" w:cs="Times New Roman"/>
        </w:rPr>
        <w:t xml:space="preserve"> ampliação do mercado creditício no país.</w:t>
      </w:r>
      <w:r w:rsidR="00A023C8" w:rsidRPr="28067F80">
        <w:rPr>
          <w:rFonts w:ascii="Times New Roman" w:hAnsi="Times New Roman" w:cs="Times New Roman"/>
        </w:rPr>
        <w:t xml:space="preserve"> </w:t>
      </w:r>
      <w:r w:rsidR="00EC3B34" w:rsidRPr="28067F80">
        <w:rPr>
          <w:rFonts w:ascii="Times New Roman" w:hAnsi="Times New Roman" w:cs="Times New Roman"/>
        </w:rPr>
        <w:t>Nesse sentido, a</w:t>
      </w:r>
      <w:r w:rsidR="00A023C8" w:rsidRPr="28067F80">
        <w:rPr>
          <w:rFonts w:ascii="Times New Roman" w:hAnsi="Times New Roman" w:cs="Times New Roman"/>
        </w:rPr>
        <w:t>s contribuições da sociedade na</w:t>
      </w:r>
      <w:r w:rsidR="00C44B07" w:rsidRPr="28067F80">
        <w:rPr>
          <w:rFonts w:ascii="Times New Roman" w:hAnsi="Times New Roman" w:cs="Times New Roman"/>
        </w:rPr>
        <w:t xml:space="preserve"> regulamentação da Lei nº 14.652</w:t>
      </w:r>
      <w:r w:rsidR="015C2481" w:rsidRPr="28067F80">
        <w:rPr>
          <w:rFonts w:ascii="Times New Roman" w:hAnsi="Times New Roman" w:cs="Times New Roman"/>
        </w:rPr>
        <w:t xml:space="preserve">, de </w:t>
      </w:r>
      <w:r w:rsidR="3F53E125" w:rsidRPr="28067F80">
        <w:rPr>
          <w:rFonts w:ascii="Times New Roman" w:hAnsi="Times New Roman" w:cs="Times New Roman"/>
        </w:rPr>
        <w:t>20</w:t>
      </w:r>
      <w:r w:rsidR="00C44B07" w:rsidRPr="28067F80">
        <w:rPr>
          <w:rFonts w:ascii="Times New Roman" w:hAnsi="Times New Roman" w:cs="Times New Roman"/>
        </w:rPr>
        <w:t>23</w:t>
      </w:r>
      <w:r w:rsidR="2972584C" w:rsidRPr="28067F80">
        <w:rPr>
          <w:rFonts w:ascii="Times New Roman" w:hAnsi="Times New Roman" w:cs="Times New Roman"/>
        </w:rPr>
        <w:t>,</w:t>
      </w:r>
      <w:r w:rsidR="00A023C8" w:rsidRPr="28067F80">
        <w:rPr>
          <w:rFonts w:ascii="Times New Roman" w:hAnsi="Times New Roman" w:cs="Times New Roman"/>
        </w:rPr>
        <w:t xml:space="preserve"> </w:t>
      </w:r>
      <w:r w:rsidR="00242CCC">
        <w:rPr>
          <w:rFonts w:ascii="Times New Roman" w:hAnsi="Times New Roman" w:cs="Times New Roman"/>
        </w:rPr>
        <w:t>foram</w:t>
      </w:r>
      <w:r w:rsidR="00242CCC" w:rsidRPr="28067F80">
        <w:rPr>
          <w:rFonts w:ascii="Times New Roman" w:hAnsi="Times New Roman" w:cs="Times New Roman"/>
        </w:rPr>
        <w:t xml:space="preserve"> </w:t>
      </w:r>
      <w:r w:rsidR="00A023C8" w:rsidRPr="28067F80">
        <w:rPr>
          <w:rFonts w:ascii="Times New Roman" w:hAnsi="Times New Roman" w:cs="Times New Roman"/>
        </w:rPr>
        <w:t>fundamentais para o aprimoramento desse instrumento</w:t>
      </w:r>
      <w:r w:rsidR="00CC523C" w:rsidRPr="28067F80">
        <w:rPr>
          <w:rFonts w:ascii="Times New Roman" w:hAnsi="Times New Roman" w:cs="Times New Roman"/>
        </w:rPr>
        <w:t xml:space="preserve"> que objetiva a obtenção de crédito a taxas de juros menores</w:t>
      </w:r>
      <w:r w:rsidR="00EC3B34" w:rsidRPr="28067F80">
        <w:rPr>
          <w:rFonts w:ascii="Times New Roman" w:hAnsi="Times New Roman" w:cs="Times New Roman"/>
        </w:rPr>
        <w:t xml:space="preserve"> para</w:t>
      </w:r>
      <w:r w:rsidR="00EC1888" w:rsidRPr="28067F80">
        <w:rPr>
          <w:rFonts w:ascii="Times New Roman" w:hAnsi="Times New Roman" w:cs="Times New Roman"/>
        </w:rPr>
        <w:t xml:space="preserve"> os cidadãos.</w:t>
      </w:r>
    </w:p>
    <w:p w14:paraId="5397DA79" w14:textId="74010D2D" w:rsidR="00147D0F" w:rsidRDefault="000B5BD1" w:rsidP="00545177">
      <w:pPr>
        <w:jc w:val="both"/>
        <w:rPr>
          <w:rFonts w:ascii="Times New Roman" w:hAnsi="Times New Roman" w:cs="Times New Roman"/>
        </w:rPr>
      </w:pPr>
      <w:r w:rsidRPr="28067F80">
        <w:rPr>
          <w:rFonts w:ascii="Times New Roman" w:hAnsi="Times New Roman" w:cs="Times New Roman"/>
        </w:rPr>
        <w:t>Diante de todo o exposto</w:t>
      </w:r>
      <w:r w:rsidR="007C7A66" w:rsidRPr="28067F80">
        <w:rPr>
          <w:rFonts w:ascii="Times New Roman" w:hAnsi="Times New Roman" w:cs="Times New Roman"/>
        </w:rPr>
        <w:t xml:space="preserve"> e considerando</w:t>
      </w:r>
      <w:r w:rsidR="00C9468B" w:rsidRPr="28067F80">
        <w:rPr>
          <w:rFonts w:ascii="Times New Roman" w:hAnsi="Times New Roman" w:cs="Times New Roman"/>
        </w:rPr>
        <w:t>-se a especificidade do tema, o recebimento de 14</w:t>
      </w:r>
      <w:r w:rsidR="00D42604" w:rsidRPr="28067F80">
        <w:rPr>
          <w:rFonts w:ascii="Times New Roman" w:hAnsi="Times New Roman" w:cs="Times New Roman"/>
        </w:rPr>
        <w:t>0</w:t>
      </w:r>
      <w:r w:rsidR="00C9468B" w:rsidRPr="28067F80">
        <w:rPr>
          <w:rFonts w:ascii="Times New Roman" w:hAnsi="Times New Roman" w:cs="Times New Roman"/>
        </w:rPr>
        <w:t xml:space="preserve"> </w:t>
      </w:r>
      <w:r w:rsidR="3DECCE78" w:rsidRPr="28067F80">
        <w:rPr>
          <w:rFonts w:ascii="Times New Roman" w:hAnsi="Times New Roman" w:cs="Times New Roman"/>
        </w:rPr>
        <w:t xml:space="preserve">(cento e quarenta) </w:t>
      </w:r>
      <w:r w:rsidR="00C9468B" w:rsidRPr="28067F80">
        <w:rPr>
          <w:rFonts w:ascii="Times New Roman" w:hAnsi="Times New Roman" w:cs="Times New Roman"/>
        </w:rPr>
        <w:t>manifestações</w:t>
      </w:r>
      <w:r w:rsidR="008D509B" w:rsidRPr="28067F80">
        <w:rPr>
          <w:rFonts w:ascii="Times New Roman" w:hAnsi="Times New Roman" w:cs="Times New Roman"/>
        </w:rPr>
        <w:t xml:space="preserve"> de 10</w:t>
      </w:r>
      <w:r w:rsidR="64EBA49D" w:rsidRPr="28067F80">
        <w:rPr>
          <w:rFonts w:ascii="Times New Roman" w:hAnsi="Times New Roman" w:cs="Times New Roman"/>
        </w:rPr>
        <w:t xml:space="preserve"> (dez)</w:t>
      </w:r>
      <w:r w:rsidR="008D509B" w:rsidRPr="28067F80">
        <w:rPr>
          <w:rFonts w:ascii="Times New Roman" w:hAnsi="Times New Roman" w:cs="Times New Roman"/>
        </w:rPr>
        <w:t xml:space="preserve"> participantes </w:t>
      </w:r>
      <w:r w:rsidR="005845B5" w:rsidRPr="28067F80">
        <w:rPr>
          <w:rFonts w:ascii="Times New Roman" w:hAnsi="Times New Roman" w:cs="Times New Roman"/>
        </w:rPr>
        <w:t>demonstra</w:t>
      </w:r>
      <w:r w:rsidR="007418DE" w:rsidRPr="28067F80">
        <w:rPr>
          <w:rFonts w:ascii="Times New Roman" w:hAnsi="Times New Roman" w:cs="Times New Roman"/>
        </w:rPr>
        <w:t xml:space="preserve"> a importância d</w:t>
      </w:r>
      <w:r w:rsidR="00BB6BCF" w:rsidRPr="28067F80">
        <w:rPr>
          <w:rFonts w:ascii="Times New Roman" w:hAnsi="Times New Roman" w:cs="Times New Roman"/>
        </w:rPr>
        <w:t>a matéria</w:t>
      </w:r>
      <w:r w:rsidR="007418DE" w:rsidRPr="28067F80">
        <w:rPr>
          <w:rFonts w:ascii="Times New Roman" w:hAnsi="Times New Roman" w:cs="Times New Roman"/>
        </w:rPr>
        <w:t xml:space="preserve"> para </w:t>
      </w:r>
      <w:r w:rsidR="001C6039" w:rsidRPr="28067F80">
        <w:rPr>
          <w:rFonts w:ascii="Times New Roman" w:hAnsi="Times New Roman" w:cs="Times New Roman"/>
        </w:rPr>
        <w:t>a economia do país</w:t>
      </w:r>
      <w:r w:rsidR="006720CB" w:rsidRPr="28067F80">
        <w:rPr>
          <w:rFonts w:ascii="Times New Roman" w:hAnsi="Times New Roman" w:cs="Times New Roman"/>
        </w:rPr>
        <w:t>, bem como a preocupação da sociedade em construir alternativas</w:t>
      </w:r>
      <w:r w:rsidR="007C44EF" w:rsidRPr="28067F80">
        <w:rPr>
          <w:rFonts w:ascii="Times New Roman" w:hAnsi="Times New Roman" w:cs="Times New Roman"/>
        </w:rPr>
        <w:t xml:space="preserve"> de barateamento do crédito para os cidadãos, </w:t>
      </w:r>
      <w:r w:rsidR="002F4B94" w:rsidRPr="28067F80">
        <w:rPr>
          <w:rFonts w:ascii="Times New Roman" w:hAnsi="Times New Roman" w:cs="Times New Roman"/>
        </w:rPr>
        <w:t>contribuindo</w:t>
      </w:r>
      <w:r w:rsidR="0039030B" w:rsidRPr="28067F80">
        <w:rPr>
          <w:rFonts w:ascii="Times New Roman" w:hAnsi="Times New Roman" w:cs="Times New Roman"/>
        </w:rPr>
        <w:t xml:space="preserve"> para o desenvolvimento </w:t>
      </w:r>
      <w:r w:rsidR="002F4B94" w:rsidRPr="28067F80">
        <w:rPr>
          <w:rFonts w:ascii="Times New Roman" w:hAnsi="Times New Roman" w:cs="Times New Roman"/>
        </w:rPr>
        <w:t>econômico s</w:t>
      </w:r>
      <w:r w:rsidR="0039030B" w:rsidRPr="28067F80">
        <w:rPr>
          <w:rFonts w:ascii="Times New Roman" w:hAnsi="Times New Roman" w:cs="Times New Roman"/>
        </w:rPr>
        <w:t>ustentável</w:t>
      </w:r>
      <w:r w:rsidR="002F4B94" w:rsidRPr="28067F80">
        <w:rPr>
          <w:rFonts w:ascii="Times New Roman" w:hAnsi="Times New Roman" w:cs="Times New Roman"/>
        </w:rPr>
        <w:t>.</w:t>
      </w:r>
    </w:p>
    <w:p w14:paraId="7C3794A3" w14:textId="7976B0EA" w:rsidR="00460F7B" w:rsidRPr="00FB209F" w:rsidRDefault="2A0EF84A">
      <w:pPr>
        <w:jc w:val="both"/>
        <w:rPr>
          <w:rFonts w:ascii="Times New Roman" w:hAnsi="Times New Roman" w:cs="Times New Roman"/>
        </w:rPr>
      </w:pPr>
      <w:r w:rsidRPr="06081329">
        <w:rPr>
          <w:rFonts w:ascii="Times New Roman" w:hAnsi="Times New Roman" w:cs="Times New Roman"/>
        </w:rPr>
        <w:t xml:space="preserve">Por fim, cabe mencionar que, </w:t>
      </w:r>
      <w:r w:rsidR="569AB0CF" w:rsidRPr="06081329">
        <w:rPr>
          <w:rFonts w:ascii="Times New Roman" w:hAnsi="Times New Roman" w:cs="Times New Roman"/>
        </w:rPr>
        <w:t>e</w:t>
      </w:r>
      <w:r w:rsidR="0217863E" w:rsidRPr="06081329">
        <w:rPr>
          <w:rFonts w:ascii="Times New Roman" w:hAnsi="Times New Roman" w:cs="Times New Roman"/>
        </w:rPr>
        <w:t>m</w:t>
      </w:r>
      <w:r w:rsidR="001A7287" w:rsidRPr="716C4E39">
        <w:rPr>
          <w:rFonts w:ascii="Times New Roman" w:hAnsi="Times New Roman" w:cs="Times New Roman"/>
        </w:rPr>
        <w:t xml:space="preserve"> </w:t>
      </w:r>
      <w:r w:rsidR="001A7287" w:rsidRPr="00FB209F">
        <w:rPr>
          <w:rFonts w:ascii="Times New Roman" w:hAnsi="Times New Roman" w:cs="Times New Roman"/>
        </w:rPr>
        <w:t>26 de setembro de 2024</w:t>
      </w:r>
      <w:r w:rsidR="001A7287">
        <w:rPr>
          <w:rFonts w:ascii="Times New Roman" w:hAnsi="Times New Roman" w:cs="Times New Roman"/>
        </w:rPr>
        <w:t>, c</w:t>
      </w:r>
      <w:r w:rsidR="001A7287" w:rsidRPr="716C4E39">
        <w:rPr>
          <w:rFonts w:ascii="Times New Roman" w:hAnsi="Times New Roman" w:cs="Times New Roman"/>
        </w:rPr>
        <w:t xml:space="preserve">omo </w:t>
      </w:r>
      <w:r w:rsidR="0981A4E5" w:rsidRPr="716C4E39">
        <w:rPr>
          <w:rFonts w:ascii="Times New Roman" w:hAnsi="Times New Roman" w:cs="Times New Roman"/>
        </w:rPr>
        <w:t xml:space="preserve">resultado deste processo, </w:t>
      </w:r>
      <w:r w:rsidR="56E8308A" w:rsidRPr="00FB209F">
        <w:rPr>
          <w:rFonts w:ascii="Times New Roman" w:hAnsi="Times New Roman" w:cs="Times New Roman"/>
        </w:rPr>
        <w:t xml:space="preserve">foi aprovada a </w:t>
      </w:r>
      <w:r w:rsidR="1109477D" w:rsidRPr="00FB209F">
        <w:rPr>
          <w:rFonts w:ascii="Times New Roman" w:hAnsi="Times New Roman" w:cs="Times New Roman"/>
        </w:rPr>
        <w:t xml:space="preserve">Resolução Conjunta </w:t>
      </w:r>
      <w:r w:rsidR="1EB8669C" w:rsidRPr="00FB209F">
        <w:rPr>
          <w:rFonts w:ascii="Times New Roman" w:hAnsi="Times New Roman" w:cs="Times New Roman"/>
        </w:rPr>
        <w:t xml:space="preserve">CMN/CNSP </w:t>
      </w:r>
      <w:r w:rsidR="1109477D" w:rsidRPr="00FB209F">
        <w:rPr>
          <w:rFonts w:ascii="Times New Roman" w:hAnsi="Times New Roman" w:cs="Times New Roman"/>
        </w:rPr>
        <w:t>n° 12.</w:t>
      </w:r>
    </w:p>
    <w:sectPr w:rsidR="00460F7B" w:rsidRPr="00FB209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8AF5FF" w14:textId="77777777" w:rsidR="00FB79E4" w:rsidRDefault="00FB79E4" w:rsidP="00D63F91">
      <w:pPr>
        <w:spacing w:after="0" w:line="240" w:lineRule="auto"/>
      </w:pPr>
      <w:r>
        <w:separator/>
      </w:r>
    </w:p>
  </w:endnote>
  <w:endnote w:type="continuationSeparator" w:id="0">
    <w:p w14:paraId="0D1AB80D" w14:textId="77777777" w:rsidR="00FB79E4" w:rsidRDefault="00FB79E4" w:rsidP="00D63F91">
      <w:pPr>
        <w:spacing w:after="0" w:line="240" w:lineRule="auto"/>
      </w:pPr>
      <w:r>
        <w:continuationSeparator/>
      </w:r>
    </w:p>
  </w:endnote>
  <w:endnote w:type="continuationNotice" w:id="1">
    <w:p w14:paraId="67D49C96" w14:textId="77777777" w:rsidR="00FB79E4" w:rsidRDefault="00FB79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D64E8F" w14:textId="77777777" w:rsidR="00FB79E4" w:rsidRDefault="00FB79E4" w:rsidP="00D63F91">
      <w:pPr>
        <w:spacing w:after="0" w:line="240" w:lineRule="auto"/>
      </w:pPr>
      <w:r>
        <w:separator/>
      </w:r>
    </w:p>
  </w:footnote>
  <w:footnote w:type="continuationSeparator" w:id="0">
    <w:p w14:paraId="4B5E9E72" w14:textId="77777777" w:rsidR="00FB79E4" w:rsidRDefault="00FB79E4" w:rsidP="00D63F91">
      <w:pPr>
        <w:spacing w:after="0" w:line="240" w:lineRule="auto"/>
      </w:pPr>
      <w:r>
        <w:continuationSeparator/>
      </w:r>
    </w:p>
  </w:footnote>
  <w:footnote w:type="continuationNotice" w:id="1">
    <w:p w14:paraId="51B680E5" w14:textId="77777777" w:rsidR="00FB79E4" w:rsidRDefault="00FB79E4">
      <w:pPr>
        <w:spacing w:after="0" w:line="240" w:lineRule="auto"/>
      </w:pPr>
    </w:p>
  </w:footnote>
  <w:footnote w:id="2">
    <w:p w14:paraId="60FCE9F8" w14:textId="52D65907" w:rsidR="00D63F91" w:rsidRDefault="00D63F91">
      <w:pPr>
        <w:pStyle w:val="Textodenotaderodap"/>
      </w:pPr>
      <w:r>
        <w:rPr>
          <w:rStyle w:val="Refdenotaderodap"/>
        </w:rPr>
        <w:footnoteRef/>
      </w:r>
      <w:r>
        <w:t xml:space="preserve"> </w:t>
      </w:r>
      <w:hyperlink r:id="rId1" w:history="1">
        <w:r w:rsidRPr="002D1083">
          <w:rPr>
            <w:rStyle w:val="Hyperlink"/>
          </w:rPr>
          <w:t>https://www.in.gov.br/en/web/dou/-/aviso-de-consulta-publica-n-2-de-3-de-abril-de-2024-551857938</w:t>
        </w:r>
      </w:hyperlink>
      <w:r>
        <w:t>. Acesso em 15/05/2024.</w:t>
      </w:r>
    </w:p>
  </w:footnote>
  <w:footnote w:id="3">
    <w:p w14:paraId="6A1A49E1" w14:textId="73CFB970" w:rsidR="00C8394A" w:rsidRDefault="00C8394A">
      <w:pPr>
        <w:pStyle w:val="Textodenotaderodap"/>
      </w:pPr>
      <w:r>
        <w:rPr>
          <w:rStyle w:val="Refdenotaderodap"/>
        </w:rPr>
        <w:footnoteRef/>
      </w:r>
      <w:r>
        <w:t xml:space="preserve"> </w:t>
      </w:r>
      <w:hyperlink r:id="rId2" w:history="1">
        <w:r w:rsidRPr="002D1083">
          <w:rPr>
            <w:rStyle w:val="Hyperlink"/>
          </w:rPr>
          <w:t>https://www.gov.br/participamaisbrasil/regulamentacao-L14652</w:t>
        </w:r>
      </w:hyperlink>
      <w:r>
        <w:t xml:space="preserve"> Acesso em 15/05/2024.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87B6C2C"/>
    <w:multiLevelType w:val="hybridMultilevel"/>
    <w:tmpl w:val="7736D34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49936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CD7"/>
    <w:rsid w:val="0002686D"/>
    <w:rsid w:val="00043397"/>
    <w:rsid w:val="00045D3F"/>
    <w:rsid w:val="000605E0"/>
    <w:rsid w:val="00064CEB"/>
    <w:rsid w:val="000746C8"/>
    <w:rsid w:val="00077891"/>
    <w:rsid w:val="000848C0"/>
    <w:rsid w:val="0009560A"/>
    <w:rsid w:val="000A13E1"/>
    <w:rsid w:val="000A2990"/>
    <w:rsid w:val="000B1BA4"/>
    <w:rsid w:val="000B1F52"/>
    <w:rsid w:val="000B5BD1"/>
    <w:rsid w:val="000B65A2"/>
    <w:rsid w:val="000C789D"/>
    <w:rsid w:val="000E159F"/>
    <w:rsid w:val="000F716C"/>
    <w:rsid w:val="00113F55"/>
    <w:rsid w:val="001343C6"/>
    <w:rsid w:val="00142470"/>
    <w:rsid w:val="00147D0F"/>
    <w:rsid w:val="00155109"/>
    <w:rsid w:val="00157587"/>
    <w:rsid w:val="00160B80"/>
    <w:rsid w:val="00175168"/>
    <w:rsid w:val="001800CB"/>
    <w:rsid w:val="0018217F"/>
    <w:rsid w:val="00182EDC"/>
    <w:rsid w:val="001965AB"/>
    <w:rsid w:val="001A00C7"/>
    <w:rsid w:val="001A0B53"/>
    <w:rsid w:val="001A2DB3"/>
    <w:rsid w:val="001A7287"/>
    <w:rsid w:val="001C5785"/>
    <w:rsid w:val="001C6039"/>
    <w:rsid w:val="001E0F24"/>
    <w:rsid w:val="001E6937"/>
    <w:rsid w:val="001E6DCD"/>
    <w:rsid w:val="001F48B0"/>
    <w:rsid w:val="0021370A"/>
    <w:rsid w:val="0022657E"/>
    <w:rsid w:val="002328B1"/>
    <w:rsid w:val="002347BD"/>
    <w:rsid w:val="00237152"/>
    <w:rsid w:val="00242CCC"/>
    <w:rsid w:val="00247AA8"/>
    <w:rsid w:val="00254387"/>
    <w:rsid w:val="00266891"/>
    <w:rsid w:val="0027031C"/>
    <w:rsid w:val="00280729"/>
    <w:rsid w:val="00294009"/>
    <w:rsid w:val="002B0F89"/>
    <w:rsid w:val="002B435A"/>
    <w:rsid w:val="002B4A67"/>
    <w:rsid w:val="002D10BF"/>
    <w:rsid w:val="002D5E42"/>
    <w:rsid w:val="002E015B"/>
    <w:rsid w:val="002E2011"/>
    <w:rsid w:val="002F2438"/>
    <w:rsid w:val="002F4B94"/>
    <w:rsid w:val="00314252"/>
    <w:rsid w:val="0032143F"/>
    <w:rsid w:val="0033211A"/>
    <w:rsid w:val="00345F5A"/>
    <w:rsid w:val="00351EB0"/>
    <w:rsid w:val="00352CD7"/>
    <w:rsid w:val="003567CC"/>
    <w:rsid w:val="003733A1"/>
    <w:rsid w:val="00382F42"/>
    <w:rsid w:val="00384894"/>
    <w:rsid w:val="0039030B"/>
    <w:rsid w:val="003B5AC1"/>
    <w:rsid w:val="003B7F99"/>
    <w:rsid w:val="003C2968"/>
    <w:rsid w:val="00410A38"/>
    <w:rsid w:val="00413BA5"/>
    <w:rsid w:val="00414560"/>
    <w:rsid w:val="0044533D"/>
    <w:rsid w:val="00453D22"/>
    <w:rsid w:val="00460F7B"/>
    <w:rsid w:val="00471291"/>
    <w:rsid w:val="0047151C"/>
    <w:rsid w:val="0048161A"/>
    <w:rsid w:val="00493928"/>
    <w:rsid w:val="004A6E7B"/>
    <w:rsid w:val="004B515F"/>
    <w:rsid w:val="004E7643"/>
    <w:rsid w:val="00520825"/>
    <w:rsid w:val="00545177"/>
    <w:rsid w:val="00561B8F"/>
    <w:rsid w:val="005711DD"/>
    <w:rsid w:val="00573CDC"/>
    <w:rsid w:val="005845B5"/>
    <w:rsid w:val="00585795"/>
    <w:rsid w:val="005861E5"/>
    <w:rsid w:val="005A3A72"/>
    <w:rsid w:val="005A4B09"/>
    <w:rsid w:val="005B1CEF"/>
    <w:rsid w:val="005C59F6"/>
    <w:rsid w:val="005D6BCB"/>
    <w:rsid w:val="005D6CC7"/>
    <w:rsid w:val="005E5A2E"/>
    <w:rsid w:val="005F28A6"/>
    <w:rsid w:val="00603E07"/>
    <w:rsid w:val="0061717F"/>
    <w:rsid w:val="00640136"/>
    <w:rsid w:val="006439FF"/>
    <w:rsid w:val="00652F2E"/>
    <w:rsid w:val="006605CB"/>
    <w:rsid w:val="006663CE"/>
    <w:rsid w:val="00667E7A"/>
    <w:rsid w:val="006720CB"/>
    <w:rsid w:val="0069666B"/>
    <w:rsid w:val="006A18F8"/>
    <w:rsid w:val="006B3F4F"/>
    <w:rsid w:val="006C170D"/>
    <w:rsid w:val="006D3309"/>
    <w:rsid w:val="006D343F"/>
    <w:rsid w:val="006D647E"/>
    <w:rsid w:val="006E1B87"/>
    <w:rsid w:val="006E4264"/>
    <w:rsid w:val="006F654C"/>
    <w:rsid w:val="00700C05"/>
    <w:rsid w:val="00705825"/>
    <w:rsid w:val="007418DE"/>
    <w:rsid w:val="00745C32"/>
    <w:rsid w:val="00775491"/>
    <w:rsid w:val="007A23EA"/>
    <w:rsid w:val="007B1F18"/>
    <w:rsid w:val="007B5FBC"/>
    <w:rsid w:val="007B6E1C"/>
    <w:rsid w:val="007B7BC8"/>
    <w:rsid w:val="007C2DEC"/>
    <w:rsid w:val="007C44EF"/>
    <w:rsid w:val="007C7482"/>
    <w:rsid w:val="007C7A66"/>
    <w:rsid w:val="007D77C5"/>
    <w:rsid w:val="007E1376"/>
    <w:rsid w:val="007F06A1"/>
    <w:rsid w:val="007F6054"/>
    <w:rsid w:val="007F6179"/>
    <w:rsid w:val="007F730E"/>
    <w:rsid w:val="00804B8D"/>
    <w:rsid w:val="00827E0B"/>
    <w:rsid w:val="008517AF"/>
    <w:rsid w:val="00861CA3"/>
    <w:rsid w:val="008755D3"/>
    <w:rsid w:val="00882286"/>
    <w:rsid w:val="0088750B"/>
    <w:rsid w:val="008A1E77"/>
    <w:rsid w:val="008A5529"/>
    <w:rsid w:val="008C2294"/>
    <w:rsid w:val="008C50DA"/>
    <w:rsid w:val="008C7914"/>
    <w:rsid w:val="008D509B"/>
    <w:rsid w:val="008E0790"/>
    <w:rsid w:val="008F5114"/>
    <w:rsid w:val="008F7296"/>
    <w:rsid w:val="009058B4"/>
    <w:rsid w:val="00911AC5"/>
    <w:rsid w:val="00934CC6"/>
    <w:rsid w:val="0095434F"/>
    <w:rsid w:val="009576DB"/>
    <w:rsid w:val="00974138"/>
    <w:rsid w:val="00991F97"/>
    <w:rsid w:val="009925C1"/>
    <w:rsid w:val="0099500B"/>
    <w:rsid w:val="009953AB"/>
    <w:rsid w:val="009B2719"/>
    <w:rsid w:val="009B284E"/>
    <w:rsid w:val="009B3605"/>
    <w:rsid w:val="009B5679"/>
    <w:rsid w:val="009B72BA"/>
    <w:rsid w:val="009E154E"/>
    <w:rsid w:val="009E2311"/>
    <w:rsid w:val="009E77FE"/>
    <w:rsid w:val="009F141E"/>
    <w:rsid w:val="009F55C9"/>
    <w:rsid w:val="00A023C8"/>
    <w:rsid w:val="00A2240E"/>
    <w:rsid w:val="00A53108"/>
    <w:rsid w:val="00A539B2"/>
    <w:rsid w:val="00A60F5C"/>
    <w:rsid w:val="00A62AAE"/>
    <w:rsid w:val="00A75F96"/>
    <w:rsid w:val="00A770B6"/>
    <w:rsid w:val="00A83CEE"/>
    <w:rsid w:val="00A909DC"/>
    <w:rsid w:val="00A92968"/>
    <w:rsid w:val="00A95AD5"/>
    <w:rsid w:val="00A9639E"/>
    <w:rsid w:val="00AB2385"/>
    <w:rsid w:val="00AC3AF8"/>
    <w:rsid w:val="00AC49AF"/>
    <w:rsid w:val="00AC69E1"/>
    <w:rsid w:val="00AF2005"/>
    <w:rsid w:val="00AF7CFA"/>
    <w:rsid w:val="00B43851"/>
    <w:rsid w:val="00B440F7"/>
    <w:rsid w:val="00B513C6"/>
    <w:rsid w:val="00B63711"/>
    <w:rsid w:val="00B7703F"/>
    <w:rsid w:val="00B81B33"/>
    <w:rsid w:val="00BB6BCF"/>
    <w:rsid w:val="00BC29C0"/>
    <w:rsid w:val="00BF3B90"/>
    <w:rsid w:val="00C03C2A"/>
    <w:rsid w:val="00C06119"/>
    <w:rsid w:val="00C07A47"/>
    <w:rsid w:val="00C21B94"/>
    <w:rsid w:val="00C273D7"/>
    <w:rsid w:val="00C31066"/>
    <w:rsid w:val="00C37235"/>
    <w:rsid w:val="00C44B07"/>
    <w:rsid w:val="00C52505"/>
    <w:rsid w:val="00C55FA1"/>
    <w:rsid w:val="00C640E5"/>
    <w:rsid w:val="00C67010"/>
    <w:rsid w:val="00C8394A"/>
    <w:rsid w:val="00C90D5E"/>
    <w:rsid w:val="00C9468B"/>
    <w:rsid w:val="00C96E0E"/>
    <w:rsid w:val="00CB7711"/>
    <w:rsid w:val="00CC0475"/>
    <w:rsid w:val="00CC152B"/>
    <w:rsid w:val="00CC1991"/>
    <w:rsid w:val="00CC523C"/>
    <w:rsid w:val="00CE5A4A"/>
    <w:rsid w:val="00D1356F"/>
    <w:rsid w:val="00D21E2D"/>
    <w:rsid w:val="00D40AD7"/>
    <w:rsid w:val="00D41669"/>
    <w:rsid w:val="00D42604"/>
    <w:rsid w:val="00D43925"/>
    <w:rsid w:val="00D47822"/>
    <w:rsid w:val="00D63F91"/>
    <w:rsid w:val="00D81C82"/>
    <w:rsid w:val="00DB74B9"/>
    <w:rsid w:val="00DB784C"/>
    <w:rsid w:val="00DC5742"/>
    <w:rsid w:val="00DD0E46"/>
    <w:rsid w:val="00DD4933"/>
    <w:rsid w:val="00DE41E2"/>
    <w:rsid w:val="00E01921"/>
    <w:rsid w:val="00E2207F"/>
    <w:rsid w:val="00E45B09"/>
    <w:rsid w:val="00E5745C"/>
    <w:rsid w:val="00E61C13"/>
    <w:rsid w:val="00E7072C"/>
    <w:rsid w:val="00E80F91"/>
    <w:rsid w:val="00E81F7A"/>
    <w:rsid w:val="00EA57BB"/>
    <w:rsid w:val="00EA67F7"/>
    <w:rsid w:val="00EB55CC"/>
    <w:rsid w:val="00EC1888"/>
    <w:rsid w:val="00EC3B34"/>
    <w:rsid w:val="00ED505F"/>
    <w:rsid w:val="00EE0901"/>
    <w:rsid w:val="00EF7AFB"/>
    <w:rsid w:val="00F234F3"/>
    <w:rsid w:val="00F45003"/>
    <w:rsid w:val="00F473CE"/>
    <w:rsid w:val="00F51268"/>
    <w:rsid w:val="00F56BC9"/>
    <w:rsid w:val="00F64463"/>
    <w:rsid w:val="00F64CE4"/>
    <w:rsid w:val="00F667FB"/>
    <w:rsid w:val="00F677AD"/>
    <w:rsid w:val="00F84ACE"/>
    <w:rsid w:val="00F959C0"/>
    <w:rsid w:val="00FA3B2F"/>
    <w:rsid w:val="00FA7099"/>
    <w:rsid w:val="00FA77A2"/>
    <w:rsid w:val="00FB209F"/>
    <w:rsid w:val="00FB288D"/>
    <w:rsid w:val="00FB79E4"/>
    <w:rsid w:val="00FC0BC6"/>
    <w:rsid w:val="00FE0CAD"/>
    <w:rsid w:val="00FE139F"/>
    <w:rsid w:val="00FE41CB"/>
    <w:rsid w:val="015C2481"/>
    <w:rsid w:val="0217863E"/>
    <w:rsid w:val="02F1F0C5"/>
    <w:rsid w:val="03F22456"/>
    <w:rsid w:val="0451EFE9"/>
    <w:rsid w:val="05D6F444"/>
    <w:rsid w:val="06081329"/>
    <w:rsid w:val="092A1C98"/>
    <w:rsid w:val="0981A4E5"/>
    <w:rsid w:val="0A06225E"/>
    <w:rsid w:val="0C7488B4"/>
    <w:rsid w:val="0C90EEBB"/>
    <w:rsid w:val="0C9991CC"/>
    <w:rsid w:val="0D90FD93"/>
    <w:rsid w:val="103B95B3"/>
    <w:rsid w:val="1109477D"/>
    <w:rsid w:val="118F1C24"/>
    <w:rsid w:val="12305FAA"/>
    <w:rsid w:val="14E1D755"/>
    <w:rsid w:val="1829DE7A"/>
    <w:rsid w:val="184F3A26"/>
    <w:rsid w:val="1C7287F0"/>
    <w:rsid w:val="1DB33B2E"/>
    <w:rsid w:val="1EB8669C"/>
    <w:rsid w:val="1F5761AB"/>
    <w:rsid w:val="20BC0E34"/>
    <w:rsid w:val="21126A89"/>
    <w:rsid w:val="24A591DA"/>
    <w:rsid w:val="28067F80"/>
    <w:rsid w:val="2972584C"/>
    <w:rsid w:val="2A0EF84A"/>
    <w:rsid w:val="2A45DF27"/>
    <w:rsid w:val="2AAFB9C8"/>
    <w:rsid w:val="2B76A180"/>
    <w:rsid w:val="2D94BDAB"/>
    <w:rsid w:val="32D3E8EB"/>
    <w:rsid w:val="35526FA8"/>
    <w:rsid w:val="366D4D33"/>
    <w:rsid w:val="38B35D77"/>
    <w:rsid w:val="39F1AC96"/>
    <w:rsid w:val="3DECCE78"/>
    <w:rsid w:val="3DF0DA21"/>
    <w:rsid w:val="3F53E125"/>
    <w:rsid w:val="44A5519B"/>
    <w:rsid w:val="4805EFD8"/>
    <w:rsid w:val="4E80CEFF"/>
    <w:rsid w:val="4FBC26FC"/>
    <w:rsid w:val="507B274C"/>
    <w:rsid w:val="52768CCA"/>
    <w:rsid w:val="569AB0CF"/>
    <w:rsid w:val="56E8308A"/>
    <w:rsid w:val="58C3F4F3"/>
    <w:rsid w:val="59DC0F71"/>
    <w:rsid w:val="5A469DA3"/>
    <w:rsid w:val="5DBBA30F"/>
    <w:rsid w:val="5F1A99D0"/>
    <w:rsid w:val="64EBA49D"/>
    <w:rsid w:val="6611AA16"/>
    <w:rsid w:val="680646DB"/>
    <w:rsid w:val="68E9DF71"/>
    <w:rsid w:val="6E1B880B"/>
    <w:rsid w:val="6FEBA4D8"/>
    <w:rsid w:val="7046D250"/>
    <w:rsid w:val="7116F64F"/>
    <w:rsid w:val="716C4E39"/>
    <w:rsid w:val="7380EA14"/>
    <w:rsid w:val="738581B6"/>
    <w:rsid w:val="7482C292"/>
    <w:rsid w:val="75FDE311"/>
    <w:rsid w:val="770C1683"/>
    <w:rsid w:val="7850447A"/>
    <w:rsid w:val="790CBC17"/>
    <w:rsid w:val="7A4F71F7"/>
    <w:rsid w:val="7A6F250B"/>
    <w:rsid w:val="7EA4A102"/>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03CEF"/>
  <w15:chartTrackingRefBased/>
  <w15:docId w15:val="{F41E6D31-67B5-4677-84BC-01EF8F75C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352C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352C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352CD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352CD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352CD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352CD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352CD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352CD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352CD7"/>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52CD7"/>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352CD7"/>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352CD7"/>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352CD7"/>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352CD7"/>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352CD7"/>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352CD7"/>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352CD7"/>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352CD7"/>
    <w:rPr>
      <w:rFonts w:eastAsiaTheme="majorEastAsia" w:cstheme="majorBidi"/>
      <w:color w:val="272727" w:themeColor="text1" w:themeTint="D8"/>
    </w:rPr>
  </w:style>
  <w:style w:type="paragraph" w:styleId="Ttulo">
    <w:name w:val="Title"/>
    <w:basedOn w:val="Normal"/>
    <w:next w:val="Normal"/>
    <w:link w:val="TtuloChar"/>
    <w:uiPriority w:val="10"/>
    <w:qFormat/>
    <w:rsid w:val="00352C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352CD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352CD7"/>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352CD7"/>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352CD7"/>
    <w:pPr>
      <w:spacing w:before="160"/>
      <w:jc w:val="center"/>
    </w:pPr>
    <w:rPr>
      <w:i/>
      <w:iCs/>
      <w:color w:val="404040" w:themeColor="text1" w:themeTint="BF"/>
    </w:rPr>
  </w:style>
  <w:style w:type="character" w:customStyle="1" w:styleId="CitaoChar">
    <w:name w:val="Citação Char"/>
    <w:basedOn w:val="Fontepargpadro"/>
    <w:link w:val="Citao"/>
    <w:uiPriority w:val="29"/>
    <w:rsid w:val="00352CD7"/>
    <w:rPr>
      <w:i/>
      <w:iCs/>
      <w:color w:val="404040" w:themeColor="text1" w:themeTint="BF"/>
    </w:rPr>
  </w:style>
  <w:style w:type="paragraph" w:styleId="PargrafodaLista">
    <w:name w:val="List Paragraph"/>
    <w:basedOn w:val="Normal"/>
    <w:uiPriority w:val="34"/>
    <w:qFormat/>
    <w:rsid w:val="00352CD7"/>
    <w:pPr>
      <w:ind w:left="720"/>
      <w:contextualSpacing/>
    </w:pPr>
  </w:style>
  <w:style w:type="character" w:styleId="nfaseIntensa">
    <w:name w:val="Intense Emphasis"/>
    <w:basedOn w:val="Fontepargpadro"/>
    <w:uiPriority w:val="21"/>
    <w:qFormat/>
    <w:rsid w:val="00352CD7"/>
    <w:rPr>
      <w:i/>
      <w:iCs/>
      <w:color w:val="0F4761" w:themeColor="accent1" w:themeShade="BF"/>
    </w:rPr>
  </w:style>
  <w:style w:type="paragraph" w:styleId="CitaoIntensa">
    <w:name w:val="Intense Quote"/>
    <w:basedOn w:val="Normal"/>
    <w:next w:val="Normal"/>
    <w:link w:val="CitaoIntensaChar"/>
    <w:uiPriority w:val="30"/>
    <w:qFormat/>
    <w:rsid w:val="00352C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352CD7"/>
    <w:rPr>
      <w:i/>
      <w:iCs/>
      <w:color w:val="0F4761" w:themeColor="accent1" w:themeShade="BF"/>
    </w:rPr>
  </w:style>
  <w:style w:type="character" w:styleId="RefernciaIntensa">
    <w:name w:val="Intense Reference"/>
    <w:basedOn w:val="Fontepargpadro"/>
    <w:uiPriority w:val="32"/>
    <w:qFormat/>
    <w:rsid w:val="00352CD7"/>
    <w:rPr>
      <w:b/>
      <w:bCs/>
      <w:smallCaps/>
      <w:color w:val="0F4761" w:themeColor="accent1" w:themeShade="BF"/>
      <w:spacing w:val="5"/>
    </w:rPr>
  </w:style>
  <w:style w:type="paragraph" w:styleId="Textodenotaderodap">
    <w:name w:val="footnote text"/>
    <w:basedOn w:val="Normal"/>
    <w:link w:val="TextodenotaderodapChar"/>
    <w:uiPriority w:val="99"/>
    <w:semiHidden/>
    <w:unhideWhenUsed/>
    <w:rsid w:val="00D63F9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63F91"/>
    <w:rPr>
      <w:sz w:val="20"/>
      <w:szCs w:val="20"/>
    </w:rPr>
  </w:style>
  <w:style w:type="character" w:styleId="Refdenotaderodap">
    <w:name w:val="footnote reference"/>
    <w:basedOn w:val="Fontepargpadro"/>
    <w:uiPriority w:val="99"/>
    <w:semiHidden/>
    <w:unhideWhenUsed/>
    <w:rsid w:val="00D63F91"/>
    <w:rPr>
      <w:vertAlign w:val="superscript"/>
    </w:rPr>
  </w:style>
  <w:style w:type="character" w:styleId="Hyperlink">
    <w:name w:val="Hyperlink"/>
    <w:basedOn w:val="Fontepargpadro"/>
    <w:uiPriority w:val="99"/>
    <w:unhideWhenUsed/>
    <w:rsid w:val="00D63F91"/>
    <w:rPr>
      <w:color w:val="467886" w:themeColor="hyperlink"/>
      <w:u w:val="single"/>
    </w:rPr>
  </w:style>
  <w:style w:type="character" w:styleId="MenoPendente">
    <w:name w:val="Unresolved Mention"/>
    <w:basedOn w:val="Fontepargpadro"/>
    <w:uiPriority w:val="99"/>
    <w:semiHidden/>
    <w:unhideWhenUsed/>
    <w:rsid w:val="00D63F91"/>
    <w:rPr>
      <w:color w:val="605E5C"/>
      <w:shd w:val="clear" w:color="auto" w:fill="E1DFDD"/>
    </w:rPr>
  </w:style>
  <w:style w:type="table" w:styleId="Tabelacomgrade">
    <w:name w:val="Table Grid"/>
    <w:basedOn w:val="Tabelanormal"/>
    <w:uiPriority w:val="39"/>
    <w:rsid w:val="00FE13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8F5114"/>
    <w:pPr>
      <w:spacing w:after="0" w:line="240" w:lineRule="auto"/>
    </w:pPr>
  </w:style>
  <w:style w:type="paragraph" w:styleId="Textodecomentrio">
    <w:name w:val="annotation text"/>
    <w:basedOn w:val="Normal"/>
    <w:link w:val="TextodecomentrioChar"/>
    <w:uiPriority w:val="99"/>
    <w:unhideWhenUsed/>
    <w:pPr>
      <w:spacing w:line="240" w:lineRule="auto"/>
    </w:pPr>
    <w:rPr>
      <w:sz w:val="20"/>
      <w:szCs w:val="20"/>
    </w:rPr>
  </w:style>
  <w:style w:type="character" w:customStyle="1" w:styleId="TextodecomentrioChar">
    <w:name w:val="Texto de comentário Char"/>
    <w:basedOn w:val="Fontepargpadro"/>
    <w:link w:val="Textodecomentrio"/>
    <w:uiPriority w:val="99"/>
    <w:rPr>
      <w:sz w:val="20"/>
      <w:szCs w:val="20"/>
    </w:rPr>
  </w:style>
  <w:style w:type="character" w:styleId="Refdecomentrio">
    <w:name w:val="annotation reference"/>
    <w:basedOn w:val="Fontepargpadro"/>
    <w:uiPriority w:val="99"/>
    <w:semiHidden/>
    <w:unhideWhenUsed/>
    <w:rPr>
      <w:sz w:val="16"/>
      <w:szCs w:val="16"/>
    </w:rPr>
  </w:style>
  <w:style w:type="paragraph" w:styleId="Cabealho">
    <w:name w:val="header"/>
    <w:basedOn w:val="Normal"/>
    <w:link w:val="CabealhoChar"/>
    <w:uiPriority w:val="99"/>
    <w:semiHidden/>
    <w:unhideWhenUsed/>
    <w:rsid w:val="002B435A"/>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2B435A"/>
  </w:style>
  <w:style w:type="paragraph" w:styleId="Rodap">
    <w:name w:val="footer"/>
    <w:basedOn w:val="Normal"/>
    <w:link w:val="RodapChar"/>
    <w:uiPriority w:val="99"/>
    <w:semiHidden/>
    <w:unhideWhenUsed/>
    <w:rsid w:val="002B435A"/>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2B435A"/>
  </w:style>
  <w:style w:type="paragraph" w:styleId="Assuntodocomentrio">
    <w:name w:val="annotation subject"/>
    <w:basedOn w:val="Textodecomentrio"/>
    <w:next w:val="Textodecomentrio"/>
    <w:link w:val="AssuntodocomentrioChar"/>
    <w:uiPriority w:val="99"/>
    <w:semiHidden/>
    <w:unhideWhenUsed/>
    <w:rsid w:val="00FE0CAD"/>
    <w:rPr>
      <w:b/>
      <w:bCs/>
    </w:rPr>
  </w:style>
  <w:style w:type="character" w:customStyle="1" w:styleId="AssuntodocomentrioChar">
    <w:name w:val="Assunto do comentário Char"/>
    <w:basedOn w:val="TextodecomentrioChar"/>
    <w:link w:val="Assuntodocomentrio"/>
    <w:uiPriority w:val="99"/>
    <w:semiHidden/>
    <w:rsid w:val="00FE0C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gov.br/participamaisbrasil/regulamentacao-L14652" TargetMode="External"/><Relationship Id="rId1" Type="http://schemas.openxmlformats.org/officeDocument/2006/relationships/hyperlink" Target="https://www.in.gov.br/en/web/dou/-/aviso-de-consulta-publica-n-2-de-3-de-abril-de-2024-551857938"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2A8CD08E61BE944BCA727ED05AB2D5A" ma:contentTypeVersion="16" ma:contentTypeDescription="Crie um novo documento." ma:contentTypeScope="" ma:versionID="4cf3d697d787373190505c8a5a948676">
  <xsd:schema xmlns:xsd="http://www.w3.org/2001/XMLSchema" xmlns:xs="http://www.w3.org/2001/XMLSchema" xmlns:p="http://schemas.microsoft.com/office/2006/metadata/properties" xmlns:ns2="084d9d5b-d040-4c34-b14c-1398a7dcfa76" xmlns:ns3="f79f89c0-fa4e-4341-999c-337c0f066ca9" targetNamespace="http://schemas.microsoft.com/office/2006/metadata/properties" ma:root="true" ma:fieldsID="1283f9adfaed64374404631f4fe901ce" ns2:_="" ns3:_="">
    <xsd:import namespace="084d9d5b-d040-4c34-b14c-1398a7dcfa76"/>
    <xsd:import namespace="f79f89c0-fa4e-4341-999c-337c0f066c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d9d5b-d040-4c34-b14c-1398a7dcfa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9f89c0-fa4e-4341-999c-337c0f066ca9" elementFormDefault="qualified">
    <xsd:import namespace="http://schemas.microsoft.com/office/2006/documentManagement/types"/>
    <xsd:import namespace="http://schemas.microsoft.com/office/infopath/2007/PartnerControls"/>
    <xsd:element name="SharedWithUsers" ma:index="12"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hes de Compartilhado Com" ma:internalName="SharedWithDetails" ma:readOnly="true">
      <xsd:simpleType>
        <xsd:restriction base="dms:Note">
          <xsd:maxLength value="255"/>
        </xsd:restriction>
      </xsd:simpleType>
    </xsd:element>
    <xsd:element name="TaxCatchAll" ma:index="22" nillable="true" ma:displayName="Taxonomy Catch All Column" ma:hidden="true" ma:list="{e0f79eeb-4788-4947-b22a-0afcb6b5d63a}" ma:internalName="TaxCatchAll" ma:showField="CatchAllData" ma:web="f79f89c0-fa4e-4341-999c-337c0f066c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84d9d5b-d040-4c34-b14c-1398a7dcfa76">
      <Terms xmlns="http://schemas.microsoft.com/office/infopath/2007/PartnerControls"/>
    </lcf76f155ced4ddcb4097134ff3c332f>
    <TaxCatchAll xmlns="f79f89c0-fa4e-4341-999c-337c0f066ca9" xsi:nil="true"/>
  </documentManagement>
</p:properties>
</file>

<file path=customXml/itemProps1.xml><?xml version="1.0" encoding="utf-8"?>
<ds:datastoreItem xmlns:ds="http://schemas.openxmlformats.org/officeDocument/2006/customXml" ds:itemID="{171ADD19-BF97-4E1D-9577-A460E6E8BC1A}">
  <ds:schemaRefs>
    <ds:schemaRef ds:uri="http://schemas.openxmlformats.org/officeDocument/2006/bibliography"/>
  </ds:schemaRefs>
</ds:datastoreItem>
</file>

<file path=customXml/itemProps2.xml><?xml version="1.0" encoding="utf-8"?>
<ds:datastoreItem xmlns:ds="http://schemas.openxmlformats.org/officeDocument/2006/customXml" ds:itemID="{50EDE933-BC0F-40AA-924A-4A04FD9A65F5}">
  <ds:schemaRefs>
    <ds:schemaRef ds:uri="http://schemas.microsoft.com/sharepoint/v3/contenttype/forms"/>
  </ds:schemaRefs>
</ds:datastoreItem>
</file>

<file path=customXml/itemProps3.xml><?xml version="1.0" encoding="utf-8"?>
<ds:datastoreItem xmlns:ds="http://schemas.openxmlformats.org/officeDocument/2006/customXml" ds:itemID="{0102AA4F-1BC0-4680-8CBA-95A976438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d9d5b-d040-4c34-b14c-1398a7dcfa76"/>
    <ds:schemaRef ds:uri="f79f89c0-fa4e-4341-999c-337c0f066c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19DC99-FDF2-41C7-882C-8C72F7795AA9}">
  <ds:schemaRefs>
    <ds:schemaRef ds:uri="f79f89c0-fa4e-4341-999c-337c0f066ca9"/>
    <ds:schemaRef ds:uri="http://purl.org/dc/elements/1.1/"/>
    <ds:schemaRef ds:uri="http://schemas.microsoft.com/office/2006/documentManagement/types"/>
    <ds:schemaRef ds:uri="http://purl.org/dc/dcmitype/"/>
    <ds:schemaRef ds:uri="http://purl.org/dc/terms/"/>
    <ds:schemaRef ds:uri="http://schemas.microsoft.com/office/infopath/2007/PartnerControls"/>
    <ds:schemaRef ds:uri="http://schemas.microsoft.com/office/2006/metadata/properties"/>
    <ds:schemaRef ds:uri="http://schemas.openxmlformats.org/package/2006/metadata/core-properties"/>
    <ds:schemaRef ds:uri="084d9d5b-d040-4c34-b14c-1398a7dcfa76"/>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1070</Words>
  <Characters>5784</Characters>
  <Application>Microsoft Office Word</Application>
  <DocSecurity>0</DocSecurity>
  <Lines>48</Lines>
  <Paragraphs>13</Paragraphs>
  <ScaleCrop>false</ScaleCrop>
  <Company/>
  <LinksUpToDate>false</LinksUpToDate>
  <CharactersWithSpaces>6841</CharactersWithSpaces>
  <SharedDoc>false</SharedDoc>
  <HLinks>
    <vt:vector size="12" baseType="variant">
      <vt:variant>
        <vt:i4>327770</vt:i4>
      </vt:variant>
      <vt:variant>
        <vt:i4>3</vt:i4>
      </vt:variant>
      <vt:variant>
        <vt:i4>0</vt:i4>
      </vt:variant>
      <vt:variant>
        <vt:i4>5</vt:i4>
      </vt:variant>
      <vt:variant>
        <vt:lpwstr>https://www.gov.br/participamaisbrasil/regulamentacao-L14652</vt:lpwstr>
      </vt:variant>
      <vt:variant>
        <vt:lpwstr/>
      </vt:variant>
      <vt:variant>
        <vt:i4>4653080</vt:i4>
      </vt:variant>
      <vt:variant>
        <vt:i4>0</vt:i4>
      </vt:variant>
      <vt:variant>
        <vt:i4>0</vt:i4>
      </vt:variant>
      <vt:variant>
        <vt:i4>5</vt:i4>
      </vt:variant>
      <vt:variant>
        <vt:lpwstr>https://www.in.gov.br/en/web/dou/-/aviso-de-consulta-publica-n-2-de-3-de-abril-de-2024-551857938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Juliana Livia Antunes da Rocha</dc:creator>
  <cp:keywords/>
  <dc:description/>
  <cp:lastModifiedBy>Fernando Ceschin Rieche</cp:lastModifiedBy>
  <cp:revision>2</cp:revision>
  <cp:lastPrinted>2024-09-27T12:53:00Z</cp:lastPrinted>
  <dcterms:created xsi:type="dcterms:W3CDTF">2024-09-27T17:44:00Z</dcterms:created>
  <dcterms:modified xsi:type="dcterms:W3CDTF">2024-09-27T17:44:00Z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0x010100C2A8CD08E61BE944BCA727ED05AB2D5A</vt:lpwstr>
  </property>
  <property fmtid="{D5CDD505-2E9C-101B-9397-08002B2CF9AE}" pid="3" name="MediaServiceImageTags">
    <vt:lpwstr/>
  </property>
</Properties>
</file>