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right="420"/>
        <w:jc w:val="center"/>
        <w:rPr>
          <w:b w:val="0"/>
          <w:i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u w:val="single"/>
          <w:vertAlign w:val="baseline"/>
          <w:rtl w:val="0"/>
        </w:rPr>
        <w:t xml:space="preserve">Proposta de Pauta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240" w:lineRule="auto"/>
        <w:ind w:right="420"/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70ª REUNIÃO 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O</w:t>
      </w: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RDINÁRIA DO CONSELHO NACIONAL DOS DIREITOS HUMANOS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0" w:right="1480" w:firstLine="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Data e horário: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16 de junho de 2023 (sexta-feira), 09h às 12h - 14h às 18h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0" w:right="1480" w:firstLine="0"/>
        <w:jc w:val="both"/>
        <w:rPr>
          <w:rFonts w:ascii="Calibri" w:cs="Calibri" w:eastAsia="Calibri" w:hAnsi="Calibri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vertAlign w:val="baseline"/>
          <w:rtl w:val="0"/>
        </w:rPr>
        <w:t xml:space="preserve">Local: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Sala de Reuniões Plenárias, do Ministério dos Direitos Humanos e da Cidadania, localizada no Setor Comercial Sul - B, Quadra 09, Lote C - Edifício Parque Cidade Corporate - Torre A, 10º andar - Brasília/DF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60" w:right="1480" w:firstLine="0"/>
        <w:jc w:val="both"/>
        <w:rPr>
          <w:i w:val="0"/>
          <w:sz w:val="24"/>
          <w:szCs w:val="24"/>
          <w:vertAlign w:val="baseline"/>
        </w:rPr>
      </w:pPr>
      <w:bookmarkStart w:colFirst="0" w:colLast="0" w:name="_heading=h.tyjcwt" w:id="0"/>
      <w:bookmarkEnd w:id="0"/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Link </w:t>
      </w:r>
      <w:r w:rsidDel="00000000" w:rsidR="00000000" w:rsidRPr="00000000">
        <w:rPr>
          <w:i w:val="1"/>
          <w:color w:val="000000"/>
          <w:sz w:val="24"/>
          <w:szCs w:val="24"/>
          <w:vertAlign w:val="baseline"/>
          <w:rtl w:val="0"/>
        </w:rPr>
        <w:t xml:space="preserve">da plataforma virtual Microsoft Teams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: </w:t>
      </w:r>
      <w:hyperlink r:id="rId7">
        <w:r w:rsidDel="00000000" w:rsidR="00000000" w:rsidRPr="00000000">
          <w:rPr>
            <w:rFonts w:ascii="Calibri" w:cs="Calibri" w:eastAsia="Calibri" w:hAnsi="Calibri"/>
            <w:i w:val="1"/>
            <w:color w:val="1155cc"/>
            <w:u w:val="single"/>
            <w:rtl w:val="0"/>
          </w:rPr>
          <w:t xml:space="preserve">Clique para ingressar na reunião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40" w:lineRule="auto"/>
        <w:jc w:val="center"/>
        <w:rPr>
          <w:b w:val="0"/>
          <w:i w:val="0"/>
          <w:sz w:val="24"/>
          <w:szCs w:val="24"/>
          <w:vertAlign w:val="baseline"/>
        </w:rPr>
      </w:pPr>
      <w:bookmarkStart w:colFirst="0" w:colLast="0" w:name="_heading=h.j51bds4rcb2v" w:id="1"/>
      <w:bookmarkEnd w:id="1"/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DIA 16 DE JUNHO DE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(SEXTA-FEIRA)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jc w:val="both"/>
        <w:rPr>
          <w:b w:val="0"/>
          <w:i w:val="0"/>
          <w:color w:val="0070c0"/>
          <w:sz w:val="24"/>
          <w:szCs w:val="24"/>
          <w:highlight w:val="white"/>
          <w:vertAlign w:val="baseline"/>
        </w:rPr>
      </w:pPr>
      <w:bookmarkStart w:colFirst="0" w:colLast="0" w:name="_heading=h.ubv0oie6tv85" w:id="2"/>
      <w:bookmarkEnd w:id="2"/>
      <w:r w:rsidDel="00000000" w:rsidR="00000000" w:rsidRPr="00000000">
        <w:rPr>
          <w:b w:val="1"/>
          <w:i w:val="1"/>
          <w:sz w:val="24"/>
          <w:szCs w:val="24"/>
          <w:highlight w:val="white"/>
          <w:vertAlign w:val="baseline"/>
          <w:rtl w:val="0"/>
        </w:rPr>
        <w:t xml:space="preserve">9h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1"/>
          <w:sz w:val="24"/>
          <w:szCs w:val="24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Abertura da 70ª Reunião Ordinária do CNDH – Presidente André Carneiro Leão </w:t>
      </w:r>
      <w:r w:rsidDel="00000000" w:rsidR="00000000" w:rsidRPr="00000000">
        <w:rPr>
          <w:b w:val="1"/>
          <w:i w:val="1"/>
          <w:color w:val="0070c0"/>
          <w:sz w:val="24"/>
          <w:szCs w:val="24"/>
          <w:highlight w:val="white"/>
          <w:vertAlign w:val="baseline"/>
          <w:rtl w:val="0"/>
        </w:rPr>
        <w:t xml:space="preserve">ao vivo e em sessão aberta ao público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vertAlign w:val="baseline"/>
          <w:rtl w:val="0"/>
        </w:rPr>
        <w:t xml:space="preserve">9h05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Informes;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Conferência Estadual de Direitos Humanos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Vice-Presidente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Mari</w:t>
      </w:r>
      <w:r w:rsidDel="00000000" w:rsidR="00000000" w:rsidRPr="00000000">
        <w:rPr>
          <w:i w:val="1"/>
          <w:sz w:val="24"/>
          <w:szCs w:val="24"/>
          <w:rtl w:val="0"/>
        </w:rPr>
        <w:t xml:space="preserve">na </w:t>
      </w:r>
      <w:r w:rsidDel="00000000" w:rsidR="00000000" w:rsidRPr="00000000">
        <w:rPr>
          <w:i w:val="1"/>
          <w:sz w:val="24"/>
          <w:szCs w:val="24"/>
          <w:rtl w:val="0"/>
        </w:rPr>
        <w:t xml:space="preserve">Ramos Dermmam;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Audiência Pública Mulheres Quilombola</w:t>
      </w:r>
      <w:r w:rsidDel="00000000" w:rsidR="00000000" w:rsidRPr="00000000">
        <w:rPr>
          <w:i w:val="1"/>
          <w:sz w:val="24"/>
          <w:szCs w:val="24"/>
          <w:rtl w:val="0"/>
        </w:rPr>
        <w:t xml:space="preserve">s – Conselheira Sandra </w:t>
      </w:r>
      <w:r w:rsidDel="00000000" w:rsidR="00000000" w:rsidRPr="00000000">
        <w:rPr>
          <w:i w:val="1"/>
          <w:sz w:val="24"/>
          <w:szCs w:val="24"/>
          <w:rtl w:val="0"/>
        </w:rPr>
        <w:t xml:space="preserve">Maria da Silva Andrade</w:t>
      </w:r>
      <w:r w:rsidDel="00000000" w:rsidR="00000000" w:rsidRPr="00000000">
        <w:rPr>
          <w:i w:val="1"/>
          <w:sz w:val="24"/>
          <w:szCs w:val="24"/>
          <w:rtl w:val="0"/>
        </w:rPr>
        <w:t xml:space="preserve"> e Vice-Presidente Marina Ramos Dermmam;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Reunião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de Monitoramento do Pacto Direitos Civis e Políticos – </w:t>
      </w:r>
      <w:r w:rsidDel="00000000" w:rsidR="00000000" w:rsidRPr="00000000">
        <w:rPr>
          <w:i w:val="1"/>
          <w:sz w:val="24"/>
          <w:szCs w:val="24"/>
          <w:rtl w:val="0"/>
        </w:rPr>
        <w:t xml:space="preserve">Presidente André Carneiro Leão;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Debate sobre Violência Política de Gênero – Conselheira H</w:t>
      </w:r>
      <w:r w:rsidDel="00000000" w:rsidR="00000000" w:rsidRPr="00000000">
        <w:rPr>
          <w:i w:val="1"/>
          <w:sz w:val="24"/>
          <w:szCs w:val="24"/>
          <w:rtl w:val="0"/>
        </w:rPr>
        <w:t xml:space="preserve">elen </w:t>
      </w:r>
      <w:r w:rsidDel="00000000" w:rsidR="00000000" w:rsidRPr="00000000">
        <w:rPr>
          <w:i w:val="1"/>
          <w:sz w:val="24"/>
          <w:szCs w:val="24"/>
          <w:rtl w:val="0"/>
        </w:rPr>
        <w:t xml:space="preserve">Cristina Buttignol Perrella;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Debate sobre Alienação Parental – Conselheira </w:t>
      </w:r>
      <w:r w:rsidDel="00000000" w:rsidR="00000000" w:rsidRPr="00000000">
        <w:rPr>
          <w:i w:val="1"/>
          <w:sz w:val="24"/>
          <w:szCs w:val="24"/>
          <w:rtl w:val="0"/>
        </w:rPr>
        <w:t xml:space="preserve">Helen Cristina Buttignol Perrella;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Debate sobre Racismo no esporte – Conselheira </w:t>
      </w:r>
      <w:r w:rsidDel="00000000" w:rsidR="00000000" w:rsidRPr="00000000">
        <w:rPr>
          <w:i w:val="1"/>
          <w:sz w:val="24"/>
          <w:szCs w:val="24"/>
          <w:rtl w:val="0"/>
        </w:rPr>
        <w:t xml:space="preserve">Helen Cristina Buttignol Perrella;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Seminário Fortalecendo a democracia com poder popular e contra o neoliberalismo na América Latina e no Caribe – Conselheira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Virgínia Dirami Berriel;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Relato e encaminhamentos da participação do CNDH na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Reunião Ordinária da Comissão </w:t>
      </w:r>
      <w:r w:rsidDel="00000000" w:rsidR="00000000" w:rsidRPr="00000000">
        <w:rPr>
          <w:i w:val="1"/>
          <w:sz w:val="24"/>
          <w:szCs w:val="24"/>
          <w:rtl w:val="0"/>
        </w:rPr>
        <w:t xml:space="preserve">Nacional de Erradicação do Trabalho Escravo -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Conatrae – Conselheira </w:t>
      </w:r>
      <w:r w:rsidDel="00000000" w:rsidR="00000000" w:rsidRPr="00000000">
        <w:rPr>
          <w:i w:val="1"/>
          <w:sz w:val="24"/>
          <w:szCs w:val="24"/>
          <w:rtl w:val="0"/>
        </w:rPr>
        <w:t xml:space="preserve">Virgínia Dirami Berriel;</w:t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0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9h30</w:t>
      </w:r>
      <w:r w:rsidDel="00000000" w:rsidR="00000000" w:rsidRPr="00000000">
        <w:rPr>
          <w:i w:val="1"/>
          <w:sz w:val="24"/>
          <w:szCs w:val="24"/>
          <w:rtl w:val="0"/>
        </w:rPr>
        <w:t xml:space="preserve"> Relato e encaminhamentos da 32ª Reunião da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Comissão</w:t>
      </w:r>
      <w:r w:rsidDel="00000000" w:rsidR="00000000" w:rsidRPr="00000000">
        <w:rPr>
          <w:i w:val="1"/>
          <w:sz w:val="24"/>
          <w:szCs w:val="24"/>
          <w:rtl w:val="0"/>
        </w:rPr>
        <w:t xml:space="preserve"> Permanente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Defensores dos Direitos Hum</w:t>
      </w:r>
      <w:r w:rsidDel="00000000" w:rsidR="00000000" w:rsidRPr="00000000">
        <w:rPr>
          <w:i w:val="1"/>
          <w:sz w:val="24"/>
          <w:szCs w:val="24"/>
          <w:rtl w:val="0"/>
        </w:rPr>
        <w:t xml:space="preserve">anos e Enfrentamento da Criminalização dos Movimentos Sociais - Conselheira Luisa de Marillac;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240" w:line="240" w:lineRule="auto"/>
        <w:ind w:left="720" w:hanging="360"/>
        <w:jc w:val="both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Apreciação de Resolução que dispõe sobre Comitês de Análise de Processos de Criminalização de Defensoras/es de Direitos Humanos.</w:t>
      </w:r>
    </w:p>
    <w:p w:rsidR="00000000" w:rsidDel="00000000" w:rsidP="00000000" w:rsidRDefault="00000000" w:rsidRPr="00000000" w14:paraId="00000016">
      <w:pPr>
        <w:spacing w:after="240" w:before="240" w:line="240" w:lineRule="auto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9h40 -</w:t>
      </w:r>
      <w:r w:rsidDel="00000000" w:rsidR="00000000" w:rsidRPr="00000000">
        <w:rPr>
          <w:b w:val="1"/>
          <w:i w:val="1"/>
          <w:sz w:val="24"/>
          <w:szCs w:val="24"/>
          <w:highlight w:val="white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Referendo de Notas Públicas do Conselho Nacional dos Direitos Humanos - CNDH: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line="240" w:lineRule="auto"/>
        <w:ind w:left="1080" w:right="60" w:hanging="72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em defesa dos direitos das comunidades de Fundos e Fechos de Pasto da Bahia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Processo SEI nº 00135.212094/2023-37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Presidente André Carneiro Leão;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sobre Missão realizada no Oeste do Estado do Pará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Processo SEI nº 00135.212416/2023-48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Presidente André Carneiro Leão;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contrária à retirada da Conatrae do Ministério dos Direitos Humanos e da Cidadania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Processo SEI nº 00135.212474/2023-71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Presidente André Carneiro Leão; 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repúdio ao racismo no futebol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Processo SEI nº 00135.212799/2023-54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Presidente André Carneiro Leão;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before="240" w:line="240" w:lineRule="auto"/>
        <w:ind w:left="1080" w:hanging="720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em defesa dos direitos dos Povos Indígenas e em Objeção ao PL nº 490/2007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Processo SEI nº 00135.213074/2023-83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Presidente André Carneiro Leão;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1080" w:right="60" w:hanging="72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sobre demissões em massa nas empresas OI/V.TAL de telecomunicações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Processo SEI nº 00135.213083/2023-74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Presidente André Carneiro Leão; </w:t>
      </w:r>
    </w:p>
    <w:p w:rsidR="00000000" w:rsidDel="00000000" w:rsidP="00000000" w:rsidRDefault="00000000" w:rsidRPr="00000000" w14:paraId="0000001D">
      <w:pPr>
        <w:spacing w:line="240" w:lineRule="auto"/>
        <w:ind w:left="1080" w:right="60" w:firstLine="0"/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line="240" w:lineRule="auto"/>
        <w:ind w:left="1080" w:right="60" w:hanging="72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sobre os julgamentos dos processos relativos à chacina do Curió-CE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Processo SEI nº 00135.214232/2023-12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Presidente André Carneiro Leão; </w:t>
      </w:r>
    </w:p>
    <w:p w:rsidR="00000000" w:rsidDel="00000000" w:rsidP="00000000" w:rsidRDefault="00000000" w:rsidRPr="00000000" w14:paraId="0000001F">
      <w:pPr>
        <w:spacing w:line="240" w:lineRule="auto"/>
        <w:ind w:left="1080" w:right="60" w:firstLine="0"/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right="60" w:firstLine="0"/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10h</w:t>
      </w:r>
      <w:r w:rsidDel="00000000" w:rsidR="00000000" w:rsidRPr="00000000">
        <w:rPr>
          <w:b w:val="1"/>
          <w:sz w:val="27"/>
          <w:szCs w:val="27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Referendo de Recomendações do Conselho Nacional dos Direitos Humanos - CNDH:</w:t>
      </w:r>
    </w:p>
    <w:p w:rsidR="00000000" w:rsidDel="00000000" w:rsidP="00000000" w:rsidRDefault="00000000" w:rsidRPr="00000000" w14:paraId="00000021">
      <w:pPr>
        <w:spacing w:line="240" w:lineRule="auto"/>
        <w:ind w:left="0" w:right="60" w:firstLine="0"/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0" w:right="60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Recomendação nº 10, de 16 de maio de 2023, ao Ministério dos Direitos Humanos e da Cidadania, ao Ministério da Justiça e Segurança Pública, ao Ministério da Saúde, ao Ministério das Mulheres, ao Ministério da Igualdade Racial e ao Ministério do Desenvolvimento Social, a regulamentação dos centros de convivência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Processo SEI nº 00135.211749/2023-50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Presidente André Carneiro Leão;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="240" w:lineRule="auto"/>
        <w:jc w:val="both"/>
        <w:rPr>
          <w:i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10h10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Apreciação de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 Resoluções do Conselho Nacional dos Direitos Humanos - CNDH: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120" w:line="240" w:lineRule="auto"/>
        <w:jc w:val="both"/>
        <w:rPr>
          <w:i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(i) 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dispõe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sobre a designação das Consultoras/es ad hoc para subsidiar os trabalhos técnicos das Comissões e de Relatoras/es ad hoc para instruir os procedimentos que especifica</w:t>
      </w:r>
      <w:r w:rsidDel="00000000" w:rsidR="00000000" w:rsidRPr="00000000">
        <w:rPr>
          <w:b w:val="1"/>
          <w:i w:val="1"/>
          <w:sz w:val="24"/>
          <w:szCs w:val="24"/>
          <w:highlight w:val="white"/>
          <w:vertAlign w:val="baseline"/>
          <w:rtl w:val="0"/>
        </w:rPr>
        <w:t xml:space="preserve"> - 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Presidente André Carneiro Leão;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40" w:lineRule="auto"/>
        <w:jc w:val="both"/>
        <w:rPr>
          <w:i w:val="1"/>
          <w:sz w:val="24"/>
          <w:szCs w:val="24"/>
          <w:highlight w:val="white"/>
          <w:vertAlign w:val="baseline"/>
        </w:rPr>
      </w:pPr>
      <w:bookmarkStart w:colFirst="0" w:colLast="0" w:name="_heading=h.gjdgxs" w:id="3"/>
      <w:bookmarkEnd w:id="3"/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(ii) dispõe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 criação do Grupo de Trabalho de Estruturação e Fortalecimento do Controle Social sobre a Política de Direitos Humanos no âmbito do Conselho Nacional dos Direitos Humanos (CNDH), durante a gestão 2023-2024, com ex-Presidentas e ex-Presidentes do CNDH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 - Presidente André Carneiro Leão;</w:t>
      </w:r>
    </w:p>
    <w:p w:rsidR="00000000" w:rsidDel="00000000" w:rsidP="00000000" w:rsidRDefault="00000000" w:rsidRPr="00000000" w14:paraId="00000026">
      <w:pPr>
        <w:spacing w:after="120" w:before="120" w:line="240" w:lineRule="auto"/>
        <w:jc w:val="both"/>
        <w:rPr>
          <w:i w:val="1"/>
          <w:sz w:val="24"/>
          <w:szCs w:val="24"/>
          <w:highlight w:val="white"/>
        </w:rPr>
      </w:pPr>
      <w:bookmarkStart w:colFirst="0" w:colLast="0" w:name="_heading=h.sskji9hs8t95" w:id="4"/>
      <w:bookmarkEnd w:id="4"/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(iii) dispõe sobre a criação do Grupo de Trabalho para organização das atividades de celebração dos 10 anos do Conselho Nacional dos Direitos Humanos - CNDH;</w:t>
      </w:r>
    </w:p>
    <w:p w:rsidR="00000000" w:rsidDel="00000000" w:rsidP="00000000" w:rsidRDefault="00000000" w:rsidRPr="00000000" w14:paraId="00000027">
      <w:pPr>
        <w:spacing w:after="120" w:before="120" w:line="240" w:lineRule="auto"/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10h40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Relato e encaminhamentos da 38ª Reunião da Comissão Permanente de Direito à Comunicação e à Liberdade de Expressão - Conselheiro Admirson Medeiros;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i w:val="1"/>
          <w:sz w:val="24"/>
          <w:szCs w:val="24"/>
          <w:highlight w:val="white"/>
          <w:u w:val="non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Apreciação de Recomendação emergencial para o Município de São Paulo relativa às violações às liberdades civis e direitos fundamentais referente ao </w:t>
      </w:r>
      <w:hyperlink r:id="rId8">
        <w:r w:rsidDel="00000000" w:rsidR="00000000" w:rsidRPr="00000000">
          <w:rPr>
            <w:i w:val="1"/>
            <w:sz w:val="24"/>
            <w:szCs w:val="24"/>
            <w:highlight w:val="white"/>
            <w:rtl w:val="0"/>
          </w:rPr>
          <w:t xml:space="preserve">EDITAL DE PREGÃO ELETRÔNICO PARA PRESTAÇÃO DE SERVIÇOS CONTÍNUOS N.º 079/SMSU/2022</w:t>
        </w:r>
      </w:hyperlink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- Programa Smart Sampa, e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720" w:firstLine="0"/>
        <w:jc w:val="both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120" w:before="120" w:line="240" w:lineRule="auto"/>
        <w:ind w:left="720" w:hanging="360"/>
        <w:jc w:val="both"/>
        <w:rPr>
          <w:i w:val="1"/>
          <w:sz w:val="24"/>
          <w:szCs w:val="24"/>
          <w:highlight w:val="white"/>
          <w:u w:val="non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Apreciação de Resolução que dispõe sobre formas de enfrentamento ao discurso de ódio no Brasil.</w:t>
      </w:r>
    </w:p>
    <w:p w:rsidR="00000000" w:rsidDel="00000000" w:rsidP="00000000" w:rsidRDefault="00000000" w:rsidRPr="00000000" w14:paraId="0000002B">
      <w:pPr>
        <w:spacing w:after="120" w:before="120" w:line="240" w:lineRule="auto"/>
        <w:jc w:val="both"/>
        <w:rPr>
          <w:i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vertAlign w:val="baseline"/>
          <w:rtl w:val="0"/>
        </w:rPr>
        <w:t xml:space="preserve">11h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Apre</w:t>
      </w:r>
      <w:r w:rsidDel="00000000" w:rsidR="00000000" w:rsidRPr="00000000">
        <w:rPr>
          <w:i w:val="1"/>
          <w:sz w:val="24"/>
          <w:szCs w:val="24"/>
          <w:rtl w:val="0"/>
        </w:rPr>
        <w:t xml:space="preserve">sentação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do Relatório do Instituto Vladimir Herzog sobre o Massacre do Jacarezinho - Convidado Rafael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Schincariol</w:t>
      </w:r>
      <w:r w:rsidDel="00000000" w:rsidR="00000000" w:rsidRPr="00000000">
        <w:rPr>
          <w:i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D">
      <w:pPr>
        <w:spacing w:after="120" w:before="12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11h40</w:t>
      </w:r>
      <w:r w:rsidDel="00000000" w:rsidR="00000000" w:rsidRPr="00000000">
        <w:rPr>
          <w:i w:val="1"/>
          <w:sz w:val="24"/>
          <w:szCs w:val="24"/>
          <w:rtl w:val="0"/>
        </w:rPr>
        <w:t xml:space="preserve"> Apreciação de Nota Pública da Comissão Permanente de Promoção e Defesa dos Direitos das Mulheres, da População LGBTI, Promoção da Igualdade Racial e Enfrentamento ao Racismo - Conselheira Helen Cristina Buttignol Perrella e Conselheiro Gustavo Coutinho; 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720" w:firstLine="0"/>
        <w:jc w:val="both"/>
        <w:rPr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720" w:firstLine="0"/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12h30 - 14h00 ALMOÇO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720" w:firstLine="0"/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jc w:val="both"/>
        <w:rPr>
          <w:i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14h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Calendário de reuniões das Comissões e Subcomissões Permanentes do CNDH e de Reuniões Descentralizadas da Mesa Diretora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.</w:t>
      </w: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Definição das Missões Planejadas do 2º Semestre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;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Definição das Audiências Públicas Planejadas do 2º Semestre</w:t>
      </w:r>
      <w:r w:rsidDel="00000000" w:rsidR="00000000" w:rsidRPr="00000000">
        <w:rPr>
          <w:i w:val="1"/>
          <w:sz w:val="24"/>
          <w:szCs w:val="24"/>
          <w:rtl w:val="0"/>
        </w:rPr>
        <w:t xml:space="preserve"> - Presidente André Carneiro Leão;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before="12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15h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Escuta da Profa. Márcia Tiburi sobre denúncia apresentada ao CNDH</w:t>
      </w:r>
      <w:r w:rsidDel="00000000" w:rsidR="00000000" w:rsidRPr="00000000">
        <w:rPr>
          <w:i w:val="1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3">
      <w:pPr>
        <w:spacing w:after="120" w:before="12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16h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Relato e encaminhamentos da </w:t>
      </w:r>
      <w:r w:rsidDel="00000000" w:rsidR="00000000" w:rsidRPr="00000000">
        <w:rPr>
          <w:i w:val="1"/>
          <w:sz w:val="24"/>
          <w:szCs w:val="24"/>
          <w:rtl w:val="0"/>
        </w:rPr>
        <w:t xml:space="preserve">Comissão do Direito à Cidade - Conselheiro Getúlio Vargas;</w:t>
      </w:r>
    </w:p>
    <w:p w:rsidR="00000000" w:rsidDel="00000000" w:rsidP="00000000" w:rsidRDefault="00000000" w:rsidRPr="00000000" w14:paraId="00000034">
      <w:pPr>
        <w:spacing w:after="120" w:before="120" w:line="240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Apreciação da minuta da Recomendação sobre resultados preliminares da Missão pelo direito à Moradia Digna, ao Território e Contra os Despejos em Belém/PA.</w:t>
      </w:r>
    </w:p>
    <w:p w:rsidR="00000000" w:rsidDel="00000000" w:rsidP="00000000" w:rsidRDefault="00000000" w:rsidRPr="00000000" w14:paraId="00000035">
      <w:pPr>
        <w:spacing w:after="140" w:line="240" w:lineRule="auto"/>
        <w:ind w:left="0" w:right="672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Apreciação da minuta da Recomendação sobre resultados preliminares da Missão pelo direito à Moradia Digna, ao Território e Contra os Despejos em Barcarena/PA.</w:t>
      </w:r>
    </w:p>
    <w:p w:rsidR="00000000" w:rsidDel="00000000" w:rsidP="00000000" w:rsidRDefault="00000000" w:rsidRPr="00000000" w14:paraId="00000036">
      <w:pPr>
        <w:spacing w:after="120" w:before="120" w:line="240" w:lineRule="auto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16h30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highlight w:val="white"/>
          <w:vertAlign w:val="baseline"/>
          <w:rtl w:val="0"/>
        </w:rPr>
        <w:t xml:space="preserve">Escuta 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sobre denúncia de Trabalhadoras de presídio em Minas Gerais assediadas por policiais penais;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240" w:lineRule="auto"/>
        <w:jc w:val="both"/>
        <w:rPr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17h </w:t>
      </w:r>
      <w:r w:rsidDel="00000000" w:rsidR="00000000" w:rsidRPr="00000000">
        <w:rPr>
          <w:i w:val="1"/>
          <w:sz w:val="24"/>
          <w:szCs w:val="24"/>
          <w:rtl w:val="0"/>
        </w:rPr>
        <w:t xml:space="preserve">Encaminhamento e distribuição de denúncias e representações recebidas pelo CNDH e analisadas pela Mesa Diretora, com destaques da Mesa – Resolução nº 2, de 9 de março de 2022 – Presidente André Carneiro Leão </w:t>
      </w:r>
      <w:r w:rsidDel="00000000" w:rsidR="00000000" w:rsidRPr="00000000">
        <w:rPr>
          <w:b w:val="1"/>
          <w:i w:val="1"/>
          <w:color w:val="ff0000"/>
          <w:sz w:val="24"/>
          <w:szCs w:val="24"/>
          <w:rtl w:val="0"/>
        </w:rPr>
        <w:t xml:space="preserve">reunião fechada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before="120" w:line="240" w:lineRule="auto"/>
        <w:jc w:val="both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b w:val="1"/>
          <w:i w:val="1"/>
          <w:sz w:val="24"/>
          <w:szCs w:val="24"/>
          <w:vertAlign w:val="baseline"/>
          <w:rtl w:val="0"/>
        </w:rPr>
        <w:t xml:space="preserve">18h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 Conclusão da </w:t>
      </w:r>
      <w:r w:rsidDel="00000000" w:rsidR="00000000" w:rsidRPr="00000000">
        <w:rPr>
          <w:i w:val="1"/>
          <w:sz w:val="24"/>
          <w:szCs w:val="24"/>
          <w:rtl w:val="0"/>
        </w:rPr>
        <w:t xml:space="preserve">70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ª Reunião Ordinária do CNDH - Presidente André Carneiro Leão;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="240" w:lineRule="auto"/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="240" w:lineRule="auto"/>
        <w:jc w:val="center"/>
        <w:rPr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spacing w:line="360" w:lineRule="auto"/>
      <w:ind w:left="60" w:right="60" w:firstLine="0"/>
      <w:jc w:val="center"/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vertAlign w:val="baseline"/>
      </w:rPr>
      <w:drawing>
        <wp:inline distB="0" distT="0" distL="114300" distR="114300">
          <wp:extent cx="955675" cy="95504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5675" cy="9550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vertAlign w:val="baseline"/>
        <w:rtl w:val="0"/>
      </w:rPr>
      <w:t xml:space="preserve">​</w:t>
    </w:r>
  </w:p>
  <w:p w:rsidR="00000000" w:rsidDel="00000000" w:rsidP="00000000" w:rsidRDefault="00000000" w:rsidRPr="00000000" w14:paraId="0000003D">
    <w:pPr>
      <w:spacing w:line="240" w:lineRule="auto"/>
      <w:ind w:left="62" w:right="62" w:firstLine="0"/>
      <w:jc w:val="center"/>
      <w:rPr>
        <w:rFonts w:ascii="Times New Roman" w:cs="Times New Roman" w:eastAsia="Times New Roman" w:hAnsi="Times New Roman"/>
        <w:b w:val="0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vertAlign w:val="baseline"/>
        <w:rtl w:val="0"/>
      </w:rPr>
      <w:t xml:space="preserve">CONSELHO NACIONAL DOS DIREITOS HUMANOS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spacing w:line="240" w:lineRule="auto"/>
      <w:ind w:left="62" w:right="62" w:firstLine="0"/>
      <w:jc w:val="center"/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vertAlign w:val="baseline"/>
        <w:rtl w:val="0"/>
      </w:rPr>
      <w:t xml:space="preserve">SCS - B - Quadra 09 - Lote C - Edifício Parque Cidade Corporate, Torre A</w:t>
    </w:r>
  </w:p>
  <w:p w:rsidR="00000000" w:rsidDel="00000000" w:rsidP="00000000" w:rsidRDefault="00000000" w:rsidRPr="00000000" w14:paraId="0000003F">
    <w:pPr>
      <w:spacing w:line="240" w:lineRule="auto"/>
      <w:ind w:left="62" w:right="62" w:firstLine="0"/>
      <w:jc w:val="center"/>
      <w:rPr>
        <w:rFonts w:ascii="Times New Roman" w:cs="Times New Roman" w:eastAsia="Times New Roman" w:hAnsi="Times New Roman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vertAlign w:val="baseline"/>
        <w:rtl w:val="0"/>
      </w:rPr>
      <w:t xml:space="preserve">Brasília, DF. CEP 70308-200. -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0000ff"/>
          <w:u w:val="single"/>
          <w:vertAlign w:val="baseline"/>
          <w:rtl w:val="0"/>
        </w:rPr>
        <w:t xml:space="preserve">http://www.mdh.gov.br/sobre/participacao-social/cndh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line="240" w:lineRule="auto"/>
      <w:ind w:left="62" w:right="62" w:firstLine="0"/>
      <w:jc w:val="center"/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Roman"/>
      <w:lvlText w:val="(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lowerRoman"/>
      <w:lvlText w:val="(%1)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40"/>
      <w:szCs w:val="4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120" w:before="360" w:line="276" w:lineRule="auto"/>
      <w:ind w:leftChars="-1" w:rightChars="0" w:firstLineChars="-1"/>
      <w:textDirection w:val="btLr"/>
      <w:textAlignment w:val="top"/>
      <w:outlineLvl w:val="1"/>
    </w:pPr>
    <w:rPr>
      <w:w w:val="100"/>
      <w:position w:val="-1"/>
      <w:sz w:val="32"/>
      <w:szCs w:val="32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20" w:line="276" w:lineRule="auto"/>
      <w:ind w:leftChars="-1" w:rightChars="0" w:firstLineChars="-1"/>
      <w:textDirection w:val="btLr"/>
      <w:textAlignment w:val="top"/>
      <w:outlineLvl w:val="2"/>
    </w:pPr>
    <w:rPr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3"/>
    </w:pPr>
    <w:rPr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40" w:line="276" w:lineRule="auto"/>
      <w:ind w:leftChars="-1" w:rightChars="0" w:firstLineChars="-1"/>
      <w:textDirection w:val="btLr"/>
      <w:textAlignment w:val="top"/>
      <w:outlineLvl w:val="4"/>
    </w:pPr>
    <w:rPr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40" w:line="276" w:lineRule="auto"/>
      <w:ind w:leftChars="-1" w:rightChars="0" w:firstLineChars="-1"/>
      <w:textDirection w:val="btLr"/>
      <w:textAlignment w:val="top"/>
      <w:outlineLvl w:val="5"/>
    </w:pPr>
    <w:rPr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0">
    <w:name w:val="Table Normal"/>
    <w:next w:val="TableNormal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0"/>
      <w:jc w:val="left"/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6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52"/>
      <w:szCs w:val="52"/>
      <w:effect w:val="none"/>
      <w:vertAlign w:val="baseline"/>
      <w:cs w:val="0"/>
      <w:em w:val="none"/>
      <w:lang w:bidi="ar-SA" w:eastAsia="pt-BR" w:val="pt-BR"/>
    </w:rPr>
  </w:style>
  <w:style w:type="table" w:styleId="TableNormal1">
    <w:name w:val="Table Normal"/>
    <w:next w:val="TableNormal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"/>
      <w:jc w:val="left"/>
    </w:tblPr>
  </w:style>
  <w:style w:type="table" w:styleId="TableNormal2">
    <w:name w:val="Table Normal"/>
    <w:next w:val="TableNormal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"/>
      <w:jc w:val="left"/>
    </w:tblPr>
  </w:style>
  <w:style w:type="table" w:styleId="TableNormal3">
    <w:name w:val="Table Normal"/>
    <w:next w:val="TableNormal3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3"/>
      <w:jc w:val="left"/>
    </w:tblPr>
  </w:style>
  <w:style w:type="table" w:styleId="TableNormal4">
    <w:name w:val="Table Normal"/>
    <w:next w:val="TableNormal4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4"/>
      <w:jc w:val="left"/>
    </w:tblPr>
  </w:style>
  <w:style w:type="table" w:styleId="TableNormal5">
    <w:name w:val="Table Normal"/>
    <w:next w:val="TableNormal5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5"/>
      <w:jc w:val="left"/>
    </w:tblPr>
  </w:style>
  <w:style w:type="table" w:styleId="TableNormal6">
    <w:name w:val="Table Normal"/>
    <w:next w:val="TableNormal6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6"/>
      <w:jc w:val="left"/>
    </w:tblPr>
  </w:style>
  <w:style w:type="table" w:styleId="TableNormal7">
    <w:name w:val="Table Normal"/>
    <w:next w:val="TableNormal7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7"/>
      <w:jc w:val="left"/>
    </w:tblPr>
  </w:style>
  <w:style w:type="table" w:styleId="TableNormal8">
    <w:name w:val="Table Normal"/>
    <w:next w:val="TableNormal8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>
    <w:name w:val="Table Normal"/>
    <w:next w:val="TableNormal9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>
    <w:name w:val="Table Normal"/>
    <w:next w:val="TableNormal1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1">
    <w:name w:val="Table Normal"/>
    <w:next w:val="TableNormal1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2">
    <w:name w:val="Table Normal"/>
    <w:next w:val="TableNormal1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3">
    <w:name w:val="Table Normal"/>
    <w:next w:val="TableNormal13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4">
    <w:name w:val="Table Normal"/>
    <w:next w:val="TableNormal14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5">
    <w:name w:val="Table Normal"/>
    <w:next w:val="TableNormal15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6">
    <w:name w:val="Table Normal"/>
    <w:next w:val="TableNormal16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7">
    <w:name w:val="Table Normal"/>
    <w:next w:val="TableNormal17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7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8">
    <w:name w:val="Table Normal"/>
    <w:next w:val="TableNormal18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9">
    <w:name w:val="Table Normal"/>
    <w:next w:val="TableNormal19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0">
    <w:name w:val="Table Normal"/>
    <w:next w:val="TableNormal2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1">
    <w:name w:val="Table Normal"/>
    <w:next w:val="TableNormal2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2">
    <w:name w:val="Table Normal"/>
    <w:next w:val="TableNormal2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3">
    <w:name w:val="Table Normal"/>
    <w:next w:val="TableNormal23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4">
    <w:name w:val="Table Normal"/>
    <w:next w:val="TableNormal24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5">
    <w:name w:val="Table Normal"/>
    <w:next w:val="TableNormal25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6">
    <w:name w:val="Table Normal"/>
    <w:next w:val="TableNormal26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7">
    <w:name w:val="Table Normal"/>
    <w:next w:val="TableNormal27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7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8">
    <w:name w:val="Table Normal"/>
    <w:next w:val="TableNormal28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9">
    <w:name w:val="Table Normal"/>
    <w:next w:val="TableNormal29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30">
    <w:name w:val="Table Normal1"/>
    <w:next w:val="TableNormal13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3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31">
    <w:name w:val="Table Normal2"/>
    <w:next w:val="TableNormal23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23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32">
    <w:name w:val="Table Normal3"/>
    <w:next w:val="TableNormal33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33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33">
    <w:name w:val="Table Normal4"/>
    <w:next w:val="TableNormal433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43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34">
    <w:name w:val="Table Normal5"/>
    <w:next w:val="TableNormal534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53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35">
    <w:name w:val="Table Normal6"/>
    <w:next w:val="TableNormal635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63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36">
    <w:name w:val="Table Normal7"/>
    <w:next w:val="TableNormal736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73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37">
    <w:name w:val="Table Normal8"/>
    <w:next w:val="TableNormal837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837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38">
    <w:name w:val="Table Normal9"/>
    <w:next w:val="TableNormal938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938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39">
    <w:name w:val="Table Normal10"/>
    <w:next w:val="TableNormal1039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039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140">
    <w:name w:val="Table Normal11"/>
    <w:next w:val="TableNormal1140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140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241">
    <w:name w:val="Table Normal12"/>
    <w:next w:val="TableNormal1241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241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342">
    <w:name w:val="Table Normal13"/>
    <w:next w:val="TableNormal1342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342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443">
    <w:name w:val="Table Normal14"/>
    <w:next w:val="TableNormal1443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443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544">
    <w:name w:val="Table Normal15"/>
    <w:next w:val="TableNormal1544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544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645">
    <w:name w:val="Table Normal16"/>
    <w:next w:val="TableNormal1645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645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746">
    <w:name w:val="Table Normal17"/>
    <w:next w:val="TableNormal1746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  <w:tblPr>
      <w:tblStyle w:val="TableNormal1746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320" w:line="276" w:lineRule="auto"/>
      <w:ind w:leftChars="-1" w:rightChars="0" w:firstLineChars="-1"/>
      <w:textDirection w:val="btLr"/>
      <w:textAlignment w:val="top"/>
      <w:outlineLvl w:val="0"/>
    </w:pPr>
    <w:rPr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eams.microsoft.com/l/meetup-join/19%3ameeting_NGMyZTA3MTQtMTNjNi00MzI3LWFjMGUtODgwOWM0OGJlNjRi%40thread.v2/0?context=%7b%22Tid%22%3a%22fba5b178-3af1-4420-966b-bf5163e6b1da%22%2c%22Oid%22%3a%220fbea3a5-bca3-4c0f-a199-badb113d3fcd%22%7d" TargetMode="External"/><Relationship Id="rId8" Type="http://schemas.openxmlformats.org/officeDocument/2006/relationships/hyperlink" Target="https://www.bec.sp.gov.br/bec_pregao_ui/edital/becprp16001.aspx?VXMvvihwwpHOiMQoeJWnSo8%2bctF4SMGPAiXN%2bfidhuMpKvl%2bYgqRzTMmgoPahg%2b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mdh.gov.br/sobre/participacao-social/cnd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owqjQuMV1Zghs+Qb60Me++C1g==">CgMxLjAyCGgudHlqY3d0Mg5oLmo1MWJkczRyY2IydjIOaC51YnYwb2llNnR2ODUyCGguZ2pkZ3hzMg5oLnNza2ppOWhzOHQ5NTgAciExcDdHR1ZYVXRIcmYxV2Q5anRaZ2xNY0ZGTHMwb3VkOHA=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2023-06-14T23:38:00Z</dcterms:created>
  <dc:creator>DPU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