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D789" w14:textId="40DCFAE1" w:rsidR="1B213FC8" w:rsidRDefault="1B213FC8" w:rsidP="647FB29E">
      <w:pPr>
        <w:spacing w:after="0"/>
        <w:jc w:val="center"/>
        <w:rPr>
          <w:rFonts w:ascii="Times New Roman" w:eastAsia="Times New Roman" w:hAnsi="Times New Roman" w:cs="Times New Roman"/>
          <w:b/>
          <w:bCs/>
          <w:color w:val="000000" w:themeColor="text1"/>
        </w:rPr>
      </w:pPr>
      <w:r w:rsidRPr="647FB29E">
        <w:rPr>
          <w:rFonts w:ascii="Times New Roman" w:eastAsia="Times New Roman" w:hAnsi="Times New Roman" w:cs="Times New Roman"/>
          <w:b/>
          <w:bCs/>
          <w:color w:val="000000" w:themeColor="text1"/>
        </w:rPr>
        <w:t>SPECIAL BIDDING COMMITTEE’S DECISION ON THE ADMINISTRATIVE APPEAL FILED BY BLS INTERNATIONAL SERVICES LIMITED</w:t>
      </w:r>
    </w:p>
    <w:p w14:paraId="412D3EBA" w14:textId="4054800E" w:rsidR="647FB29E" w:rsidRDefault="647FB29E" w:rsidP="647FB29E">
      <w:pPr>
        <w:spacing w:after="0"/>
        <w:jc w:val="center"/>
        <w:rPr>
          <w:rFonts w:ascii="Times New Roman" w:eastAsia="Times New Roman" w:hAnsi="Times New Roman" w:cs="Times New Roman"/>
          <w:b/>
          <w:bCs/>
          <w:color w:val="000000" w:themeColor="text1"/>
        </w:rPr>
      </w:pPr>
    </w:p>
    <w:p w14:paraId="769D3A55" w14:textId="5653DC37" w:rsidR="04ADECF2" w:rsidRDefault="04ADECF2" w:rsidP="647FB29E">
      <w:pPr>
        <w:spacing w:after="0"/>
        <w:jc w:val="right"/>
        <w:rPr>
          <w:rFonts w:ascii="Times New Roman" w:eastAsia="Times New Roman" w:hAnsi="Times New Roman" w:cs="Times New Roman"/>
          <w:i/>
          <w:iCs/>
          <w:color w:val="000000" w:themeColor="text1"/>
        </w:rPr>
      </w:pPr>
      <w:r w:rsidRPr="647FB29E">
        <w:rPr>
          <w:rFonts w:ascii="Times New Roman" w:eastAsia="Times New Roman" w:hAnsi="Times New Roman" w:cs="Times New Roman"/>
          <w:i/>
          <w:iCs/>
          <w:color w:val="000000" w:themeColor="text1"/>
        </w:rPr>
        <w:t xml:space="preserve">Beijing, 20 </w:t>
      </w:r>
      <w:r w:rsidR="7B78A9E1" w:rsidRPr="647FB29E">
        <w:rPr>
          <w:rFonts w:ascii="Times New Roman" w:eastAsia="Times New Roman" w:hAnsi="Times New Roman" w:cs="Times New Roman"/>
          <w:i/>
          <w:iCs/>
          <w:color w:val="000000" w:themeColor="text1"/>
        </w:rPr>
        <w:t>Octo</w:t>
      </w:r>
      <w:r w:rsidRPr="647FB29E">
        <w:rPr>
          <w:rFonts w:ascii="Times New Roman" w:eastAsia="Times New Roman" w:hAnsi="Times New Roman" w:cs="Times New Roman"/>
          <w:i/>
          <w:iCs/>
          <w:color w:val="000000" w:themeColor="text1"/>
        </w:rPr>
        <w:t>ber 2025</w:t>
      </w:r>
    </w:p>
    <w:p w14:paraId="51298A29" w14:textId="087B85C6" w:rsidR="647FB29E" w:rsidRDefault="647FB29E" w:rsidP="647FB29E">
      <w:pPr>
        <w:spacing w:after="0"/>
        <w:jc w:val="both"/>
        <w:rPr>
          <w:rFonts w:ascii="Times New Roman" w:eastAsia="Times New Roman" w:hAnsi="Times New Roman" w:cs="Times New Roman"/>
          <w:color w:val="000000" w:themeColor="text1"/>
        </w:rPr>
      </w:pPr>
    </w:p>
    <w:p w14:paraId="72F2C7CD" w14:textId="74C44DD2" w:rsidR="647FB29E" w:rsidRDefault="647FB29E" w:rsidP="647FB29E">
      <w:pPr>
        <w:spacing w:after="0"/>
        <w:ind w:firstLine="720"/>
        <w:jc w:val="both"/>
        <w:rPr>
          <w:rFonts w:ascii="Times New Roman" w:eastAsia="Times New Roman" w:hAnsi="Times New Roman" w:cs="Times New Roman"/>
          <w:color w:val="000000" w:themeColor="text1"/>
        </w:rPr>
      </w:pPr>
    </w:p>
    <w:p w14:paraId="708EDE25" w14:textId="2D01653B" w:rsidR="5487FAD2" w:rsidRDefault="5487FAD2" w:rsidP="647FB29E">
      <w:pPr>
        <w:pStyle w:val="PargrafodaLista"/>
        <w:numPr>
          <w:ilvl w:val="0"/>
          <w:numId w:val="1"/>
        </w:numPr>
        <w:spacing w:after="0"/>
        <w:jc w:val="both"/>
        <w:rPr>
          <w:rFonts w:ascii="Times New Roman" w:eastAsia="Times New Roman" w:hAnsi="Times New Roman" w:cs="Times New Roman"/>
          <w:b/>
          <w:bCs/>
          <w:color w:val="000000" w:themeColor="text1"/>
        </w:rPr>
      </w:pPr>
      <w:r w:rsidRPr="647FB29E">
        <w:rPr>
          <w:rFonts w:ascii="Times New Roman" w:eastAsia="Times New Roman" w:hAnsi="Times New Roman" w:cs="Times New Roman"/>
          <w:b/>
          <w:bCs/>
          <w:color w:val="000000" w:themeColor="text1"/>
        </w:rPr>
        <w:t>FACTS AND ADMISSIBILITY OF THE APPEAL</w:t>
      </w:r>
    </w:p>
    <w:p w14:paraId="6DEF3E6D" w14:textId="774B24F7" w:rsidR="647FB29E" w:rsidRDefault="647FB29E" w:rsidP="647FB29E">
      <w:pPr>
        <w:spacing w:after="0"/>
        <w:jc w:val="both"/>
        <w:rPr>
          <w:rFonts w:ascii="Times New Roman" w:eastAsia="Times New Roman" w:hAnsi="Times New Roman" w:cs="Times New Roman"/>
          <w:color w:val="000000" w:themeColor="text1"/>
        </w:rPr>
      </w:pPr>
    </w:p>
    <w:p w14:paraId="46EFD62C" w14:textId="4B57A691" w:rsidR="5487FAD2" w:rsidRDefault="5487FAD2" w:rsidP="647FB29E">
      <w:pPr>
        <w:spacing w:after="0"/>
        <w:jc w:val="both"/>
        <w:rPr>
          <w:rFonts w:ascii="Times New Roman" w:eastAsia="Times New Roman" w:hAnsi="Times New Roman" w:cs="Times New Roman"/>
          <w:color w:val="000000" w:themeColor="text1"/>
        </w:rPr>
      </w:pPr>
      <w:r w:rsidRPr="647FB29E">
        <w:rPr>
          <w:rFonts w:ascii="Times New Roman" w:eastAsia="Times New Roman" w:hAnsi="Times New Roman" w:cs="Times New Roman"/>
          <w:color w:val="000000" w:themeColor="text1"/>
        </w:rPr>
        <w:t>1.</w:t>
      </w:r>
      <w:r>
        <w:tab/>
      </w:r>
      <w:r w:rsidR="00915409" w:rsidRPr="00915409">
        <w:rPr>
          <w:rFonts w:ascii="Times New Roman" w:eastAsia="Times New Roman" w:hAnsi="Times New Roman" w:cs="Times New Roman"/>
          <w:color w:val="000000" w:themeColor="text1"/>
        </w:rPr>
        <w:t>The Special Bidding Committee (“Committee”), established by Ordinance No. 5/2025 of the Ambassador of Brazil in Beijing dated 25 July 2025, received an Administrative Appeal (“Appeal”) from BLS International Services Limited (“BLS”) on 14 October 2025. BLS had notified its intent to appeal on 9 October 2025 and submitted its grounds three days later. On 17 October 2025</w:t>
      </w:r>
      <w:r w:rsidR="00915409">
        <w:rPr>
          <w:rFonts w:ascii="Times New Roman" w:eastAsia="Times New Roman" w:hAnsi="Times New Roman" w:cs="Times New Roman"/>
          <w:color w:val="000000" w:themeColor="text1"/>
        </w:rPr>
        <w:t xml:space="preserve"> - </w:t>
      </w:r>
      <w:r w:rsidR="00915409" w:rsidRPr="00915409">
        <w:rPr>
          <w:rFonts w:ascii="Times New Roman" w:eastAsia="Times New Roman" w:hAnsi="Times New Roman" w:cs="Times New Roman"/>
          <w:color w:val="000000" w:themeColor="text1"/>
        </w:rPr>
        <w:t>three days after the Committee shared BLS’s arguments with other bidders</w:t>
      </w:r>
      <w:r w:rsidR="00915409">
        <w:rPr>
          <w:rFonts w:ascii="Times New Roman" w:eastAsia="Times New Roman" w:hAnsi="Times New Roman" w:cs="Times New Roman"/>
          <w:color w:val="000000" w:themeColor="text1"/>
        </w:rPr>
        <w:t xml:space="preserve"> - </w:t>
      </w:r>
      <w:r w:rsidR="00915409" w:rsidRPr="00915409">
        <w:rPr>
          <w:rFonts w:ascii="Times New Roman" w:eastAsia="Times New Roman" w:hAnsi="Times New Roman" w:cs="Times New Roman"/>
          <w:color w:val="000000" w:themeColor="text1"/>
        </w:rPr>
        <w:t>VF Worldwide Holdings Ltd. (“VF”) filed counterarguments</w:t>
      </w:r>
      <w:r w:rsidR="67927404" w:rsidRPr="647FB29E">
        <w:rPr>
          <w:rFonts w:ascii="Times New Roman" w:eastAsia="Times New Roman" w:hAnsi="Times New Roman" w:cs="Times New Roman"/>
          <w:color w:val="000000" w:themeColor="text1"/>
        </w:rPr>
        <w:t>.</w:t>
      </w:r>
    </w:p>
    <w:p w14:paraId="44290B1B" w14:textId="3DF0BEDA" w:rsidR="647FB29E" w:rsidRDefault="647FB29E" w:rsidP="647FB29E">
      <w:pPr>
        <w:spacing w:after="0"/>
        <w:jc w:val="both"/>
        <w:rPr>
          <w:rFonts w:ascii="Times New Roman" w:eastAsia="Times New Roman" w:hAnsi="Times New Roman" w:cs="Times New Roman"/>
          <w:color w:val="000000" w:themeColor="text1"/>
        </w:rPr>
      </w:pPr>
    </w:p>
    <w:p w14:paraId="09BF0E3A" w14:textId="6A0CC352" w:rsidR="4F8A9D60" w:rsidRDefault="4F8A9D60" w:rsidP="647FB29E">
      <w:pPr>
        <w:spacing w:after="0"/>
        <w:jc w:val="both"/>
        <w:rPr>
          <w:rFonts w:ascii="Times New Roman" w:eastAsia="Times New Roman" w:hAnsi="Times New Roman" w:cs="Times New Roman"/>
          <w:color w:val="000000" w:themeColor="text1"/>
        </w:rPr>
      </w:pPr>
      <w:r w:rsidRPr="647FB29E">
        <w:rPr>
          <w:rFonts w:ascii="Times New Roman" w:eastAsia="Times New Roman" w:hAnsi="Times New Roman" w:cs="Times New Roman"/>
          <w:color w:val="000000" w:themeColor="text1"/>
        </w:rPr>
        <w:t>2.</w:t>
      </w:r>
      <w:r>
        <w:tab/>
      </w:r>
      <w:r w:rsidR="244DB064" w:rsidRPr="647FB29E">
        <w:rPr>
          <w:rFonts w:ascii="Times New Roman" w:eastAsia="Times New Roman" w:hAnsi="Times New Roman" w:cs="Times New Roman"/>
          <w:color w:val="000000" w:themeColor="text1"/>
        </w:rPr>
        <w:t>In its Appeal, BLS requests that the Committee “recognize the sufficiency and validity of all the documentation submitted by BLS as demonstrative of its experience with e-Visa services, and approve its qualification in accordance with the Notice of Bidding, declaring BLS the winner of the bid.” BLS asserts that it “has successfully proved to fulfill the e-Visa criterion under the terms of the Notice of Bidding, at least for two different counties, Malaysia and Thailand, as documented on pages 44 to 66 of BLS’s Technical Qualification” (¶17). In the alternative, BLS contends that its document</w:t>
      </w:r>
      <w:r w:rsidR="54C37E35" w:rsidRPr="647FB29E">
        <w:rPr>
          <w:rFonts w:ascii="Times New Roman" w:eastAsia="Times New Roman" w:hAnsi="Times New Roman" w:cs="Times New Roman"/>
          <w:color w:val="000000" w:themeColor="text1"/>
        </w:rPr>
        <w:t>s</w:t>
      </w:r>
      <w:r w:rsidR="244DB064" w:rsidRPr="647FB29E">
        <w:rPr>
          <w:rFonts w:ascii="Times New Roman" w:eastAsia="Times New Roman" w:hAnsi="Times New Roman" w:cs="Times New Roman"/>
          <w:color w:val="000000" w:themeColor="text1"/>
        </w:rPr>
        <w:t xml:space="preserve"> “</w:t>
      </w:r>
      <w:r w:rsidR="1F58B745" w:rsidRPr="647FB29E">
        <w:rPr>
          <w:rFonts w:ascii="Times New Roman" w:eastAsia="Times New Roman" w:hAnsi="Times New Roman" w:cs="Times New Roman"/>
          <w:color w:val="000000" w:themeColor="text1"/>
        </w:rPr>
        <w:t>satisfy the material essence of the qualification clause, thereby fulfilling the legal objective of verifying technical capability</w:t>
      </w:r>
      <w:r w:rsidR="244DB064" w:rsidRPr="647FB29E">
        <w:rPr>
          <w:rFonts w:ascii="Times New Roman" w:eastAsia="Times New Roman" w:hAnsi="Times New Roman" w:cs="Times New Roman"/>
          <w:color w:val="000000" w:themeColor="text1"/>
        </w:rPr>
        <w:t>” (¶19), arguing that “</w:t>
      </w:r>
      <w:r w:rsidR="2B057AA6" w:rsidRPr="647FB29E">
        <w:rPr>
          <w:rFonts w:ascii="Times New Roman" w:eastAsia="Times New Roman" w:hAnsi="Times New Roman" w:cs="Times New Roman"/>
          <w:color w:val="000000" w:themeColor="text1"/>
        </w:rPr>
        <w:t>the substance and evidentiary value of the documentation must prevail over its form</w:t>
      </w:r>
      <w:r w:rsidR="244DB064" w:rsidRPr="647FB29E">
        <w:rPr>
          <w:rFonts w:ascii="Times New Roman" w:eastAsia="Times New Roman" w:hAnsi="Times New Roman" w:cs="Times New Roman"/>
          <w:color w:val="000000" w:themeColor="text1"/>
        </w:rPr>
        <w:t>” (¶25).</w:t>
      </w:r>
      <w:r w:rsidR="5810FB59" w:rsidRPr="647FB29E">
        <w:rPr>
          <w:rFonts w:ascii="Times New Roman" w:eastAsia="Times New Roman" w:hAnsi="Times New Roman" w:cs="Times New Roman"/>
          <w:color w:val="000000" w:themeColor="text1"/>
        </w:rPr>
        <w:t xml:space="preserve"> </w:t>
      </w:r>
      <w:r w:rsidR="6AE2A6E8" w:rsidRPr="647FB29E">
        <w:rPr>
          <w:rFonts w:ascii="Times New Roman" w:eastAsia="Times New Roman" w:hAnsi="Times New Roman" w:cs="Times New Roman"/>
          <w:color w:val="000000" w:themeColor="text1"/>
        </w:rPr>
        <w:t>The Appellant accordingly requests the Committee to reconsider its 29 September 2025 decision disqualifying BLS from the bidding process</w:t>
      </w:r>
    </w:p>
    <w:p w14:paraId="11A3667E" w14:textId="75E2D1D5" w:rsidR="647FB29E" w:rsidRDefault="647FB29E" w:rsidP="647FB29E">
      <w:pPr>
        <w:spacing w:after="0"/>
        <w:jc w:val="both"/>
        <w:rPr>
          <w:rFonts w:ascii="Times New Roman" w:eastAsia="Times New Roman" w:hAnsi="Times New Roman" w:cs="Times New Roman"/>
          <w:color w:val="000000" w:themeColor="text1"/>
        </w:rPr>
      </w:pPr>
    </w:p>
    <w:p w14:paraId="676C2919" w14:textId="04100368" w:rsidR="1D323A05" w:rsidRDefault="1D323A05" w:rsidP="647FB29E">
      <w:pPr>
        <w:spacing w:after="0"/>
        <w:jc w:val="both"/>
        <w:rPr>
          <w:rFonts w:ascii="Times New Roman" w:eastAsia="Times New Roman" w:hAnsi="Times New Roman" w:cs="Times New Roman"/>
          <w:color w:val="000000" w:themeColor="text1"/>
        </w:rPr>
      </w:pPr>
      <w:r w:rsidRPr="647FB29E">
        <w:rPr>
          <w:rFonts w:ascii="Times New Roman" w:eastAsia="Times New Roman" w:hAnsi="Times New Roman" w:cs="Times New Roman"/>
          <w:color w:val="000000" w:themeColor="text1"/>
        </w:rPr>
        <w:t>3.</w:t>
      </w:r>
      <w:r>
        <w:tab/>
      </w:r>
      <w:r w:rsidR="5DAECC05" w:rsidRPr="647FB29E">
        <w:rPr>
          <w:rFonts w:ascii="Times New Roman" w:eastAsia="Times New Roman" w:hAnsi="Times New Roman" w:cs="Times New Roman"/>
          <w:color w:val="000000" w:themeColor="text1"/>
        </w:rPr>
        <w:t xml:space="preserve">VF, in its counterarguments, argues that BLS’s current position contradicts its submissions in the writ of mandamus filed before the Federal Court of the Federal District of Brazil (Case No. 1108094-68.2025.4.01.3400), wherein BLS challenged items 7.3.1.1.1 and 7.3.1.2.1 of the Notice of Bidding - provisions requiring cumulative experience in both physical and electronic visa modalities. VF further notes that the Federal Regional Court of the 1st Region (TRF-1) granted an interlocutory appeal in Case No. 1035379-43.2025.4.01.0000 and maintains that the Committee’s decision aligns with the principles of adherence to the bidding notice, impartiality, and selection of the most advantageous proposal. </w:t>
      </w:r>
    </w:p>
    <w:p w14:paraId="45D7FFEC" w14:textId="35585681" w:rsidR="647FB29E" w:rsidRDefault="647FB29E" w:rsidP="647FB29E">
      <w:pPr>
        <w:spacing w:after="0"/>
        <w:jc w:val="both"/>
        <w:rPr>
          <w:rFonts w:ascii="Times New Roman" w:eastAsia="Times New Roman" w:hAnsi="Times New Roman" w:cs="Times New Roman"/>
          <w:color w:val="000000" w:themeColor="text1"/>
        </w:rPr>
      </w:pPr>
    </w:p>
    <w:p w14:paraId="2516D9DA" w14:textId="16B67DFA" w:rsidR="56B3BDFD" w:rsidRDefault="56B3BDFD" w:rsidP="647FB29E">
      <w:pPr>
        <w:spacing w:after="0"/>
        <w:jc w:val="both"/>
        <w:rPr>
          <w:rFonts w:ascii="Times New Roman" w:eastAsia="Times New Roman" w:hAnsi="Times New Roman" w:cs="Times New Roman"/>
          <w:color w:val="000000" w:themeColor="text1"/>
        </w:rPr>
      </w:pPr>
      <w:r w:rsidRPr="647FB29E">
        <w:rPr>
          <w:rFonts w:ascii="Times New Roman" w:eastAsia="Times New Roman" w:hAnsi="Times New Roman" w:cs="Times New Roman"/>
          <w:color w:val="000000" w:themeColor="text1"/>
        </w:rPr>
        <w:t>4.</w:t>
      </w:r>
      <w:r>
        <w:tab/>
      </w:r>
      <w:r w:rsidR="537935F1" w:rsidRPr="647FB29E">
        <w:rPr>
          <w:rFonts w:ascii="Times New Roman" w:eastAsia="Times New Roman" w:hAnsi="Times New Roman" w:cs="Times New Roman"/>
          <w:color w:val="000000" w:themeColor="text1"/>
        </w:rPr>
        <w:t>The Committee confirms that both BLS’s Appeal and VF’s counterarguments were timely filed in accordance with item 9.4.6 of the Notice of Bidding. The merits of the Appeal are addressed below.</w:t>
      </w:r>
    </w:p>
    <w:p w14:paraId="0FC83408" w14:textId="427C2137" w:rsidR="647FB29E" w:rsidRDefault="647FB29E" w:rsidP="647FB29E">
      <w:pPr>
        <w:spacing w:after="0"/>
        <w:jc w:val="both"/>
        <w:rPr>
          <w:rFonts w:ascii="Times New Roman" w:eastAsia="Times New Roman" w:hAnsi="Times New Roman" w:cs="Times New Roman"/>
        </w:rPr>
      </w:pPr>
    </w:p>
    <w:p w14:paraId="45D722DB" w14:textId="56E71FAB" w:rsidR="25B4CD1E" w:rsidRDefault="25B4CD1E" w:rsidP="647FB29E">
      <w:pPr>
        <w:pStyle w:val="PargrafodaLista"/>
        <w:numPr>
          <w:ilvl w:val="0"/>
          <w:numId w:val="1"/>
        </w:numPr>
        <w:spacing w:after="0"/>
        <w:jc w:val="both"/>
        <w:rPr>
          <w:rFonts w:ascii="Times New Roman" w:eastAsia="Times New Roman" w:hAnsi="Times New Roman" w:cs="Times New Roman"/>
          <w:b/>
          <w:bCs/>
        </w:rPr>
      </w:pPr>
      <w:r w:rsidRPr="647FB29E">
        <w:rPr>
          <w:rFonts w:ascii="Times New Roman" w:eastAsia="Times New Roman" w:hAnsi="Times New Roman" w:cs="Times New Roman"/>
          <w:b/>
          <w:bCs/>
        </w:rPr>
        <w:lastRenderedPageBreak/>
        <w:t>MERITS</w:t>
      </w:r>
      <w:r w:rsidR="75274367" w:rsidRPr="647FB29E">
        <w:rPr>
          <w:rFonts w:ascii="Times New Roman" w:eastAsia="Times New Roman" w:hAnsi="Times New Roman" w:cs="Times New Roman"/>
          <w:b/>
          <w:bCs/>
        </w:rPr>
        <w:t xml:space="preserve"> OF THE APPEAL </w:t>
      </w:r>
    </w:p>
    <w:p w14:paraId="5DC4160D" w14:textId="4802E414" w:rsidR="647FB29E" w:rsidRDefault="647FB29E" w:rsidP="647FB29E">
      <w:pPr>
        <w:spacing w:after="0"/>
        <w:jc w:val="both"/>
        <w:rPr>
          <w:rFonts w:ascii="Times New Roman" w:eastAsia="Times New Roman" w:hAnsi="Times New Roman" w:cs="Times New Roman"/>
        </w:rPr>
      </w:pPr>
    </w:p>
    <w:p w14:paraId="75446C99" w14:textId="090AC544" w:rsidR="7A9B4F88" w:rsidRDefault="7A9B4F88"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5.</w:t>
      </w:r>
      <w:r>
        <w:tab/>
      </w:r>
      <w:r w:rsidR="2CFE388C" w:rsidRPr="647FB29E">
        <w:rPr>
          <w:rFonts w:ascii="Times New Roman" w:eastAsia="Times New Roman" w:hAnsi="Times New Roman" w:cs="Times New Roman"/>
        </w:rPr>
        <w:t>Item 7.3.1 of the Notice of Bidding expressly provides that, “for technical qualification purposes, bidders must provide letters of reference from government agencies on past performance that demonstrate the following: (...)”. Although BLS and VF later contested specific sub-items of this provision, the requirement itself that qualification be evidenced by governmental letters of reference was never subject to clarification requests or legal challenges prior to the public session.</w:t>
      </w:r>
    </w:p>
    <w:p w14:paraId="70FF92DA" w14:textId="493561C3" w:rsidR="647FB29E" w:rsidRDefault="647FB29E" w:rsidP="647FB29E">
      <w:pPr>
        <w:spacing w:after="0"/>
        <w:jc w:val="both"/>
        <w:rPr>
          <w:rFonts w:ascii="Times New Roman" w:eastAsia="Times New Roman" w:hAnsi="Times New Roman" w:cs="Times New Roman"/>
        </w:rPr>
      </w:pPr>
    </w:p>
    <w:p w14:paraId="796F6A4B" w14:textId="7161DFBE" w:rsidR="06D12240" w:rsidRDefault="06D12240"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6</w:t>
      </w:r>
      <w:r w:rsidR="37D385CF" w:rsidRPr="647FB29E">
        <w:rPr>
          <w:rFonts w:ascii="Times New Roman" w:eastAsia="Times New Roman" w:hAnsi="Times New Roman" w:cs="Times New Roman"/>
        </w:rPr>
        <w:t>.</w:t>
      </w:r>
      <w:r>
        <w:tab/>
      </w:r>
      <w:r w:rsidR="3087D6BC" w:rsidRPr="647FB29E">
        <w:rPr>
          <w:rFonts w:ascii="Times New Roman" w:eastAsia="Times New Roman" w:hAnsi="Times New Roman" w:cs="Times New Roman"/>
        </w:rPr>
        <w:t>Consistent with settled jurisprudence of the Brazilian Federal Court of Accounts (TCU),</w:t>
      </w:r>
      <w:r w:rsidR="68E4538F" w:rsidRPr="647FB29E">
        <w:rPr>
          <w:rFonts w:ascii="Times New Roman" w:eastAsia="Times New Roman" w:hAnsi="Times New Roman" w:cs="Times New Roman"/>
        </w:rPr>
        <w:t xml:space="preserve"> "for the purpose of verifying bidders' technical and operational capacity, it is lawful to require proof of minimum quantities executed in works or services with similar characteristics, provided that such requirement is simultaneously limited to the portions of the contract object that are of greatest relevance and significant value, and that this requirement remains proportionate to the scale and complexity of the work or service to be performed" (TCU Precedent n. 263).</w:t>
      </w:r>
    </w:p>
    <w:p w14:paraId="301A5454" w14:textId="1DE97E0B" w:rsidR="647FB29E" w:rsidRDefault="647FB29E" w:rsidP="647FB29E">
      <w:pPr>
        <w:spacing w:after="0"/>
        <w:jc w:val="both"/>
        <w:rPr>
          <w:rFonts w:ascii="Times New Roman" w:eastAsia="Times New Roman" w:hAnsi="Times New Roman" w:cs="Times New Roman"/>
        </w:rPr>
      </w:pPr>
    </w:p>
    <w:p w14:paraId="0B67FB0E" w14:textId="0B18D7CA" w:rsidR="47214F11" w:rsidRDefault="47214F11"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7</w:t>
      </w:r>
      <w:r w:rsidR="68E4538F" w:rsidRPr="647FB29E">
        <w:rPr>
          <w:rFonts w:ascii="Times New Roman" w:eastAsia="Times New Roman" w:hAnsi="Times New Roman" w:cs="Times New Roman"/>
        </w:rPr>
        <w:t>.</w:t>
      </w:r>
      <w:r>
        <w:tab/>
      </w:r>
      <w:r w:rsidR="2EB3B9CD" w:rsidRPr="647FB29E">
        <w:rPr>
          <w:rFonts w:ascii="Times New Roman" w:eastAsia="Times New Roman" w:hAnsi="Times New Roman" w:cs="Times New Roman"/>
        </w:rPr>
        <w:t xml:space="preserve">Art. 67, §3, of Federal Law n. 14.133/2021 </w:t>
      </w:r>
      <w:r w:rsidR="33B6D3CB" w:rsidRPr="647FB29E">
        <w:rPr>
          <w:rFonts w:ascii="Times New Roman" w:eastAsia="Times New Roman" w:hAnsi="Times New Roman" w:cs="Times New Roman"/>
        </w:rPr>
        <w:t>further clarifies</w:t>
      </w:r>
      <w:r w:rsidR="2EB3B9CD" w:rsidRPr="647FB29E">
        <w:rPr>
          <w:rFonts w:ascii="Times New Roman" w:eastAsia="Times New Roman" w:hAnsi="Times New Roman" w:cs="Times New Roman"/>
        </w:rPr>
        <w:t xml:space="preserve"> that "</w:t>
      </w:r>
      <w:r w:rsidR="5D55A309" w:rsidRPr="647FB29E">
        <w:rPr>
          <w:rFonts w:ascii="Times New Roman" w:eastAsia="Times New Roman" w:hAnsi="Times New Roman" w:cs="Times New Roman"/>
        </w:rPr>
        <w:t>e</w:t>
      </w:r>
      <w:r w:rsidR="2EB3B9CD" w:rsidRPr="647FB29E">
        <w:rPr>
          <w:rFonts w:ascii="Times New Roman" w:eastAsia="Times New Roman" w:hAnsi="Times New Roman" w:cs="Times New Roman"/>
        </w:rPr>
        <w:t>xcept in the procurement of engineering works and services, the requirements referred to in subparagraphs I and II of the caput of this article [which include certificates</w:t>
      </w:r>
      <w:r w:rsidR="6781C169" w:rsidRPr="647FB29E">
        <w:rPr>
          <w:rFonts w:ascii="Times New Roman" w:eastAsia="Times New Roman" w:hAnsi="Times New Roman" w:cs="Times New Roman"/>
        </w:rPr>
        <w:t xml:space="preserve"> demonstrating operational capacity to perform similar services of equivalent or greater technological and operational complexity</w:t>
      </w:r>
      <w:r w:rsidR="2EB3B9CD" w:rsidRPr="647FB29E">
        <w:rPr>
          <w:rFonts w:ascii="Times New Roman" w:eastAsia="Times New Roman" w:hAnsi="Times New Roman" w:cs="Times New Roman"/>
        </w:rPr>
        <w:t xml:space="preserve">] may, </w:t>
      </w:r>
      <w:r w:rsidR="2EB3B9CD" w:rsidRPr="647FB29E">
        <w:rPr>
          <w:rFonts w:ascii="Times New Roman" w:eastAsia="Times New Roman" w:hAnsi="Times New Roman" w:cs="Times New Roman"/>
          <w:b/>
          <w:bCs/>
        </w:rPr>
        <w:t>at the discretion of the Administration</w:t>
      </w:r>
      <w:r w:rsidR="2EB3B9CD" w:rsidRPr="647FB29E">
        <w:rPr>
          <w:rFonts w:ascii="Times New Roman" w:eastAsia="Times New Roman" w:hAnsi="Times New Roman" w:cs="Times New Roman"/>
        </w:rPr>
        <w:t xml:space="preserve">, be replaced by alternative evidence demonstrating that the professional or company possesses the technical knowledge and practical experience necessary to perform services of similar characteristics. In such cases, </w:t>
      </w:r>
      <w:r w:rsidR="2EB3B9CD" w:rsidRPr="647FB29E">
        <w:rPr>
          <w:rFonts w:ascii="Times New Roman" w:eastAsia="Times New Roman" w:hAnsi="Times New Roman" w:cs="Times New Roman"/>
          <w:b/>
          <w:bCs/>
        </w:rPr>
        <w:t xml:space="preserve">the acceptable alternative forms of proof shall be specified in </w:t>
      </w:r>
      <w:r w:rsidR="057CBAD3" w:rsidRPr="647FB29E">
        <w:rPr>
          <w:rFonts w:ascii="Times New Roman" w:eastAsia="Times New Roman" w:hAnsi="Times New Roman" w:cs="Times New Roman"/>
          <w:b/>
          <w:bCs/>
        </w:rPr>
        <w:t>regulations</w:t>
      </w:r>
      <w:r w:rsidR="2D4B8A6A" w:rsidRPr="647FB29E">
        <w:rPr>
          <w:rFonts w:ascii="Times New Roman" w:eastAsia="Times New Roman" w:hAnsi="Times New Roman" w:cs="Times New Roman"/>
          <w:b/>
          <w:bCs/>
        </w:rPr>
        <w:t>”</w:t>
      </w:r>
      <w:r w:rsidR="057CBAD3" w:rsidRPr="647FB29E">
        <w:rPr>
          <w:rFonts w:ascii="Times New Roman" w:eastAsia="Times New Roman" w:hAnsi="Times New Roman" w:cs="Times New Roman"/>
          <w:b/>
          <w:bCs/>
        </w:rPr>
        <w:t xml:space="preserve"> (</w:t>
      </w:r>
      <w:r w:rsidR="3D38CAD6" w:rsidRPr="647FB29E">
        <w:rPr>
          <w:rFonts w:ascii="Times New Roman" w:eastAsia="Times New Roman" w:hAnsi="Times New Roman" w:cs="Times New Roman"/>
        </w:rPr>
        <w:t>emphasis added).</w:t>
      </w:r>
      <w:r w:rsidR="3DB430B6" w:rsidRPr="647FB29E">
        <w:rPr>
          <w:rFonts w:ascii="Times New Roman" w:eastAsia="Times New Roman" w:hAnsi="Times New Roman" w:cs="Times New Roman"/>
        </w:rPr>
        <w:t xml:space="preserve"> This is </w:t>
      </w:r>
      <w:r w:rsidR="1E91396C" w:rsidRPr="647FB29E">
        <w:rPr>
          <w:rFonts w:ascii="Times New Roman" w:eastAsia="Times New Roman" w:hAnsi="Times New Roman" w:cs="Times New Roman"/>
        </w:rPr>
        <w:t xml:space="preserve">interpretation is </w:t>
      </w:r>
      <w:r w:rsidR="3DB430B6" w:rsidRPr="647FB29E">
        <w:rPr>
          <w:rFonts w:ascii="Times New Roman" w:eastAsia="Times New Roman" w:hAnsi="Times New Roman" w:cs="Times New Roman"/>
        </w:rPr>
        <w:t>reinforced in TCU's Biddings and Contracts Handbook (available at https://licitacoesecontratos.tcu.gov.br/5-5-2-habilitacao-tecnica/).</w:t>
      </w:r>
    </w:p>
    <w:p w14:paraId="56873ECA" w14:textId="4ACADEA0" w:rsidR="647FB29E" w:rsidRDefault="647FB29E" w:rsidP="647FB29E">
      <w:pPr>
        <w:spacing w:after="0"/>
        <w:jc w:val="both"/>
        <w:rPr>
          <w:rFonts w:ascii="Times New Roman" w:eastAsia="Times New Roman" w:hAnsi="Times New Roman" w:cs="Times New Roman"/>
        </w:rPr>
      </w:pPr>
    </w:p>
    <w:p w14:paraId="15215D42" w14:textId="23C2AAE4" w:rsidR="122DE96A" w:rsidRDefault="122DE96A"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8</w:t>
      </w:r>
      <w:r w:rsidR="3DB430B6" w:rsidRPr="647FB29E">
        <w:rPr>
          <w:rFonts w:ascii="Times New Roman" w:eastAsia="Times New Roman" w:hAnsi="Times New Roman" w:cs="Times New Roman"/>
        </w:rPr>
        <w:t>.</w:t>
      </w:r>
      <w:r>
        <w:tab/>
      </w:r>
      <w:r w:rsidR="2570120F" w:rsidRPr="647FB29E">
        <w:rPr>
          <w:rFonts w:ascii="Times New Roman" w:eastAsia="Times New Roman" w:hAnsi="Times New Roman" w:cs="Times New Roman"/>
        </w:rPr>
        <w:t>In the present procurement, no regulation authorizes alternative forms of proof for technical-operational experience. Moreover, no bidder raised this issue before the envelope-opening session, when proposals were being finalized. To the contrary, item 7.3.1 of the Notice of Bidding unambiguously specifies the sole acceptable form of evidence: letters of reference from government agencies.</w:t>
      </w:r>
    </w:p>
    <w:p w14:paraId="1F6603D0" w14:textId="469685C9" w:rsidR="647FB29E" w:rsidRDefault="647FB29E" w:rsidP="647FB29E">
      <w:pPr>
        <w:spacing w:after="0"/>
        <w:jc w:val="both"/>
        <w:rPr>
          <w:rFonts w:ascii="Times New Roman" w:eastAsia="Times New Roman" w:hAnsi="Times New Roman" w:cs="Times New Roman"/>
        </w:rPr>
      </w:pPr>
    </w:p>
    <w:p w14:paraId="5BC43CF1" w14:textId="1AB196E3" w:rsidR="79EC27C6" w:rsidRDefault="79EC27C6"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9</w:t>
      </w:r>
      <w:r w:rsidR="2093F5D1" w:rsidRPr="647FB29E">
        <w:rPr>
          <w:rFonts w:ascii="Times New Roman" w:eastAsia="Times New Roman" w:hAnsi="Times New Roman" w:cs="Times New Roman"/>
        </w:rPr>
        <w:t>.</w:t>
      </w:r>
      <w:r>
        <w:tab/>
      </w:r>
      <w:r w:rsidR="1032718F" w:rsidRPr="647FB29E">
        <w:rPr>
          <w:rFonts w:ascii="Times New Roman" w:eastAsia="Times New Roman" w:hAnsi="Times New Roman" w:cs="Times New Roman"/>
        </w:rPr>
        <w:t>This requirement is not a “purely formal” condition within the meaning of Article 12, III, of Law No. 14,133/2021. Rather, it is fundamental to ensuring equality among bidders: all participants prepared their submissions under the same clear and binding rule—namely, that qualification must be substantiated by official governmental attestations. To relax this requirement after envelope opening would violate core principles of public procurement, including equality, legal certainty, and strict adherence to the bidding notice.</w:t>
      </w:r>
    </w:p>
    <w:p w14:paraId="5BD9E315" w14:textId="697AE347" w:rsidR="647FB29E" w:rsidRDefault="647FB29E" w:rsidP="647FB29E">
      <w:pPr>
        <w:spacing w:after="0"/>
        <w:jc w:val="both"/>
        <w:rPr>
          <w:rFonts w:ascii="Times New Roman" w:eastAsia="Times New Roman" w:hAnsi="Times New Roman" w:cs="Times New Roman"/>
        </w:rPr>
      </w:pPr>
    </w:p>
    <w:p w14:paraId="0348A1B1" w14:textId="462235AA" w:rsidR="3AA6C4E0" w:rsidRDefault="3AA6C4E0"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lastRenderedPageBreak/>
        <w:t>10.</w:t>
      </w:r>
      <w:r>
        <w:tab/>
      </w:r>
      <w:r w:rsidRPr="647FB29E">
        <w:rPr>
          <w:rFonts w:ascii="Times New Roman" w:eastAsia="Times New Roman" w:hAnsi="Times New Roman" w:cs="Times New Roman"/>
        </w:rPr>
        <w:t>In the meeting of 26 September 202er ite</w:t>
      </w:r>
      <w:r w:rsidR="7FE0B77D" w:rsidRPr="647FB29E">
        <w:rPr>
          <w:rFonts w:ascii="Times New Roman" w:eastAsia="Times New Roman" w:hAnsi="Times New Roman" w:cs="Times New Roman"/>
        </w:rPr>
        <w:t xml:space="preserve"> 5, after noting that “the letters from national governments provided by BLS are insufficient to demonstrate [experience with electronic visa services]”, the Committee exercised its discretion under item</w:t>
      </w:r>
      <w:r w:rsidRPr="647FB29E">
        <w:rPr>
          <w:rFonts w:ascii="Times New Roman" w:eastAsia="Times New Roman" w:hAnsi="Times New Roman" w:cs="Times New Roman"/>
        </w:rPr>
        <w:t xml:space="preserve"> </w:t>
      </w:r>
      <w:r w:rsidR="78525121" w:rsidRPr="647FB29E">
        <w:rPr>
          <w:rFonts w:ascii="Times New Roman" w:eastAsia="Times New Roman" w:hAnsi="Times New Roman" w:cs="Times New Roman"/>
        </w:rPr>
        <w:t xml:space="preserve">9.3.4 </w:t>
      </w:r>
      <w:r w:rsidRPr="647FB29E">
        <w:rPr>
          <w:rFonts w:ascii="Times New Roman" w:eastAsia="Times New Roman" w:hAnsi="Times New Roman" w:cs="Times New Roman"/>
        </w:rPr>
        <w:t xml:space="preserve">of the Notice of </w:t>
      </w:r>
      <w:proofErr w:type="gramStart"/>
      <w:r w:rsidRPr="647FB29E">
        <w:rPr>
          <w:rFonts w:ascii="Times New Roman" w:eastAsia="Times New Roman" w:hAnsi="Times New Roman" w:cs="Times New Roman"/>
        </w:rPr>
        <w:t xml:space="preserve">Bidding </w:t>
      </w:r>
      <w:r w:rsidR="184C9B2A" w:rsidRPr="647FB29E">
        <w:rPr>
          <w:rFonts w:ascii="Times New Roman" w:eastAsia="Times New Roman" w:hAnsi="Times New Roman" w:cs="Times New Roman"/>
        </w:rPr>
        <w:t xml:space="preserve"> and</w:t>
      </w:r>
      <w:proofErr w:type="gramEnd"/>
      <w:r w:rsidR="184C9B2A" w:rsidRPr="647FB29E">
        <w:rPr>
          <w:rFonts w:ascii="Times New Roman" w:eastAsia="Times New Roman" w:hAnsi="Times New Roman" w:cs="Times New Roman"/>
        </w:rPr>
        <w:t xml:space="preserve"> requested BLS “(a) to present a letter from the national government to which it claimed to have provided e-visa services, as well as (b) copy of the relevant contracts, confirming that experience”.</w:t>
      </w:r>
    </w:p>
    <w:p w14:paraId="7E4B60FE" w14:textId="75E90F2D" w:rsidR="647FB29E" w:rsidRDefault="647FB29E" w:rsidP="647FB29E">
      <w:pPr>
        <w:spacing w:after="0"/>
        <w:jc w:val="both"/>
        <w:rPr>
          <w:rFonts w:ascii="Times New Roman" w:eastAsia="Times New Roman" w:hAnsi="Times New Roman" w:cs="Times New Roman"/>
        </w:rPr>
      </w:pPr>
    </w:p>
    <w:p w14:paraId="2334A038" w14:textId="703F121E" w:rsidR="168DBFD8" w:rsidRDefault="168DBFD8"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1</w:t>
      </w:r>
      <w:r w:rsidR="541D6B71" w:rsidRPr="647FB29E">
        <w:rPr>
          <w:rFonts w:ascii="Times New Roman" w:eastAsia="Times New Roman" w:hAnsi="Times New Roman" w:cs="Times New Roman"/>
        </w:rPr>
        <w:t>1</w:t>
      </w:r>
      <w:r w:rsidR="534C78D1" w:rsidRPr="647FB29E">
        <w:rPr>
          <w:rFonts w:ascii="Times New Roman" w:eastAsia="Times New Roman" w:hAnsi="Times New Roman" w:cs="Times New Roman"/>
        </w:rPr>
        <w:t>.</w:t>
      </w:r>
      <w:r>
        <w:tab/>
      </w:r>
      <w:r w:rsidR="5E3ECBAF" w:rsidRPr="647FB29E">
        <w:rPr>
          <w:rFonts w:ascii="Times New Roman" w:eastAsia="Times New Roman" w:hAnsi="Times New Roman" w:cs="Times New Roman"/>
        </w:rPr>
        <w:t xml:space="preserve">In its Appeal, BLS merely reiterates documents already submitted during the qualification phase and in response to the Committee’s request for additional information (Annexes A-1, A-2, A-4, and A-5), along with two website screenshots (Annexes A-3 and A-6). The only government reference letters appear in Annex A-2 - and none mention experience with electronic visa services. Notably, BLS </w:t>
      </w:r>
      <w:r w:rsidR="6799946D" w:rsidRPr="647FB29E">
        <w:rPr>
          <w:rFonts w:ascii="Times New Roman" w:eastAsia="Times New Roman" w:hAnsi="Times New Roman" w:cs="Times New Roman"/>
        </w:rPr>
        <w:t xml:space="preserve">also </w:t>
      </w:r>
      <w:r w:rsidR="5E3ECBAF" w:rsidRPr="647FB29E">
        <w:rPr>
          <w:rFonts w:ascii="Times New Roman" w:eastAsia="Times New Roman" w:hAnsi="Times New Roman" w:cs="Times New Roman"/>
        </w:rPr>
        <w:t xml:space="preserve">failed to submit the contracts proving its </w:t>
      </w:r>
      <w:r w:rsidR="47AAFC5E" w:rsidRPr="647FB29E">
        <w:rPr>
          <w:rFonts w:ascii="Times New Roman" w:eastAsia="Times New Roman" w:hAnsi="Times New Roman" w:cs="Times New Roman"/>
        </w:rPr>
        <w:t>alleg</w:t>
      </w:r>
      <w:r w:rsidR="5E3ECBAF" w:rsidRPr="647FB29E">
        <w:rPr>
          <w:rFonts w:ascii="Times New Roman" w:eastAsia="Times New Roman" w:hAnsi="Times New Roman" w:cs="Times New Roman"/>
        </w:rPr>
        <w:t>ed</w:t>
      </w:r>
      <w:r w:rsidR="47AAFC5E" w:rsidRPr="647FB29E">
        <w:rPr>
          <w:rFonts w:ascii="Times New Roman" w:eastAsia="Times New Roman" w:hAnsi="Times New Roman" w:cs="Times New Roman"/>
        </w:rPr>
        <w:t xml:space="preserve"> </w:t>
      </w:r>
      <w:r w:rsidR="5E3ECBAF" w:rsidRPr="647FB29E">
        <w:rPr>
          <w:rFonts w:ascii="Times New Roman" w:eastAsia="Times New Roman" w:hAnsi="Times New Roman" w:cs="Times New Roman"/>
        </w:rPr>
        <w:t xml:space="preserve">processing of 295 e-visas for a national government over the past two years, despite this being explicitly required by item 7.3.2 of the Bidding Notice and specifically requested by the Committee on 26 September 2025. </w:t>
      </w:r>
      <w:r w:rsidR="193A5EC4" w:rsidRPr="647FB29E">
        <w:rPr>
          <w:rFonts w:ascii="Times New Roman" w:eastAsia="Times New Roman" w:hAnsi="Times New Roman" w:cs="Times New Roman"/>
        </w:rPr>
        <w:t>Consequently, BLS has failed to meet the explicit documentary requirement set forth in item 7.3.1. The Committee’s disqualification decision therefore stands.</w:t>
      </w:r>
    </w:p>
    <w:p w14:paraId="096ADE3A" w14:textId="6A4EBE34" w:rsidR="647FB29E" w:rsidRDefault="647FB29E" w:rsidP="647FB29E">
      <w:pPr>
        <w:spacing w:after="0"/>
        <w:jc w:val="both"/>
        <w:rPr>
          <w:rFonts w:ascii="Times New Roman" w:eastAsia="Times New Roman" w:hAnsi="Times New Roman" w:cs="Times New Roman"/>
        </w:rPr>
      </w:pPr>
    </w:p>
    <w:p w14:paraId="62770BB0" w14:textId="63DB9BD3" w:rsidR="53DF6098" w:rsidRDefault="53DF6098"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1</w:t>
      </w:r>
      <w:r w:rsidR="13B20DB5" w:rsidRPr="647FB29E">
        <w:rPr>
          <w:rFonts w:ascii="Times New Roman" w:eastAsia="Times New Roman" w:hAnsi="Times New Roman" w:cs="Times New Roman"/>
        </w:rPr>
        <w:t>2</w:t>
      </w:r>
      <w:r w:rsidR="7C72C626" w:rsidRPr="647FB29E">
        <w:rPr>
          <w:rFonts w:ascii="Times New Roman" w:eastAsia="Times New Roman" w:hAnsi="Times New Roman" w:cs="Times New Roman"/>
        </w:rPr>
        <w:t>.</w:t>
      </w:r>
      <w:r>
        <w:tab/>
      </w:r>
      <w:r w:rsidR="47B049E6" w:rsidRPr="647FB29E">
        <w:rPr>
          <w:rFonts w:ascii="Times New Roman" w:eastAsia="Times New Roman" w:hAnsi="Times New Roman" w:cs="Times New Roman"/>
        </w:rPr>
        <w:t>BLS further cites paragraph 34 of the Committee’s 26 September 2025 Submission to the Federal Court, where the Committee noted the existence of BLS-operated websites dedicated to e-Visa issuance and observed that “information on these websites strongly suggests BLS’s alleged experience with e-Visas.” BLS interprets this as judicial acknowledgment of its qualification (Appeal, ¶23).</w:t>
      </w:r>
    </w:p>
    <w:p w14:paraId="10AE8241" w14:textId="2E8E6CCA" w:rsidR="647FB29E" w:rsidRDefault="647FB29E" w:rsidP="647FB29E">
      <w:pPr>
        <w:spacing w:after="0"/>
        <w:jc w:val="both"/>
        <w:rPr>
          <w:rFonts w:ascii="Times New Roman" w:eastAsia="Times New Roman" w:hAnsi="Times New Roman" w:cs="Times New Roman"/>
        </w:rPr>
      </w:pPr>
    </w:p>
    <w:p w14:paraId="00F93E88" w14:textId="4D0CFBCD" w:rsidR="66DCEA7C" w:rsidRDefault="66DCEA7C"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1</w:t>
      </w:r>
      <w:r w:rsidR="2FF8E18F" w:rsidRPr="647FB29E">
        <w:rPr>
          <w:rFonts w:ascii="Times New Roman" w:eastAsia="Times New Roman" w:hAnsi="Times New Roman" w:cs="Times New Roman"/>
        </w:rPr>
        <w:t>3</w:t>
      </w:r>
      <w:r w:rsidR="585A6134" w:rsidRPr="647FB29E">
        <w:rPr>
          <w:rFonts w:ascii="Times New Roman" w:eastAsia="Times New Roman" w:hAnsi="Times New Roman" w:cs="Times New Roman"/>
        </w:rPr>
        <w:t>.</w:t>
      </w:r>
      <w:r>
        <w:tab/>
      </w:r>
      <w:r w:rsidR="5F818AFE" w:rsidRPr="647FB29E">
        <w:rPr>
          <w:rFonts w:ascii="Times New Roman" w:eastAsia="Times New Roman" w:hAnsi="Times New Roman" w:cs="Times New Roman"/>
        </w:rPr>
        <w:t>This constitutes a misreading of the Committee’s position. The Committee deliberately used the term “suggests” and qualified the experience as “alleged.” As expressly stated in paragraph 40 of the same Submission, this observation was made solely to refute the unfounded - and indeed preposterous - allegation that the cumulative experience requirement was designed to exclude BLS in favor of another bidder. It was never an admission of compliance with the qualification criteria. Simply reading the paragraph quoted by BLS</w:t>
      </w:r>
      <w:r w:rsidR="76C3336E" w:rsidRPr="647FB29E">
        <w:rPr>
          <w:rFonts w:ascii="Times New Roman" w:eastAsia="Times New Roman" w:hAnsi="Times New Roman" w:cs="Times New Roman"/>
        </w:rPr>
        <w:t xml:space="preserve"> and its surrounding context proves as much.</w:t>
      </w:r>
    </w:p>
    <w:p w14:paraId="0CFF4432" w14:textId="1524E418" w:rsidR="647FB29E" w:rsidRDefault="647FB29E" w:rsidP="647FB29E">
      <w:pPr>
        <w:spacing w:after="0"/>
        <w:jc w:val="both"/>
        <w:rPr>
          <w:rFonts w:ascii="Times New Roman" w:eastAsia="Times New Roman" w:hAnsi="Times New Roman" w:cs="Times New Roman"/>
        </w:rPr>
      </w:pPr>
    </w:p>
    <w:p w14:paraId="4CA86C4B" w14:textId="69301250" w:rsidR="05C29498" w:rsidRDefault="05C29498"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1</w:t>
      </w:r>
      <w:r w:rsidR="2CC73768" w:rsidRPr="647FB29E">
        <w:rPr>
          <w:rFonts w:ascii="Times New Roman" w:eastAsia="Times New Roman" w:hAnsi="Times New Roman" w:cs="Times New Roman"/>
        </w:rPr>
        <w:t>4</w:t>
      </w:r>
      <w:r w:rsidR="2423FF3B" w:rsidRPr="647FB29E">
        <w:rPr>
          <w:rFonts w:ascii="Times New Roman" w:eastAsia="Times New Roman" w:hAnsi="Times New Roman" w:cs="Times New Roman"/>
        </w:rPr>
        <w:t>.</w:t>
      </w:r>
      <w:r>
        <w:tab/>
      </w:r>
      <w:r w:rsidR="3D9B7163" w:rsidRPr="647FB29E">
        <w:rPr>
          <w:rFonts w:ascii="Times New Roman" w:eastAsia="Times New Roman" w:hAnsi="Times New Roman" w:cs="Times New Roman"/>
        </w:rPr>
        <w:t xml:space="preserve">Throughout this process, the Committee acted with strict impartiality and full observance of the principles enshrined in Article 5 of Law No. 14,133/2021. Notably, despite BLS’s acknowledged inability to meet the requirement - as conceded in its own 15 September 2025 Statement of Claim before the Federal Court (“if items 7.3.1.1.1 and 7.3.1.2.1 are upheld, BLS would not be deemed sufficiently experienced to participate”) - the Committee, in an exercise of procedural fairness, granted BLS additional time to supplement its governmental letters of reference to include e-Visa experience. This accommodation was extended even over VF’s </w:t>
      </w:r>
      <w:r w:rsidR="648F0089" w:rsidRPr="647FB29E">
        <w:rPr>
          <w:rFonts w:ascii="Times New Roman" w:eastAsia="Times New Roman" w:hAnsi="Times New Roman" w:cs="Times New Roman"/>
        </w:rPr>
        <w:t xml:space="preserve">fierce </w:t>
      </w:r>
      <w:r w:rsidR="3D9B7163" w:rsidRPr="647FB29E">
        <w:rPr>
          <w:rFonts w:ascii="Times New Roman" w:eastAsia="Times New Roman" w:hAnsi="Times New Roman" w:cs="Times New Roman"/>
        </w:rPr>
        <w:lastRenderedPageBreak/>
        <w:t>objection</w:t>
      </w:r>
      <w:r w:rsidRPr="647FB29E">
        <w:rPr>
          <w:rStyle w:val="Refdenotaderodap"/>
          <w:rFonts w:ascii="Times New Roman" w:eastAsia="Times New Roman" w:hAnsi="Times New Roman" w:cs="Times New Roman"/>
        </w:rPr>
        <w:footnoteReference w:id="1"/>
      </w:r>
      <w:r w:rsidR="3D9B7163" w:rsidRPr="647FB29E">
        <w:rPr>
          <w:rFonts w:ascii="Times New Roman" w:eastAsia="Times New Roman" w:hAnsi="Times New Roman" w:cs="Times New Roman"/>
        </w:rPr>
        <w:t xml:space="preserve"> and despite BLS’s prior judicial admission. Only after BLS failed to submit the required documentation within the extended deadline did the Committee proceed with disqualification.</w:t>
      </w:r>
    </w:p>
    <w:p w14:paraId="2CB1E1E8" w14:textId="45B493A4" w:rsidR="647FB29E" w:rsidRDefault="647FB29E" w:rsidP="647FB29E">
      <w:pPr>
        <w:spacing w:after="0"/>
        <w:jc w:val="both"/>
        <w:rPr>
          <w:rFonts w:ascii="Times New Roman" w:eastAsia="Times New Roman" w:hAnsi="Times New Roman" w:cs="Times New Roman"/>
        </w:rPr>
      </w:pPr>
    </w:p>
    <w:p w14:paraId="13DCDFDD" w14:textId="01136CD1" w:rsidR="395933AE" w:rsidRDefault="395933AE" w:rsidP="647FB29E">
      <w:pPr>
        <w:pStyle w:val="PargrafodaLista"/>
        <w:numPr>
          <w:ilvl w:val="0"/>
          <w:numId w:val="1"/>
        </w:numPr>
        <w:spacing w:after="0"/>
        <w:jc w:val="both"/>
        <w:rPr>
          <w:rFonts w:ascii="Times New Roman" w:eastAsia="Times New Roman" w:hAnsi="Times New Roman" w:cs="Times New Roman"/>
          <w:b/>
          <w:bCs/>
        </w:rPr>
      </w:pPr>
      <w:r w:rsidRPr="647FB29E">
        <w:rPr>
          <w:rFonts w:ascii="Times New Roman" w:eastAsia="Times New Roman" w:hAnsi="Times New Roman" w:cs="Times New Roman"/>
          <w:b/>
          <w:bCs/>
        </w:rPr>
        <w:t>DECISION</w:t>
      </w:r>
    </w:p>
    <w:p w14:paraId="6E341C81" w14:textId="04B3E60A" w:rsidR="647FB29E" w:rsidRDefault="647FB29E" w:rsidP="647FB29E">
      <w:pPr>
        <w:spacing w:after="0"/>
        <w:jc w:val="both"/>
        <w:rPr>
          <w:rFonts w:ascii="Times New Roman" w:eastAsia="Times New Roman" w:hAnsi="Times New Roman" w:cs="Times New Roman"/>
        </w:rPr>
      </w:pPr>
    </w:p>
    <w:p w14:paraId="5A5D28FB" w14:textId="5EB4FBFB" w:rsidR="15EED543" w:rsidRDefault="15EED543" w:rsidP="647FB29E">
      <w:pPr>
        <w:spacing w:after="0"/>
        <w:jc w:val="both"/>
        <w:rPr>
          <w:rFonts w:ascii="Times New Roman" w:eastAsia="Times New Roman" w:hAnsi="Times New Roman" w:cs="Times New Roman"/>
        </w:rPr>
      </w:pPr>
      <w:r w:rsidRPr="647FB29E">
        <w:rPr>
          <w:rFonts w:ascii="Times New Roman" w:eastAsia="Times New Roman" w:hAnsi="Times New Roman" w:cs="Times New Roman"/>
        </w:rPr>
        <w:t>1</w:t>
      </w:r>
      <w:r w:rsidR="0F934A3D" w:rsidRPr="647FB29E">
        <w:rPr>
          <w:rFonts w:ascii="Times New Roman" w:eastAsia="Times New Roman" w:hAnsi="Times New Roman" w:cs="Times New Roman"/>
        </w:rPr>
        <w:t>5</w:t>
      </w:r>
      <w:r w:rsidR="395933AE" w:rsidRPr="647FB29E">
        <w:rPr>
          <w:rFonts w:ascii="Times New Roman" w:eastAsia="Times New Roman" w:hAnsi="Times New Roman" w:cs="Times New Roman"/>
        </w:rPr>
        <w:t>.</w:t>
      </w:r>
      <w:r>
        <w:tab/>
      </w:r>
      <w:r w:rsidR="395933AE" w:rsidRPr="647FB29E">
        <w:rPr>
          <w:rFonts w:ascii="Times New Roman" w:eastAsia="Times New Roman" w:hAnsi="Times New Roman" w:cs="Times New Roman"/>
        </w:rPr>
        <w:t>For the foregoing reasons, the Committee:</w:t>
      </w:r>
    </w:p>
    <w:p w14:paraId="30A9C58F" w14:textId="09BEE197" w:rsidR="647FB29E" w:rsidRDefault="647FB29E" w:rsidP="647FB29E">
      <w:pPr>
        <w:spacing w:after="0"/>
        <w:ind w:left="720" w:firstLine="720"/>
        <w:jc w:val="both"/>
        <w:rPr>
          <w:rFonts w:ascii="Times New Roman" w:eastAsia="Times New Roman" w:hAnsi="Times New Roman" w:cs="Times New Roman"/>
        </w:rPr>
      </w:pPr>
    </w:p>
    <w:p w14:paraId="521BC75D" w14:textId="1E7FA6AD" w:rsidR="12E8692B" w:rsidRDefault="12E8692B" w:rsidP="647FB29E">
      <w:pPr>
        <w:spacing w:after="0"/>
        <w:ind w:left="720" w:firstLine="720"/>
        <w:jc w:val="both"/>
        <w:rPr>
          <w:rFonts w:ascii="Times New Roman" w:eastAsia="Times New Roman" w:hAnsi="Times New Roman" w:cs="Times New Roman"/>
        </w:rPr>
      </w:pPr>
      <w:r w:rsidRPr="647FB29E">
        <w:rPr>
          <w:rFonts w:ascii="Times New Roman" w:eastAsia="Times New Roman" w:hAnsi="Times New Roman" w:cs="Times New Roman"/>
          <w:b/>
          <w:bCs/>
        </w:rPr>
        <w:t>FINDS</w:t>
      </w:r>
      <w:r w:rsidRPr="647FB29E">
        <w:rPr>
          <w:rFonts w:ascii="Times New Roman" w:eastAsia="Times New Roman" w:hAnsi="Times New Roman" w:cs="Times New Roman"/>
        </w:rPr>
        <w:t xml:space="preserve"> that BLS’s Appeal was timely filed and is therefore admissible; and</w:t>
      </w:r>
      <w:r w:rsidR="0E3534F1" w:rsidRPr="647FB29E">
        <w:rPr>
          <w:rFonts w:ascii="Times New Roman" w:eastAsia="Times New Roman" w:hAnsi="Times New Roman" w:cs="Times New Roman"/>
        </w:rPr>
        <w:t>, on the merits,</w:t>
      </w:r>
    </w:p>
    <w:p w14:paraId="07E77D30" w14:textId="1E8FB21C" w:rsidR="647FB29E" w:rsidRDefault="647FB29E" w:rsidP="647FB29E">
      <w:pPr>
        <w:spacing w:after="0"/>
        <w:ind w:left="720" w:firstLine="720"/>
        <w:jc w:val="both"/>
        <w:rPr>
          <w:rFonts w:ascii="Times New Roman" w:eastAsia="Times New Roman" w:hAnsi="Times New Roman" w:cs="Times New Roman"/>
        </w:rPr>
      </w:pPr>
    </w:p>
    <w:p w14:paraId="2EC0A2FE" w14:textId="57A789CD" w:rsidR="12E8692B" w:rsidRDefault="12E8692B" w:rsidP="647FB29E">
      <w:pPr>
        <w:spacing w:after="0"/>
        <w:ind w:left="720" w:firstLine="720"/>
        <w:jc w:val="both"/>
        <w:rPr>
          <w:rFonts w:ascii="Times New Roman" w:eastAsia="Times New Roman" w:hAnsi="Times New Roman" w:cs="Times New Roman"/>
        </w:rPr>
      </w:pPr>
      <w:r w:rsidRPr="647FB29E">
        <w:rPr>
          <w:rFonts w:ascii="Times New Roman" w:eastAsia="Times New Roman" w:hAnsi="Times New Roman" w:cs="Times New Roman"/>
          <w:b/>
          <w:bCs/>
        </w:rPr>
        <w:t>REJECTS</w:t>
      </w:r>
      <w:r w:rsidRPr="647FB29E">
        <w:rPr>
          <w:rFonts w:ascii="Times New Roman" w:eastAsia="Times New Roman" w:hAnsi="Times New Roman" w:cs="Times New Roman"/>
        </w:rPr>
        <w:t xml:space="preserve"> the Appeal and </w:t>
      </w:r>
      <w:r w:rsidRPr="647FB29E">
        <w:rPr>
          <w:rFonts w:ascii="Times New Roman" w:eastAsia="Times New Roman" w:hAnsi="Times New Roman" w:cs="Times New Roman"/>
          <w:b/>
          <w:bCs/>
        </w:rPr>
        <w:t>UPHOLDS</w:t>
      </w:r>
      <w:r w:rsidRPr="647FB29E">
        <w:rPr>
          <w:rFonts w:ascii="Times New Roman" w:eastAsia="Times New Roman" w:hAnsi="Times New Roman" w:cs="Times New Roman"/>
        </w:rPr>
        <w:t xml:space="preserve"> its disqualification decision dated 29 September 2025</w:t>
      </w:r>
      <w:r w:rsidR="53B000BB" w:rsidRPr="647FB29E">
        <w:rPr>
          <w:rFonts w:ascii="Times New Roman" w:eastAsia="Times New Roman" w:hAnsi="Times New Roman" w:cs="Times New Roman"/>
        </w:rPr>
        <w:t>.</w:t>
      </w:r>
    </w:p>
    <w:sectPr w:rsidR="12E869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C61D" w14:textId="77777777" w:rsidR="00000000" w:rsidRDefault="00786810">
      <w:pPr>
        <w:spacing w:after="0" w:line="240" w:lineRule="auto"/>
      </w:pPr>
      <w:r>
        <w:separator/>
      </w:r>
    </w:p>
  </w:endnote>
  <w:endnote w:type="continuationSeparator" w:id="0">
    <w:p w14:paraId="24425DF6" w14:textId="77777777" w:rsidR="00000000" w:rsidRDefault="0078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47FB29E" w:rsidRPr="00915409" w14:paraId="35E73D20" w14:textId="77777777" w:rsidTr="647FB29E">
      <w:trPr>
        <w:trHeight w:val="300"/>
      </w:trPr>
      <w:tc>
        <w:tcPr>
          <w:tcW w:w="3120" w:type="dxa"/>
        </w:tcPr>
        <w:p w14:paraId="3CBFC79B" w14:textId="756B6AF8" w:rsidR="647FB29E" w:rsidRPr="00915409" w:rsidRDefault="647FB29E" w:rsidP="647FB29E">
          <w:pPr>
            <w:pStyle w:val="Cabealho"/>
            <w:ind w:left="-115"/>
            <w:rPr>
              <w:rFonts w:ascii="Times New Roman" w:hAnsi="Times New Roman" w:cs="Times New Roman"/>
            </w:rPr>
          </w:pPr>
        </w:p>
      </w:tc>
      <w:tc>
        <w:tcPr>
          <w:tcW w:w="3120" w:type="dxa"/>
        </w:tcPr>
        <w:p w14:paraId="59518354" w14:textId="017C76BD" w:rsidR="647FB29E" w:rsidRPr="00915409" w:rsidRDefault="647FB29E" w:rsidP="647FB29E">
          <w:pPr>
            <w:pStyle w:val="Cabealho"/>
            <w:jc w:val="center"/>
            <w:rPr>
              <w:rFonts w:ascii="Times New Roman" w:hAnsi="Times New Roman" w:cs="Times New Roman"/>
            </w:rPr>
          </w:pPr>
        </w:p>
      </w:tc>
      <w:tc>
        <w:tcPr>
          <w:tcW w:w="3120" w:type="dxa"/>
        </w:tcPr>
        <w:p w14:paraId="0CDC5E6C" w14:textId="2D438850" w:rsidR="647FB29E" w:rsidRPr="00915409" w:rsidRDefault="647FB29E" w:rsidP="647FB29E">
          <w:pPr>
            <w:pStyle w:val="Cabealho"/>
            <w:ind w:right="-115"/>
            <w:jc w:val="right"/>
            <w:rPr>
              <w:rFonts w:ascii="Times New Roman" w:eastAsia="Times New Roman" w:hAnsi="Times New Roman" w:cs="Times New Roman"/>
            </w:rPr>
          </w:pPr>
          <w:r w:rsidRPr="00915409">
            <w:rPr>
              <w:rFonts w:ascii="Times New Roman" w:eastAsia="Times New Roman" w:hAnsi="Times New Roman" w:cs="Times New Roman"/>
            </w:rPr>
            <w:fldChar w:fldCharType="begin"/>
          </w:r>
          <w:r w:rsidRPr="00915409">
            <w:rPr>
              <w:rFonts w:ascii="Times New Roman" w:hAnsi="Times New Roman" w:cs="Times New Roman"/>
            </w:rPr>
            <w:instrText>PAGE</w:instrText>
          </w:r>
          <w:r w:rsidR="00786810" w:rsidRPr="00915409">
            <w:rPr>
              <w:rFonts w:ascii="Times New Roman" w:hAnsi="Times New Roman" w:cs="Times New Roman"/>
            </w:rPr>
            <w:fldChar w:fldCharType="separate"/>
          </w:r>
          <w:r w:rsidR="00915409" w:rsidRPr="00915409">
            <w:rPr>
              <w:rFonts w:ascii="Times New Roman" w:hAnsi="Times New Roman" w:cs="Times New Roman"/>
              <w:noProof/>
            </w:rPr>
            <w:t>1</w:t>
          </w:r>
          <w:r w:rsidRPr="00915409">
            <w:rPr>
              <w:rFonts w:ascii="Times New Roman" w:eastAsia="Times New Roman" w:hAnsi="Times New Roman" w:cs="Times New Roman"/>
            </w:rPr>
            <w:fldChar w:fldCharType="end"/>
          </w:r>
        </w:p>
      </w:tc>
    </w:tr>
  </w:tbl>
  <w:p w14:paraId="1EDB649C" w14:textId="49008377" w:rsidR="647FB29E" w:rsidRPr="00915409" w:rsidRDefault="647FB29E" w:rsidP="647FB29E">
    <w:pPr>
      <w:pStyle w:val="Rodap"/>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3C55" w14:textId="1FC07B11" w:rsidR="647FB29E" w:rsidRDefault="647FB29E">
      <w:pPr>
        <w:spacing w:after="0" w:line="240" w:lineRule="auto"/>
      </w:pPr>
      <w:r>
        <w:separator/>
      </w:r>
    </w:p>
  </w:footnote>
  <w:footnote w:type="continuationSeparator" w:id="0">
    <w:p w14:paraId="04316DC8" w14:textId="64070601" w:rsidR="647FB29E" w:rsidRDefault="647FB29E">
      <w:pPr>
        <w:spacing w:after="0" w:line="240" w:lineRule="auto"/>
      </w:pPr>
      <w:r>
        <w:continuationSeparator/>
      </w:r>
    </w:p>
  </w:footnote>
  <w:footnote w:id="1">
    <w:p w14:paraId="1D924A61" w14:textId="7534BE39" w:rsidR="647FB29E" w:rsidRPr="00915409" w:rsidRDefault="647FB29E" w:rsidP="647FB29E">
      <w:pPr>
        <w:pStyle w:val="Textodenotaderodap"/>
        <w:jc w:val="both"/>
        <w:rPr>
          <w:rFonts w:ascii="Times New Roman" w:hAnsi="Times New Roman" w:cs="Times New Roman"/>
        </w:rPr>
      </w:pPr>
      <w:r w:rsidRPr="00915409">
        <w:rPr>
          <w:rStyle w:val="Refdenotaderodap"/>
          <w:rFonts w:ascii="Times New Roman" w:hAnsi="Times New Roman" w:cs="Times New Roman"/>
        </w:rPr>
        <w:footnoteRef/>
      </w:r>
      <w:r w:rsidRPr="00915409">
        <w:rPr>
          <w:rFonts w:ascii="Times New Roman" w:hAnsi="Times New Roman" w:cs="Times New Roman"/>
        </w:rPr>
        <w:t xml:space="preserve"> Minutes of Meeting (26 September 2025): “The representative of VF Worldwide Holdings then asked that it be recorded that ‘(...) </w:t>
      </w:r>
      <w:r w:rsidRPr="00915409">
        <w:rPr>
          <w:rFonts w:ascii="Times New Roman" w:hAnsi="Times New Roman" w:cs="Times New Roman"/>
          <w:b/>
          <w:bCs/>
        </w:rPr>
        <w:t>The Committee is in violation of the Notice of Bidding clauses 7.1.1, 7.3.1 and 9.3.3 by favoring a bidder through the non-enforcement of these requirements</w:t>
      </w:r>
      <w:r w:rsidRPr="00915409">
        <w:rPr>
          <w:rFonts w:ascii="Times New Roman" w:hAnsi="Times New Roman" w:cs="Times New Roman"/>
        </w:rPr>
        <w:t xml:space="preserve">. Furthermore, asserting that a bidder possesses the necessary experience while failing to provide the supporting documentation constitutes a direct contradiction and, in accordance with clause 9.3.3, is sufficient grounds for disqualification. BLS should have exercised due care when submitting its qualification documents and ensured the inclusion of evidence of experience in e-visas. </w:t>
      </w:r>
      <w:proofErr w:type="gramStart"/>
      <w:r w:rsidRPr="00915409">
        <w:rPr>
          <w:rFonts w:ascii="Times New Roman" w:hAnsi="Times New Roman" w:cs="Times New Roman"/>
        </w:rPr>
        <w:t>However</w:t>
      </w:r>
      <w:proofErr w:type="gramEnd"/>
      <w:r w:rsidRPr="00915409">
        <w:rPr>
          <w:rFonts w:ascii="Times New Roman" w:hAnsi="Times New Roman" w:cs="Times New Roman"/>
        </w:rPr>
        <w:t xml:space="preserve"> it did not do so and cannot be benefited from such omission by having the opportunity to present new documents. The reliance on clause 9.3.4, as cited by BLS and adopted by the Committee, is misplaced. (...) Additionally, </w:t>
      </w:r>
      <w:r w:rsidRPr="00915409">
        <w:rPr>
          <w:rFonts w:ascii="Times New Roman" w:hAnsi="Times New Roman" w:cs="Times New Roman"/>
          <w:b/>
          <w:bCs/>
        </w:rPr>
        <w:t>the Committee's conduct infringes fundamental principles enshrined in Article 5 of Law 14.133/2021, including competitiveness and legal certainty. Furthermore, the principle of equal treatment, explicitly guaranteed in Article 11, II, has not been upheld. (...) Thus, in order to avoid unlawful conduct or even liability of the Committee, no opportunity should be granted for the submission of new documents, and BLS must be disqualified immediately</w:t>
      </w:r>
      <w:r w:rsidRPr="00915409">
        <w:rPr>
          <w:rFonts w:ascii="Times New Roman" w:hAnsi="Times New Roman" w:cs="Times New Roman"/>
        </w:rPr>
        <w:t xml:space="preserve"> (...)”</w:t>
      </w:r>
      <w:r w:rsidR="00915409">
        <w:rPr>
          <w:rFonts w:ascii="Times New Roman" w:hAnsi="Times New Roman" w:cs="Times New Roman"/>
        </w:rPr>
        <w:t xml:space="preserve">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47FB29E" w14:paraId="16F07571" w14:textId="77777777" w:rsidTr="647FB29E">
      <w:trPr>
        <w:trHeight w:val="300"/>
      </w:trPr>
      <w:tc>
        <w:tcPr>
          <w:tcW w:w="3120" w:type="dxa"/>
        </w:tcPr>
        <w:p w14:paraId="3E865DB3" w14:textId="520B29F5" w:rsidR="647FB29E" w:rsidRDefault="647FB29E" w:rsidP="647FB29E">
          <w:pPr>
            <w:pStyle w:val="Cabealho"/>
            <w:ind w:left="-115"/>
          </w:pPr>
        </w:p>
      </w:tc>
      <w:tc>
        <w:tcPr>
          <w:tcW w:w="3120" w:type="dxa"/>
        </w:tcPr>
        <w:p w14:paraId="583375B3" w14:textId="281A6E47" w:rsidR="647FB29E" w:rsidRDefault="647FB29E" w:rsidP="647FB29E">
          <w:pPr>
            <w:pStyle w:val="Cabealho"/>
            <w:jc w:val="center"/>
          </w:pPr>
        </w:p>
      </w:tc>
      <w:tc>
        <w:tcPr>
          <w:tcW w:w="3120" w:type="dxa"/>
        </w:tcPr>
        <w:p w14:paraId="062396A0" w14:textId="5D48EF75" w:rsidR="647FB29E" w:rsidRDefault="647FB29E" w:rsidP="647FB29E">
          <w:pPr>
            <w:pStyle w:val="Cabealho"/>
            <w:ind w:right="-115"/>
            <w:jc w:val="right"/>
          </w:pPr>
        </w:p>
      </w:tc>
    </w:tr>
  </w:tbl>
  <w:p w14:paraId="3F193BF5" w14:textId="7E21A7D3" w:rsidR="647FB29E" w:rsidRDefault="647FB29E" w:rsidP="647FB2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9A62F"/>
    <w:multiLevelType w:val="hybridMultilevel"/>
    <w:tmpl w:val="588C780E"/>
    <w:lvl w:ilvl="0" w:tplc="3EC8E7D4">
      <w:start w:val="1"/>
      <w:numFmt w:val="upperLetter"/>
      <w:lvlText w:val="%1)"/>
      <w:lvlJc w:val="left"/>
      <w:pPr>
        <w:ind w:left="1800" w:hanging="360"/>
      </w:pPr>
    </w:lvl>
    <w:lvl w:ilvl="1" w:tplc="4470D236">
      <w:start w:val="1"/>
      <w:numFmt w:val="lowerLetter"/>
      <w:lvlText w:val="%2."/>
      <w:lvlJc w:val="left"/>
      <w:pPr>
        <w:ind w:left="2520" w:hanging="360"/>
      </w:pPr>
    </w:lvl>
    <w:lvl w:ilvl="2" w:tplc="FE78057C">
      <w:start w:val="1"/>
      <w:numFmt w:val="lowerRoman"/>
      <w:lvlText w:val="%3."/>
      <w:lvlJc w:val="right"/>
      <w:pPr>
        <w:ind w:left="3240" w:hanging="180"/>
      </w:pPr>
    </w:lvl>
    <w:lvl w:ilvl="3" w:tplc="AFEC8CD0">
      <w:start w:val="1"/>
      <w:numFmt w:val="decimal"/>
      <w:lvlText w:val="%4."/>
      <w:lvlJc w:val="left"/>
      <w:pPr>
        <w:ind w:left="3960" w:hanging="360"/>
      </w:pPr>
    </w:lvl>
    <w:lvl w:ilvl="4" w:tplc="69C0542E">
      <w:start w:val="1"/>
      <w:numFmt w:val="lowerLetter"/>
      <w:lvlText w:val="%5."/>
      <w:lvlJc w:val="left"/>
      <w:pPr>
        <w:ind w:left="4680" w:hanging="360"/>
      </w:pPr>
    </w:lvl>
    <w:lvl w:ilvl="5" w:tplc="DB88A982">
      <w:start w:val="1"/>
      <w:numFmt w:val="lowerRoman"/>
      <w:lvlText w:val="%6."/>
      <w:lvlJc w:val="right"/>
      <w:pPr>
        <w:ind w:left="5400" w:hanging="180"/>
      </w:pPr>
    </w:lvl>
    <w:lvl w:ilvl="6" w:tplc="6B1EF14C">
      <w:start w:val="1"/>
      <w:numFmt w:val="decimal"/>
      <w:lvlText w:val="%7."/>
      <w:lvlJc w:val="left"/>
      <w:pPr>
        <w:ind w:left="6120" w:hanging="360"/>
      </w:pPr>
    </w:lvl>
    <w:lvl w:ilvl="7" w:tplc="AFCA4D3E">
      <w:start w:val="1"/>
      <w:numFmt w:val="lowerLetter"/>
      <w:lvlText w:val="%8."/>
      <w:lvlJc w:val="left"/>
      <w:pPr>
        <w:ind w:left="6840" w:hanging="360"/>
      </w:pPr>
    </w:lvl>
    <w:lvl w:ilvl="8" w:tplc="D0E215B4">
      <w:start w:val="1"/>
      <w:numFmt w:val="lowerRoman"/>
      <w:lvlText w:val="%9."/>
      <w:lvlJc w:val="right"/>
      <w:pPr>
        <w:ind w:left="7560" w:hanging="180"/>
      </w:pPr>
    </w:lvl>
  </w:abstractNum>
  <w:abstractNum w:abstractNumId="1" w15:restartNumberingAfterBreak="0">
    <w:nsid w:val="65E8D668"/>
    <w:multiLevelType w:val="hybridMultilevel"/>
    <w:tmpl w:val="5A0E293E"/>
    <w:lvl w:ilvl="0" w:tplc="998E4D80">
      <w:start w:val="1"/>
      <w:numFmt w:val="upperRoman"/>
      <w:lvlText w:val="%1."/>
      <w:lvlJc w:val="left"/>
      <w:pPr>
        <w:ind w:left="720" w:hanging="360"/>
      </w:pPr>
    </w:lvl>
    <w:lvl w:ilvl="1" w:tplc="9522D4C8">
      <w:start w:val="1"/>
      <w:numFmt w:val="lowerLetter"/>
      <w:lvlText w:val="%2."/>
      <w:lvlJc w:val="left"/>
      <w:pPr>
        <w:ind w:left="1440" w:hanging="360"/>
      </w:pPr>
    </w:lvl>
    <w:lvl w:ilvl="2" w:tplc="72B63414">
      <w:start w:val="1"/>
      <w:numFmt w:val="lowerRoman"/>
      <w:lvlText w:val="%3."/>
      <w:lvlJc w:val="right"/>
      <w:pPr>
        <w:ind w:left="2160" w:hanging="180"/>
      </w:pPr>
    </w:lvl>
    <w:lvl w:ilvl="3" w:tplc="3EDCC734">
      <w:start w:val="1"/>
      <w:numFmt w:val="decimal"/>
      <w:lvlText w:val="%4."/>
      <w:lvlJc w:val="left"/>
      <w:pPr>
        <w:ind w:left="2880" w:hanging="360"/>
      </w:pPr>
    </w:lvl>
    <w:lvl w:ilvl="4" w:tplc="BF6E70EC">
      <w:start w:val="1"/>
      <w:numFmt w:val="lowerLetter"/>
      <w:lvlText w:val="%5."/>
      <w:lvlJc w:val="left"/>
      <w:pPr>
        <w:ind w:left="3600" w:hanging="360"/>
      </w:pPr>
    </w:lvl>
    <w:lvl w:ilvl="5" w:tplc="AC84DA54">
      <w:start w:val="1"/>
      <w:numFmt w:val="lowerRoman"/>
      <w:lvlText w:val="%6."/>
      <w:lvlJc w:val="right"/>
      <w:pPr>
        <w:ind w:left="4320" w:hanging="180"/>
      </w:pPr>
    </w:lvl>
    <w:lvl w:ilvl="6" w:tplc="81DC68A0">
      <w:start w:val="1"/>
      <w:numFmt w:val="decimal"/>
      <w:lvlText w:val="%7."/>
      <w:lvlJc w:val="left"/>
      <w:pPr>
        <w:ind w:left="5040" w:hanging="360"/>
      </w:pPr>
    </w:lvl>
    <w:lvl w:ilvl="7" w:tplc="4F7CCADC">
      <w:start w:val="1"/>
      <w:numFmt w:val="lowerLetter"/>
      <w:lvlText w:val="%8."/>
      <w:lvlJc w:val="left"/>
      <w:pPr>
        <w:ind w:left="5760" w:hanging="360"/>
      </w:pPr>
    </w:lvl>
    <w:lvl w:ilvl="8" w:tplc="F926F27E">
      <w:start w:val="1"/>
      <w:numFmt w:val="lowerRoman"/>
      <w:lvlText w:val="%9."/>
      <w:lvlJc w:val="right"/>
      <w:pPr>
        <w:ind w:left="6480" w:hanging="180"/>
      </w:pPr>
    </w:lvl>
  </w:abstractNum>
  <w:abstractNum w:abstractNumId="2" w15:restartNumberingAfterBreak="0">
    <w:nsid w:val="7640D271"/>
    <w:multiLevelType w:val="hybridMultilevel"/>
    <w:tmpl w:val="0D525E0E"/>
    <w:lvl w:ilvl="0" w:tplc="D916A816">
      <w:start w:val="1"/>
      <w:numFmt w:val="decimal"/>
      <w:lvlText w:val="%1."/>
      <w:lvlJc w:val="left"/>
      <w:pPr>
        <w:ind w:left="720" w:hanging="360"/>
      </w:pPr>
    </w:lvl>
    <w:lvl w:ilvl="1" w:tplc="F2B4A8AC">
      <w:start w:val="1"/>
      <w:numFmt w:val="lowerLetter"/>
      <w:lvlText w:val="%2."/>
      <w:lvlJc w:val="left"/>
      <w:pPr>
        <w:ind w:left="1440" w:hanging="360"/>
      </w:pPr>
    </w:lvl>
    <w:lvl w:ilvl="2" w:tplc="4314DA56">
      <w:start w:val="1"/>
      <w:numFmt w:val="lowerRoman"/>
      <w:lvlText w:val="%3."/>
      <w:lvlJc w:val="right"/>
      <w:pPr>
        <w:ind w:left="2160" w:hanging="180"/>
      </w:pPr>
    </w:lvl>
    <w:lvl w:ilvl="3" w:tplc="C7CC604E">
      <w:start w:val="1"/>
      <w:numFmt w:val="decimal"/>
      <w:lvlText w:val="%4."/>
      <w:lvlJc w:val="left"/>
      <w:pPr>
        <w:ind w:left="2880" w:hanging="360"/>
      </w:pPr>
    </w:lvl>
    <w:lvl w:ilvl="4" w:tplc="EE96B394">
      <w:start w:val="1"/>
      <w:numFmt w:val="lowerLetter"/>
      <w:lvlText w:val="%5."/>
      <w:lvlJc w:val="left"/>
      <w:pPr>
        <w:ind w:left="3600" w:hanging="360"/>
      </w:pPr>
    </w:lvl>
    <w:lvl w:ilvl="5" w:tplc="D8480570">
      <w:start w:val="1"/>
      <w:numFmt w:val="lowerRoman"/>
      <w:lvlText w:val="%6."/>
      <w:lvlJc w:val="right"/>
      <w:pPr>
        <w:ind w:left="4320" w:hanging="180"/>
      </w:pPr>
    </w:lvl>
    <w:lvl w:ilvl="6" w:tplc="EC5C38E6">
      <w:start w:val="1"/>
      <w:numFmt w:val="decimal"/>
      <w:lvlText w:val="%7."/>
      <w:lvlJc w:val="left"/>
      <w:pPr>
        <w:ind w:left="5040" w:hanging="360"/>
      </w:pPr>
    </w:lvl>
    <w:lvl w:ilvl="7" w:tplc="452402A4">
      <w:start w:val="1"/>
      <w:numFmt w:val="lowerLetter"/>
      <w:lvlText w:val="%8."/>
      <w:lvlJc w:val="left"/>
      <w:pPr>
        <w:ind w:left="5760" w:hanging="360"/>
      </w:pPr>
    </w:lvl>
    <w:lvl w:ilvl="8" w:tplc="A87E71EC">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445D87"/>
    <w:rsid w:val="003C6E50"/>
    <w:rsid w:val="0062AB36"/>
    <w:rsid w:val="00786810"/>
    <w:rsid w:val="00915409"/>
    <w:rsid w:val="00F85082"/>
    <w:rsid w:val="00FCDAB5"/>
    <w:rsid w:val="0122970E"/>
    <w:rsid w:val="0178D62A"/>
    <w:rsid w:val="023E3F76"/>
    <w:rsid w:val="02E374C1"/>
    <w:rsid w:val="0311716D"/>
    <w:rsid w:val="037B4D02"/>
    <w:rsid w:val="038470DE"/>
    <w:rsid w:val="04ADECF2"/>
    <w:rsid w:val="04CA544F"/>
    <w:rsid w:val="04F56F2C"/>
    <w:rsid w:val="054A86E4"/>
    <w:rsid w:val="057CBAD3"/>
    <w:rsid w:val="05C29498"/>
    <w:rsid w:val="06D12240"/>
    <w:rsid w:val="070292AF"/>
    <w:rsid w:val="08194A38"/>
    <w:rsid w:val="08780522"/>
    <w:rsid w:val="0922E971"/>
    <w:rsid w:val="092C35E3"/>
    <w:rsid w:val="09521618"/>
    <w:rsid w:val="0A252AB7"/>
    <w:rsid w:val="0A65D43C"/>
    <w:rsid w:val="0AD146E6"/>
    <w:rsid w:val="0B18B521"/>
    <w:rsid w:val="0B328D8E"/>
    <w:rsid w:val="0B42ED53"/>
    <w:rsid w:val="0B445D87"/>
    <w:rsid w:val="0BE4267D"/>
    <w:rsid w:val="0CB62E33"/>
    <w:rsid w:val="0CFA3154"/>
    <w:rsid w:val="0D0C029F"/>
    <w:rsid w:val="0D23713E"/>
    <w:rsid w:val="0D3D444A"/>
    <w:rsid w:val="0D45D269"/>
    <w:rsid w:val="0D902E95"/>
    <w:rsid w:val="0D90A5F8"/>
    <w:rsid w:val="0D9AD24C"/>
    <w:rsid w:val="0DAD5B5F"/>
    <w:rsid w:val="0DDC8F9E"/>
    <w:rsid w:val="0DE1486D"/>
    <w:rsid w:val="0DE4A018"/>
    <w:rsid w:val="0E3534F1"/>
    <w:rsid w:val="0E558EBF"/>
    <w:rsid w:val="0F42AD84"/>
    <w:rsid w:val="0F846EDD"/>
    <w:rsid w:val="0F934A3D"/>
    <w:rsid w:val="1032718F"/>
    <w:rsid w:val="10D1307F"/>
    <w:rsid w:val="114D4337"/>
    <w:rsid w:val="1158195D"/>
    <w:rsid w:val="11AFAFD1"/>
    <w:rsid w:val="120B7553"/>
    <w:rsid w:val="1217B983"/>
    <w:rsid w:val="12187301"/>
    <w:rsid w:val="122479CA"/>
    <w:rsid w:val="122DE96A"/>
    <w:rsid w:val="12C4B86D"/>
    <w:rsid w:val="12E8692B"/>
    <w:rsid w:val="13042107"/>
    <w:rsid w:val="132515AF"/>
    <w:rsid w:val="13845EA5"/>
    <w:rsid w:val="13B20DB5"/>
    <w:rsid w:val="144BB63E"/>
    <w:rsid w:val="14CB988C"/>
    <w:rsid w:val="15116D65"/>
    <w:rsid w:val="15CE3FAB"/>
    <w:rsid w:val="15EED543"/>
    <w:rsid w:val="162917E1"/>
    <w:rsid w:val="168DBFD8"/>
    <w:rsid w:val="16944C90"/>
    <w:rsid w:val="17484487"/>
    <w:rsid w:val="184C9B2A"/>
    <w:rsid w:val="18FC37EA"/>
    <w:rsid w:val="191BAFFD"/>
    <w:rsid w:val="193A5EC4"/>
    <w:rsid w:val="19AECC60"/>
    <w:rsid w:val="19E1BC1F"/>
    <w:rsid w:val="19FC438A"/>
    <w:rsid w:val="1B0F0C4C"/>
    <w:rsid w:val="1B213FC8"/>
    <w:rsid w:val="1B37BA89"/>
    <w:rsid w:val="1C84F079"/>
    <w:rsid w:val="1D27B41D"/>
    <w:rsid w:val="1D323A05"/>
    <w:rsid w:val="1E3DD1EA"/>
    <w:rsid w:val="1E91396C"/>
    <w:rsid w:val="1ECA4B5D"/>
    <w:rsid w:val="1F19D3D3"/>
    <w:rsid w:val="1F58B745"/>
    <w:rsid w:val="1F5F25BE"/>
    <w:rsid w:val="1F92DEB1"/>
    <w:rsid w:val="2043E293"/>
    <w:rsid w:val="20471F19"/>
    <w:rsid w:val="205128F3"/>
    <w:rsid w:val="207B3136"/>
    <w:rsid w:val="208B4DD7"/>
    <w:rsid w:val="2093F5D1"/>
    <w:rsid w:val="20D7739D"/>
    <w:rsid w:val="20D83D20"/>
    <w:rsid w:val="210A61D8"/>
    <w:rsid w:val="218BEF23"/>
    <w:rsid w:val="21AC8E7C"/>
    <w:rsid w:val="2200178C"/>
    <w:rsid w:val="221A9173"/>
    <w:rsid w:val="22C58C2A"/>
    <w:rsid w:val="2371DB22"/>
    <w:rsid w:val="23CCF72C"/>
    <w:rsid w:val="2423FF3B"/>
    <w:rsid w:val="244DB064"/>
    <w:rsid w:val="245E3BA8"/>
    <w:rsid w:val="246FF1C9"/>
    <w:rsid w:val="2491FA50"/>
    <w:rsid w:val="249B31E3"/>
    <w:rsid w:val="2518DC72"/>
    <w:rsid w:val="2570120F"/>
    <w:rsid w:val="25B4CD1E"/>
    <w:rsid w:val="2601F409"/>
    <w:rsid w:val="2647E5FB"/>
    <w:rsid w:val="26C7FDAF"/>
    <w:rsid w:val="2751960A"/>
    <w:rsid w:val="2762110D"/>
    <w:rsid w:val="27947E77"/>
    <w:rsid w:val="28440146"/>
    <w:rsid w:val="284A55B4"/>
    <w:rsid w:val="289409F3"/>
    <w:rsid w:val="28E8CE20"/>
    <w:rsid w:val="29A0C770"/>
    <w:rsid w:val="2A0D819E"/>
    <w:rsid w:val="2A241619"/>
    <w:rsid w:val="2AA6FDAC"/>
    <w:rsid w:val="2ACF9FB2"/>
    <w:rsid w:val="2B057AA6"/>
    <w:rsid w:val="2B6D3BCB"/>
    <w:rsid w:val="2B96EBCB"/>
    <w:rsid w:val="2BF60F7A"/>
    <w:rsid w:val="2C28C931"/>
    <w:rsid w:val="2C323F1A"/>
    <w:rsid w:val="2CC1CB16"/>
    <w:rsid w:val="2CC73768"/>
    <w:rsid w:val="2CE8114A"/>
    <w:rsid w:val="2CFE388C"/>
    <w:rsid w:val="2D4B8A6A"/>
    <w:rsid w:val="2E33AE9D"/>
    <w:rsid w:val="2E8378CC"/>
    <w:rsid w:val="2EB3B9CD"/>
    <w:rsid w:val="2FA06FD6"/>
    <w:rsid w:val="2FF8E18F"/>
    <w:rsid w:val="30307E0F"/>
    <w:rsid w:val="3079EFBF"/>
    <w:rsid w:val="3087D6BC"/>
    <w:rsid w:val="30C4D662"/>
    <w:rsid w:val="31350D8B"/>
    <w:rsid w:val="315A5DC3"/>
    <w:rsid w:val="319174EA"/>
    <w:rsid w:val="31F1BEBC"/>
    <w:rsid w:val="3214620D"/>
    <w:rsid w:val="32B43E1F"/>
    <w:rsid w:val="32C8169C"/>
    <w:rsid w:val="32FF536A"/>
    <w:rsid w:val="332009C9"/>
    <w:rsid w:val="337CB0D4"/>
    <w:rsid w:val="338F7144"/>
    <w:rsid w:val="339E3DC7"/>
    <w:rsid w:val="33B6D3CB"/>
    <w:rsid w:val="3441F9A8"/>
    <w:rsid w:val="34FF4589"/>
    <w:rsid w:val="35EF174F"/>
    <w:rsid w:val="35F33A62"/>
    <w:rsid w:val="3619C605"/>
    <w:rsid w:val="3633E500"/>
    <w:rsid w:val="36DF0316"/>
    <w:rsid w:val="3755C99E"/>
    <w:rsid w:val="37D385CF"/>
    <w:rsid w:val="3833AB0D"/>
    <w:rsid w:val="38EED084"/>
    <w:rsid w:val="394545D9"/>
    <w:rsid w:val="395933AE"/>
    <w:rsid w:val="39E6F112"/>
    <w:rsid w:val="3A234291"/>
    <w:rsid w:val="3A8F4001"/>
    <w:rsid w:val="3AA2DBFE"/>
    <w:rsid w:val="3AA6C4E0"/>
    <w:rsid w:val="3AB282FB"/>
    <w:rsid w:val="3AB9F5A3"/>
    <w:rsid w:val="3AF712E5"/>
    <w:rsid w:val="3B1E1802"/>
    <w:rsid w:val="3BA725ED"/>
    <w:rsid w:val="3CB28D2B"/>
    <w:rsid w:val="3CFF6C65"/>
    <w:rsid w:val="3D055941"/>
    <w:rsid w:val="3D1CEEEE"/>
    <w:rsid w:val="3D277757"/>
    <w:rsid w:val="3D38CAD6"/>
    <w:rsid w:val="3D675C6B"/>
    <w:rsid w:val="3D9B7163"/>
    <w:rsid w:val="3DB430B6"/>
    <w:rsid w:val="3DF1420C"/>
    <w:rsid w:val="3E0E8CCD"/>
    <w:rsid w:val="3EE49F9E"/>
    <w:rsid w:val="3EF1D2C2"/>
    <w:rsid w:val="3F18303A"/>
    <w:rsid w:val="3FC9572B"/>
    <w:rsid w:val="4003AE12"/>
    <w:rsid w:val="404FD76F"/>
    <w:rsid w:val="41A811B4"/>
    <w:rsid w:val="41DECE69"/>
    <w:rsid w:val="41FED474"/>
    <w:rsid w:val="42ADF8E9"/>
    <w:rsid w:val="4383311E"/>
    <w:rsid w:val="43C39E22"/>
    <w:rsid w:val="43D6FEF2"/>
    <w:rsid w:val="44065987"/>
    <w:rsid w:val="44D27CAC"/>
    <w:rsid w:val="45444BDF"/>
    <w:rsid w:val="4554BE3C"/>
    <w:rsid w:val="45652582"/>
    <w:rsid w:val="45841633"/>
    <w:rsid w:val="462B9B22"/>
    <w:rsid w:val="4689A845"/>
    <w:rsid w:val="468D95E0"/>
    <w:rsid w:val="469C1EC1"/>
    <w:rsid w:val="46E0205A"/>
    <w:rsid w:val="47214F11"/>
    <w:rsid w:val="47395347"/>
    <w:rsid w:val="4781DB06"/>
    <w:rsid w:val="47AAFC5E"/>
    <w:rsid w:val="47B049E6"/>
    <w:rsid w:val="47CCBA25"/>
    <w:rsid w:val="47F920F6"/>
    <w:rsid w:val="482193CE"/>
    <w:rsid w:val="482D788F"/>
    <w:rsid w:val="4885DF27"/>
    <w:rsid w:val="49DB4C54"/>
    <w:rsid w:val="4A200299"/>
    <w:rsid w:val="4B9E09CF"/>
    <w:rsid w:val="4D39A558"/>
    <w:rsid w:val="4DA0DF78"/>
    <w:rsid w:val="4DD20B29"/>
    <w:rsid w:val="4E231ABF"/>
    <w:rsid w:val="4E338BF6"/>
    <w:rsid w:val="4E6B3B45"/>
    <w:rsid w:val="4E9FF599"/>
    <w:rsid w:val="4EB8ACF7"/>
    <w:rsid w:val="4F8A9D60"/>
    <w:rsid w:val="50E80219"/>
    <w:rsid w:val="512BD800"/>
    <w:rsid w:val="5138827F"/>
    <w:rsid w:val="51AF10BF"/>
    <w:rsid w:val="524AFB37"/>
    <w:rsid w:val="525802A0"/>
    <w:rsid w:val="5258CBD6"/>
    <w:rsid w:val="52C89763"/>
    <w:rsid w:val="52DD405A"/>
    <w:rsid w:val="534C78D1"/>
    <w:rsid w:val="537935F1"/>
    <w:rsid w:val="53B000BB"/>
    <w:rsid w:val="53D04A1C"/>
    <w:rsid w:val="53DF6098"/>
    <w:rsid w:val="540900D2"/>
    <w:rsid w:val="541C545A"/>
    <w:rsid w:val="541D6B71"/>
    <w:rsid w:val="5487FAD2"/>
    <w:rsid w:val="5489C4D5"/>
    <w:rsid w:val="54C37E35"/>
    <w:rsid w:val="556BB70C"/>
    <w:rsid w:val="557B5E82"/>
    <w:rsid w:val="55CA0A6F"/>
    <w:rsid w:val="55EBD752"/>
    <w:rsid w:val="56333E40"/>
    <w:rsid w:val="56592140"/>
    <w:rsid w:val="56B3BDFD"/>
    <w:rsid w:val="56BA202B"/>
    <w:rsid w:val="577A502A"/>
    <w:rsid w:val="57D812D5"/>
    <w:rsid w:val="5810FB59"/>
    <w:rsid w:val="5823806D"/>
    <w:rsid w:val="585A6134"/>
    <w:rsid w:val="5926036E"/>
    <w:rsid w:val="593CA0AB"/>
    <w:rsid w:val="59B157AC"/>
    <w:rsid w:val="5A18782F"/>
    <w:rsid w:val="5ACA3636"/>
    <w:rsid w:val="5AE4B24A"/>
    <w:rsid w:val="5B45804A"/>
    <w:rsid w:val="5B9B5B99"/>
    <w:rsid w:val="5C05F304"/>
    <w:rsid w:val="5CC63A8C"/>
    <w:rsid w:val="5D10F56B"/>
    <w:rsid w:val="5D55A309"/>
    <w:rsid w:val="5D945541"/>
    <w:rsid w:val="5DAECC05"/>
    <w:rsid w:val="5E2C5149"/>
    <w:rsid w:val="5E3ECBAF"/>
    <w:rsid w:val="5E8CF3DA"/>
    <w:rsid w:val="5ED0EAB5"/>
    <w:rsid w:val="5EF526E1"/>
    <w:rsid w:val="5F48ECC3"/>
    <w:rsid w:val="5F818AFE"/>
    <w:rsid w:val="5FE3A2AB"/>
    <w:rsid w:val="601EBDCA"/>
    <w:rsid w:val="614FA077"/>
    <w:rsid w:val="64124535"/>
    <w:rsid w:val="647FB29E"/>
    <w:rsid w:val="648F0089"/>
    <w:rsid w:val="649C0B77"/>
    <w:rsid w:val="64F4A3BF"/>
    <w:rsid w:val="65046066"/>
    <w:rsid w:val="6588C59C"/>
    <w:rsid w:val="65F560FE"/>
    <w:rsid w:val="6611C416"/>
    <w:rsid w:val="66340396"/>
    <w:rsid w:val="66BDB539"/>
    <w:rsid w:val="66DCEA7C"/>
    <w:rsid w:val="6743DCB1"/>
    <w:rsid w:val="6759FACB"/>
    <w:rsid w:val="6781C169"/>
    <w:rsid w:val="67863F34"/>
    <w:rsid w:val="67927404"/>
    <w:rsid w:val="6799946D"/>
    <w:rsid w:val="67E38B19"/>
    <w:rsid w:val="681DF81C"/>
    <w:rsid w:val="68D0CC0B"/>
    <w:rsid w:val="68E4538F"/>
    <w:rsid w:val="693F8E4C"/>
    <w:rsid w:val="698D9452"/>
    <w:rsid w:val="6A117993"/>
    <w:rsid w:val="6A397E17"/>
    <w:rsid w:val="6A5BCDB0"/>
    <w:rsid w:val="6AE2A6E8"/>
    <w:rsid w:val="6B1E3E9D"/>
    <w:rsid w:val="6B36E8F2"/>
    <w:rsid w:val="6B494845"/>
    <w:rsid w:val="6C435765"/>
    <w:rsid w:val="6CEEB9C0"/>
    <w:rsid w:val="6D428000"/>
    <w:rsid w:val="6F11B3E2"/>
    <w:rsid w:val="6F660812"/>
    <w:rsid w:val="6FAB374F"/>
    <w:rsid w:val="6FC95735"/>
    <w:rsid w:val="70173A6F"/>
    <w:rsid w:val="70328BFD"/>
    <w:rsid w:val="70596180"/>
    <w:rsid w:val="70E22A06"/>
    <w:rsid w:val="71842D23"/>
    <w:rsid w:val="71C3E2E7"/>
    <w:rsid w:val="7212F08C"/>
    <w:rsid w:val="724E23C2"/>
    <w:rsid w:val="72879763"/>
    <w:rsid w:val="7297B939"/>
    <w:rsid w:val="72D27072"/>
    <w:rsid w:val="731F001A"/>
    <w:rsid w:val="73326791"/>
    <w:rsid w:val="73BE4C5F"/>
    <w:rsid w:val="73CB536E"/>
    <w:rsid w:val="74E9F1F9"/>
    <w:rsid w:val="74F894A7"/>
    <w:rsid w:val="7509998E"/>
    <w:rsid w:val="75274367"/>
    <w:rsid w:val="75C859AA"/>
    <w:rsid w:val="75F47032"/>
    <w:rsid w:val="7639E809"/>
    <w:rsid w:val="76471BAA"/>
    <w:rsid w:val="76C3336E"/>
    <w:rsid w:val="76D34C94"/>
    <w:rsid w:val="76ED29A9"/>
    <w:rsid w:val="7703D69B"/>
    <w:rsid w:val="78525121"/>
    <w:rsid w:val="78E5D061"/>
    <w:rsid w:val="78EC5EE3"/>
    <w:rsid w:val="79BCF400"/>
    <w:rsid w:val="79BDCB91"/>
    <w:rsid w:val="79EC27C6"/>
    <w:rsid w:val="79F5F5E6"/>
    <w:rsid w:val="7A1210CA"/>
    <w:rsid w:val="7A64EB36"/>
    <w:rsid w:val="7A9B4F88"/>
    <w:rsid w:val="7AEFADA3"/>
    <w:rsid w:val="7B78A9E1"/>
    <w:rsid w:val="7B7E950D"/>
    <w:rsid w:val="7BBD60A3"/>
    <w:rsid w:val="7BD96016"/>
    <w:rsid w:val="7BF62D7F"/>
    <w:rsid w:val="7C72C626"/>
    <w:rsid w:val="7CEEBAC4"/>
    <w:rsid w:val="7D1783EF"/>
    <w:rsid w:val="7DA7A692"/>
    <w:rsid w:val="7E3A0D7A"/>
    <w:rsid w:val="7EBFBDA3"/>
    <w:rsid w:val="7F301BFA"/>
    <w:rsid w:val="7F77E1F1"/>
    <w:rsid w:val="7FE0B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5D87"/>
  <w15:chartTrackingRefBased/>
  <w15:docId w15:val="{3D06FBF5-D67E-4E37-8656-09FFD0B7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Pr>
      <w:rFonts w:eastAsiaTheme="majorEastAsia" w:cstheme="majorBidi"/>
      <w:i/>
      <w:iCs/>
      <w:color w:val="0F4761" w:themeColor="accent1" w:themeShade="BF"/>
    </w:rPr>
  </w:style>
  <w:style w:type="character" w:customStyle="1" w:styleId="Ttulo5Char">
    <w:name w:val="Título 5 Char"/>
    <w:basedOn w:val="Fontepargpadro"/>
    <w:link w:val="Ttulo5"/>
    <w:uiPriority w:val="9"/>
    <w:rPr>
      <w:rFonts w:eastAsiaTheme="majorEastAsia" w:cstheme="majorBidi"/>
      <w:color w:val="0F4761" w:themeColor="accent1" w:themeShade="BF"/>
    </w:rPr>
  </w:style>
  <w:style w:type="character" w:customStyle="1" w:styleId="Ttulo6Char">
    <w:name w:val="Título 6 Char"/>
    <w:basedOn w:val="Fontepargpadro"/>
    <w:link w:val="Ttulo6"/>
    <w:uiPriority w:val="9"/>
    <w:rPr>
      <w:rFonts w:eastAsiaTheme="majorEastAsia" w:cstheme="majorBidi"/>
      <w:i/>
      <w:iCs/>
      <w:color w:val="595959" w:themeColor="text1" w:themeTint="A6"/>
    </w:rPr>
  </w:style>
  <w:style w:type="character" w:customStyle="1" w:styleId="Ttulo7Char">
    <w:name w:val="Título 7 Char"/>
    <w:basedOn w:val="Fontepargpadro"/>
    <w:link w:val="Ttulo7"/>
    <w:uiPriority w:val="9"/>
    <w:rPr>
      <w:rFonts w:eastAsiaTheme="majorEastAsia" w:cstheme="majorBidi"/>
      <w:color w:val="595959" w:themeColor="text1" w:themeTint="A6"/>
    </w:rPr>
  </w:style>
  <w:style w:type="character" w:customStyle="1" w:styleId="Ttulo8Char">
    <w:name w:val="Título 8 Char"/>
    <w:basedOn w:val="Fontepargpadro"/>
    <w:link w:val="Ttulo8"/>
    <w:uiPriority w:val="9"/>
    <w:rPr>
      <w:rFonts w:eastAsiaTheme="majorEastAsia" w:cstheme="majorBidi"/>
      <w:i/>
      <w:iCs/>
      <w:color w:val="272727" w:themeColor="text1" w:themeTint="D8"/>
    </w:rPr>
  </w:style>
  <w:style w:type="character" w:customStyle="1" w:styleId="Ttulo9Char">
    <w:name w:val="Título 9 Char"/>
    <w:basedOn w:val="Fontepargpadro"/>
    <w:link w:val="Ttulo9"/>
    <w:uiPriority w:val="9"/>
    <w:rPr>
      <w:rFonts w:eastAsiaTheme="majorEastAsia" w:cstheme="majorBidi"/>
      <w:color w:val="272727" w:themeColor="text1" w:themeTint="D8"/>
    </w:rPr>
  </w:style>
  <w:style w:type="character" w:customStyle="1" w:styleId="TtuloChar">
    <w:name w:val="Título Char"/>
    <w:basedOn w:val="Fontepargpadro"/>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har"/>
    <w:uiPriority w:val="11"/>
    <w:qFormat/>
    <w:pPr>
      <w:numPr>
        <w:ilvl w:val="1"/>
      </w:numPr>
    </w:pPr>
    <w:rPr>
      <w:rFonts w:eastAsiaTheme="majorEastAsia" w:cstheme="majorBidi"/>
      <w:color w:val="595959" w:themeColor="text1" w:themeTint="A6"/>
      <w:spacing w:val="15"/>
      <w:sz w:val="28"/>
      <w:szCs w:val="28"/>
    </w:rPr>
  </w:style>
  <w:style w:type="character" w:styleId="nfaseIntensa">
    <w:name w:val="Intense Emphasis"/>
    <w:basedOn w:val="Fontepargpadro"/>
    <w:uiPriority w:val="21"/>
    <w:qFormat/>
    <w:rPr>
      <w:i/>
      <w:iCs/>
      <w:color w:val="0F4761" w:themeColor="accent1" w:themeShade="BF"/>
    </w:rPr>
  </w:style>
  <w:style w:type="character" w:customStyle="1" w:styleId="CitaoChar">
    <w:name w:val="Citação Char"/>
    <w:basedOn w:val="Fontepargpadro"/>
    <w:link w:val="Citao"/>
    <w:uiPriority w:val="29"/>
    <w:rPr>
      <w:i/>
      <w:iCs/>
      <w:color w:val="404040" w:themeColor="text1" w:themeTint="BF"/>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IntensaChar">
    <w:name w:val="Citação Intensa Char"/>
    <w:basedOn w:val="Fontepargpadro"/>
    <w:link w:val="CitaoIntensa"/>
    <w:uiPriority w:val="30"/>
    <w:rPr>
      <w:i/>
      <w:iCs/>
      <w:color w:val="0F4761" w:themeColor="accent1" w:themeShade="BF"/>
    </w:rPr>
  </w:style>
  <w:style w:type="paragraph" w:styleId="CitaoIntensa">
    <w:name w:val="Intense Quote"/>
    <w:basedOn w:val="Normal"/>
    <w:next w:val="Normal"/>
    <w:link w:val="CitaoIntensa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nciaIntensa">
    <w:name w:val="Intense Reference"/>
    <w:basedOn w:val="Fontepargpadro"/>
    <w:uiPriority w:val="32"/>
    <w:qFormat/>
    <w:rPr>
      <w:b/>
      <w:bCs/>
      <w:smallCaps/>
      <w:color w:val="0F4761" w:themeColor="accent1" w:themeShade="BF"/>
      <w:spacing w:val="5"/>
    </w:rPr>
  </w:style>
  <w:style w:type="character" w:styleId="Hyperlink">
    <w:name w:val="Hyperlink"/>
    <w:basedOn w:val="Fontepargpadro"/>
    <w:uiPriority w:val="99"/>
    <w:unhideWhenUsed/>
    <w:rsid w:val="647FB29E"/>
    <w:rPr>
      <w:color w:val="467886"/>
      <w:u w:val="single"/>
    </w:rPr>
  </w:style>
  <w:style w:type="paragraph" w:styleId="PargrafodaLista">
    <w:name w:val="List Paragraph"/>
    <w:basedOn w:val="Normal"/>
    <w:uiPriority w:val="34"/>
    <w:qFormat/>
    <w:rsid w:val="647FB29E"/>
    <w:pPr>
      <w:ind w:left="720"/>
      <w:contextualSpacing/>
    </w:pPr>
  </w:style>
  <w:style w:type="paragraph" w:styleId="Cabealho">
    <w:name w:val="header"/>
    <w:basedOn w:val="Normal"/>
    <w:uiPriority w:val="99"/>
    <w:unhideWhenUsed/>
    <w:rsid w:val="647FB29E"/>
    <w:pPr>
      <w:tabs>
        <w:tab w:val="center" w:pos="4680"/>
        <w:tab w:val="right" w:pos="9360"/>
      </w:tabs>
      <w:spacing w:after="0" w:line="240" w:lineRule="auto"/>
    </w:pPr>
  </w:style>
  <w:style w:type="paragraph" w:styleId="Rodap">
    <w:name w:val="footer"/>
    <w:basedOn w:val="Normal"/>
    <w:uiPriority w:val="99"/>
    <w:unhideWhenUsed/>
    <w:rsid w:val="647FB29E"/>
    <w:pPr>
      <w:tabs>
        <w:tab w:val="center" w:pos="4680"/>
        <w:tab w:val="right" w:pos="9360"/>
      </w:tabs>
      <w:spacing w:after="0" w:line="240" w:lineRule="auto"/>
    </w:pPr>
  </w:style>
  <w:style w:type="paragraph" w:styleId="Textodenotaderodap">
    <w:name w:val="footnote text"/>
    <w:basedOn w:val="Normal"/>
    <w:uiPriority w:val="99"/>
    <w:semiHidden/>
    <w:unhideWhenUsed/>
    <w:rsid w:val="647FB29E"/>
    <w:pPr>
      <w:spacing w:after="0" w:line="240" w:lineRule="auto"/>
    </w:pPr>
    <w:rPr>
      <w:sz w:val="20"/>
      <w:szCs w:val="20"/>
    </w:rPr>
  </w:style>
  <w:style w:type="character" w:styleId="Refdenotaderodap">
    <w:name w:val="footnote reference"/>
    <w:basedOn w:val="Fontepargpadro"/>
    <w:uiPriority w:val="99"/>
    <w:semiHidden/>
    <w:unhideWhenUsed/>
    <w:rPr>
      <w:vertAlign w:val="superscript"/>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7456</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Yonezawa Fernandes</dc:creator>
  <cp:keywords/>
  <dc:description/>
  <cp:lastModifiedBy>Luis</cp:lastModifiedBy>
  <cp:revision>2</cp:revision>
  <dcterms:created xsi:type="dcterms:W3CDTF">2025-10-20T08:09:00Z</dcterms:created>
  <dcterms:modified xsi:type="dcterms:W3CDTF">2025-10-20T08:09:00Z</dcterms:modified>
</cp:coreProperties>
</file>