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EECF7" w14:textId="7D9B4D54" w:rsidR="00E319ED" w:rsidRDefault="00E319ED" w:rsidP="00E319ED">
      <w:pPr>
        <w:pStyle w:val="NormalWeb"/>
      </w:pPr>
      <w:r>
        <w:rPr>
          <w:noProof/>
        </w:rPr>
        <w:drawing>
          <wp:inline distT="0" distB="0" distL="0" distR="0" wp14:anchorId="2B7359F6" wp14:editId="7259E461">
            <wp:extent cx="5731510" cy="996950"/>
            <wp:effectExtent l="0" t="0" r="2540" b="0"/>
            <wp:docPr id="1623879573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879573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4A4C7" w14:textId="77777777" w:rsidR="00E319ED" w:rsidRDefault="00E319ED" w:rsidP="00E319ED">
      <w:pPr>
        <w:pStyle w:val="NormalWeb"/>
        <w:shd w:val="clear" w:color="auto" w:fill="FFFFFF"/>
        <w:spacing w:before="0" w:beforeAutospacing="0" w:after="0" w:afterAutospacing="0" w:line="239" w:lineRule="atLeast"/>
        <w:jc w:val="both"/>
        <w:rPr>
          <w:rFonts w:ascii="Tahoma" w:hAnsi="Tahoma" w:cs="Tahoma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14:paraId="2534274B" w14:textId="0AB9D52A" w:rsidR="00E319ED" w:rsidRPr="00E319ED" w:rsidRDefault="00E319ED" w:rsidP="00E319ED">
      <w:pPr>
        <w:pStyle w:val="NormalWeb"/>
        <w:shd w:val="clear" w:color="auto" w:fill="FFFFFF"/>
        <w:spacing w:before="0" w:beforeAutospacing="0" w:after="0" w:afterAutospacing="0" w:line="239" w:lineRule="atLeast"/>
        <w:jc w:val="both"/>
        <w:rPr>
          <w:rFonts w:ascii="Segoe UI" w:hAnsi="Segoe UI" w:cs="Segoe UI"/>
          <w:color w:val="242424"/>
        </w:rPr>
      </w:pPr>
      <w:r w:rsidRPr="00E319ED">
        <w:rPr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T</w:t>
      </w:r>
      <w:r w:rsidRPr="00E319ED">
        <w:rPr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he New Growth Acceleration Program (Novo PAC)</w:t>
      </w:r>
      <w:r w:rsidR="00CC4DC9">
        <w:rPr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 xml:space="preserve"> is</w:t>
      </w:r>
      <w:r w:rsidRPr="00E319ED">
        <w:rPr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 xml:space="preserve"> a USD 347 billion investment plan aimed at infrastructure, development, and environmental projects. </w:t>
      </w:r>
    </w:p>
    <w:p w14:paraId="5226C3A2" w14:textId="77777777" w:rsidR="00E319ED" w:rsidRPr="00E319ED" w:rsidRDefault="00E319ED" w:rsidP="00E319ED">
      <w:pPr>
        <w:pStyle w:val="NormalWeb"/>
        <w:shd w:val="clear" w:color="auto" w:fill="FFFFFF"/>
        <w:spacing w:before="0" w:beforeAutospacing="0" w:after="0" w:afterAutospacing="0" w:line="239" w:lineRule="atLeast"/>
        <w:jc w:val="both"/>
        <w:rPr>
          <w:rFonts w:ascii="Segoe UI" w:hAnsi="Segoe UI" w:cs="Segoe UI"/>
          <w:color w:val="242424"/>
        </w:rPr>
      </w:pPr>
      <w:r w:rsidRPr="00E319ED">
        <w:rPr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Novo PAC involves a strong partnership between the federal government and the private sector, states, municipalities, and social movements in a joint and committed effort towards ecological transition, neo-industrialization, growth alongside social inclusion, and environmental sustainability.</w:t>
      </w:r>
    </w:p>
    <w:p w14:paraId="342C0B53" w14:textId="77777777" w:rsidR="00E319ED" w:rsidRPr="00E319ED" w:rsidRDefault="00E319ED" w:rsidP="00E319ED">
      <w:pPr>
        <w:pStyle w:val="NormalWeb"/>
        <w:shd w:val="clear" w:color="auto" w:fill="FFFFFF"/>
        <w:spacing w:before="0" w:beforeAutospacing="0" w:after="0" w:afterAutospacing="0" w:line="239" w:lineRule="atLeast"/>
        <w:jc w:val="both"/>
        <w:rPr>
          <w:rFonts w:ascii="Segoe UI" w:hAnsi="Segoe UI" w:cs="Segoe UI"/>
          <w:color w:val="242424"/>
        </w:rPr>
      </w:pPr>
      <w:r w:rsidRPr="00E319ED">
        <w:rPr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The Novo PAC investments include USD 75 billion from Brazil’s General Budget; USD 70 billion from state-owned companies; USD 74 billion from financing; and USD 125 billion from the private sector.</w:t>
      </w:r>
    </w:p>
    <w:p w14:paraId="18BB3118" w14:textId="77777777" w:rsidR="00E319ED" w:rsidRPr="00E319ED" w:rsidRDefault="00E319ED" w:rsidP="00E319ED">
      <w:pPr>
        <w:pStyle w:val="NormalWeb"/>
        <w:shd w:val="clear" w:color="auto" w:fill="FFFFFF"/>
        <w:spacing w:before="0" w:beforeAutospacing="0" w:after="0" w:afterAutospacing="0" w:line="239" w:lineRule="atLeast"/>
        <w:jc w:val="both"/>
        <w:rPr>
          <w:rFonts w:ascii="Segoe UI" w:hAnsi="Segoe UI" w:cs="Segoe UI"/>
          <w:color w:val="242424"/>
        </w:rPr>
      </w:pPr>
      <w:r w:rsidRPr="00E319ED">
        <w:rPr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In this regard, Brazil’s federal government is launching public notices that add up to USD 27,7 billion to select priority projects for States and municipalities in the following areas:</w:t>
      </w:r>
    </w:p>
    <w:p w14:paraId="60571333" w14:textId="77777777" w:rsidR="00E319ED" w:rsidRPr="00E319ED" w:rsidRDefault="00E319ED" w:rsidP="00E319ED">
      <w:pPr>
        <w:pStyle w:val="NormalWeb"/>
        <w:shd w:val="clear" w:color="auto" w:fill="FFFFFF"/>
        <w:spacing w:before="0" w:beforeAutospacing="0" w:after="0" w:afterAutospacing="0" w:line="239" w:lineRule="atLeast"/>
        <w:jc w:val="both"/>
        <w:rPr>
          <w:rFonts w:ascii="Segoe UI" w:hAnsi="Segoe UI" w:cs="Segoe UI"/>
          <w:color w:val="242424"/>
        </w:rPr>
      </w:pPr>
      <w:r w:rsidRPr="00E319ED">
        <w:rPr>
          <w:rFonts w:ascii="Tahoma" w:hAnsi="Tahoma" w:cs="Tahoma"/>
          <w:b/>
          <w:bCs/>
          <w:color w:val="000000"/>
          <w:bdr w:val="none" w:sz="0" w:space="0" w:color="auto" w:frame="1"/>
          <w:shd w:val="clear" w:color="auto" w:fill="FFFFFF"/>
        </w:rPr>
        <w:t>Cities</w:t>
      </w:r>
      <w:r w:rsidRPr="00E319ED">
        <w:rPr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: urbanization, water supply, sewage, solid waste, urban mobility and prevention of natural disasters;</w:t>
      </w:r>
    </w:p>
    <w:p w14:paraId="07886F30" w14:textId="77777777" w:rsidR="00E319ED" w:rsidRPr="00E319ED" w:rsidRDefault="00E319ED" w:rsidP="00E319ED">
      <w:pPr>
        <w:pStyle w:val="NormalWeb"/>
        <w:shd w:val="clear" w:color="auto" w:fill="FFFFFF"/>
        <w:spacing w:before="0" w:beforeAutospacing="0" w:after="0" w:afterAutospacing="0" w:line="239" w:lineRule="atLeast"/>
        <w:jc w:val="both"/>
        <w:rPr>
          <w:rFonts w:ascii="Segoe UI" w:hAnsi="Segoe UI" w:cs="Segoe UI"/>
          <w:color w:val="242424"/>
        </w:rPr>
      </w:pPr>
      <w:r w:rsidRPr="00E319ED">
        <w:rPr>
          <w:rFonts w:ascii="Tahoma" w:hAnsi="Tahoma" w:cs="Tahoma"/>
          <w:b/>
          <w:bCs/>
          <w:color w:val="000000"/>
          <w:bdr w:val="none" w:sz="0" w:space="0" w:color="auto" w:frame="1"/>
          <w:shd w:val="clear" w:color="auto" w:fill="FFFFFF"/>
        </w:rPr>
        <w:t>Health</w:t>
      </w:r>
      <w:r w:rsidRPr="00E319ED">
        <w:rPr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: Basic Health Centers, polyclinics and maternity hospitals;</w:t>
      </w:r>
    </w:p>
    <w:p w14:paraId="181E27E2" w14:textId="77777777" w:rsidR="00E319ED" w:rsidRPr="00E319ED" w:rsidRDefault="00E319ED" w:rsidP="00E319ED">
      <w:pPr>
        <w:pStyle w:val="NormalWeb"/>
        <w:shd w:val="clear" w:color="auto" w:fill="FFFFFF"/>
        <w:spacing w:before="0" w:beforeAutospacing="0" w:after="0" w:afterAutospacing="0" w:line="239" w:lineRule="atLeast"/>
        <w:jc w:val="both"/>
        <w:rPr>
          <w:rFonts w:ascii="Segoe UI" w:hAnsi="Segoe UI" w:cs="Segoe UI"/>
          <w:color w:val="242424"/>
        </w:rPr>
      </w:pPr>
      <w:r w:rsidRPr="00E319ED">
        <w:rPr>
          <w:rFonts w:ascii="Tahoma" w:hAnsi="Tahoma" w:cs="Tahoma"/>
          <w:b/>
          <w:bCs/>
          <w:color w:val="000000"/>
          <w:bdr w:val="none" w:sz="0" w:space="0" w:color="auto" w:frame="1"/>
          <w:shd w:val="clear" w:color="auto" w:fill="FFFFFF"/>
        </w:rPr>
        <w:t>Education</w:t>
      </w:r>
      <w:r w:rsidRPr="00E319ED">
        <w:rPr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: kindergartens, schools and school buses;</w:t>
      </w:r>
    </w:p>
    <w:p w14:paraId="57ECB95B" w14:textId="77777777" w:rsidR="00E319ED" w:rsidRPr="00E319ED" w:rsidRDefault="00E319ED" w:rsidP="00E319ED">
      <w:pPr>
        <w:pStyle w:val="NormalWeb"/>
        <w:shd w:val="clear" w:color="auto" w:fill="FFFFFF"/>
        <w:spacing w:before="0" w:beforeAutospacing="0" w:after="0" w:afterAutospacing="0" w:line="239" w:lineRule="atLeast"/>
        <w:jc w:val="both"/>
        <w:rPr>
          <w:rFonts w:ascii="Segoe UI" w:hAnsi="Segoe UI" w:cs="Segoe UI"/>
          <w:color w:val="242424"/>
        </w:rPr>
      </w:pPr>
      <w:r w:rsidRPr="00E319ED">
        <w:rPr>
          <w:rFonts w:ascii="Tahoma" w:hAnsi="Tahoma" w:cs="Tahoma"/>
          <w:b/>
          <w:bCs/>
          <w:color w:val="000000"/>
          <w:bdr w:val="none" w:sz="0" w:space="0" w:color="auto" w:frame="1"/>
          <w:shd w:val="clear" w:color="auto" w:fill="FFFFFF"/>
        </w:rPr>
        <w:t>Culture</w:t>
      </w:r>
      <w:r w:rsidRPr="00E319ED">
        <w:rPr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: Unified Arts and Sports Centers and historical heritage projects;</w:t>
      </w:r>
    </w:p>
    <w:p w14:paraId="2F8FB100" w14:textId="77777777" w:rsidR="00E319ED" w:rsidRPr="00E319ED" w:rsidRDefault="00E319ED" w:rsidP="00E319ED">
      <w:pPr>
        <w:pStyle w:val="NormalWeb"/>
        <w:shd w:val="clear" w:color="auto" w:fill="FFFFFF"/>
        <w:spacing w:before="0" w:beforeAutospacing="0" w:after="0" w:afterAutospacing="0" w:line="239" w:lineRule="atLeast"/>
        <w:jc w:val="both"/>
        <w:rPr>
          <w:rFonts w:ascii="Segoe UI" w:hAnsi="Segoe UI" w:cs="Segoe UI"/>
          <w:color w:val="242424"/>
        </w:rPr>
      </w:pPr>
      <w:r w:rsidRPr="00E319ED">
        <w:rPr>
          <w:rFonts w:ascii="Tahoma" w:hAnsi="Tahoma" w:cs="Tahoma"/>
          <w:b/>
          <w:bCs/>
          <w:color w:val="000000"/>
          <w:bdr w:val="none" w:sz="0" w:space="0" w:color="auto" w:frame="1"/>
          <w:shd w:val="clear" w:color="auto" w:fill="FFFFFF"/>
        </w:rPr>
        <w:t>Sports</w:t>
      </w:r>
      <w:r w:rsidRPr="00E319ED">
        <w:rPr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: community sports venues.</w:t>
      </w:r>
    </w:p>
    <w:p w14:paraId="368617C8" w14:textId="77777777" w:rsidR="00E319ED" w:rsidRPr="00E319ED" w:rsidRDefault="00E319ED" w:rsidP="00E319ED">
      <w:pPr>
        <w:pStyle w:val="NormalWeb"/>
        <w:shd w:val="clear" w:color="auto" w:fill="FFFFFF"/>
        <w:spacing w:before="0" w:beforeAutospacing="0" w:after="0" w:afterAutospacing="0" w:line="239" w:lineRule="atLeast"/>
        <w:jc w:val="both"/>
        <w:rPr>
          <w:rFonts w:ascii="Segoe UI" w:hAnsi="Segoe UI" w:cs="Segoe UI"/>
          <w:color w:val="242424"/>
        </w:rPr>
      </w:pPr>
      <w:r w:rsidRPr="00E319ED">
        <w:rPr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For further information on the program, please refer to:</w:t>
      </w:r>
    </w:p>
    <w:p w14:paraId="254CC397" w14:textId="4760B266" w:rsidR="00E319ED" w:rsidRPr="00E319ED" w:rsidRDefault="00E319ED" w:rsidP="00E319ED">
      <w:pPr>
        <w:pStyle w:val="NormalWeb"/>
        <w:shd w:val="clear" w:color="auto" w:fill="FFFFFF"/>
        <w:spacing w:before="0" w:beforeAutospacing="0" w:after="0" w:afterAutospacing="0" w:line="239" w:lineRule="atLeast"/>
        <w:jc w:val="both"/>
        <w:rPr>
          <w:rFonts w:ascii="Tahoma" w:hAnsi="Tahoma" w:cs="Tahoma"/>
          <w:color w:val="000000"/>
          <w:bdr w:val="none" w:sz="0" w:space="0" w:color="auto" w:frame="1"/>
          <w:shd w:val="clear" w:color="auto" w:fill="FFFFFF"/>
        </w:rPr>
      </w:pPr>
      <w:hyperlink r:id="rId5" w:history="1">
        <w:r w:rsidRPr="00E319ED">
          <w:rPr>
            <w:rStyle w:val="Hyperlink"/>
            <w:rFonts w:ascii="Tahoma" w:eastAsiaTheme="majorEastAsia" w:hAnsi="Tahoma" w:cs="Tahoma"/>
            <w:bdr w:val="none" w:sz="0" w:space="0" w:color="auto" w:frame="1"/>
            <w:shd w:val="clear" w:color="auto" w:fill="FFFFFF"/>
          </w:rPr>
          <w:t>executiva.casacivil@presidencia.gov.br</w:t>
        </w:r>
      </w:hyperlink>
    </w:p>
    <w:p w14:paraId="5CBDEAE4" w14:textId="0D6A90BA" w:rsidR="00E319ED" w:rsidRPr="00E319ED" w:rsidRDefault="00E319ED" w:rsidP="00E319ED">
      <w:pPr>
        <w:pStyle w:val="NormalWeb"/>
        <w:shd w:val="clear" w:color="auto" w:fill="FFFFFF"/>
        <w:spacing w:before="0" w:beforeAutospacing="0" w:after="0" w:afterAutospacing="0" w:line="239" w:lineRule="atLeast"/>
        <w:jc w:val="both"/>
      </w:pPr>
      <w:hyperlink r:id="rId6" w:history="1">
        <w:r w:rsidRPr="00E319ED">
          <w:rPr>
            <w:rStyle w:val="Hyperlink"/>
          </w:rPr>
          <w:t>www.gov.br/casacivil/novopac</w:t>
        </w:r>
      </w:hyperlink>
    </w:p>
    <w:p w14:paraId="5A8C591C" w14:textId="77777777" w:rsidR="00E319ED" w:rsidRPr="00E319ED" w:rsidRDefault="00E319ED" w:rsidP="00E319ED">
      <w:pPr>
        <w:pStyle w:val="NormalWeb"/>
        <w:shd w:val="clear" w:color="auto" w:fill="FFFFFF"/>
        <w:spacing w:before="0" w:beforeAutospacing="0" w:after="0" w:afterAutospacing="0" w:line="239" w:lineRule="atLeast"/>
        <w:jc w:val="both"/>
      </w:pPr>
    </w:p>
    <w:p w14:paraId="656E765B" w14:textId="77777777" w:rsidR="00E319ED" w:rsidRPr="00E319ED" w:rsidRDefault="00E319ED" w:rsidP="00E319ED">
      <w:pPr>
        <w:pStyle w:val="NormalWeb"/>
        <w:shd w:val="clear" w:color="auto" w:fill="FFFFFF"/>
        <w:spacing w:before="0" w:beforeAutospacing="0" w:after="0" w:afterAutospacing="0" w:line="239" w:lineRule="atLeast"/>
        <w:jc w:val="both"/>
        <w:rPr>
          <w:rFonts w:ascii="Tahoma" w:hAnsi="Tahoma" w:cs="Tahoma"/>
          <w:color w:val="000000"/>
          <w:bdr w:val="none" w:sz="0" w:space="0" w:color="auto" w:frame="1"/>
          <w:shd w:val="clear" w:color="auto" w:fill="FFFFFF"/>
          <w:lang w:val="pt-BR"/>
        </w:rPr>
      </w:pPr>
    </w:p>
    <w:p w14:paraId="17F480F4" w14:textId="77777777" w:rsidR="00F66D26" w:rsidRPr="00E319ED" w:rsidRDefault="00F66D26" w:rsidP="00E319ED"/>
    <w:sectPr w:rsidR="00F66D26" w:rsidRPr="00E31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26"/>
    <w:rsid w:val="0044759F"/>
    <w:rsid w:val="0054134C"/>
    <w:rsid w:val="00CA5683"/>
    <w:rsid w:val="00CC4DC9"/>
    <w:rsid w:val="00E319ED"/>
    <w:rsid w:val="00F6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9AA1"/>
  <w15:chartTrackingRefBased/>
  <w15:docId w15:val="{3DBD2335-BE35-4B5E-BDE5-5D661A13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D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6D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6D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6D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6D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6D2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6D2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6D2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6D2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D26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6D26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pt-B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6D26"/>
    <w:rPr>
      <w:rFonts w:eastAsiaTheme="majorEastAsia" w:cstheme="majorBidi"/>
      <w:color w:val="0F4761" w:themeColor="accent1" w:themeShade="BF"/>
      <w:sz w:val="28"/>
      <w:szCs w:val="28"/>
      <w:lang w:val="pt-B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6D26"/>
    <w:rPr>
      <w:rFonts w:eastAsiaTheme="majorEastAsia" w:cstheme="majorBidi"/>
      <w:i/>
      <w:iCs/>
      <w:color w:val="0F4761" w:themeColor="accent1" w:themeShade="BF"/>
      <w:lang w:val="pt-B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6D26"/>
    <w:rPr>
      <w:rFonts w:eastAsiaTheme="majorEastAsia" w:cstheme="majorBidi"/>
      <w:color w:val="0F4761" w:themeColor="accent1" w:themeShade="BF"/>
      <w:lang w:val="pt-B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6D26"/>
    <w:rPr>
      <w:rFonts w:eastAsiaTheme="majorEastAsia" w:cstheme="majorBidi"/>
      <w:i/>
      <w:iCs/>
      <w:color w:val="595959" w:themeColor="text1" w:themeTint="A6"/>
      <w:lang w:val="pt-B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6D26"/>
    <w:rPr>
      <w:rFonts w:eastAsiaTheme="majorEastAsia" w:cstheme="majorBidi"/>
      <w:color w:val="595959" w:themeColor="text1" w:themeTint="A6"/>
      <w:lang w:val="pt-B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6D26"/>
    <w:rPr>
      <w:rFonts w:eastAsiaTheme="majorEastAsia" w:cstheme="majorBidi"/>
      <w:i/>
      <w:iCs/>
      <w:color w:val="272727" w:themeColor="text1" w:themeTint="D8"/>
      <w:lang w:val="pt-B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6D26"/>
    <w:rPr>
      <w:rFonts w:eastAsiaTheme="majorEastAsia" w:cstheme="majorBidi"/>
      <w:color w:val="272727" w:themeColor="text1" w:themeTint="D8"/>
      <w:lang w:val="pt-BR"/>
    </w:rPr>
  </w:style>
  <w:style w:type="paragraph" w:styleId="Title">
    <w:name w:val="Title"/>
    <w:basedOn w:val="Normal"/>
    <w:next w:val="Normal"/>
    <w:link w:val="TitleChar"/>
    <w:uiPriority w:val="10"/>
    <w:qFormat/>
    <w:rsid w:val="00F66D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6D26"/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6D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66D26"/>
    <w:rPr>
      <w:rFonts w:eastAsiaTheme="majorEastAsia" w:cstheme="majorBidi"/>
      <w:color w:val="595959" w:themeColor="text1" w:themeTint="A6"/>
      <w:spacing w:val="15"/>
      <w:sz w:val="28"/>
      <w:szCs w:val="28"/>
      <w:lang w:val="pt-BR"/>
    </w:rPr>
  </w:style>
  <w:style w:type="paragraph" w:styleId="Quote">
    <w:name w:val="Quote"/>
    <w:basedOn w:val="Normal"/>
    <w:next w:val="Normal"/>
    <w:link w:val="QuoteChar"/>
    <w:uiPriority w:val="29"/>
    <w:qFormat/>
    <w:rsid w:val="00F66D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66D26"/>
    <w:rPr>
      <w:i/>
      <w:iCs/>
      <w:color w:val="404040" w:themeColor="text1" w:themeTint="BF"/>
      <w:lang w:val="pt-BR"/>
    </w:rPr>
  </w:style>
  <w:style w:type="paragraph" w:styleId="ListParagraph">
    <w:name w:val="List Paragraph"/>
    <w:basedOn w:val="Normal"/>
    <w:uiPriority w:val="34"/>
    <w:qFormat/>
    <w:rsid w:val="00F66D2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66D2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6D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6D26"/>
    <w:rPr>
      <w:i/>
      <w:iCs/>
      <w:color w:val="0F4761" w:themeColor="accent1" w:themeShade="BF"/>
      <w:lang w:val="pt-BR"/>
    </w:rPr>
  </w:style>
  <w:style w:type="character" w:styleId="IntenseReference">
    <w:name w:val="Intense Reference"/>
    <w:basedOn w:val="DefaultParagraphFont"/>
    <w:uiPriority w:val="32"/>
    <w:qFormat/>
    <w:rsid w:val="00F66D2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3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E319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br/casacivil/novopac" TargetMode="External"/><Relationship Id="rId5" Type="http://schemas.openxmlformats.org/officeDocument/2006/relationships/hyperlink" Target="mailto:executiva.casacivil@presidencia.gov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Roberto Ribeiro Guimarães</dc:creator>
  <cp:keywords/>
  <dc:description/>
  <cp:lastModifiedBy>Paulo Roberto Ribeiro Guimarães</cp:lastModifiedBy>
  <cp:revision>3</cp:revision>
  <dcterms:created xsi:type="dcterms:W3CDTF">2024-04-17T07:47:00Z</dcterms:created>
  <dcterms:modified xsi:type="dcterms:W3CDTF">2024-04-17T07:56:00Z</dcterms:modified>
</cp:coreProperties>
</file>