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7B" w:rsidRPr="00AA7B7B" w:rsidRDefault="00AA7B7B" w:rsidP="00AA7B7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A7B7B">
        <w:rPr>
          <w:b/>
          <w:bCs/>
          <w:sz w:val="24"/>
          <w:szCs w:val="24"/>
        </w:rPr>
        <w:t>MEMORANDO DE ENTENDIMENTO ENTRE O MINISTÉRIO DAS TELECOMUNICAÇÕES E DA SOCIEDADE DA INFORMAÇÃO DA REPÚBLICA DO EQUADOR E O MINISTÉRIO DA CIÊNCIA, TECNOLOGIA E INOVAÇÃO DA REPÚBLICA FEDERATIVA DO BRASILSOBRE COOPERAÇÃO EM INTELIGÊNCIA ARTIFICIAL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 xml:space="preserve"> 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A7B7B">
        <w:rPr>
          <w:sz w:val="24"/>
          <w:szCs w:val="24"/>
        </w:rPr>
        <w:t>O Ministério das Telecomunicações e da Sociedade da Informação (MINTEL) da República do Equador e o Ministério da Ciência, Tecnologia e Inovação da República Federativa do Brasil (MCTI), doravante denominados "os Signatários":</w:t>
      </w:r>
    </w:p>
    <w:p w:rsid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A7B7B">
        <w:rPr>
          <w:sz w:val="24"/>
          <w:szCs w:val="24"/>
        </w:rPr>
        <w:t>Reafirmando os laços históricos de amizade e cooperação que unem Equador e Brasil, bem como o compromisso compartilhado com o desenvolvimento tecnológico e a inovação;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A7B7B">
        <w:rPr>
          <w:sz w:val="24"/>
          <w:szCs w:val="24"/>
        </w:rPr>
        <w:t>Recordando o Acordo Básico de Cooperação Científica e Tecnológica entre o Governo da República Federativa do Brasil e a República do Equador, em vigor desde 4 de janeiro de 1985;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A7B7B">
        <w:rPr>
          <w:sz w:val="24"/>
          <w:szCs w:val="24"/>
        </w:rPr>
        <w:t>Reconhecendo a importância estratégica da inteligência artificial (IA) como motor da transformação econômica e social e a necessidade de promover o seu desenvolvimento de forma inclusiva, ética e centrada no ser humano, numa perspectiva que vise ao desenvolvimento, a sustentabilidade e o bem-estar dos cidadãos;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A7B7B">
        <w:rPr>
          <w:sz w:val="24"/>
          <w:szCs w:val="24"/>
        </w:rPr>
        <w:t>Reconhecendo também os potenciais impactos da IA no trabalho, e a correspondente necessidade de mecanismos de adaptação dos trabalhadores à nova realidade tecnológica resultante do avanço tecnológico;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A7B7B">
        <w:rPr>
          <w:sz w:val="24"/>
          <w:szCs w:val="24"/>
        </w:rPr>
        <w:t>Considerando as iniciativas bilaterais desenvolvidas nessa área, com o objetivo de fomentar a inovação, a competitividade e o crescimento sustentável, das quais são exemplos o Plano Brasileiro de Inteligência Artificial (PBIA) e a Agenda Digital Integral;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A7B7B">
        <w:rPr>
          <w:sz w:val="24"/>
          <w:szCs w:val="24"/>
        </w:rPr>
        <w:t>Levando em conta a criação do Grupo de Trabalho sobre Ética da IA na ALC, após as Cúpulas da América Latina e Caribe sobre Inteligência Artificial, em Santiago do Chile (2023) e Montevidéu (2024), como espaço de articulação e colaboração regional;</w:t>
      </w:r>
    </w:p>
    <w:p w:rsid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A7B7B">
        <w:rPr>
          <w:sz w:val="24"/>
          <w:szCs w:val="24"/>
        </w:rPr>
        <w:t>Acordaram o seguinte: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 xml:space="preserve"> 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A7B7B">
        <w:rPr>
          <w:b/>
          <w:bCs/>
          <w:sz w:val="24"/>
          <w:szCs w:val="24"/>
        </w:rPr>
        <w:t>SEÇÃO 1: ÁREAS E MODALIDADES DE COOPERAÇÃO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>1.1.  Fortalecimento das capacidades binacionais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ind w:left="709"/>
        <w:jc w:val="both"/>
        <w:rPr>
          <w:sz w:val="24"/>
          <w:szCs w:val="24"/>
        </w:rPr>
      </w:pPr>
      <w:r w:rsidRPr="00AA7B7B">
        <w:rPr>
          <w:sz w:val="24"/>
          <w:szCs w:val="24"/>
        </w:rPr>
        <w:t xml:space="preserve">1.1.1. Cooperação acadêmica e científica e intercâmbio entre redes: Os Signatários promoverão a colaboração entre universidades, centros de pesquisa, empresas de tecnologia e startups no campo da IA, promovendo projetos conjuntos, o intercâmbio de pesquisadores e estudantes e a realização de eventos acadêmicos e científicos, da mesma forma, compartilharão as infraestruturas de pesquisa e desenvolvimento, bem como a conectividade por meio da </w:t>
      </w:r>
      <w:proofErr w:type="spellStart"/>
      <w:r w:rsidRPr="00AA7B7B">
        <w:rPr>
          <w:sz w:val="24"/>
          <w:szCs w:val="24"/>
        </w:rPr>
        <w:t>RedCLARA</w:t>
      </w:r>
      <w:proofErr w:type="spellEnd"/>
      <w:r w:rsidRPr="00AA7B7B">
        <w:rPr>
          <w:sz w:val="24"/>
          <w:szCs w:val="24"/>
        </w:rPr>
        <w:t>, a fim de otimizar o uso de equipamentos e evitar a duplicação de esforços e financiamento.</w:t>
      </w:r>
    </w:p>
    <w:p w:rsidR="00AA7B7B" w:rsidRPr="00AA7B7B" w:rsidRDefault="00AA7B7B" w:rsidP="00AA7B7B">
      <w:pPr>
        <w:spacing w:after="0" w:line="240" w:lineRule="auto"/>
        <w:ind w:left="709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ind w:left="709"/>
        <w:jc w:val="both"/>
        <w:rPr>
          <w:sz w:val="24"/>
          <w:szCs w:val="24"/>
        </w:rPr>
      </w:pPr>
      <w:r w:rsidRPr="00AA7B7B">
        <w:rPr>
          <w:sz w:val="24"/>
          <w:szCs w:val="24"/>
        </w:rPr>
        <w:t>1.1.2. Capacitação de profissionais: Trabalharão conjuntamente no fomento de talentos e qualificação dos recursos humanos, com o objetivo de garantir a soberania tecnológica desde o desenvolvimento de novas tecnologias até o processamento e uso de dados.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>1.2.  Computação de alto desempenho: Será reforçada a cooperação em infraestruturas de computação de alto desempenho para o desenvolvimento e treinamento de modelos de IA, entre outras aplicações, inclusive na pesquisa científica, permitindo o acesso compartilhado a recursos computacionais.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>1.3. Modelo de IA latino-americano: Os Signatários trabalharão juntos para a criação de sistemas de inteligência artificial, inclusive a construção de modelos de linguagem que sejam compatíveis com suas prioridades, circunstâncias e particularidades e que ofereçam modelos para desenvolvimento em nível regional, com foco na inclusão dos diversos idiomas e expressões culturais da América Latina.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 xml:space="preserve"> 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A7B7B">
        <w:rPr>
          <w:b/>
          <w:bCs/>
          <w:sz w:val="24"/>
          <w:szCs w:val="24"/>
        </w:rPr>
        <w:t>SEÇÃO 2: FINANCIAMENTO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>2.1. O financiamento de todas as atividades no âmbito do presente Memorando estará sujeito à disponibilidade orçamentária dos Signatários e será concedido de acordo com suas respectivas leis organizacionais e em conformidade com a legislação nacional de seus Estados.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 xml:space="preserve">2.2. Não haverá transferência de recursos financeiros entre os Signatários no âmbito deste </w:t>
      </w:r>
      <w:proofErr w:type="spellStart"/>
      <w:r w:rsidRPr="00AA7B7B">
        <w:rPr>
          <w:sz w:val="24"/>
          <w:szCs w:val="24"/>
        </w:rPr>
        <w:t>MdE</w:t>
      </w:r>
      <w:proofErr w:type="spellEnd"/>
      <w:r w:rsidRPr="00AA7B7B">
        <w:rPr>
          <w:sz w:val="24"/>
          <w:szCs w:val="24"/>
        </w:rPr>
        <w:t>.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>2.3. Os Signatários financiarão os respectivos custos incorridos para a implementação deste Memorando de Entendimento.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 xml:space="preserve"> 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A7B7B">
        <w:rPr>
          <w:b/>
          <w:bCs/>
          <w:sz w:val="24"/>
          <w:szCs w:val="24"/>
        </w:rPr>
        <w:t>SEÇÃO 3: RESOLUÇÃO DE CONTROVÉRSIAS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>3.1. Ao implementar esta cooperação, os Signatários se comprometem a respeitar a legislação internacional aplicável e as respectivas legislações nacionais.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>3.2. Qualquer controvérsia decorrente da interpretação ou aplicação deste Memorando será resolvida pronta e amigavelmente entre os Signatários.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>3.3. Este Memorando não é juridicamente vinculante e não pretende criar direitos ou obrigações sob o direito internacional.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 xml:space="preserve"> 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A7B7B">
        <w:rPr>
          <w:b/>
          <w:bCs/>
          <w:sz w:val="24"/>
          <w:szCs w:val="24"/>
        </w:rPr>
        <w:t>SEÇÃO 4: DISPOSIÇÕES FINAIS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>4.1. Este Memorando de Entendimento tem caráter não vinculante e entrará em vigor a partir da data de sua assinatura por ambos os Signatários.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 xml:space="preserve">4.2. O uso dos resultados das pesquisas e seus direitos de propriedade intelectual e industrial provenientes de tais atividades de cooperação no âmbito do presente </w:t>
      </w:r>
      <w:proofErr w:type="spellStart"/>
      <w:r w:rsidRPr="00AA7B7B">
        <w:rPr>
          <w:sz w:val="24"/>
          <w:szCs w:val="24"/>
        </w:rPr>
        <w:t>MdE</w:t>
      </w:r>
      <w:proofErr w:type="spellEnd"/>
      <w:r w:rsidRPr="00AA7B7B">
        <w:rPr>
          <w:sz w:val="24"/>
          <w:szCs w:val="24"/>
        </w:rPr>
        <w:t xml:space="preserve"> será acordado caso a caso pelos participantes de tais atividades de cooperação, em conformidade com a prática internacional e os princípios de igualdade de direitos e responsabilidades e de intercâmbio dos resultados das pesquisas.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>4.3. A informação confidencial obtida dos projetos de pesquisa, desenvolvimento e inovação (PD&amp;I) no âmbito deste Memorando de Entendimento não será transmitida a terceiros sem o consentimento por escrito do outro Signatário, de acordo com as leis e procedimentos de cada Signatário.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>4.4. Um Signatário poderá terminar este Memorando de Entendimento mediante notificação por escrito ao outro Signatário com seis (6) meses de antecedência.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>4.5. Os Signatários poderão alterar este Memorando de Entendimento mediante consentimento mútuo por escrito.</w:t>
      </w:r>
    </w:p>
    <w:p w:rsid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>4.6. O término deste Memorando de Entendimento não afetará os projetos e programas que estejam sendo executados no âmbito do presente instrumento e que não estejam completamente concluídos no momento do término, a menos que os Signatários decidam conjuntamente.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 xml:space="preserve"> 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>Assinado</w:t>
      </w:r>
      <w:r w:rsidR="00E800B4" w:rsidRPr="00E800B4">
        <w:rPr>
          <w:sz w:val="24"/>
          <w:szCs w:val="24"/>
        </w:rPr>
        <w:t xml:space="preserve"> </w:t>
      </w:r>
      <w:r w:rsidR="00E800B4" w:rsidRPr="00F85A25">
        <w:rPr>
          <w:sz w:val="24"/>
          <w:szCs w:val="24"/>
        </w:rPr>
        <w:t xml:space="preserve">em </w:t>
      </w:r>
      <w:r w:rsidR="00E800B4">
        <w:rPr>
          <w:sz w:val="24"/>
          <w:szCs w:val="24"/>
        </w:rPr>
        <w:t>Brasília</w:t>
      </w:r>
      <w:r w:rsidR="00E800B4" w:rsidRPr="00F85A25">
        <w:rPr>
          <w:sz w:val="24"/>
          <w:szCs w:val="24"/>
        </w:rPr>
        <w:t>, no dia 18 de agosto</w:t>
      </w:r>
      <w:r w:rsidR="00E800B4">
        <w:rPr>
          <w:sz w:val="24"/>
          <w:szCs w:val="24"/>
        </w:rPr>
        <w:t xml:space="preserve"> de 2025,</w:t>
      </w:r>
      <w:r w:rsidRPr="00AA7B7B">
        <w:rPr>
          <w:sz w:val="24"/>
          <w:szCs w:val="24"/>
        </w:rPr>
        <w:t xml:space="preserve"> em dois exemplares, em português e espanhol, ambos igualmente válidos.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 xml:space="preserve"> 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70"/>
      </w:tblGrid>
      <w:tr w:rsidR="00AA7B7B" w:rsidTr="00AA7B7B">
        <w:tc>
          <w:tcPr>
            <w:tcW w:w="4390" w:type="dxa"/>
          </w:tcPr>
          <w:p w:rsidR="00AA7B7B" w:rsidRPr="00AA7B7B" w:rsidRDefault="00AA7B7B" w:rsidP="00AA7B7B">
            <w:pPr>
              <w:jc w:val="center"/>
              <w:rPr>
                <w:b/>
                <w:bCs/>
                <w:sz w:val="24"/>
                <w:szCs w:val="24"/>
              </w:rPr>
            </w:pPr>
            <w:r w:rsidRPr="00AA7B7B">
              <w:rPr>
                <w:b/>
                <w:bCs/>
                <w:sz w:val="24"/>
                <w:szCs w:val="24"/>
              </w:rPr>
              <w:t>PELO MINISTÉRIO DA CIÊNCIA, TECNOLOGIA E INOVAÇÃO DA REPÚBLICA FEDERATIVA DO BRASIL</w:t>
            </w:r>
          </w:p>
          <w:p w:rsidR="00AA7B7B" w:rsidRPr="00AA7B7B" w:rsidRDefault="00AA7B7B" w:rsidP="00AA7B7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A7B7B" w:rsidRPr="00AA7B7B" w:rsidRDefault="00AA7B7B" w:rsidP="00AA7B7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A7B7B" w:rsidRPr="00AA7B7B" w:rsidRDefault="00AA7B7B" w:rsidP="00AA7B7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A7B7B" w:rsidRPr="00AA7B7B" w:rsidRDefault="00AA7B7B" w:rsidP="00AA7B7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A7B7B" w:rsidRPr="00AA7B7B" w:rsidRDefault="00AA7B7B" w:rsidP="00AA7B7B">
            <w:pPr>
              <w:pBdr>
                <w:bottom w:val="single" w:sz="12" w:space="1" w:color="auto"/>
              </w:pBdr>
              <w:jc w:val="center"/>
              <w:rPr>
                <w:b/>
                <w:bCs/>
                <w:sz w:val="24"/>
                <w:szCs w:val="24"/>
              </w:rPr>
            </w:pPr>
          </w:p>
          <w:p w:rsidR="00AA7B7B" w:rsidRPr="00D27B21" w:rsidRDefault="00AA7B7B" w:rsidP="00680F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0" w:type="dxa"/>
          </w:tcPr>
          <w:p w:rsidR="00AA7B7B" w:rsidRPr="00AA7B7B" w:rsidRDefault="00AA7B7B" w:rsidP="00AA7B7B">
            <w:pPr>
              <w:jc w:val="center"/>
              <w:rPr>
                <w:b/>
                <w:bCs/>
                <w:sz w:val="24"/>
                <w:szCs w:val="24"/>
              </w:rPr>
            </w:pPr>
            <w:r w:rsidRPr="00AA7B7B">
              <w:rPr>
                <w:b/>
                <w:bCs/>
                <w:sz w:val="24"/>
                <w:szCs w:val="24"/>
              </w:rPr>
              <w:t>PELO MINISTÉRIO DAS TELECOMUNICAÇÕES E DA SOCIEDADE DA INFORMAÇÃO DA REPÚBLICA DO EQUADOR</w:t>
            </w:r>
          </w:p>
          <w:p w:rsidR="00AA7B7B" w:rsidRDefault="00AA7B7B" w:rsidP="00AA7B7B">
            <w:pPr>
              <w:jc w:val="center"/>
              <w:rPr>
                <w:b/>
                <w:bCs/>
                <w:sz w:val="24"/>
                <w:szCs w:val="24"/>
                <w:lang w:val="es-419"/>
              </w:rPr>
            </w:pPr>
          </w:p>
          <w:p w:rsidR="00AA7B7B" w:rsidRPr="00AA7B7B" w:rsidRDefault="00AA7B7B" w:rsidP="00AA7B7B">
            <w:pPr>
              <w:jc w:val="center"/>
              <w:rPr>
                <w:b/>
                <w:bCs/>
                <w:sz w:val="24"/>
                <w:szCs w:val="24"/>
                <w:lang w:val="es-419"/>
              </w:rPr>
            </w:pPr>
          </w:p>
          <w:p w:rsidR="00AA7B7B" w:rsidRPr="00AA7B7B" w:rsidRDefault="00AA7B7B" w:rsidP="00AA7B7B">
            <w:pPr>
              <w:jc w:val="center"/>
              <w:rPr>
                <w:b/>
                <w:bCs/>
                <w:sz w:val="24"/>
                <w:szCs w:val="24"/>
                <w:lang w:val="es-419"/>
              </w:rPr>
            </w:pPr>
          </w:p>
          <w:p w:rsidR="00AA7B7B" w:rsidRPr="00AA7B7B" w:rsidRDefault="00AA7B7B" w:rsidP="00AA7B7B">
            <w:pPr>
              <w:jc w:val="center"/>
              <w:rPr>
                <w:b/>
                <w:bCs/>
                <w:sz w:val="24"/>
                <w:szCs w:val="24"/>
                <w:lang w:val="es-419"/>
              </w:rPr>
            </w:pPr>
          </w:p>
          <w:p w:rsidR="00AA7B7B" w:rsidRPr="00AA7B7B" w:rsidRDefault="00AA7B7B" w:rsidP="00AA7B7B">
            <w:pPr>
              <w:pBdr>
                <w:bottom w:val="single" w:sz="12" w:space="1" w:color="auto"/>
              </w:pBdr>
              <w:jc w:val="center"/>
              <w:rPr>
                <w:b/>
                <w:bCs/>
                <w:sz w:val="24"/>
                <w:szCs w:val="24"/>
                <w:lang w:val="es-419"/>
              </w:rPr>
            </w:pPr>
          </w:p>
          <w:p w:rsidR="00AA7B7B" w:rsidRPr="00AA7B7B" w:rsidRDefault="00AA7B7B" w:rsidP="00D27B21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 xml:space="preserve"> 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 xml:space="preserve"> 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ab/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 xml:space="preserve"> 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 xml:space="preserve"> 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  <w:r w:rsidRPr="00AA7B7B">
        <w:rPr>
          <w:sz w:val="24"/>
          <w:szCs w:val="24"/>
        </w:rPr>
        <w:t xml:space="preserve"> </w:t>
      </w:r>
    </w:p>
    <w:p w:rsidR="00AA7B7B" w:rsidRPr="00AA7B7B" w:rsidRDefault="00AA7B7B" w:rsidP="00AA7B7B">
      <w:pPr>
        <w:spacing w:after="0" w:line="240" w:lineRule="auto"/>
        <w:jc w:val="both"/>
        <w:rPr>
          <w:sz w:val="24"/>
          <w:szCs w:val="24"/>
        </w:rPr>
      </w:pPr>
    </w:p>
    <w:p w:rsidR="00AA7B7B" w:rsidRPr="00AA7B7B" w:rsidRDefault="00AA7B7B">
      <w:pPr>
        <w:spacing w:after="0" w:line="240" w:lineRule="auto"/>
        <w:jc w:val="both"/>
        <w:rPr>
          <w:sz w:val="24"/>
          <w:szCs w:val="24"/>
        </w:rPr>
      </w:pPr>
    </w:p>
    <w:sectPr w:rsidR="00AA7B7B" w:rsidRPr="00AA7B7B" w:rsidSect="00AA7B7B">
      <w:pgSz w:w="11906" w:h="16838"/>
      <w:pgMar w:top="3119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41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7B"/>
    <w:rsid w:val="0036037B"/>
    <w:rsid w:val="003D3790"/>
    <w:rsid w:val="00636ED0"/>
    <w:rsid w:val="00656CD8"/>
    <w:rsid w:val="00680F52"/>
    <w:rsid w:val="00AA7B7B"/>
    <w:rsid w:val="00D27B21"/>
    <w:rsid w:val="00E8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FFBDD-2BC2-4E4A-BFC0-21B48A1E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A7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8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966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Jesus Germano Cunha e Gomes</cp:lastModifiedBy>
  <cp:revision>4</cp:revision>
  <cp:lastPrinted>2025-08-15T22:15:00Z</cp:lastPrinted>
  <dcterms:created xsi:type="dcterms:W3CDTF">2025-08-15T21:59:00Z</dcterms:created>
  <dcterms:modified xsi:type="dcterms:W3CDTF">2025-08-18T12:32:00Z</dcterms:modified>
</cp:coreProperties>
</file>