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39" w:rsidRPr="00F74A39" w:rsidRDefault="00F74A39" w:rsidP="00C91DEA">
      <w:pPr>
        <w:spacing w:after="0" w:line="240" w:lineRule="auto"/>
        <w:jc w:val="center"/>
        <w:rPr>
          <w:b/>
          <w:bCs/>
          <w:sz w:val="24"/>
          <w:szCs w:val="24"/>
          <w:lang w:val="es-419"/>
        </w:rPr>
      </w:pPr>
      <w:r w:rsidRPr="00F74A39">
        <w:rPr>
          <w:b/>
          <w:bCs/>
          <w:sz w:val="24"/>
          <w:szCs w:val="24"/>
          <w:lang w:val="es-419"/>
        </w:rPr>
        <w:t>MEMORANDO DE ENTENDIMIENTO ENTRE EL MINISTERIO DE CIENCIA, TECNOLOGÍA E INNOVACIÓN DE LA REPÚBLICA FEDERATIVA DEL BRASIL Y EL MINISTERIO DE TELECOMUNICACIONES Y DE LA SOCIEDAD DE LA INFORMACIÓN DE LA REPÚBLICA DEL ECUADOR SOBRE COOPERACIÓN EN INTELIGENCIA ARTIFICIAL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El Ministerio de Ciencia, Tecnología e Innovación de la República Federativa del Brasil (MCTI) y el Ministerio de Telecomunicaciones y de la Sociedad de la Información (MINTEL) de la República del Ecuador, en adelante denominados "los Signatarios":</w:t>
      </w:r>
    </w:p>
    <w:p w:rsid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Reafirmando los lazos históricos de amistad y cooperación que unen a Ecuador y Brasil, así como el compromiso compartido con el desarrollo tecnológico y la innovación;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Recordando el Acuerdo Básico de Cooperación Científica y Tecnológica entre el Gobierno de la República Federativa de Brasil y la República del Ecuador, con efectos desde el 4 de enero de 1985;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Reconociendo la importancia estratégica de la Inteligencia Artificial (IA) como propulsor de transformación económica y social, y la necesidad de promover su desarrollo de manera inclusiva, ética y centrada en el ser humano, con una perspectiva orientada al desarrollo, a la sostenibilidad y al bienestar de los ciudadanos;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Reconociendo, también, los potenciales impactos de la IA en el trabajo, y la correspondiente necesidad de mecanismos de adaptación de los trabajadores a la nueva realidad tecnológica resultante del avance tecnológico;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Considerando las iniciativas bilaterales desarrolladas en esta materia, con el objetivo de fomentar la innovación, la competitividad y el crecimiento sostenible, de las cuales son ejemplos la Agenda Digital Integral y el Plan Brasileño de Inteligencia Artificial (PBIA);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Teniendo en cuenta la creación del Grupo de Trabajo sobre ética de la IA en ALC, tras la realización de las Cumbres de América Latina y el Caribe sobre Inteligencia Artificial, en Santiago de Chile (2023) y Montevideo (2024), como espacio de articulación y colaboración regional;</w:t>
      </w:r>
    </w:p>
    <w:p w:rsid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="00F74A39" w:rsidRPr="00F74A39">
        <w:rPr>
          <w:sz w:val="24"/>
          <w:szCs w:val="24"/>
          <w:lang w:val="es-419"/>
        </w:rPr>
        <w:t>Han acordado lo siguiente: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C91DEA" w:rsidRDefault="00F74A39" w:rsidP="00C91DEA">
      <w:pPr>
        <w:spacing w:after="0" w:line="240" w:lineRule="auto"/>
        <w:jc w:val="center"/>
        <w:rPr>
          <w:b/>
          <w:bCs/>
          <w:sz w:val="24"/>
          <w:szCs w:val="24"/>
          <w:lang w:val="es-419"/>
        </w:rPr>
      </w:pPr>
      <w:r w:rsidRPr="00C91DEA">
        <w:rPr>
          <w:b/>
          <w:bCs/>
          <w:sz w:val="24"/>
          <w:szCs w:val="24"/>
          <w:lang w:val="es-419"/>
        </w:rPr>
        <w:t>SECCIÓN 1: ÁREAS Y MODALIDADES DE COOPERACIÓN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1.1. Fortalecimiento de capacidades binacionales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C91DEA">
      <w:pPr>
        <w:spacing w:after="0" w:line="240" w:lineRule="auto"/>
        <w:ind w:left="709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1.1.1. Cooperación académica y científica, e intercambio entre redes: Los Signatarios fomentarán la colaboración entre universidades, centros de investigación, empresas tecnológicas y </w:t>
      </w:r>
      <w:proofErr w:type="spellStart"/>
      <w:r w:rsidRPr="00F74A39">
        <w:rPr>
          <w:sz w:val="24"/>
          <w:szCs w:val="24"/>
          <w:lang w:val="es-419"/>
        </w:rPr>
        <w:t>startups</w:t>
      </w:r>
      <w:proofErr w:type="spellEnd"/>
      <w:r w:rsidRPr="00F74A39">
        <w:rPr>
          <w:sz w:val="24"/>
          <w:szCs w:val="24"/>
          <w:lang w:val="es-419"/>
        </w:rPr>
        <w:t xml:space="preserve"> en el campo de la IA, promoviendo proyectos conjuntos, el intercambio de investigadores y estudiantes, y la realización de eventos académicos y científicos, así mismo compartirán las infraestructuras de investigación y desarrollo, como también la conectividad por medio de la </w:t>
      </w:r>
      <w:proofErr w:type="spellStart"/>
      <w:r w:rsidRPr="00F74A39">
        <w:rPr>
          <w:sz w:val="24"/>
          <w:szCs w:val="24"/>
          <w:lang w:val="es-419"/>
        </w:rPr>
        <w:t>RedCLARA</w:t>
      </w:r>
      <w:proofErr w:type="spellEnd"/>
      <w:r w:rsidRPr="00F74A39">
        <w:rPr>
          <w:sz w:val="24"/>
          <w:szCs w:val="24"/>
          <w:lang w:val="es-419"/>
        </w:rPr>
        <w:t>, con el fin de optimizar el uso de los equipos y evitar la duplicación de esfuerzos y financiamiento.</w:t>
      </w:r>
    </w:p>
    <w:p w:rsidR="00F74A39" w:rsidRPr="00F74A39" w:rsidRDefault="00F74A39" w:rsidP="00C91DEA">
      <w:pPr>
        <w:spacing w:after="0" w:line="240" w:lineRule="auto"/>
        <w:ind w:left="709"/>
        <w:jc w:val="both"/>
        <w:rPr>
          <w:sz w:val="24"/>
          <w:szCs w:val="24"/>
          <w:lang w:val="es-419"/>
        </w:rPr>
      </w:pPr>
    </w:p>
    <w:p w:rsidR="00F74A39" w:rsidRPr="00F74A39" w:rsidRDefault="00F74A39" w:rsidP="00C91DEA">
      <w:pPr>
        <w:spacing w:after="0" w:line="240" w:lineRule="auto"/>
        <w:ind w:left="709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1.1.2. Capacitación de profesionales: Se trabajará conjuntamente en el fomento de talentos y calificación de recursos humanos, con el objetivo de garantizar la soberanía tecnológica desde el desarrollo de nuevas tecnologías al tratamiento y uso de dados.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1.2.  Computación de alto rendimiento: Se fortalecerá la cooperación en infraestructuras de computación de alto rendimiento para el desarrollo y entrenamiento de modelos de IA, entre otras aplicaciones, incluso en la investigación científica, permitiendo el acceso compartido a recursos computacionales.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1.3.  Modelo de IA latinoamericano: Los Signatarios trabajarán juntos con miras a la creación de sistemas de inteligencia artificial, incluso la construcción de modelos de lenguaje que sean compatibles con sus prioridades, circunstancias y particularidades y ofrezcan modelos para desarrollo a nivel regional, con enfoque en la inclusión de los diversos idiomas y expresiones culturales de América Latina.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C91DEA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C91DEA" w:rsidRDefault="00F74A39" w:rsidP="00C91DEA">
      <w:pPr>
        <w:spacing w:after="0" w:line="240" w:lineRule="auto"/>
        <w:jc w:val="center"/>
        <w:rPr>
          <w:b/>
          <w:bCs/>
          <w:sz w:val="24"/>
          <w:szCs w:val="24"/>
          <w:lang w:val="es-419"/>
        </w:rPr>
      </w:pPr>
      <w:r w:rsidRPr="00C91DEA">
        <w:rPr>
          <w:b/>
          <w:bCs/>
          <w:sz w:val="24"/>
          <w:szCs w:val="24"/>
          <w:lang w:val="es-419"/>
        </w:rPr>
        <w:t>SECCIÓN 2: FINANCIACIÓN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2.1. El financiamiento de todas las actividades en el marco del presente Memorando estará sujeto a la disponibilidad presupuestaria de los Signatarios y se concederá de acuerdo a sus respectivas leyes organizativas y de conformidad con la legislación nacional de sus Estados.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2.2. No habrá transferencia de recursos financieros entre los Signatarios en el marco de este </w:t>
      </w:r>
      <w:proofErr w:type="spellStart"/>
      <w:r w:rsidRPr="00F74A39">
        <w:rPr>
          <w:sz w:val="24"/>
          <w:szCs w:val="24"/>
          <w:lang w:val="es-419"/>
        </w:rPr>
        <w:t>MdE</w:t>
      </w:r>
      <w:proofErr w:type="spellEnd"/>
      <w:r w:rsidRPr="00F74A39">
        <w:rPr>
          <w:sz w:val="24"/>
          <w:szCs w:val="24"/>
          <w:lang w:val="es-419"/>
        </w:rPr>
        <w:t>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2.3. Los Signatarios financiarán los respectivos costos incurridos para la implementación de este Memorando de Entendimiento.</w:t>
      </w:r>
    </w:p>
    <w:p w:rsid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C91DEA" w:rsidRDefault="00F74A39" w:rsidP="00C91DEA">
      <w:pPr>
        <w:spacing w:after="0" w:line="240" w:lineRule="auto"/>
        <w:jc w:val="center"/>
        <w:rPr>
          <w:b/>
          <w:bCs/>
          <w:sz w:val="24"/>
          <w:szCs w:val="24"/>
          <w:lang w:val="es-419"/>
        </w:rPr>
      </w:pPr>
      <w:r w:rsidRPr="00C91DEA">
        <w:rPr>
          <w:b/>
          <w:bCs/>
          <w:sz w:val="24"/>
          <w:szCs w:val="24"/>
          <w:lang w:val="es-419"/>
        </w:rPr>
        <w:t>SECCIÓN 3: SOLUCIÓN DE CONTROVERSIAS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3.1. Al implementar esta cooperación, los Signatarios se comprometen a respetar la legislación internacional aplicable y sus respectivas legislaciones nacionales.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3.2. Cualquier controversia que surja de la interpretación o aplicación del presente Memorando se resolverá rápida y amistosamente entre los Signatarios.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3.3. El presente Memorando no es jurídicamente vinculante y no pretende crear derechos u obligaciones en el derecho internacional.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C91DEA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C91DEA" w:rsidRDefault="00F74A39" w:rsidP="00C91DEA">
      <w:pPr>
        <w:spacing w:after="0" w:line="240" w:lineRule="auto"/>
        <w:jc w:val="center"/>
        <w:rPr>
          <w:b/>
          <w:bCs/>
          <w:sz w:val="24"/>
          <w:szCs w:val="24"/>
          <w:lang w:val="es-419"/>
        </w:rPr>
      </w:pPr>
      <w:r w:rsidRPr="00C91DEA">
        <w:rPr>
          <w:b/>
          <w:bCs/>
          <w:sz w:val="24"/>
          <w:szCs w:val="24"/>
          <w:lang w:val="es-419"/>
        </w:rPr>
        <w:t>SECCIÓN 4: DISPOSICIONES FINALES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4.1. Este Memorando de Entendimiento tiene carácter no vinculante y entrará en vigor a partir de la fecha de su firma por ambos Signatarios.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4.2. La utilización de los resultados de las investigaciones y sus derechos de propiedad intelectual e industrial procedentes de tales actividades de cooperación en el marco del presente </w:t>
      </w:r>
      <w:proofErr w:type="spellStart"/>
      <w:r w:rsidRPr="00F74A39">
        <w:rPr>
          <w:sz w:val="24"/>
          <w:szCs w:val="24"/>
          <w:lang w:val="es-419"/>
        </w:rPr>
        <w:t>MdE</w:t>
      </w:r>
      <w:proofErr w:type="spellEnd"/>
      <w:r w:rsidRPr="00F74A39">
        <w:rPr>
          <w:sz w:val="24"/>
          <w:szCs w:val="24"/>
          <w:lang w:val="es-419"/>
        </w:rPr>
        <w:t xml:space="preserve"> será acordada, caso por caso, por los participantes en dichas actividades de cooperación, de conformidad con la práctica internacional y los principios de igualdad de derechos y responsabilidades, y de intercambio de los resultados de las investigaciones.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4.3. La información confidencial obtenida de los proyectos de investigación, desarrollo e innovación (I+D+I) en virtud de este Memorando de Entendimiento no se transmitirá a terceros sin el consentimiento por escrito del otro Signatario, de acuerdo a las leyes y procedimientos de cada Signatario.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4.4. Un Signatario podrá terminar el presente Memorando de Entendimiento mediante notificación por escrito al otro Signatario con seis (6) meses de antelación.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4.5. Los Signatarios podrán modificar el presente Memorando de Entendimiento mediante consentimiento mutuo por escrito.</w:t>
      </w:r>
    </w:p>
    <w:p w:rsid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C91DEA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4.6. La terminación del presente Memorando de Entendimiento no afectará a los proyectos y programas que se estén ejecutando en el marco del presente instrumento y que no estén completamente concluidos en el momento de su terminación, a menos que los Signatarios lo decidan conjuntamente.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>Firmado</w:t>
      </w:r>
      <w:r w:rsidR="00503573" w:rsidRPr="00503573">
        <w:rPr>
          <w:sz w:val="24"/>
          <w:szCs w:val="24"/>
          <w:lang w:val="es-419"/>
        </w:rPr>
        <w:t xml:space="preserve"> </w:t>
      </w:r>
      <w:r w:rsidR="00503573" w:rsidRPr="00625E61">
        <w:rPr>
          <w:sz w:val="24"/>
          <w:szCs w:val="24"/>
          <w:lang w:val="es-419"/>
        </w:rPr>
        <w:t>en Brasil</w:t>
      </w:r>
      <w:r w:rsidR="00503573">
        <w:rPr>
          <w:sz w:val="24"/>
          <w:szCs w:val="24"/>
          <w:lang w:val="es-419"/>
        </w:rPr>
        <w:t>ia</w:t>
      </w:r>
      <w:r w:rsidR="00503573" w:rsidRPr="00625E61">
        <w:rPr>
          <w:sz w:val="24"/>
          <w:szCs w:val="24"/>
          <w:lang w:val="es-419"/>
        </w:rPr>
        <w:t xml:space="preserve">, el 18 </w:t>
      </w:r>
      <w:r w:rsidR="00503573">
        <w:rPr>
          <w:sz w:val="24"/>
          <w:szCs w:val="24"/>
          <w:lang w:val="es-419"/>
        </w:rPr>
        <w:t>de agosto de 2025,</w:t>
      </w:r>
      <w:r w:rsidRPr="00F74A39">
        <w:rPr>
          <w:sz w:val="24"/>
          <w:szCs w:val="24"/>
          <w:lang w:val="es-419"/>
        </w:rPr>
        <w:t xml:space="preserve"> en dos ejemplares, en los idiomas portugués y español, ambos igualmente válidos.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C91DEA" w:rsidRPr="00F74A39" w:rsidRDefault="00C91DEA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91DEA" w:rsidTr="00C91DEA">
        <w:tc>
          <w:tcPr>
            <w:tcW w:w="4530" w:type="dxa"/>
          </w:tcPr>
          <w:p w:rsidR="00C91DEA" w:rsidRP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  <w:r w:rsidRPr="00C91DEA">
              <w:rPr>
                <w:b/>
                <w:bCs/>
                <w:sz w:val="24"/>
                <w:szCs w:val="24"/>
                <w:lang w:val="es-419"/>
              </w:rPr>
              <w:t>POR EL MINISTERIO DE CIENCIA, TECNOLOGÍA E INNOVACIÓN DE LA REPÚBLICA FEDERATIVA DEL BRASIL</w:t>
            </w:r>
          </w:p>
          <w:p w:rsid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Default="00C91DEA" w:rsidP="00C91DEA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641BCA" w:rsidRPr="00641BCA" w:rsidRDefault="00641BCA" w:rsidP="00C91DEA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4530" w:type="dxa"/>
          </w:tcPr>
          <w:p w:rsidR="00C91DEA" w:rsidRP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  <w:r w:rsidRPr="00C91DEA">
              <w:rPr>
                <w:b/>
                <w:bCs/>
                <w:sz w:val="24"/>
                <w:szCs w:val="24"/>
                <w:lang w:val="es-419"/>
              </w:rPr>
              <w:t>POR EL MINISTERIO DE TELECOMUNICACIONES Y DE LA SOCIEDAD DE LA INFORMACIÓN DE LA REPÚBLICA DEL ECUADOR</w:t>
            </w:r>
          </w:p>
          <w:p w:rsidR="00C91DEA" w:rsidRP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P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Pr="00C91DEA" w:rsidRDefault="00C91DEA" w:rsidP="00C91DEA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Pr="00C91DEA" w:rsidRDefault="00C91DEA" w:rsidP="00C91DEA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C91DEA" w:rsidRPr="00C91DEA" w:rsidRDefault="00C91DEA" w:rsidP="00085EA3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  <w:bookmarkStart w:id="0" w:name="_GoBack"/>
            <w:bookmarkEnd w:id="0"/>
          </w:p>
        </w:tc>
      </w:tr>
    </w:tbl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ab/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  <w:r w:rsidRPr="00F74A39">
        <w:rPr>
          <w:sz w:val="24"/>
          <w:szCs w:val="24"/>
          <w:lang w:val="es-419"/>
        </w:rPr>
        <w:t xml:space="preserve"> </w:t>
      </w: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F74A39" w:rsidRPr="00F74A39" w:rsidRDefault="00F74A39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p w:rsidR="003D3790" w:rsidRPr="00F74A39" w:rsidRDefault="003D3790" w:rsidP="00F74A39">
      <w:pPr>
        <w:spacing w:after="0" w:line="240" w:lineRule="auto"/>
        <w:jc w:val="both"/>
        <w:rPr>
          <w:sz w:val="24"/>
          <w:szCs w:val="24"/>
          <w:lang w:val="es-419"/>
        </w:rPr>
      </w:pPr>
    </w:p>
    <w:sectPr w:rsidR="003D3790" w:rsidRPr="00F74A39" w:rsidSect="00C91DEA"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39"/>
    <w:rsid w:val="00085EA3"/>
    <w:rsid w:val="001E398E"/>
    <w:rsid w:val="0036037B"/>
    <w:rsid w:val="003D3790"/>
    <w:rsid w:val="00503573"/>
    <w:rsid w:val="00636ED0"/>
    <w:rsid w:val="00641BCA"/>
    <w:rsid w:val="00656CD8"/>
    <w:rsid w:val="00BE5FD4"/>
    <w:rsid w:val="00C91DEA"/>
    <w:rsid w:val="00F7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D1550-9A01-4B41-8EB7-7080525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Jesus Germano Cunha e Gomes</cp:lastModifiedBy>
  <cp:revision>7</cp:revision>
  <cp:lastPrinted>2025-08-15T22:15:00Z</cp:lastPrinted>
  <dcterms:created xsi:type="dcterms:W3CDTF">2025-08-15T21:53:00Z</dcterms:created>
  <dcterms:modified xsi:type="dcterms:W3CDTF">2025-08-18T12:32:00Z</dcterms:modified>
</cp:coreProperties>
</file>