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387485">
        <w:rPr>
          <w:rFonts w:ascii="Arial" w:hAnsi="Arial" w:cs="Arial"/>
          <w:b/>
          <w:bCs/>
          <w:color w:val="000080"/>
        </w:rPr>
        <w:t>1</w:t>
      </w:r>
      <w:r w:rsidR="00105AB2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105AB2">
        <w:rPr>
          <w:rFonts w:ascii="Arial" w:hAnsi="Arial" w:cs="Arial"/>
          <w:b/>
          <w:bCs/>
          <w:color w:val="000080"/>
        </w:rPr>
        <w:t>20</w:t>
      </w:r>
      <w:r>
        <w:rPr>
          <w:rFonts w:ascii="Arial" w:hAnsi="Arial" w:cs="Arial"/>
          <w:b/>
          <w:bCs/>
          <w:color w:val="000080"/>
        </w:rPr>
        <w:t xml:space="preserve"> DE </w:t>
      </w:r>
      <w:r w:rsidR="00A67D1E">
        <w:rPr>
          <w:rFonts w:ascii="Arial" w:hAnsi="Arial" w:cs="Arial"/>
          <w:b/>
          <w:bCs/>
          <w:color w:val="000080"/>
        </w:rPr>
        <w:t xml:space="preserve">JULHO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105AB2" w:rsidRPr="00211A5E" w:rsidRDefault="00105AB2" w:rsidP="00105A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b/>
          <w:bCs/>
          <w:color w:val="000000"/>
        </w:rPr>
        <w:t>O SECRETÁRIO DE PLANEJAMENTO E DESENVOLVIMENTO ENERGÉTICO DO MINISTÉRIO DE MINAS E ENERGIA</w:t>
      </w:r>
      <w:r w:rsidRPr="00211A5E">
        <w:rPr>
          <w:rFonts w:ascii="Arial" w:hAnsi="Arial" w:cs="Arial"/>
          <w:color w:val="000000"/>
        </w:rPr>
        <w:t>, no uso da competência que lhe foi delegada pelo art. 1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, inciso I, da Portaria MME </w:t>
      </w:r>
      <w:proofErr w:type="gramStart"/>
      <w:r w:rsidRPr="00211A5E">
        <w:rPr>
          <w:rFonts w:ascii="Arial" w:hAnsi="Arial" w:cs="Arial"/>
          <w:color w:val="000000"/>
        </w:rPr>
        <w:t>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281</w:t>
      </w:r>
      <w:proofErr w:type="gramEnd"/>
      <w:r w:rsidRPr="00211A5E">
        <w:rPr>
          <w:rFonts w:ascii="Arial" w:hAnsi="Arial" w:cs="Arial"/>
          <w:color w:val="000000"/>
        </w:rPr>
        <w:t>, de 29 de junho de 2016, tendo em vista o disposto no art. 6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do Decreto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6.144, de 3 de julho de 2007, no art. 4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>, da Portaria MME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310, de 12 de setembro de 2013, e o que consta do Processo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</w:t>
      </w:r>
      <w:r w:rsidRPr="00211A5E">
        <w:rPr>
          <w:rFonts w:ascii="Arial" w:hAnsi="Arial" w:cs="Arial"/>
          <w:noProof/>
          <w:color w:val="000000"/>
        </w:rPr>
        <w:t>48500.003912/2015-13</w:t>
      </w:r>
      <w:r w:rsidRPr="00211A5E">
        <w:rPr>
          <w:rFonts w:ascii="Arial" w:hAnsi="Arial" w:cs="Arial"/>
          <w:color w:val="000000"/>
        </w:rPr>
        <w:t>, resolve:</w:t>
      </w:r>
    </w:p>
    <w:p w:rsidR="00105AB2" w:rsidRPr="00211A5E" w:rsidRDefault="00105AB2" w:rsidP="00105AB2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color w:val="000000"/>
        </w:rPr>
      </w:pPr>
    </w:p>
    <w:p w:rsidR="00105AB2" w:rsidRPr="00211A5E" w:rsidRDefault="00105AB2" w:rsidP="00105AB2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1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Aprovar o enquadramento no Regime Especial de Incentivos para o Desenvolvimento da Infraestrutura - REIDI do projeto de geração de energia elétrica da </w:t>
      </w:r>
      <w:r w:rsidRPr="00211A5E">
        <w:rPr>
          <w:rFonts w:ascii="Arial" w:hAnsi="Arial" w:cs="Arial"/>
          <w:noProof/>
          <w:color w:val="000000"/>
        </w:rPr>
        <w:t>Central Geradora Hidrelétrica</w:t>
      </w:r>
      <w:r w:rsidRPr="00211A5E">
        <w:rPr>
          <w:rFonts w:ascii="Arial" w:hAnsi="Arial" w:cs="Arial"/>
          <w:color w:val="000000"/>
        </w:rPr>
        <w:t xml:space="preserve"> denominada </w:t>
      </w:r>
      <w:r w:rsidRPr="00211A5E">
        <w:rPr>
          <w:rFonts w:ascii="Arial" w:hAnsi="Arial" w:cs="Arial"/>
          <w:noProof/>
          <w:color w:val="000000"/>
        </w:rPr>
        <w:t>CGH</w:t>
      </w:r>
      <w:r w:rsidRPr="00211A5E">
        <w:rPr>
          <w:rFonts w:ascii="Arial" w:hAnsi="Arial" w:cs="Arial"/>
          <w:color w:val="000000"/>
        </w:rPr>
        <w:t xml:space="preserve"> </w:t>
      </w:r>
      <w:r w:rsidRPr="00211A5E">
        <w:rPr>
          <w:rFonts w:ascii="Arial" w:hAnsi="Arial" w:cs="Arial"/>
          <w:noProof/>
          <w:color w:val="000000"/>
        </w:rPr>
        <w:t>Pinhal</w:t>
      </w:r>
      <w:r w:rsidRPr="00211A5E">
        <w:rPr>
          <w:rFonts w:ascii="Arial" w:hAnsi="Arial" w:cs="Arial"/>
          <w:color w:val="000000"/>
        </w:rPr>
        <w:t xml:space="preserve">, de titularidade da empresa </w:t>
      </w:r>
      <w:r w:rsidRPr="00211A5E">
        <w:rPr>
          <w:rFonts w:ascii="Arial" w:hAnsi="Arial" w:cs="Arial"/>
          <w:noProof/>
          <w:color w:val="000000"/>
        </w:rPr>
        <w:t>Brasil Sul Geração de Energia Ltda.</w:t>
      </w:r>
      <w:r w:rsidRPr="00211A5E">
        <w:rPr>
          <w:rFonts w:ascii="Arial" w:hAnsi="Arial" w:cs="Arial"/>
          <w:color w:val="000000"/>
        </w:rPr>
        <w:t>, inscrita no CNPJ/MF sob o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> </w:t>
      </w:r>
      <w:r w:rsidRPr="00211A5E">
        <w:rPr>
          <w:rFonts w:ascii="Arial" w:hAnsi="Arial" w:cs="Arial"/>
          <w:noProof/>
          <w:color w:val="000000"/>
        </w:rPr>
        <w:t>18.900.686/0001-32</w:t>
      </w:r>
      <w:r w:rsidRPr="00211A5E">
        <w:rPr>
          <w:rFonts w:ascii="Arial" w:hAnsi="Arial" w:cs="Arial"/>
          <w:color w:val="000000"/>
        </w:rPr>
        <w:t xml:space="preserve">, detalhado no Anexo </w:t>
      </w:r>
      <w:proofErr w:type="gramStart"/>
      <w:r w:rsidRPr="00211A5E">
        <w:rPr>
          <w:rFonts w:ascii="Arial" w:hAnsi="Arial" w:cs="Arial"/>
          <w:color w:val="000000"/>
        </w:rPr>
        <w:t>à</w:t>
      </w:r>
      <w:proofErr w:type="gramEnd"/>
      <w:r w:rsidRPr="00211A5E">
        <w:rPr>
          <w:rFonts w:ascii="Arial" w:hAnsi="Arial" w:cs="Arial"/>
          <w:color w:val="000000"/>
        </w:rPr>
        <w:t xml:space="preserve"> presente Portaria.</w:t>
      </w:r>
    </w:p>
    <w:p w:rsidR="00105AB2" w:rsidRDefault="00105AB2" w:rsidP="00105A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 xml:space="preserve">Parágrafo único. O projeto de que trata o </w:t>
      </w:r>
      <w:r w:rsidRPr="00211A5E">
        <w:rPr>
          <w:rFonts w:ascii="Arial" w:hAnsi="Arial" w:cs="Arial"/>
          <w:b/>
          <w:color w:val="000000"/>
        </w:rPr>
        <w:t>caput</w:t>
      </w:r>
      <w:r w:rsidRPr="00211A5E">
        <w:rPr>
          <w:rFonts w:ascii="Arial" w:hAnsi="Arial" w:cs="Arial"/>
          <w:color w:val="000000"/>
        </w:rPr>
        <w:t xml:space="preserve">, autorizado por meio da </w:t>
      </w:r>
      <w:r w:rsidRPr="00211A5E">
        <w:rPr>
          <w:rFonts w:ascii="Arial" w:hAnsi="Arial" w:cs="Arial"/>
          <w:noProof/>
          <w:color w:val="000000"/>
        </w:rPr>
        <w:t xml:space="preserve">Licença de Instalação </w:t>
      </w:r>
      <w:r w:rsidRPr="00211A5E">
        <w:rPr>
          <w:rFonts w:ascii="Arial" w:hAnsi="Arial" w:cs="Arial"/>
          <w:color w:val="000000"/>
        </w:rPr>
        <w:t>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noProof/>
          <w:color w:val="000000"/>
        </w:rPr>
        <w:t xml:space="preserve"> 2855/2015, 20 de julho de 2015, emitida pela Fundação do Meio </w:t>
      </w:r>
      <w:r>
        <w:rPr>
          <w:rFonts w:ascii="Arial" w:hAnsi="Arial" w:cs="Arial"/>
          <w:noProof/>
          <w:color w:val="000000"/>
        </w:rPr>
        <w:br/>
      </w:r>
      <w:r w:rsidRPr="00211A5E">
        <w:rPr>
          <w:rFonts w:ascii="Arial" w:hAnsi="Arial" w:cs="Arial"/>
          <w:noProof/>
          <w:color w:val="000000"/>
        </w:rPr>
        <w:t>Ambiente - FATMA</w:t>
      </w:r>
      <w:r w:rsidRPr="00211A5E">
        <w:rPr>
          <w:rFonts w:ascii="Arial" w:hAnsi="Arial" w:cs="Arial"/>
          <w:color w:val="000000"/>
        </w:rPr>
        <w:t>, é alcançado pelo art. 1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da Portaria MME </w:t>
      </w:r>
      <w:proofErr w:type="gramStart"/>
      <w:r w:rsidRPr="00211A5E">
        <w:rPr>
          <w:rFonts w:ascii="Arial" w:hAnsi="Arial" w:cs="Arial"/>
          <w:color w:val="000000"/>
        </w:rPr>
        <w:t>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310</w:t>
      </w:r>
      <w:proofErr w:type="gramEnd"/>
      <w:r w:rsidRPr="00211A5E">
        <w:rPr>
          <w:rFonts w:ascii="Arial" w:hAnsi="Arial" w:cs="Arial"/>
          <w:color w:val="000000"/>
        </w:rPr>
        <w:t>, de 12 de setembro de 2013.</w:t>
      </w:r>
    </w:p>
    <w:p w:rsidR="00105AB2" w:rsidRPr="00211A5E" w:rsidRDefault="00105AB2" w:rsidP="00105A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2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As estimativas dos investimentos têm por base o mês </w:t>
      </w:r>
      <w:r w:rsidRPr="00211A5E">
        <w:rPr>
          <w:rFonts w:ascii="Arial" w:hAnsi="Arial" w:cs="Arial"/>
        </w:rPr>
        <w:t xml:space="preserve">de </w:t>
      </w:r>
      <w:r w:rsidRPr="00211A5E">
        <w:rPr>
          <w:rFonts w:ascii="Arial" w:hAnsi="Arial" w:cs="Arial"/>
          <w:noProof/>
        </w:rPr>
        <w:t>janeiro de 2016</w:t>
      </w:r>
      <w:r w:rsidRPr="00211A5E">
        <w:rPr>
          <w:rFonts w:ascii="Arial" w:hAnsi="Arial" w:cs="Arial"/>
          <w:color w:val="000000"/>
        </w:rPr>
        <w:t xml:space="preserve"> e são de exclusiva responsabilidade da </w:t>
      </w:r>
      <w:r w:rsidRPr="00211A5E">
        <w:rPr>
          <w:rFonts w:ascii="Arial" w:hAnsi="Arial" w:cs="Arial"/>
          <w:noProof/>
          <w:color w:val="000000"/>
        </w:rPr>
        <w:t>Brasil Sul Geração de Energia Ltda.</w:t>
      </w:r>
      <w:r w:rsidRPr="00211A5E">
        <w:rPr>
          <w:rFonts w:ascii="Arial" w:hAnsi="Arial" w:cs="Arial"/>
          <w:color w:val="000000"/>
        </w:rPr>
        <w:t>, cuja razoabilidade foi atestada pela Empresa de Pesquisa Energética - EPE.</w:t>
      </w:r>
    </w:p>
    <w:p w:rsidR="00105AB2" w:rsidRPr="00211A5E" w:rsidRDefault="00105AB2" w:rsidP="00105AB2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3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 </w:t>
      </w:r>
      <w:r w:rsidRPr="00211A5E">
        <w:rPr>
          <w:rFonts w:ascii="Arial" w:hAnsi="Arial" w:cs="Arial"/>
          <w:noProof/>
          <w:color w:val="000000"/>
        </w:rPr>
        <w:t>Brasil Sul Geração de Energia Ltda.</w:t>
      </w:r>
      <w:r w:rsidRPr="00211A5E">
        <w:rPr>
          <w:rFonts w:ascii="Arial" w:hAnsi="Arial" w:cs="Arial"/>
          <w:color w:val="000000"/>
        </w:rPr>
        <w:t xml:space="preserve"> deverá informar à Secretaria da Receita Federal do Brasil a entrada em Operação Comercial do projeto aprovado nesta Portaria, mediante a entrega de cópia do Despacho emitido pela Agência Nacional de Energia Elétrica - ANEEL, no prazo de até trinta dias de sua emissão.</w:t>
      </w: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4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5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6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A </w:t>
      </w:r>
      <w:r w:rsidRPr="00211A5E">
        <w:rPr>
          <w:rFonts w:ascii="Arial" w:hAnsi="Arial" w:cs="Arial"/>
          <w:noProof/>
          <w:color w:val="000000"/>
        </w:rPr>
        <w:t>Brasil Sul Geração de Energia Ltda.</w:t>
      </w:r>
      <w:r w:rsidRPr="00211A5E">
        <w:rPr>
          <w:rFonts w:ascii="Arial" w:hAnsi="Arial" w:cs="Arial"/>
          <w:color w:val="000000"/>
        </w:rPr>
        <w:t xml:space="preserve"> deverá observar, no que couber, as disposições constantes na Lei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11.488, de 15 de junho de 2007, no Decreto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6.144, de 2007, na Portaria MME </w:t>
      </w:r>
      <w:proofErr w:type="gramStart"/>
      <w:r w:rsidRPr="00211A5E">
        <w:rPr>
          <w:rFonts w:ascii="Arial" w:hAnsi="Arial" w:cs="Arial"/>
          <w:color w:val="000000"/>
        </w:rPr>
        <w:t>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310</w:t>
      </w:r>
      <w:proofErr w:type="gramEnd"/>
      <w:r w:rsidRPr="00211A5E">
        <w:rPr>
          <w:rFonts w:ascii="Arial" w:hAnsi="Arial" w:cs="Arial"/>
          <w:color w:val="000000"/>
        </w:rPr>
        <w:t>, de 2013, e na legislação e normas vigentes e supervenientes, sujeitando-se às penalidades legais, inclusive aquelas previstas nos artigos 9</w:t>
      </w:r>
      <w:r w:rsidRPr="00211A5E">
        <w:rPr>
          <w:rFonts w:ascii="Arial" w:hAnsi="Arial" w:cs="Arial"/>
          <w:strike/>
          <w:color w:val="000000"/>
        </w:rPr>
        <w:t>º</w:t>
      </w:r>
      <w:r w:rsidRPr="00211A5E">
        <w:rPr>
          <w:rFonts w:ascii="Arial" w:hAnsi="Arial" w:cs="Arial"/>
          <w:color w:val="000000"/>
        </w:rPr>
        <w:t xml:space="preserve"> e 14, do Decreto n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6.144, de 2007, sujeitas à fiscalização da Secretaria da Receita Federal do Brasil.</w:t>
      </w: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105AB2" w:rsidRPr="00211A5E" w:rsidRDefault="00105AB2" w:rsidP="00105AB2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211A5E">
        <w:rPr>
          <w:rFonts w:ascii="Arial" w:hAnsi="Arial" w:cs="Arial"/>
          <w:color w:val="000000"/>
        </w:rPr>
        <w:t>Art. 7</w:t>
      </w:r>
      <w:r w:rsidRPr="00211A5E">
        <w:rPr>
          <w:rFonts w:ascii="Arial" w:hAnsi="Arial" w:cs="Arial"/>
          <w:color w:val="000000"/>
          <w:u w:val="single"/>
          <w:vertAlign w:val="superscript"/>
        </w:rPr>
        <w:t>o</w:t>
      </w:r>
      <w:r w:rsidRPr="00211A5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105AB2">
        <w:rPr>
          <w:rFonts w:ascii="Arial" w:hAnsi="Arial" w:cs="Arial"/>
          <w:color w:val="FF0000"/>
        </w:rPr>
        <w:t>22</w:t>
      </w:r>
      <w:r w:rsidRPr="000E3164">
        <w:rPr>
          <w:rFonts w:ascii="Arial" w:hAnsi="Arial" w:cs="Arial"/>
          <w:color w:val="FF0000"/>
        </w:rPr>
        <w:t>.</w:t>
      </w:r>
      <w:r w:rsidR="00A67D1E">
        <w:rPr>
          <w:rFonts w:ascii="Arial" w:hAnsi="Arial" w:cs="Arial"/>
          <w:color w:val="FF0000"/>
        </w:rPr>
        <w:t>7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5B2B72" w:rsidRPr="00A244B0" w:rsidTr="005B2B72">
        <w:tc>
          <w:tcPr>
            <w:tcW w:w="10418" w:type="dxa"/>
          </w:tcPr>
          <w:p w:rsidR="005B2B72" w:rsidRPr="00A244B0" w:rsidRDefault="005B2B72" w:rsidP="005B2B72">
            <w:pPr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A244B0">
              <w:rPr>
                <w:rFonts w:ascii="Arial" w:hAnsi="Arial" w:cs="Arial"/>
                <w:b/>
                <w:bCs/>
                <w:color w:val="000000"/>
              </w:rPr>
              <w:t>MINISTÉRIO DE MINAS E ENERGIA</w:t>
            </w:r>
          </w:p>
        </w:tc>
      </w:tr>
    </w:tbl>
    <w:p w:rsidR="005B2B72" w:rsidRPr="00A244B0" w:rsidRDefault="005B2B72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18"/>
      </w:tblGrid>
      <w:tr w:rsidR="005B2B72" w:rsidRPr="00211A5E" w:rsidTr="00A244B0">
        <w:tc>
          <w:tcPr>
            <w:tcW w:w="10418" w:type="dxa"/>
          </w:tcPr>
          <w:p w:rsidR="005B2B72" w:rsidRPr="00211A5E" w:rsidRDefault="005B2B72" w:rsidP="005B2B72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INFORMAÇÕES DO PROJETO DE ENQUADRAMENTO NO REIDI - REGIME ESPECIAL DE INCENTIVOS PARA O DE</w:t>
            </w:r>
            <w:bookmarkStart w:id="1" w:name="_GoBack"/>
            <w:bookmarkEnd w:id="1"/>
            <w:r w:rsidRPr="00211A5E">
              <w:rPr>
                <w:rFonts w:ascii="Arial" w:hAnsi="Arial" w:cs="Arial"/>
                <w:bCs/>
                <w:color w:val="000000"/>
              </w:rPr>
              <w:t xml:space="preserve">SENVOLVIMENTO DA INFRAESTRUTURA </w:t>
            </w:r>
          </w:p>
        </w:tc>
      </w:tr>
    </w:tbl>
    <w:p w:rsidR="00A244B0" w:rsidRPr="00A244B0" w:rsidRDefault="00A244B0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425"/>
        <w:gridCol w:w="2268"/>
        <w:gridCol w:w="425"/>
        <w:gridCol w:w="2835"/>
      </w:tblGrid>
      <w:tr w:rsidR="005B2B72" w:rsidRPr="00211A5E" w:rsidTr="00A244B0">
        <w:tc>
          <w:tcPr>
            <w:tcW w:w="10418" w:type="dxa"/>
            <w:gridSpan w:val="6"/>
            <w:vAlign w:val="center"/>
          </w:tcPr>
          <w:p w:rsidR="005B2B72" w:rsidRPr="00211A5E" w:rsidRDefault="005B2B72" w:rsidP="005B2B72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Nome Empresarial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CNPJ</w:t>
            </w:r>
          </w:p>
        </w:tc>
      </w:tr>
      <w:tr w:rsidR="005B2B72" w:rsidRPr="00211A5E" w:rsidTr="00A244B0">
        <w:tc>
          <w:tcPr>
            <w:tcW w:w="496" w:type="dxa"/>
            <w:tcBorders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Brasil Sul Geração de Energia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18.900.686/0001-32</w:t>
            </w:r>
          </w:p>
        </w:tc>
      </w:tr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Logradouro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Número</w:t>
            </w:r>
          </w:p>
        </w:tc>
      </w:tr>
      <w:tr w:rsidR="005B2B72" w:rsidRPr="00211A5E" w:rsidTr="00A244B0">
        <w:tc>
          <w:tcPr>
            <w:tcW w:w="496" w:type="dxa"/>
            <w:tcBorders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Localidade de Barra Bonita</w:t>
            </w:r>
          </w:p>
        </w:tc>
        <w:tc>
          <w:tcPr>
            <w:tcW w:w="425" w:type="dxa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s/</w:t>
            </w:r>
            <w:r w:rsidRPr="00211A5E">
              <w:rPr>
                <w:rFonts w:ascii="Arial" w:hAnsi="Arial" w:cs="Arial"/>
                <w:color w:val="000000"/>
              </w:rPr>
              <w:t>n</w:t>
            </w:r>
            <w:r w:rsidRPr="00211A5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</w:p>
        </w:tc>
      </w:tr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Complemento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Bairro/Distrito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CEP</w:t>
            </w:r>
          </w:p>
        </w:tc>
      </w:tr>
      <w:tr w:rsidR="005B2B72" w:rsidRPr="00211A5E" w:rsidTr="00A244B0">
        <w:tc>
          <w:tcPr>
            <w:tcW w:w="496" w:type="dxa"/>
            <w:tcBorders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Interior</w:t>
            </w:r>
          </w:p>
        </w:tc>
        <w:tc>
          <w:tcPr>
            <w:tcW w:w="425" w:type="dxa"/>
            <w:tcBorders>
              <w:left w:val="nil"/>
              <w:bottom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89700-000</w:t>
            </w:r>
          </w:p>
        </w:tc>
      </w:tr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Município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UF</w:t>
            </w:r>
          </w:p>
        </w:tc>
        <w:tc>
          <w:tcPr>
            <w:tcW w:w="425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 Telefone</w:t>
            </w:r>
          </w:p>
        </w:tc>
      </w:tr>
      <w:tr w:rsidR="005B2B72" w:rsidRPr="00211A5E" w:rsidTr="00A244B0">
        <w:tc>
          <w:tcPr>
            <w:tcW w:w="496" w:type="dxa"/>
            <w:tcBorders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Concórdia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SC</w:t>
            </w: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</w:tcBorders>
          </w:tcPr>
          <w:p w:rsidR="005B2B72" w:rsidRPr="00211A5E" w:rsidRDefault="005B2B72" w:rsidP="005B2B72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(49) 3441-2744</w:t>
            </w:r>
          </w:p>
        </w:tc>
      </w:tr>
    </w:tbl>
    <w:p w:rsidR="00A244B0" w:rsidRPr="00A244B0" w:rsidRDefault="00A244B0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126"/>
        <w:gridCol w:w="7796"/>
      </w:tblGrid>
      <w:tr w:rsidR="005B2B72" w:rsidRPr="00211A5E" w:rsidTr="00A244B0">
        <w:tc>
          <w:tcPr>
            <w:tcW w:w="496" w:type="dxa"/>
          </w:tcPr>
          <w:p w:rsidR="005B2B72" w:rsidRPr="00211A5E" w:rsidRDefault="005B2B72" w:rsidP="00A244B0">
            <w:pPr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9922" w:type="dxa"/>
            <w:gridSpan w:val="2"/>
          </w:tcPr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DADOS DO PROJETO</w:t>
            </w:r>
          </w:p>
        </w:tc>
      </w:tr>
      <w:tr w:rsidR="005B2B72" w:rsidRPr="00211A5E" w:rsidTr="00A244B0">
        <w:tc>
          <w:tcPr>
            <w:tcW w:w="2622" w:type="dxa"/>
            <w:gridSpan w:val="2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Nome do Projeto</w:t>
            </w:r>
          </w:p>
        </w:tc>
        <w:tc>
          <w:tcPr>
            <w:tcW w:w="7796" w:type="dxa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CGH</w:t>
            </w:r>
            <w:r w:rsidRPr="00211A5E">
              <w:rPr>
                <w:rFonts w:ascii="Arial" w:hAnsi="Arial" w:cs="Arial"/>
                <w:color w:val="000000"/>
              </w:rPr>
              <w:t xml:space="preserve"> </w:t>
            </w:r>
            <w:r w:rsidRPr="00211A5E">
              <w:rPr>
                <w:rFonts w:ascii="Arial" w:hAnsi="Arial" w:cs="Arial"/>
                <w:noProof/>
                <w:color w:val="000000"/>
              </w:rPr>
              <w:t>Pinhal</w:t>
            </w:r>
            <w:r w:rsidRPr="00211A5E">
              <w:rPr>
                <w:rFonts w:ascii="Arial" w:hAnsi="Arial" w:cs="Arial"/>
                <w:color w:val="000000"/>
              </w:rPr>
              <w:t xml:space="preserve"> (Autorizada pela </w:t>
            </w:r>
            <w:r w:rsidRPr="00211A5E">
              <w:rPr>
                <w:rFonts w:ascii="Arial" w:hAnsi="Arial" w:cs="Arial"/>
                <w:noProof/>
                <w:color w:val="000000"/>
              </w:rPr>
              <w:t xml:space="preserve">Licença de Instalação </w:t>
            </w:r>
            <w:r w:rsidRPr="00211A5E">
              <w:rPr>
                <w:rFonts w:ascii="Arial" w:hAnsi="Arial" w:cs="Arial"/>
                <w:color w:val="000000"/>
              </w:rPr>
              <w:t>n</w:t>
            </w:r>
            <w:r w:rsidRPr="00211A5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211A5E">
              <w:rPr>
                <w:rFonts w:ascii="Arial" w:hAnsi="Arial" w:cs="Arial"/>
                <w:noProof/>
                <w:color w:val="000000"/>
              </w:rPr>
              <w:t xml:space="preserve"> 2855/2015, 20 de julho de 2015, emitida pela Fundação do Meio Ambiente - FATMA</w:t>
            </w:r>
            <w:r w:rsidRPr="00211A5E">
              <w:rPr>
                <w:rFonts w:ascii="Arial" w:hAnsi="Arial" w:cs="Arial"/>
                <w:color w:val="000000"/>
              </w:rPr>
              <w:t>).</w:t>
            </w:r>
          </w:p>
        </w:tc>
      </w:tr>
      <w:tr w:rsidR="005B2B72" w:rsidRPr="00211A5E" w:rsidTr="00A244B0">
        <w:tc>
          <w:tcPr>
            <w:tcW w:w="2622" w:type="dxa"/>
            <w:gridSpan w:val="2"/>
            <w:vMerge w:val="restart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noProof/>
                <w:color w:val="000000"/>
              </w:rPr>
              <w:t>Central Geradora Hidrelétrica</w:t>
            </w:r>
            <w:r w:rsidRPr="00211A5E">
              <w:rPr>
                <w:rFonts w:ascii="Arial" w:hAnsi="Arial" w:cs="Arial"/>
                <w:color w:val="000000"/>
              </w:rPr>
              <w:t xml:space="preserve"> denominada </w:t>
            </w:r>
            <w:r w:rsidRPr="00211A5E">
              <w:rPr>
                <w:rFonts w:ascii="Arial" w:hAnsi="Arial" w:cs="Arial"/>
                <w:noProof/>
                <w:color w:val="000000"/>
              </w:rPr>
              <w:t>CGH</w:t>
            </w:r>
            <w:r w:rsidRPr="00211A5E">
              <w:rPr>
                <w:rFonts w:ascii="Arial" w:hAnsi="Arial" w:cs="Arial"/>
                <w:color w:val="000000"/>
              </w:rPr>
              <w:t xml:space="preserve"> </w:t>
            </w:r>
            <w:r w:rsidRPr="00211A5E">
              <w:rPr>
                <w:rFonts w:ascii="Arial" w:hAnsi="Arial" w:cs="Arial"/>
                <w:noProof/>
                <w:color w:val="000000"/>
              </w:rPr>
              <w:t>Pinhal</w:t>
            </w:r>
            <w:r w:rsidRPr="00211A5E">
              <w:rPr>
                <w:rFonts w:ascii="Arial" w:hAnsi="Arial" w:cs="Arial"/>
                <w:color w:val="000000"/>
              </w:rPr>
              <w:t>, compreendendo:</w:t>
            </w:r>
          </w:p>
        </w:tc>
      </w:tr>
      <w:tr w:rsidR="005B2B72" w:rsidRPr="00211A5E" w:rsidTr="00A244B0">
        <w:tc>
          <w:tcPr>
            <w:tcW w:w="2622" w:type="dxa"/>
            <w:gridSpan w:val="2"/>
            <w:vMerge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I - </w:t>
            </w:r>
            <w:r w:rsidRPr="00211A5E">
              <w:rPr>
                <w:rFonts w:ascii="Arial" w:hAnsi="Arial" w:cs="Arial"/>
                <w:noProof/>
                <w:color w:val="000000"/>
              </w:rPr>
              <w:t>Uma</w:t>
            </w:r>
            <w:r w:rsidRPr="00211A5E">
              <w:rPr>
                <w:rFonts w:ascii="Arial" w:hAnsi="Arial" w:cs="Arial"/>
                <w:color w:val="000000"/>
              </w:rPr>
              <w:t xml:space="preserve"> Unidade Geradora com </w:t>
            </w:r>
            <w:r w:rsidRPr="00211A5E">
              <w:rPr>
                <w:rFonts w:ascii="Arial" w:hAnsi="Arial" w:cs="Arial"/>
                <w:noProof/>
                <w:color w:val="000000"/>
              </w:rPr>
              <w:t>700</w:t>
            </w:r>
            <w:r w:rsidRPr="00211A5E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211A5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211A5E">
              <w:rPr>
                <w:rFonts w:ascii="Arial" w:hAnsi="Arial" w:cs="Arial"/>
                <w:color w:val="000000"/>
              </w:rPr>
              <w:t xml:space="preserve"> de capacidade instalada; e</w:t>
            </w:r>
          </w:p>
        </w:tc>
      </w:tr>
      <w:tr w:rsidR="005B2B72" w:rsidRPr="00211A5E" w:rsidTr="00A244B0">
        <w:tc>
          <w:tcPr>
            <w:tcW w:w="2622" w:type="dxa"/>
            <w:gridSpan w:val="2"/>
            <w:vMerge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7796" w:type="dxa"/>
            <w:tcBorders>
              <w:top w:val="nil"/>
            </w:tcBorders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0,38/13,8 </w:t>
            </w:r>
            <w:proofErr w:type="gramStart"/>
            <w:r w:rsidRPr="00211A5E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211A5E">
              <w:rPr>
                <w:rFonts w:ascii="Arial" w:hAnsi="Arial" w:cs="Arial"/>
                <w:color w:val="000000"/>
              </w:rPr>
              <w:t xml:space="preserve">, junto à Central Geradora,  e uma Linha de Transmissão em 13,8 kV, com cerca de trezentos metros, interligando a Subestação Elevadora ao </w:t>
            </w:r>
            <w:r w:rsidR="00A244B0" w:rsidRPr="00211A5E">
              <w:rPr>
                <w:rFonts w:ascii="Arial" w:hAnsi="Arial" w:cs="Arial"/>
                <w:color w:val="000000"/>
              </w:rPr>
              <w:t xml:space="preserve">Alimentador </w:t>
            </w:r>
            <w:r w:rsidRPr="00211A5E">
              <w:rPr>
                <w:rFonts w:ascii="Arial" w:hAnsi="Arial" w:cs="Arial"/>
                <w:color w:val="000000"/>
              </w:rPr>
              <w:t>CSC-04, próximo ao TD 5293, localizado a dezesseis quilômetros e duzentos metros da Subestação Concórdia São Cristóvão, de propriedade da Celesc Distribuição S.A.</w:t>
            </w:r>
          </w:p>
        </w:tc>
      </w:tr>
      <w:tr w:rsidR="005B2B72" w:rsidRPr="00211A5E" w:rsidTr="00A244B0">
        <w:tc>
          <w:tcPr>
            <w:tcW w:w="2622" w:type="dxa"/>
            <w:gridSpan w:val="2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Período de Execução</w:t>
            </w:r>
          </w:p>
        </w:tc>
        <w:tc>
          <w:tcPr>
            <w:tcW w:w="7796" w:type="dxa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De </w:t>
            </w:r>
            <w:r w:rsidRPr="00211A5E">
              <w:rPr>
                <w:rFonts w:ascii="Arial" w:hAnsi="Arial" w:cs="Arial"/>
                <w:noProof/>
                <w:color w:val="000000"/>
              </w:rPr>
              <w:t>01/07/2015</w:t>
            </w:r>
            <w:r w:rsidRPr="00211A5E">
              <w:rPr>
                <w:rFonts w:ascii="Arial" w:hAnsi="Arial" w:cs="Arial"/>
                <w:color w:val="000000"/>
              </w:rPr>
              <w:t xml:space="preserve"> a </w:t>
            </w:r>
            <w:r w:rsidRPr="00211A5E">
              <w:rPr>
                <w:rFonts w:ascii="Arial" w:hAnsi="Arial" w:cs="Arial"/>
                <w:noProof/>
                <w:color w:val="000000"/>
              </w:rPr>
              <w:t>31/12/2016</w:t>
            </w:r>
            <w:r w:rsidRPr="00211A5E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2B72" w:rsidRPr="00211A5E" w:rsidTr="00A244B0">
        <w:tc>
          <w:tcPr>
            <w:tcW w:w="2622" w:type="dxa"/>
            <w:gridSpan w:val="2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Localidade do Projeto</w:t>
            </w:r>
          </w:p>
        </w:tc>
        <w:tc>
          <w:tcPr>
            <w:tcW w:w="7796" w:type="dxa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Município de </w:t>
            </w:r>
            <w:r w:rsidRPr="00211A5E">
              <w:rPr>
                <w:rFonts w:ascii="Arial" w:hAnsi="Arial" w:cs="Arial"/>
                <w:noProof/>
                <w:color w:val="000000"/>
              </w:rPr>
              <w:t>Concórdia</w:t>
            </w:r>
            <w:r w:rsidRPr="00211A5E">
              <w:rPr>
                <w:rFonts w:ascii="Arial" w:hAnsi="Arial" w:cs="Arial"/>
                <w:color w:val="000000"/>
              </w:rPr>
              <w:t xml:space="preserve">, Estado </w:t>
            </w:r>
            <w:r w:rsidRPr="00211A5E">
              <w:rPr>
                <w:rFonts w:ascii="Arial" w:hAnsi="Arial" w:cs="Arial"/>
                <w:noProof/>
                <w:color w:val="000000"/>
              </w:rPr>
              <w:t>de Santa Catarina</w:t>
            </w:r>
            <w:r w:rsidRPr="00211A5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244B0" w:rsidRPr="00A244B0" w:rsidRDefault="00A244B0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6804"/>
        <w:gridCol w:w="3118"/>
      </w:tblGrid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22" w:type="dxa"/>
            <w:gridSpan w:val="2"/>
            <w:vAlign w:val="center"/>
          </w:tcPr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211A5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5B2B72" w:rsidRPr="00211A5E" w:rsidTr="00A244B0">
        <w:tc>
          <w:tcPr>
            <w:tcW w:w="7300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Nome: Arnaldo Claudio Mores</w:t>
            </w:r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CPF: 705.374.709-30</w:t>
            </w:r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2B72" w:rsidRPr="00211A5E" w:rsidTr="00A244B0">
        <w:tc>
          <w:tcPr>
            <w:tcW w:w="7300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Nome: Gustavo Antonio Pereira Bastos</w:t>
            </w:r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tcBorders>
              <w:top w:val="nil"/>
            </w:tcBorders>
            <w:vAlign w:val="center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CPF: 001.878.310-41</w:t>
            </w:r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</w:tr>
      <w:tr w:rsidR="005B2B72" w:rsidRPr="00211A5E" w:rsidTr="00A244B0">
        <w:tc>
          <w:tcPr>
            <w:tcW w:w="7300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 xml:space="preserve">Nome: Ari </w:t>
            </w:r>
            <w:proofErr w:type="spellStart"/>
            <w:r w:rsidRPr="00211A5E">
              <w:rPr>
                <w:rFonts w:ascii="Arial" w:hAnsi="Arial" w:cs="Arial"/>
                <w:color w:val="000000"/>
              </w:rPr>
              <w:t>Adamy</w:t>
            </w:r>
            <w:proofErr w:type="spellEnd"/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118" w:type="dxa"/>
            <w:vAlign w:val="center"/>
          </w:tcPr>
          <w:p w:rsidR="005B2B72" w:rsidRPr="00211A5E" w:rsidRDefault="005B2B72" w:rsidP="005B2B72">
            <w:pPr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CPF: 134.307.509-20</w:t>
            </w:r>
            <w:r w:rsidR="00A244B0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A244B0" w:rsidRPr="00A244B0" w:rsidRDefault="00A244B0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843"/>
        <w:gridCol w:w="7087"/>
      </w:tblGrid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22" w:type="dxa"/>
            <w:gridSpan w:val="3"/>
            <w:vAlign w:val="center"/>
          </w:tcPr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2.201.309,41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1.031.327,07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393.048,00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A244B0" w:rsidTr="00A244B0">
        <w:tc>
          <w:tcPr>
            <w:tcW w:w="1488" w:type="dxa"/>
            <w:gridSpan w:val="2"/>
          </w:tcPr>
          <w:p w:rsidR="005B2B72" w:rsidRPr="00A244B0" w:rsidRDefault="005B2B72" w:rsidP="005B2B7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244B0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A244B0" w:rsidRDefault="005B2B72" w:rsidP="005B2B72">
            <w:pPr>
              <w:jc w:val="right"/>
              <w:rPr>
                <w:rFonts w:ascii="Arial" w:hAnsi="Arial" w:cs="Arial"/>
              </w:rPr>
            </w:pPr>
            <w:r w:rsidRPr="00A244B0">
              <w:rPr>
                <w:rFonts w:ascii="Arial" w:hAnsi="Arial" w:cs="Arial"/>
                <w:b/>
              </w:rPr>
              <w:t>3.625.684,48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A244B0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244B0" w:rsidRPr="00A244B0" w:rsidRDefault="00A244B0">
      <w:pPr>
        <w:rPr>
          <w:sz w:val="16"/>
          <w:szCs w:val="16"/>
        </w:rPr>
      </w:pPr>
    </w:p>
    <w:tbl>
      <w:tblPr>
        <w:tblW w:w="10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"/>
        <w:gridCol w:w="1843"/>
        <w:gridCol w:w="7087"/>
      </w:tblGrid>
      <w:tr w:rsidR="005B2B72" w:rsidRPr="00211A5E" w:rsidTr="00A244B0">
        <w:tc>
          <w:tcPr>
            <w:tcW w:w="496" w:type="dxa"/>
          </w:tcPr>
          <w:p w:rsidR="005B2B72" w:rsidRPr="00211A5E" w:rsidRDefault="005B2B72" w:rsidP="005B2B72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22" w:type="dxa"/>
            <w:gridSpan w:val="3"/>
            <w:vAlign w:val="center"/>
          </w:tcPr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5B2B72" w:rsidRPr="00211A5E" w:rsidRDefault="005B2B72" w:rsidP="005B2B72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211A5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2.034.936,62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993.683,63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211A5E" w:rsidTr="00A244B0">
        <w:tc>
          <w:tcPr>
            <w:tcW w:w="1488" w:type="dxa"/>
            <w:gridSpan w:val="2"/>
          </w:tcPr>
          <w:p w:rsidR="005B2B72" w:rsidRPr="00211A5E" w:rsidRDefault="005B2B72" w:rsidP="005B2B72">
            <w:pPr>
              <w:jc w:val="both"/>
              <w:rPr>
                <w:rFonts w:ascii="Arial" w:hAnsi="Arial" w:cs="Arial"/>
                <w:color w:val="000000"/>
              </w:rPr>
            </w:pPr>
            <w:r w:rsidRPr="00211A5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211A5E" w:rsidRDefault="005B2B72" w:rsidP="005B2B72">
            <w:pPr>
              <w:jc w:val="right"/>
              <w:rPr>
                <w:rFonts w:ascii="Arial" w:hAnsi="Arial" w:cs="Arial"/>
              </w:rPr>
            </w:pPr>
            <w:r w:rsidRPr="00211A5E">
              <w:rPr>
                <w:rFonts w:ascii="Arial" w:hAnsi="Arial" w:cs="Arial"/>
              </w:rPr>
              <w:t>378.701,75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211A5E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5B2B72" w:rsidRPr="00A244B0" w:rsidTr="00A244B0">
        <w:tc>
          <w:tcPr>
            <w:tcW w:w="1488" w:type="dxa"/>
            <w:gridSpan w:val="2"/>
          </w:tcPr>
          <w:p w:rsidR="005B2B72" w:rsidRPr="00A244B0" w:rsidRDefault="005B2B72" w:rsidP="005B2B72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244B0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843" w:type="dxa"/>
            <w:tcBorders>
              <w:right w:val="nil"/>
            </w:tcBorders>
          </w:tcPr>
          <w:p w:rsidR="005B2B72" w:rsidRPr="00A244B0" w:rsidRDefault="005B2B72" w:rsidP="005B2B72">
            <w:pPr>
              <w:jc w:val="right"/>
              <w:rPr>
                <w:rFonts w:ascii="Arial" w:hAnsi="Arial" w:cs="Arial"/>
              </w:rPr>
            </w:pPr>
            <w:r w:rsidRPr="00A244B0">
              <w:rPr>
                <w:rFonts w:ascii="Arial" w:hAnsi="Arial" w:cs="Arial"/>
                <w:b/>
              </w:rPr>
              <w:t>3.407.322,00</w:t>
            </w:r>
            <w:r w:rsidR="00A244B0">
              <w:rPr>
                <w:rFonts w:ascii="Arial" w:hAnsi="Arial" w:cs="Arial"/>
              </w:rPr>
              <w:t>.</w:t>
            </w:r>
          </w:p>
        </w:tc>
        <w:tc>
          <w:tcPr>
            <w:tcW w:w="7087" w:type="dxa"/>
            <w:tcBorders>
              <w:left w:val="nil"/>
            </w:tcBorders>
          </w:tcPr>
          <w:p w:rsidR="005B2B72" w:rsidRPr="00A244B0" w:rsidRDefault="005B2B72" w:rsidP="005B2B72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  <w:bookmarkEnd w:id="0"/>
    </w:tbl>
    <w:p w:rsidR="000C44D1" w:rsidRDefault="000C44D1" w:rsidP="005B2B72">
      <w:pPr>
        <w:autoSpaceDE w:val="0"/>
        <w:autoSpaceDN w:val="0"/>
        <w:adjustRightInd w:val="0"/>
        <w:jc w:val="center"/>
        <w:rPr>
          <w:rFonts w:ascii="Arial" w:hAnsi="Arial" w:cs="Arial"/>
          <w:sz w:val="18"/>
          <w:szCs w:val="18"/>
        </w:rPr>
      </w:pPr>
    </w:p>
    <w:sectPr w:rsidR="000C44D1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72" w:rsidRDefault="005B2B72">
      <w:r>
        <w:separator/>
      </w:r>
    </w:p>
  </w:endnote>
  <w:endnote w:type="continuationSeparator" w:id="0">
    <w:p w:rsidR="005B2B72" w:rsidRDefault="005B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72" w:rsidRDefault="005B2B72">
      <w:r>
        <w:separator/>
      </w:r>
    </w:p>
  </w:footnote>
  <w:footnote w:type="continuationSeparator" w:id="0">
    <w:p w:rsidR="005B2B72" w:rsidRDefault="005B2B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72" w:rsidRDefault="005B2B72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111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44B0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B2B72" w:rsidRPr="00A93206" w:rsidRDefault="005B2B72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2B72" w:rsidRDefault="005B2B72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116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20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julho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A244B0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5B2B72" w:rsidRDefault="005B2B7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12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7A0C"/>
    <w:rsid w:val="00A1349D"/>
    <w:rsid w:val="00A13A70"/>
    <w:rsid w:val="00A142A5"/>
    <w:rsid w:val="00A146BD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2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7AFF7-D825-4B7A-947A-530F28350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719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2016-07-22T14:24:00Z</dcterms:created>
  <dcterms:modified xsi:type="dcterms:W3CDTF">2016-07-22T14:32:00Z</dcterms:modified>
</cp:coreProperties>
</file>