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</w:t>
      </w:r>
      <w:r w:rsidR="00B22FF0">
        <w:rPr>
          <w:rFonts w:ascii="Arial" w:hAnsi="Arial" w:cs="Arial"/>
          <w:b/>
          <w:bCs/>
          <w:color w:val="000080"/>
        </w:rPr>
        <w:t>7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B676CE">
        <w:rPr>
          <w:rFonts w:ascii="Arial" w:hAnsi="Arial" w:cs="Arial"/>
          <w:b/>
          <w:bCs/>
          <w:color w:val="000080"/>
        </w:rPr>
        <w:t>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22FF0" w:rsidRPr="00A1718C" w:rsidRDefault="00B22FF0" w:rsidP="00B22FF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A1718C">
        <w:rPr>
          <w:rFonts w:ascii="Arial" w:hAnsi="Arial" w:cs="Arial"/>
          <w:color w:val="000000"/>
        </w:rPr>
        <w:t>, no uso da competência que lhe foi delegada pelo art. 1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>, parágrafo único, da Portaria MME n</w:t>
      </w:r>
      <w:r w:rsidRPr="00A1718C">
        <w:rPr>
          <w:rFonts w:ascii="Arial" w:hAnsi="Arial" w:cs="Arial"/>
          <w:color w:val="000000"/>
          <w:u w:val="words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do Decreto 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6.144, de 3 de julho de </w:t>
      </w:r>
      <w:r w:rsidRPr="00A1718C">
        <w:rPr>
          <w:rFonts w:ascii="Arial" w:hAnsi="Arial" w:cs="Arial"/>
        </w:rPr>
        <w:t xml:space="preserve">2007, </w:t>
      </w:r>
      <w:r w:rsidRPr="00A1718C">
        <w:rPr>
          <w:rFonts w:ascii="Arial" w:hAnsi="Arial" w:cs="Arial"/>
          <w:color w:val="000000"/>
        </w:rPr>
        <w:t>no art. 4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da Portaria MME 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A1718C">
        <w:rPr>
          <w:rFonts w:ascii="Arial" w:hAnsi="Arial" w:cs="Arial"/>
          <w:color w:val="000000"/>
        </w:rPr>
        <w:t>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</w:t>
      </w:r>
      <w:r w:rsidRPr="00A1718C">
        <w:rPr>
          <w:rFonts w:ascii="Arial" w:hAnsi="Arial" w:cs="Arial"/>
          <w:noProof/>
          <w:color w:val="000000"/>
        </w:rPr>
        <w:t>48500.001487/2015-28</w:t>
      </w:r>
      <w:r w:rsidRPr="00A1718C">
        <w:rPr>
          <w:rFonts w:ascii="Arial" w:hAnsi="Arial" w:cs="Arial"/>
        </w:rPr>
        <w:t>, resolve:</w:t>
      </w:r>
    </w:p>
    <w:p w:rsidR="00B22FF0" w:rsidRPr="00A1718C" w:rsidRDefault="00B22FF0" w:rsidP="00B22FF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FF0" w:rsidRPr="00A1718C" w:rsidRDefault="00B22FF0" w:rsidP="00B22FF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>Art. 1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1718C">
        <w:rPr>
          <w:rFonts w:ascii="Arial" w:hAnsi="Arial" w:cs="Arial"/>
          <w:noProof/>
          <w:color w:val="000000"/>
        </w:rPr>
        <w:t>EOL</w:t>
      </w:r>
      <w:r w:rsidRPr="00A1718C">
        <w:rPr>
          <w:rFonts w:ascii="Arial" w:hAnsi="Arial" w:cs="Arial"/>
          <w:color w:val="000000"/>
        </w:rPr>
        <w:t xml:space="preserve"> </w:t>
      </w:r>
      <w:r w:rsidRPr="00A1718C">
        <w:rPr>
          <w:rFonts w:ascii="Arial" w:hAnsi="Arial" w:cs="Arial"/>
          <w:noProof/>
          <w:color w:val="000000"/>
        </w:rPr>
        <w:t>Putumuju</w:t>
      </w:r>
      <w:r w:rsidRPr="00A1718C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A1718C">
        <w:rPr>
          <w:rFonts w:ascii="Arial" w:hAnsi="Arial" w:cs="Arial"/>
          <w:color w:val="000000"/>
        </w:rPr>
        <w:t xml:space="preserve">Geração - CEG: </w:t>
      </w:r>
      <w:r w:rsidRPr="00A1718C">
        <w:rPr>
          <w:rFonts w:ascii="Arial" w:hAnsi="Arial" w:cs="Arial"/>
          <w:noProof/>
          <w:color w:val="000000"/>
        </w:rPr>
        <w:t>EOL.CV.BA.032247-4.01</w:t>
      </w:r>
      <w:r w:rsidRPr="00A1718C">
        <w:rPr>
          <w:rFonts w:ascii="Arial" w:hAnsi="Arial" w:cs="Arial"/>
          <w:color w:val="000000"/>
        </w:rPr>
        <w:t xml:space="preserve">, de titularidade da empresa </w:t>
      </w:r>
      <w:r w:rsidRPr="00A1718C">
        <w:rPr>
          <w:rFonts w:ascii="Arial" w:hAnsi="Arial" w:cs="Arial"/>
          <w:noProof/>
          <w:color w:val="000000"/>
        </w:rPr>
        <w:t>Centrais Eólicas Putumuju S.A.</w:t>
      </w:r>
      <w:r w:rsidRPr="00A1718C">
        <w:rPr>
          <w:rFonts w:ascii="Arial" w:hAnsi="Arial" w:cs="Arial"/>
          <w:color w:val="000000"/>
        </w:rPr>
        <w:t>, inscrita no CNPJ/MF sob o 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> </w:t>
      </w:r>
      <w:r w:rsidRPr="00A1718C">
        <w:rPr>
          <w:rFonts w:ascii="Arial" w:hAnsi="Arial" w:cs="Arial"/>
          <w:noProof/>
          <w:color w:val="000000"/>
        </w:rPr>
        <w:t>19.502.435/0001-62</w:t>
      </w:r>
      <w:r w:rsidRPr="00A1718C">
        <w:rPr>
          <w:rFonts w:ascii="Arial" w:hAnsi="Arial" w:cs="Arial"/>
          <w:color w:val="000000"/>
        </w:rPr>
        <w:t xml:space="preserve">, </w:t>
      </w:r>
      <w:r w:rsidRPr="00A1718C">
        <w:rPr>
          <w:rFonts w:ascii="Arial" w:hAnsi="Arial" w:cs="Arial"/>
        </w:rPr>
        <w:t>detalhado no Anexo à presente Portaria.</w:t>
      </w:r>
    </w:p>
    <w:p w:rsidR="00B22FF0" w:rsidRPr="00A1718C" w:rsidRDefault="00B22FF0" w:rsidP="00B22FF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22FF0" w:rsidRPr="00A1718C" w:rsidRDefault="00B22FF0" w:rsidP="00B22F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 xml:space="preserve">Parágrafo único. O projeto de que trata o </w:t>
      </w:r>
      <w:r w:rsidRPr="00A1718C">
        <w:rPr>
          <w:rFonts w:ascii="Arial" w:hAnsi="Arial" w:cs="Arial"/>
          <w:b/>
        </w:rPr>
        <w:t>caput</w:t>
      </w:r>
      <w:r w:rsidRPr="00A1718C">
        <w:rPr>
          <w:rFonts w:ascii="Arial" w:hAnsi="Arial" w:cs="Arial"/>
        </w:rPr>
        <w:t xml:space="preserve">, autorizado por meio da </w:t>
      </w:r>
      <w:r w:rsidRPr="00A1718C">
        <w:rPr>
          <w:rFonts w:ascii="Arial" w:hAnsi="Arial" w:cs="Arial"/>
          <w:noProof/>
          <w:color w:val="000000"/>
        </w:rPr>
        <w:t>Resolução Autorizativa ANEEL 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noProof/>
          <w:color w:val="000000"/>
        </w:rPr>
        <w:t xml:space="preserve"> 5.127, de 24 de março de 2015</w:t>
      </w:r>
      <w:r w:rsidRPr="00A1718C">
        <w:rPr>
          <w:rFonts w:ascii="Arial" w:hAnsi="Arial" w:cs="Arial"/>
          <w:color w:val="000000"/>
        </w:rPr>
        <w:t>, é alcançado pelo art. 1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da Portaria MME n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310, de 12 de setembro de 2013</w:t>
      </w:r>
      <w:r w:rsidRPr="00A1718C">
        <w:rPr>
          <w:rFonts w:ascii="Arial" w:hAnsi="Arial" w:cs="Arial"/>
        </w:rPr>
        <w:t>.</w:t>
      </w:r>
    </w:p>
    <w:p w:rsidR="00B22FF0" w:rsidRPr="00A1718C" w:rsidRDefault="00B22FF0" w:rsidP="00B22F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FF0" w:rsidRPr="00A1718C" w:rsidRDefault="00B22FF0" w:rsidP="00B22F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>Art. 2</w:t>
      </w:r>
      <w:r w:rsidRPr="00A1718C">
        <w:rPr>
          <w:rFonts w:ascii="Arial" w:hAnsi="Arial" w:cs="Arial"/>
          <w:u w:val="single"/>
          <w:vertAlign w:val="superscript"/>
        </w:rPr>
        <w:t>o</w:t>
      </w:r>
      <w:r w:rsidRPr="00A1718C">
        <w:rPr>
          <w:rFonts w:ascii="Arial" w:hAnsi="Arial" w:cs="Arial"/>
        </w:rPr>
        <w:t xml:space="preserve"> As estimativas dos investimentos têm por base o mês </w:t>
      </w:r>
      <w:r w:rsidRPr="00A1718C">
        <w:rPr>
          <w:rFonts w:ascii="Arial" w:hAnsi="Arial" w:cs="Arial"/>
          <w:color w:val="000000"/>
        </w:rPr>
        <w:t xml:space="preserve">de abril </w:t>
      </w:r>
      <w:r w:rsidRPr="00A1718C">
        <w:rPr>
          <w:rFonts w:ascii="Arial" w:hAnsi="Arial" w:cs="Arial"/>
          <w:noProof/>
          <w:color w:val="000000"/>
        </w:rPr>
        <w:t>de 2015</w:t>
      </w:r>
      <w:r w:rsidRPr="00A1718C">
        <w:rPr>
          <w:rFonts w:ascii="Arial" w:hAnsi="Arial" w:cs="Arial"/>
          <w:color w:val="000000"/>
        </w:rPr>
        <w:t xml:space="preserve"> </w:t>
      </w:r>
      <w:r w:rsidRPr="00A1718C">
        <w:rPr>
          <w:rFonts w:ascii="Arial" w:hAnsi="Arial" w:cs="Arial"/>
        </w:rPr>
        <w:t xml:space="preserve">e são de exclusiva responsabilidade da </w:t>
      </w:r>
      <w:r w:rsidRPr="00A1718C">
        <w:rPr>
          <w:rFonts w:ascii="Arial" w:hAnsi="Arial" w:cs="Arial"/>
          <w:noProof/>
          <w:color w:val="000000"/>
        </w:rPr>
        <w:t>Centrais Eólicas Putumuju S.A.</w:t>
      </w:r>
      <w:r w:rsidRPr="00A1718C">
        <w:rPr>
          <w:rFonts w:ascii="Arial" w:hAnsi="Arial" w:cs="Arial"/>
        </w:rPr>
        <w:t xml:space="preserve">, cuja razoabilidade foi atestada pela </w:t>
      </w:r>
      <w:r w:rsidRPr="00A1718C">
        <w:rPr>
          <w:rFonts w:ascii="Arial" w:hAnsi="Arial" w:cs="Arial"/>
          <w:color w:val="000000"/>
        </w:rPr>
        <w:t>Empresa de Pesquisa Energética - EPE</w:t>
      </w:r>
      <w:r w:rsidRPr="00A1718C">
        <w:rPr>
          <w:rFonts w:ascii="Arial" w:hAnsi="Arial" w:cs="Arial"/>
        </w:rPr>
        <w:t>.</w:t>
      </w:r>
    </w:p>
    <w:p w:rsidR="00B22FF0" w:rsidRPr="00A1718C" w:rsidRDefault="00B22FF0" w:rsidP="00B22F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>Art. 3</w:t>
      </w:r>
      <w:r w:rsidRPr="00A1718C">
        <w:rPr>
          <w:rFonts w:ascii="Arial" w:hAnsi="Arial" w:cs="Arial"/>
          <w:u w:val="single"/>
          <w:vertAlign w:val="superscript"/>
        </w:rPr>
        <w:t>o</w:t>
      </w:r>
      <w:r w:rsidRPr="00A1718C">
        <w:rPr>
          <w:rFonts w:ascii="Arial" w:hAnsi="Arial" w:cs="Arial"/>
        </w:rPr>
        <w:t xml:space="preserve"> A </w:t>
      </w:r>
      <w:r w:rsidRPr="00A1718C">
        <w:rPr>
          <w:rFonts w:ascii="Arial" w:hAnsi="Arial" w:cs="Arial"/>
          <w:noProof/>
          <w:color w:val="000000"/>
        </w:rPr>
        <w:t xml:space="preserve">Centrais Eólicas Putumuju S.A. </w:t>
      </w:r>
      <w:r w:rsidRPr="00A1718C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A1718C">
        <w:rPr>
          <w:rFonts w:ascii="Arial" w:hAnsi="Arial" w:cs="Arial"/>
        </w:rPr>
        <w:t>Elétrica - ANEEL, no prazo de até trinta dias de sua emissão.</w:t>
      </w: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>Art. 4</w:t>
      </w:r>
      <w:r w:rsidRPr="00A1718C">
        <w:rPr>
          <w:rFonts w:ascii="Arial" w:hAnsi="Arial" w:cs="Arial"/>
          <w:u w:val="single"/>
          <w:vertAlign w:val="superscript"/>
        </w:rPr>
        <w:t>o</w:t>
      </w:r>
      <w:r w:rsidRPr="00A1718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1718C">
        <w:rPr>
          <w:rFonts w:ascii="Arial" w:hAnsi="Arial" w:cs="Arial"/>
        </w:rPr>
        <w:t>Art. 5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1718C">
        <w:rPr>
          <w:rFonts w:ascii="Arial" w:hAnsi="Arial" w:cs="Arial"/>
          <w:color w:val="000000"/>
        </w:rPr>
        <w:t>Art. 6</w:t>
      </w:r>
      <w:r w:rsidRPr="00A1718C">
        <w:rPr>
          <w:rFonts w:ascii="Arial" w:hAnsi="Arial" w:cs="Arial"/>
          <w:color w:val="000000"/>
          <w:u w:val="single"/>
          <w:vertAlign w:val="superscript"/>
        </w:rPr>
        <w:t>o</w:t>
      </w:r>
      <w:r w:rsidRPr="00A1718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EB200B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B22FF0" w:rsidRPr="00A1718C" w:rsidRDefault="00B22FF0" w:rsidP="00B22FF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1718C">
        <w:rPr>
          <w:rFonts w:ascii="Arial" w:hAnsi="Arial" w:cs="Arial"/>
          <w:b/>
          <w:color w:val="000000"/>
        </w:rPr>
        <w:lastRenderedPageBreak/>
        <w:t>ANEXO</w:t>
      </w:r>
    </w:p>
    <w:p w:rsidR="00B22FF0" w:rsidRPr="00A1718C" w:rsidRDefault="00B22FF0" w:rsidP="00B22FF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22FF0" w:rsidRPr="00A1718C" w:rsidTr="006E122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F0" w:rsidRPr="00A1718C" w:rsidRDefault="00B22FF0" w:rsidP="006E122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1718C">
              <w:rPr>
                <w:rFonts w:ascii="Arial" w:hAnsi="Arial" w:cs="Arial"/>
                <w:b/>
                <w:bCs/>
              </w:rPr>
              <w:t>MINISTÉRI</w:t>
            </w:r>
            <w:bookmarkStart w:id="0" w:name="_GoBack"/>
            <w:bookmarkEnd w:id="0"/>
            <w:r w:rsidRPr="00A1718C">
              <w:rPr>
                <w:rFonts w:ascii="Arial" w:hAnsi="Arial" w:cs="Arial"/>
                <w:b/>
                <w:bCs/>
              </w:rPr>
              <w:t>O DE MINAS E ENERGIA</w:t>
            </w:r>
          </w:p>
        </w:tc>
      </w:tr>
    </w:tbl>
    <w:p w:rsidR="00B22FF0" w:rsidRPr="00A1718C" w:rsidRDefault="00B22FF0" w:rsidP="00B22FF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22FF0" w:rsidRPr="00A1718C" w:rsidTr="006E122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F0" w:rsidRPr="00A1718C" w:rsidRDefault="00B22FF0" w:rsidP="006E122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1718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22FF0" w:rsidRPr="00A1718C" w:rsidRDefault="00B22FF0" w:rsidP="00B22FF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22FF0" w:rsidRPr="00A1718C" w:rsidTr="006E1227">
        <w:tc>
          <w:tcPr>
            <w:tcW w:w="10348" w:type="dxa"/>
            <w:gridSpan w:val="6"/>
            <w:vAlign w:val="center"/>
          </w:tcPr>
          <w:p w:rsidR="00B22FF0" w:rsidRPr="00A1718C" w:rsidRDefault="00B22FF0" w:rsidP="006E122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22FF0" w:rsidRPr="00A1718C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22FF0" w:rsidRPr="00A1718C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noProof/>
                <w:color w:val="000000"/>
              </w:rPr>
              <w:t>Centrais Eólicas Putumuju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2FF0" w:rsidRPr="00A1718C" w:rsidRDefault="00B22FF0" w:rsidP="006E12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noProof/>
                <w:color w:val="000000"/>
              </w:rPr>
              <w:t>19.502.435/0001-62</w:t>
            </w:r>
          </w:p>
        </w:tc>
      </w:tr>
      <w:tr w:rsidR="00B22FF0" w:rsidRPr="00A1718C" w:rsidTr="006E122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22FF0" w:rsidRPr="00A1718C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B22FF0" w:rsidRPr="00A1718C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22FF0" w:rsidRPr="00A1718C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B22FF0" w:rsidRPr="00A1718C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22FF0" w:rsidRPr="00A1718C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B22FF0" w:rsidRPr="00A1718C" w:rsidRDefault="00B22FF0" w:rsidP="00B22FF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22FF0" w:rsidRPr="00A1718C" w:rsidTr="006E122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1718C">
              <w:rPr>
                <w:rFonts w:ascii="Arial" w:hAnsi="Arial" w:cs="Arial"/>
                <w:bCs/>
              </w:rPr>
              <w:t>DADOS DO PROJETO</w:t>
            </w:r>
          </w:p>
        </w:tc>
      </w:tr>
      <w:tr w:rsidR="00B22FF0" w:rsidRPr="00A1718C" w:rsidTr="00B22FF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  <w:b/>
              </w:rPr>
            </w:pPr>
            <w:r w:rsidRPr="00A1718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  <w:noProof/>
                <w:color w:val="000000"/>
              </w:rPr>
              <w:t>EOL</w:t>
            </w:r>
            <w:r w:rsidRPr="00A1718C">
              <w:rPr>
                <w:rFonts w:ascii="Arial" w:hAnsi="Arial" w:cs="Arial"/>
                <w:color w:val="000000"/>
              </w:rPr>
              <w:t xml:space="preserve"> </w:t>
            </w:r>
            <w:r w:rsidRPr="00A1718C">
              <w:rPr>
                <w:rFonts w:ascii="Arial" w:hAnsi="Arial" w:cs="Arial"/>
                <w:noProof/>
                <w:color w:val="000000"/>
              </w:rPr>
              <w:t xml:space="preserve">Putumuju </w:t>
            </w:r>
            <w:r w:rsidRPr="00A1718C">
              <w:rPr>
                <w:rFonts w:ascii="Arial" w:hAnsi="Arial" w:cs="Arial"/>
              </w:rPr>
              <w:t xml:space="preserve">(Autorizada pela </w:t>
            </w:r>
            <w:r w:rsidRPr="00A1718C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A171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718C">
              <w:rPr>
                <w:rFonts w:ascii="Arial" w:hAnsi="Arial" w:cs="Arial"/>
                <w:noProof/>
                <w:color w:val="000000"/>
              </w:rPr>
              <w:t xml:space="preserve"> 5.127, de 24 de março de 2015</w:t>
            </w:r>
            <w:r w:rsidRPr="00A1718C">
              <w:rPr>
                <w:rFonts w:ascii="Arial" w:hAnsi="Arial" w:cs="Arial"/>
              </w:rPr>
              <w:t>).</w:t>
            </w:r>
          </w:p>
        </w:tc>
      </w:tr>
      <w:tr w:rsidR="00B22FF0" w:rsidRPr="00A1718C" w:rsidTr="00B22FF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 xml:space="preserve">Central Geradora Eólica denominada </w:t>
            </w:r>
            <w:r w:rsidRPr="00A1718C">
              <w:rPr>
                <w:rFonts w:ascii="Arial" w:hAnsi="Arial" w:cs="Arial"/>
                <w:noProof/>
                <w:color w:val="000000"/>
              </w:rPr>
              <w:t>EOL</w:t>
            </w:r>
            <w:r w:rsidRPr="00A1718C">
              <w:rPr>
                <w:rFonts w:ascii="Arial" w:hAnsi="Arial" w:cs="Arial"/>
                <w:color w:val="000000"/>
              </w:rPr>
              <w:t xml:space="preserve"> </w:t>
            </w:r>
            <w:r w:rsidRPr="00A1718C">
              <w:rPr>
                <w:rFonts w:ascii="Arial" w:hAnsi="Arial" w:cs="Arial"/>
                <w:noProof/>
                <w:color w:val="000000"/>
              </w:rPr>
              <w:t>Putumuju</w:t>
            </w:r>
            <w:r w:rsidRPr="00A1718C">
              <w:rPr>
                <w:rFonts w:ascii="Arial" w:hAnsi="Arial" w:cs="Arial"/>
              </w:rPr>
              <w:t>, compreendendo:</w:t>
            </w:r>
          </w:p>
        </w:tc>
      </w:tr>
      <w:tr w:rsidR="00B22FF0" w:rsidRPr="00A1718C" w:rsidTr="00B22FF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 xml:space="preserve">I - </w:t>
            </w:r>
            <w:proofErr w:type="gramStart"/>
            <w:r w:rsidRPr="00A1718C">
              <w:rPr>
                <w:rFonts w:ascii="Arial" w:hAnsi="Arial" w:cs="Arial"/>
                <w:color w:val="000000"/>
              </w:rPr>
              <w:t>quatro</w:t>
            </w:r>
            <w:proofErr w:type="gramEnd"/>
            <w:r w:rsidRPr="00A1718C">
              <w:rPr>
                <w:rFonts w:ascii="Arial" w:hAnsi="Arial" w:cs="Arial"/>
                <w:color w:val="000000"/>
              </w:rPr>
              <w:t xml:space="preserve"> Unidades Geradoras de 3.000 kW e uma Unidade Geradora de 2.700 kW, totalizando 14.700 kW de capacidade instalada; e</w:t>
            </w:r>
          </w:p>
        </w:tc>
      </w:tr>
      <w:tr w:rsidR="00B22FF0" w:rsidRPr="00A1718C" w:rsidTr="00B22FF0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pStyle w:val="Default"/>
              <w:jc w:val="both"/>
            </w:pPr>
            <w:r w:rsidRPr="00A1718C">
              <w:t xml:space="preserve">II - Sistema de Transmissão de Interesse Restrito, constituído de uma Subestação Coletora A11.2, 34,5/230 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A1718C">
              <w:t>Putumuju</w:t>
            </w:r>
            <w:proofErr w:type="spellEnd"/>
            <w:r w:rsidRPr="00A1718C">
              <w:t xml:space="preserve">, EOL Ipê Amarelo, EOL Cabeça de Frade, EOL Carrancudo, EOL Alcaçuz, EOL </w:t>
            </w:r>
            <w:proofErr w:type="spellStart"/>
            <w:r w:rsidRPr="00A1718C">
              <w:t>Canjoão</w:t>
            </w:r>
            <w:proofErr w:type="spellEnd"/>
            <w:r w:rsidRPr="00A1718C">
              <w:t xml:space="preserve">, EOL Cansanção, EOL Juazeiro, EOL Jataí, EOL </w:t>
            </w:r>
            <w:proofErr w:type="spellStart"/>
            <w:r w:rsidRPr="00A1718C">
              <w:t>Caliandra</w:t>
            </w:r>
            <w:proofErr w:type="spellEnd"/>
            <w:r w:rsidRPr="00A1718C">
              <w:t xml:space="preserve">, EOL Barbatimão e EOL </w:t>
            </w:r>
            <w:proofErr w:type="spellStart"/>
            <w:r w:rsidRPr="00A1718C">
              <w:t>Amescla</w:t>
            </w:r>
            <w:proofErr w:type="spellEnd"/>
            <w:r w:rsidRPr="00A1718C">
              <w:t xml:space="preserve">,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</w:t>
            </w:r>
            <w:proofErr w:type="spellStart"/>
            <w:r w:rsidRPr="00A1718C">
              <w:t>Putumuju</w:t>
            </w:r>
            <w:proofErr w:type="spellEnd"/>
            <w:r w:rsidRPr="00A1718C">
              <w:t xml:space="preserve">, EOL Ipê Amarelo, EOL Cabeça de Frade, EOL Carrancudo, EOL Alcaçuz, EOL </w:t>
            </w:r>
            <w:proofErr w:type="spellStart"/>
            <w:r w:rsidRPr="00A1718C">
              <w:t>Canjoão</w:t>
            </w:r>
            <w:proofErr w:type="spellEnd"/>
            <w:r w:rsidRPr="00A1718C">
              <w:t xml:space="preserve">, EOL Cansanção, EOL Juazeiro, EOL Jataí, EOL </w:t>
            </w:r>
            <w:proofErr w:type="spellStart"/>
            <w:r w:rsidRPr="00A1718C">
              <w:t>Caliandra</w:t>
            </w:r>
            <w:proofErr w:type="spellEnd"/>
            <w:r w:rsidRPr="00A1718C">
              <w:t xml:space="preserve">, EOL Barbatimão e EOL </w:t>
            </w:r>
            <w:proofErr w:type="spellStart"/>
            <w:r w:rsidRPr="00A1718C">
              <w:t>Amescla</w:t>
            </w:r>
            <w:proofErr w:type="spellEnd"/>
            <w:r w:rsidRPr="00A1718C">
              <w:t>.</w:t>
            </w:r>
          </w:p>
        </w:tc>
      </w:tr>
      <w:tr w:rsidR="00B22FF0" w:rsidRPr="00A1718C" w:rsidTr="00B22FF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De 25/10/2015 a 2/12/2016.</w:t>
            </w:r>
          </w:p>
        </w:tc>
      </w:tr>
      <w:tr w:rsidR="00B22FF0" w:rsidRPr="00A1718C" w:rsidTr="00B22FF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rPr>
                <w:rFonts w:ascii="Arial" w:hAnsi="Arial" w:cs="Arial"/>
              </w:rPr>
            </w:pPr>
            <w:r w:rsidRPr="00A1718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Município de </w:t>
            </w:r>
            <w:r w:rsidRPr="00A1718C">
              <w:rPr>
                <w:rFonts w:ascii="Arial" w:hAnsi="Arial" w:cs="Arial"/>
                <w:noProof/>
                <w:color w:val="000000"/>
              </w:rPr>
              <w:t>Igaporã</w:t>
            </w:r>
            <w:r w:rsidRPr="00A1718C">
              <w:rPr>
                <w:rFonts w:ascii="Arial" w:hAnsi="Arial" w:cs="Arial"/>
                <w:color w:val="000000"/>
              </w:rPr>
              <w:t xml:space="preserve">, Estado da </w:t>
            </w:r>
            <w:r w:rsidRPr="00A1718C">
              <w:rPr>
                <w:rFonts w:ascii="Arial" w:hAnsi="Arial" w:cs="Arial"/>
                <w:noProof/>
                <w:color w:val="000000"/>
              </w:rPr>
              <w:t>Bahia</w:t>
            </w:r>
            <w:r w:rsidRPr="00A1718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22FF0" w:rsidRPr="00A1718C" w:rsidRDefault="00B22FF0" w:rsidP="00B22FF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22FF0" w:rsidRPr="00A1718C" w:rsidTr="006E1227">
        <w:tc>
          <w:tcPr>
            <w:tcW w:w="432" w:type="dxa"/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</w:rPr>
              <w:t>REPRESENTANTE</w:t>
            </w:r>
            <w:r w:rsidRPr="00A1718C">
              <w:rPr>
                <w:rFonts w:ascii="Arial" w:hAnsi="Arial" w:cs="Arial"/>
                <w:bCs/>
                <w:color w:val="000000"/>
              </w:rPr>
              <w:t>, RESPONSÁVEL TÉCNICO E CONTADOR DA PESSOA JURÍDICA</w:t>
            </w:r>
          </w:p>
        </w:tc>
      </w:tr>
      <w:tr w:rsidR="00B22FF0" w:rsidRPr="00A1718C" w:rsidTr="006E1227">
        <w:trPr>
          <w:trHeight w:val="191"/>
        </w:trPr>
        <w:tc>
          <w:tcPr>
            <w:tcW w:w="6991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A1718C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A1718C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B22FF0" w:rsidRPr="00A1718C" w:rsidTr="006E122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F0" w:rsidRPr="00A1718C" w:rsidRDefault="00B22FF0" w:rsidP="006E1227">
            <w:pPr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B22FF0" w:rsidRPr="00A1718C" w:rsidTr="006E122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F0" w:rsidRPr="00A1718C" w:rsidRDefault="00B22FF0" w:rsidP="006E1227">
            <w:pPr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B22FF0" w:rsidRPr="00A1718C" w:rsidRDefault="00B22FF0" w:rsidP="00B22FF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22FF0" w:rsidRPr="00A1718C" w:rsidTr="006E1227">
        <w:tc>
          <w:tcPr>
            <w:tcW w:w="432" w:type="dxa"/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22FF0" w:rsidRPr="00A1718C" w:rsidTr="006E1227">
        <w:trPr>
          <w:trHeight w:val="113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49.907.412,11.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103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15.816.670,17.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108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22FF0" w:rsidRPr="00A1718C" w:rsidRDefault="00B22FF0" w:rsidP="006E1227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42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1718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b/>
                <w:color w:val="000000"/>
              </w:rPr>
              <w:t>65.724.082,28</w:t>
            </w:r>
            <w:r w:rsidRPr="00A1718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22FF0" w:rsidRPr="00A1718C" w:rsidRDefault="00B22FF0" w:rsidP="006E1227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22FF0" w:rsidRPr="00A1718C" w:rsidRDefault="00B22FF0" w:rsidP="00B22FF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22FF0" w:rsidRPr="00A1718C" w:rsidTr="006E1227">
        <w:tc>
          <w:tcPr>
            <w:tcW w:w="432" w:type="dxa"/>
          </w:tcPr>
          <w:p w:rsidR="00B22FF0" w:rsidRPr="00A1718C" w:rsidRDefault="00B22FF0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22FF0" w:rsidRPr="00A1718C" w:rsidRDefault="00B22FF0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718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22FF0" w:rsidRPr="00A1718C" w:rsidTr="006E1227">
        <w:trPr>
          <w:trHeight w:val="125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45.290.976,49.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116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14.449.411,93.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119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  <w:r w:rsidRPr="00A1718C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22FF0" w:rsidRPr="00A1718C" w:rsidRDefault="00B22FF0" w:rsidP="006E1227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FF0" w:rsidRPr="00A1718C" w:rsidTr="006E1227">
        <w:trPr>
          <w:trHeight w:val="42"/>
        </w:trPr>
        <w:tc>
          <w:tcPr>
            <w:tcW w:w="1418" w:type="dxa"/>
            <w:gridSpan w:val="2"/>
          </w:tcPr>
          <w:p w:rsidR="00B22FF0" w:rsidRPr="00A1718C" w:rsidRDefault="00B22FF0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1718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b/>
                <w:color w:val="000000"/>
              </w:rPr>
            </w:pPr>
            <w:r w:rsidRPr="00A1718C">
              <w:rPr>
                <w:rFonts w:ascii="Arial" w:hAnsi="Arial" w:cs="Arial"/>
                <w:b/>
                <w:color w:val="000000"/>
              </w:rPr>
              <w:t>59.740.388,42</w:t>
            </w:r>
            <w:r w:rsidRPr="00A1718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22FF0" w:rsidRPr="00A1718C" w:rsidRDefault="00B22FF0" w:rsidP="006E1227">
            <w:pPr>
              <w:ind w:firstLine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22FF0" w:rsidRPr="00A1718C" w:rsidRDefault="00B22FF0" w:rsidP="00B22FF0">
      <w:pPr>
        <w:rPr>
          <w:rFonts w:ascii="Arial" w:hAnsi="Arial" w:cs="Arial"/>
        </w:rPr>
      </w:pPr>
    </w:p>
    <w:sectPr w:rsidR="00B22FF0" w:rsidRPr="00A1718C" w:rsidSect="00404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B24ED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B24ED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B24E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B22FF0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B24ED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2FF0" w:rsidRDefault="00B24EDB" w:rsidP="00770886">
    <w:pPr>
      <w:pStyle w:val="Cabealho"/>
      <w:jc w:val="right"/>
      <w:rPr>
        <w:rFonts w:ascii="Arial" w:hAnsi="Arial" w:cs="Arial"/>
      </w:rPr>
    </w:pPr>
    <w:r w:rsidRPr="00B22FF0">
      <w:rPr>
        <w:rFonts w:ascii="Arial" w:hAnsi="Arial" w:cs="Arial"/>
      </w:rPr>
      <w:t xml:space="preserve">Anexo à Portaria SPE/MME </w:t>
    </w:r>
    <w:proofErr w:type="gramStart"/>
    <w:r w:rsidRPr="00B22FF0">
      <w:rPr>
        <w:rFonts w:ascii="Arial" w:hAnsi="Arial" w:cs="Arial"/>
      </w:rPr>
      <w:t>n</w:t>
    </w:r>
    <w:r w:rsidRPr="00B22FF0">
      <w:rPr>
        <w:rFonts w:ascii="Arial" w:hAnsi="Arial" w:cs="Arial"/>
        <w:u w:val="words"/>
        <w:vertAlign w:val="superscript"/>
      </w:rPr>
      <w:t>o</w:t>
    </w:r>
    <w:r w:rsidRPr="00B22FF0">
      <w:rPr>
        <w:rFonts w:ascii="Arial" w:hAnsi="Arial" w:cs="Arial"/>
      </w:rPr>
      <w:t xml:space="preserve">  </w:t>
    </w:r>
    <w:r w:rsidR="00B22FF0">
      <w:rPr>
        <w:rFonts w:ascii="Arial" w:hAnsi="Arial" w:cs="Arial"/>
      </w:rPr>
      <w:t>227</w:t>
    </w:r>
    <w:proofErr w:type="gramEnd"/>
    <w:r w:rsidRPr="00B22FF0">
      <w:rPr>
        <w:rFonts w:ascii="Arial" w:hAnsi="Arial" w:cs="Arial"/>
      </w:rPr>
      <w:t>,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>10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 xml:space="preserve">julho </w:t>
    </w:r>
    <w:r w:rsidRPr="00B22FF0">
      <w:rPr>
        <w:rFonts w:ascii="Arial" w:hAnsi="Arial" w:cs="Arial"/>
      </w:rPr>
      <w:t>de 201</w:t>
    </w:r>
    <w:r w:rsidRPr="00B22FF0">
      <w:rPr>
        <w:rFonts w:ascii="Arial" w:hAnsi="Arial" w:cs="Arial"/>
      </w:rPr>
      <w:t>5</w:t>
    </w:r>
    <w:r w:rsidRPr="00B22FF0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B22FF0">
          <w:rPr>
            <w:rFonts w:ascii="Arial" w:hAnsi="Arial" w:cs="Arial"/>
          </w:rPr>
          <w:fldChar w:fldCharType="begin"/>
        </w:r>
        <w:r w:rsidRPr="00B22FF0">
          <w:rPr>
            <w:rFonts w:ascii="Arial" w:hAnsi="Arial" w:cs="Arial"/>
          </w:rPr>
          <w:instrText>PAGE   \* MERGEFORMAT</w:instrText>
        </w:r>
        <w:r w:rsidRPr="00B22FF0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B22FF0">
          <w:rPr>
            <w:rFonts w:ascii="Arial" w:hAnsi="Arial" w:cs="Arial"/>
          </w:rPr>
          <w:fldChar w:fldCharType="end"/>
        </w:r>
      </w:sdtContent>
    </w:sdt>
  </w:p>
  <w:p w:rsidR="00334F54" w:rsidRDefault="00B24EDB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4EDB" w:rsidRDefault="00B24EDB" w:rsidP="00E0209E">
    <w:pPr>
      <w:pStyle w:val="Cabealho"/>
      <w:jc w:val="right"/>
      <w:rPr>
        <w:rStyle w:val="Nmerodepgina"/>
        <w:rFonts w:ascii="Arial" w:hAnsi="Arial" w:cs="Arial"/>
      </w:rPr>
    </w:pPr>
    <w:r w:rsidRPr="00B24EDB">
      <w:rPr>
        <w:rFonts w:ascii="Arial" w:hAnsi="Arial" w:cs="Arial"/>
      </w:rPr>
      <w:t xml:space="preserve">Anexo à </w:t>
    </w:r>
    <w:r w:rsidRPr="00B24EDB">
      <w:rPr>
        <w:rFonts w:ascii="Arial" w:hAnsi="Arial" w:cs="Arial"/>
      </w:rPr>
      <w:t xml:space="preserve">Portaria </w:t>
    </w:r>
    <w:r w:rsidRPr="00B24EDB">
      <w:rPr>
        <w:rFonts w:ascii="Arial" w:hAnsi="Arial" w:cs="Arial"/>
      </w:rPr>
      <w:t xml:space="preserve">SPE/MME </w:t>
    </w:r>
    <w:proofErr w:type="gramStart"/>
    <w:r w:rsidRPr="00B24EDB">
      <w:rPr>
        <w:rFonts w:ascii="Arial" w:hAnsi="Arial" w:cs="Arial"/>
      </w:rPr>
      <w:t>n</w:t>
    </w:r>
    <w:r w:rsidRPr="00B24EDB">
      <w:rPr>
        <w:rFonts w:ascii="Arial" w:hAnsi="Arial" w:cs="Arial"/>
        <w:u w:val="words"/>
        <w:vertAlign w:val="superscript"/>
      </w:rPr>
      <w:t>o</w:t>
    </w:r>
    <w:r w:rsidRPr="00B24EDB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227</w:t>
    </w:r>
    <w:proofErr w:type="gramEnd"/>
    <w:r w:rsidRPr="00B24EDB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10 </w:t>
    </w:r>
    <w:r w:rsidRPr="00B24EDB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julho </w:t>
    </w:r>
    <w:r w:rsidRPr="00B24EDB">
      <w:rPr>
        <w:rFonts w:ascii="Arial" w:hAnsi="Arial" w:cs="Arial"/>
      </w:rPr>
      <w:t>de 201</w:t>
    </w:r>
    <w:r w:rsidRPr="00B24EDB">
      <w:rPr>
        <w:rFonts w:ascii="Arial" w:hAnsi="Arial" w:cs="Arial"/>
      </w:rPr>
      <w:t>5</w:t>
    </w:r>
    <w:r w:rsidRPr="00B24EDB">
      <w:rPr>
        <w:rFonts w:ascii="Arial" w:hAnsi="Arial" w:cs="Arial"/>
      </w:rPr>
      <w:t xml:space="preserve"> - fl. </w:t>
    </w:r>
    <w:r w:rsidRPr="00B24EDB">
      <w:rPr>
        <w:rStyle w:val="Nmerodepgina"/>
        <w:rFonts w:ascii="Arial" w:hAnsi="Arial" w:cs="Arial"/>
      </w:rPr>
      <w:fldChar w:fldCharType="begin"/>
    </w:r>
    <w:r w:rsidRPr="00B24EDB">
      <w:rPr>
        <w:rStyle w:val="Nmerodepgina"/>
        <w:rFonts w:ascii="Arial" w:hAnsi="Arial" w:cs="Arial"/>
      </w:rPr>
      <w:instrText xml:space="preserve"> PAGE </w:instrText>
    </w:r>
    <w:r w:rsidRPr="00B24EDB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B24EDB">
      <w:rPr>
        <w:rStyle w:val="Nmerodepgina"/>
        <w:rFonts w:ascii="Arial" w:hAnsi="Arial" w:cs="Arial"/>
      </w:rPr>
      <w:fldChar w:fldCharType="end"/>
    </w:r>
  </w:p>
  <w:p w:rsidR="00334F54" w:rsidRPr="00E620C1" w:rsidRDefault="00B24EDB" w:rsidP="00E0209E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2947-CA61-41DA-B684-70CE7715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3</cp:revision>
  <cp:lastPrinted>2015-07-17T14:35:00Z</cp:lastPrinted>
  <dcterms:created xsi:type="dcterms:W3CDTF">2015-07-17T16:45:00Z</dcterms:created>
  <dcterms:modified xsi:type="dcterms:W3CDTF">2015-07-17T16:46:00Z</dcterms:modified>
</cp:coreProperties>
</file>