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A9445B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</w:t>
      </w:r>
      <w:r w:rsidR="00DC0F73">
        <w:rPr>
          <w:rFonts w:ascii="Arial" w:hAnsi="Arial" w:cs="Arial"/>
          <w:b/>
          <w:bCs/>
          <w:color w:val="000080"/>
        </w:rPr>
        <w:t>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9445B" w:rsidRPr="000C0C51" w:rsidRDefault="00A9445B" w:rsidP="00A9445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C0C51">
        <w:rPr>
          <w:rFonts w:ascii="Arial" w:hAnsi="Arial" w:cs="Arial"/>
          <w:color w:val="000000"/>
        </w:rPr>
        <w:t>, no uso da competência que lhe foi delegada pelo art. 1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da Portaria MME </w:t>
      </w:r>
      <w:proofErr w:type="gramStart"/>
      <w:r w:rsidRPr="000C0C51">
        <w:rPr>
          <w:rFonts w:ascii="Arial" w:hAnsi="Arial" w:cs="Arial"/>
          <w:color w:val="000000"/>
        </w:rPr>
        <w:t>n</w:t>
      </w:r>
      <w:r w:rsidRPr="000C0C51">
        <w:rPr>
          <w:rFonts w:ascii="Arial" w:hAnsi="Arial" w:cs="Arial"/>
          <w:color w:val="000000"/>
          <w:u w:val="words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440</w:t>
      </w:r>
      <w:proofErr w:type="gramEnd"/>
      <w:r w:rsidRPr="000C0C51">
        <w:rPr>
          <w:rFonts w:ascii="Arial" w:hAnsi="Arial" w:cs="Arial"/>
          <w:color w:val="000000"/>
        </w:rPr>
        <w:t>, de 20 de julho de 2012, tendo em vista o disposto no art. 6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do Decreto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6.144, de 3 de julho de </w:t>
      </w:r>
      <w:r w:rsidRPr="000C0C51">
        <w:rPr>
          <w:rFonts w:ascii="Arial" w:hAnsi="Arial" w:cs="Arial"/>
        </w:rPr>
        <w:t xml:space="preserve">2007, </w:t>
      </w:r>
      <w:r w:rsidRPr="000C0C51">
        <w:rPr>
          <w:rFonts w:ascii="Arial" w:hAnsi="Arial" w:cs="Arial"/>
          <w:color w:val="000000"/>
        </w:rPr>
        <w:t>no art. 4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da Portaria MME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310, de 12 de setembro de 2013, e o que consta do Processo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</w:t>
      </w:r>
      <w:r w:rsidRPr="000C0C51">
        <w:rPr>
          <w:rFonts w:ascii="Arial" w:hAnsi="Arial" w:cs="Arial"/>
          <w:noProof/>
          <w:color w:val="000000"/>
        </w:rPr>
        <w:t>48500.004518/2014-11</w:t>
      </w:r>
      <w:r w:rsidRPr="000C0C51">
        <w:rPr>
          <w:rFonts w:ascii="Arial" w:hAnsi="Arial" w:cs="Arial"/>
        </w:rPr>
        <w:t>, resolve:</w:t>
      </w:r>
    </w:p>
    <w:p w:rsidR="00A9445B" w:rsidRPr="000C0C51" w:rsidRDefault="00A9445B" w:rsidP="00A9445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45B" w:rsidRPr="000C0C51" w:rsidRDefault="00A9445B" w:rsidP="00A9445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>Art. 1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0C0C51">
        <w:rPr>
          <w:rFonts w:ascii="Arial" w:hAnsi="Arial" w:cs="Arial"/>
          <w:noProof/>
          <w:color w:val="000000"/>
        </w:rPr>
        <w:t>Pequena Central Hidrelétrica</w:t>
      </w:r>
      <w:r w:rsidRPr="000C0C51">
        <w:rPr>
          <w:rFonts w:ascii="Arial" w:hAnsi="Arial" w:cs="Arial"/>
          <w:color w:val="000000"/>
        </w:rPr>
        <w:t xml:space="preserve"> denominada </w:t>
      </w:r>
      <w:r w:rsidRPr="000C0C51">
        <w:rPr>
          <w:rFonts w:ascii="Arial" w:hAnsi="Arial" w:cs="Arial"/>
          <w:noProof/>
          <w:color w:val="000000"/>
        </w:rPr>
        <w:t>PCH</w:t>
      </w:r>
      <w:r w:rsidRPr="000C0C51">
        <w:rPr>
          <w:rFonts w:ascii="Arial" w:hAnsi="Arial" w:cs="Arial"/>
          <w:color w:val="000000"/>
        </w:rPr>
        <w:t xml:space="preserve"> </w:t>
      </w:r>
      <w:r w:rsidRPr="000C0C51">
        <w:rPr>
          <w:rFonts w:ascii="Arial" w:hAnsi="Arial" w:cs="Arial"/>
          <w:noProof/>
          <w:color w:val="000000"/>
        </w:rPr>
        <w:t>Verde 4A</w:t>
      </w:r>
      <w:r w:rsidRPr="000C0C51">
        <w:rPr>
          <w:rFonts w:ascii="Arial" w:hAnsi="Arial" w:cs="Arial"/>
          <w:color w:val="000000"/>
        </w:rPr>
        <w:t xml:space="preserve">, </w:t>
      </w:r>
      <w:r w:rsidRPr="000C0C51">
        <w:rPr>
          <w:rFonts w:ascii="Arial" w:hAnsi="Arial" w:cs="Arial"/>
        </w:rPr>
        <w:t xml:space="preserve">cadastrada com o Código Único do Empreendimento de Geração - CEG: </w:t>
      </w:r>
      <w:proofErr w:type="gramStart"/>
      <w:r w:rsidRPr="000C0C51">
        <w:rPr>
          <w:rFonts w:ascii="Arial" w:hAnsi="Arial" w:cs="Arial"/>
          <w:color w:val="000000"/>
        </w:rPr>
        <w:t>PCH.</w:t>
      </w:r>
      <w:proofErr w:type="gramEnd"/>
      <w:r w:rsidRPr="000C0C51">
        <w:rPr>
          <w:rFonts w:ascii="Arial" w:hAnsi="Arial" w:cs="Arial"/>
          <w:color w:val="000000"/>
        </w:rPr>
        <w:t xml:space="preserve">PH.MS.029261-3.01, </w:t>
      </w:r>
      <w:r w:rsidRPr="000C0C51">
        <w:rPr>
          <w:rFonts w:ascii="Arial" w:hAnsi="Arial" w:cs="Arial"/>
        </w:rPr>
        <w:t xml:space="preserve">de </w:t>
      </w:r>
      <w:r w:rsidRPr="000C0C51">
        <w:rPr>
          <w:rFonts w:ascii="Arial" w:hAnsi="Arial" w:cs="Arial"/>
          <w:color w:val="000000"/>
        </w:rPr>
        <w:t xml:space="preserve">titularidade da </w:t>
      </w:r>
      <w:r w:rsidRPr="000C0C51">
        <w:rPr>
          <w:rFonts w:ascii="Arial" w:hAnsi="Arial" w:cs="Arial"/>
        </w:rPr>
        <w:t xml:space="preserve">empresa </w:t>
      </w:r>
      <w:r w:rsidRPr="000C0C51">
        <w:rPr>
          <w:rFonts w:ascii="Arial" w:hAnsi="Arial" w:cs="Arial"/>
          <w:noProof/>
          <w:color w:val="000000"/>
        </w:rPr>
        <w:t>Phoenix Geração de Energia S.A.</w:t>
      </w:r>
      <w:r w:rsidRPr="000C0C51">
        <w:rPr>
          <w:rFonts w:ascii="Arial" w:hAnsi="Arial" w:cs="Arial"/>
        </w:rPr>
        <w:t xml:space="preserve">, </w:t>
      </w:r>
      <w:r w:rsidRPr="000C0C51">
        <w:rPr>
          <w:rFonts w:ascii="Arial" w:hAnsi="Arial" w:cs="Arial"/>
          <w:color w:val="000000"/>
        </w:rPr>
        <w:t>inscrita no CNPJ/MF sob o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> </w:t>
      </w:r>
      <w:r w:rsidRPr="000C0C51">
        <w:rPr>
          <w:rFonts w:ascii="Arial" w:hAnsi="Arial" w:cs="Arial"/>
          <w:noProof/>
          <w:color w:val="000000"/>
        </w:rPr>
        <w:t>11.150.969/0001-65</w:t>
      </w:r>
      <w:r w:rsidRPr="000C0C51">
        <w:rPr>
          <w:rFonts w:ascii="Arial" w:hAnsi="Arial" w:cs="Arial"/>
          <w:color w:val="000000"/>
        </w:rPr>
        <w:t xml:space="preserve">, </w:t>
      </w:r>
      <w:r w:rsidRPr="000C0C51">
        <w:rPr>
          <w:rFonts w:ascii="Arial" w:hAnsi="Arial" w:cs="Arial"/>
        </w:rPr>
        <w:t>detalhado no Anexo à presente Portaria.</w:t>
      </w:r>
    </w:p>
    <w:p w:rsidR="00A9445B" w:rsidRPr="000C0C51" w:rsidRDefault="00A9445B" w:rsidP="00A9445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9445B" w:rsidRPr="000C0C51" w:rsidRDefault="00A9445B" w:rsidP="00A944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 xml:space="preserve">Parágrafo único. O projeto de que trata o </w:t>
      </w:r>
      <w:r w:rsidRPr="000C0C51">
        <w:rPr>
          <w:rFonts w:ascii="Arial" w:hAnsi="Arial" w:cs="Arial"/>
          <w:b/>
        </w:rPr>
        <w:t>caput</w:t>
      </w:r>
      <w:r w:rsidRPr="000C0C51">
        <w:rPr>
          <w:rFonts w:ascii="Arial" w:hAnsi="Arial" w:cs="Arial"/>
        </w:rPr>
        <w:t xml:space="preserve">, autorizado por meio da </w:t>
      </w:r>
      <w:r w:rsidRPr="000C0C51">
        <w:rPr>
          <w:rFonts w:ascii="Arial" w:hAnsi="Arial" w:cs="Arial"/>
          <w:noProof/>
          <w:color w:val="000000"/>
        </w:rPr>
        <w:t>Resolução Autorizativa ANEEL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noProof/>
          <w:color w:val="000000"/>
        </w:rPr>
        <w:t xml:space="preserve"> 4.712, de 17 de junho de 2014</w:t>
      </w:r>
      <w:r w:rsidRPr="000C0C51">
        <w:rPr>
          <w:rFonts w:ascii="Arial" w:hAnsi="Arial" w:cs="Arial"/>
          <w:color w:val="000000"/>
        </w:rPr>
        <w:t>, é alcançado pelo art. 1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da Portaria MME </w:t>
      </w:r>
      <w:proofErr w:type="gramStart"/>
      <w:r w:rsidRPr="000C0C51">
        <w:rPr>
          <w:rFonts w:ascii="Arial" w:hAnsi="Arial" w:cs="Arial"/>
          <w:color w:val="000000"/>
        </w:rPr>
        <w:t>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310</w:t>
      </w:r>
      <w:proofErr w:type="gramEnd"/>
      <w:r w:rsidRPr="000C0C51">
        <w:rPr>
          <w:rFonts w:ascii="Arial" w:hAnsi="Arial" w:cs="Arial"/>
          <w:color w:val="000000"/>
        </w:rPr>
        <w:t>, de 12 de setembro de 2013</w:t>
      </w:r>
      <w:r w:rsidRPr="000C0C51">
        <w:rPr>
          <w:rFonts w:ascii="Arial" w:hAnsi="Arial" w:cs="Arial"/>
        </w:rPr>
        <w:t>.</w:t>
      </w:r>
    </w:p>
    <w:p w:rsidR="00A9445B" w:rsidRPr="000C0C51" w:rsidRDefault="00A9445B" w:rsidP="00A944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45B" w:rsidRPr="000C0C51" w:rsidRDefault="00A9445B" w:rsidP="00A944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>Art. 2</w:t>
      </w:r>
      <w:r w:rsidRPr="000C0C51">
        <w:rPr>
          <w:rFonts w:ascii="Arial" w:hAnsi="Arial" w:cs="Arial"/>
          <w:u w:val="single"/>
          <w:vertAlign w:val="superscript"/>
        </w:rPr>
        <w:t>o</w:t>
      </w:r>
      <w:r w:rsidRPr="000C0C51">
        <w:rPr>
          <w:rFonts w:ascii="Arial" w:hAnsi="Arial" w:cs="Arial"/>
        </w:rPr>
        <w:t xml:space="preserve"> As estimativas dos investimentos têm por base o mês de agosto </w:t>
      </w:r>
      <w:r w:rsidRPr="000C0C51">
        <w:rPr>
          <w:rFonts w:ascii="Arial" w:hAnsi="Arial" w:cs="Arial"/>
          <w:noProof/>
          <w:color w:val="000000"/>
        </w:rPr>
        <w:t>de 2014</w:t>
      </w:r>
      <w:r w:rsidRPr="000C0C51">
        <w:rPr>
          <w:rFonts w:ascii="Arial" w:hAnsi="Arial" w:cs="Arial"/>
        </w:rPr>
        <w:t xml:space="preserve"> e são de exclusiva responsabilidade da </w:t>
      </w:r>
      <w:r w:rsidRPr="000C0C51">
        <w:rPr>
          <w:rFonts w:ascii="Arial" w:hAnsi="Arial" w:cs="Arial"/>
          <w:noProof/>
          <w:color w:val="000000"/>
        </w:rPr>
        <w:t>Phoenix Geração de Energia S.A.</w:t>
      </w:r>
      <w:r w:rsidRPr="000C0C51">
        <w:rPr>
          <w:rFonts w:ascii="Arial" w:hAnsi="Arial" w:cs="Arial"/>
        </w:rPr>
        <w:t xml:space="preserve">, cuja razoabilidade foi atestada pela </w:t>
      </w:r>
      <w:r w:rsidRPr="000C0C51">
        <w:rPr>
          <w:rFonts w:ascii="Arial" w:hAnsi="Arial" w:cs="Arial"/>
          <w:color w:val="000000"/>
        </w:rPr>
        <w:t>Empresa de Pesquisa Energética - EPE</w:t>
      </w:r>
      <w:r w:rsidRPr="000C0C51">
        <w:rPr>
          <w:rFonts w:ascii="Arial" w:hAnsi="Arial" w:cs="Arial"/>
        </w:rPr>
        <w:t>.</w:t>
      </w:r>
    </w:p>
    <w:p w:rsidR="00A9445B" w:rsidRPr="000C0C51" w:rsidRDefault="00A9445B" w:rsidP="00A944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>Art. 3</w:t>
      </w:r>
      <w:r w:rsidRPr="000C0C51">
        <w:rPr>
          <w:rFonts w:ascii="Arial" w:hAnsi="Arial" w:cs="Arial"/>
          <w:u w:val="single"/>
          <w:vertAlign w:val="superscript"/>
        </w:rPr>
        <w:t>o</w:t>
      </w:r>
      <w:r w:rsidRPr="000C0C51">
        <w:rPr>
          <w:rFonts w:ascii="Arial" w:hAnsi="Arial" w:cs="Arial"/>
        </w:rPr>
        <w:t xml:space="preserve"> A </w:t>
      </w:r>
      <w:r w:rsidRPr="000C0C51">
        <w:rPr>
          <w:rFonts w:ascii="Arial" w:hAnsi="Arial" w:cs="Arial"/>
          <w:noProof/>
          <w:color w:val="000000"/>
        </w:rPr>
        <w:t xml:space="preserve">Phoenix Geração de Energia S.A. </w:t>
      </w:r>
      <w:r w:rsidRPr="000C0C5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445B" w:rsidRPr="000C0C51" w:rsidRDefault="00A9445B" w:rsidP="00A9445B">
      <w:pPr>
        <w:pStyle w:val="PargrafodaLista"/>
        <w:tabs>
          <w:tab w:val="left" w:pos="1418"/>
        </w:tabs>
        <w:ind w:left="0" w:firstLine="1134"/>
        <w:jc w:val="both"/>
        <w:rPr>
          <w:rFonts w:ascii="Arial" w:hAnsi="Arial" w:cs="Arial"/>
          <w:color w:val="000000"/>
        </w:rPr>
      </w:pPr>
      <w:r w:rsidRPr="000C0C51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0C0C51">
        <w:rPr>
          <w:rFonts w:ascii="Arial" w:hAnsi="Arial" w:cs="Arial"/>
          <w:color w:val="000000"/>
        </w:rPr>
        <w:t>à</w:t>
      </w:r>
      <w:proofErr w:type="gramEnd"/>
      <w:r w:rsidRPr="000C0C51">
        <w:rPr>
          <w:rFonts w:ascii="Arial" w:hAnsi="Arial" w:cs="Arial"/>
          <w:color w:val="000000"/>
        </w:rPr>
        <w:t xml:space="preserve"> presente Portaria foi informado pela Phoenix Geração de Energia S.A. e deve ser considerado unicamente para fins do enquadramento do projeto no REIDI, não eximindo esta empresa do compromisso com o Prazo de Conclusão da Obra estipulado na Resolução Autorizativa ANEEL n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4.964, de 2 de dezembro de 2014.</w:t>
      </w: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>Art. 4</w:t>
      </w:r>
      <w:r w:rsidRPr="000C0C51">
        <w:rPr>
          <w:rFonts w:ascii="Arial" w:hAnsi="Arial" w:cs="Arial"/>
          <w:u w:val="single"/>
          <w:vertAlign w:val="superscript"/>
        </w:rPr>
        <w:t>o</w:t>
      </w:r>
      <w:r w:rsidRPr="000C0C5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0C51">
        <w:rPr>
          <w:rFonts w:ascii="Arial" w:hAnsi="Arial" w:cs="Arial"/>
        </w:rPr>
        <w:t>Art. 5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0C51">
        <w:rPr>
          <w:rFonts w:ascii="Arial" w:hAnsi="Arial" w:cs="Arial"/>
          <w:color w:val="000000"/>
        </w:rPr>
        <w:t>Art. 6</w:t>
      </w:r>
      <w:r w:rsidRPr="000C0C51">
        <w:rPr>
          <w:rFonts w:ascii="Arial" w:hAnsi="Arial" w:cs="Arial"/>
          <w:color w:val="000000"/>
          <w:u w:val="single"/>
          <w:vertAlign w:val="superscript"/>
        </w:rPr>
        <w:t>o</w:t>
      </w:r>
      <w:r w:rsidRPr="000C0C5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DC0F73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9445B" w:rsidRPr="000C0C51" w:rsidRDefault="00A9445B" w:rsidP="00A9445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C0C51">
        <w:rPr>
          <w:rFonts w:ascii="Arial" w:hAnsi="Arial" w:cs="Arial"/>
          <w:b/>
          <w:color w:val="000000"/>
        </w:rPr>
        <w:t>ANEXO</w:t>
      </w:r>
    </w:p>
    <w:p w:rsidR="00A9445B" w:rsidRPr="000C0C51" w:rsidRDefault="00A9445B" w:rsidP="00A9445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445B" w:rsidRPr="000C0C51" w:rsidTr="006374B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45B" w:rsidRPr="000C0C51" w:rsidRDefault="00A9445B" w:rsidP="006374B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C0C5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9445B" w:rsidRPr="000C0C51" w:rsidRDefault="00A9445B" w:rsidP="00A9445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445B" w:rsidRPr="000C0C51" w:rsidTr="006374B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45B" w:rsidRPr="000C0C51" w:rsidRDefault="00A9445B" w:rsidP="006374B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C0C5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9445B" w:rsidRPr="000C0C51" w:rsidRDefault="00A9445B" w:rsidP="00A9445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9445B" w:rsidRPr="000C0C51" w:rsidTr="006374B4">
        <w:tc>
          <w:tcPr>
            <w:tcW w:w="10348" w:type="dxa"/>
            <w:gridSpan w:val="6"/>
            <w:vAlign w:val="center"/>
          </w:tcPr>
          <w:p w:rsidR="00A9445B" w:rsidRPr="000C0C51" w:rsidRDefault="00A9445B" w:rsidP="006374B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9445B" w:rsidRPr="000C0C51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9445B" w:rsidRPr="000C0C51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noProof/>
                <w:color w:val="000000"/>
              </w:rPr>
              <w:t>Phoenix Geração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9445B" w:rsidRPr="000C0C51" w:rsidRDefault="00A9445B" w:rsidP="006374B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noProof/>
                <w:color w:val="000000"/>
              </w:rPr>
              <w:t>11.150.969/0001-65</w:t>
            </w:r>
          </w:p>
        </w:tc>
      </w:tr>
      <w:tr w:rsidR="00A9445B" w:rsidRPr="000C0C51" w:rsidTr="006374B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9445B" w:rsidRPr="000C0C51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Alameda Dr.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A9445B" w:rsidRPr="000C0C51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9445B" w:rsidRPr="000C0C51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21</w:t>
            </w:r>
            <w:r w:rsidRPr="000C0C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C0C51">
              <w:rPr>
                <w:rFonts w:ascii="Arial" w:hAnsi="Arial" w:cs="Arial"/>
                <w:color w:val="000000"/>
              </w:rPr>
              <w:t xml:space="preserve"> Andar, Sala 211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A9445B" w:rsidRPr="000C0C51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9445B" w:rsidRPr="000C0C51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Curitiba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(41) 3321-7100</w:t>
            </w:r>
          </w:p>
        </w:tc>
      </w:tr>
    </w:tbl>
    <w:p w:rsidR="00A9445B" w:rsidRPr="000C0C51" w:rsidRDefault="00A9445B" w:rsidP="00A9445B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9445B" w:rsidRPr="000C0C51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0C51">
              <w:rPr>
                <w:rFonts w:ascii="Arial" w:hAnsi="Arial" w:cs="Arial"/>
                <w:bCs/>
              </w:rPr>
              <w:t>DADOS DO PROJETO</w:t>
            </w:r>
          </w:p>
        </w:tc>
      </w:tr>
      <w:tr w:rsidR="00A9445B" w:rsidRPr="000C0C51" w:rsidTr="00A9445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  <w:b/>
              </w:rPr>
            </w:pPr>
            <w:r w:rsidRPr="000C0C5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  <w:noProof/>
                <w:color w:val="000000"/>
              </w:rPr>
              <w:t>PCH</w:t>
            </w:r>
            <w:r w:rsidRPr="000C0C51">
              <w:rPr>
                <w:rFonts w:ascii="Arial" w:hAnsi="Arial" w:cs="Arial"/>
                <w:color w:val="000000"/>
              </w:rPr>
              <w:t xml:space="preserve"> </w:t>
            </w:r>
            <w:r w:rsidRPr="000C0C51">
              <w:rPr>
                <w:rFonts w:ascii="Arial" w:hAnsi="Arial" w:cs="Arial"/>
                <w:noProof/>
                <w:color w:val="000000"/>
              </w:rPr>
              <w:t>Verde 4A</w:t>
            </w:r>
            <w:r w:rsidRPr="000C0C51">
              <w:rPr>
                <w:rFonts w:ascii="Arial" w:hAnsi="Arial" w:cs="Arial"/>
              </w:rPr>
              <w:t xml:space="preserve"> (Autorizada pela </w:t>
            </w:r>
            <w:r w:rsidRPr="000C0C51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0C0C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C0C51">
              <w:rPr>
                <w:rFonts w:ascii="Arial" w:hAnsi="Arial" w:cs="Arial"/>
                <w:noProof/>
                <w:color w:val="000000"/>
              </w:rPr>
              <w:t xml:space="preserve"> 4.712, de 17 de junho de 2014</w:t>
            </w:r>
            <w:r w:rsidRPr="000C0C51">
              <w:rPr>
                <w:rFonts w:ascii="Arial" w:hAnsi="Arial" w:cs="Arial"/>
              </w:rPr>
              <w:t>).</w:t>
            </w:r>
          </w:p>
        </w:tc>
      </w:tr>
      <w:tr w:rsidR="00A9445B" w:rsidRPr="000C0C51" w:rsidTr="00A9445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0C0C51">
              <w:rPr>
                <w:rFonts w:ascii="Arial" w:hAnsi="Arial" w:cs="Arial"/>
                <w:color w:val="000000"/>
              </w:rPr>
              <w:t xml:space="preserve"> denominada </w:t>
            </w:r>
            <w:r w:rsidRPr="000C0C51">
              <w:rPr>
                <w:rFonts w:ascii="Arial" w:hAnsi="Arial" w:cs="Arial"/>
                <w:noProof/>
                <w:color w:val="000000"/>
              </w:rPr>
              <w:t>PCH</w:t>
            </w:r>
            <w:r w:rsidRPr="000C0C51">
              <w:rPr>
                <w:rFonts w:ascii="Arial" w:hAnsi="Arial" w:cs="Arial"/>
                <w:color w:val="000000"/>
              </w:rPr>
              <w:t xml:space="preserve"> </w:t>
            </w:r>
            <w:r w:rsidRPr="000C0C51">
              <w:rPr>
                <w:rFonts w:ascii="Arial" w:hAnsi="Arial" w:cs="Arial"/>
                <w:noProof/>
                <w:color w:val="000000"/>
              </w:rPr>
              <w:t>Verde 4A</w:t>
            </w:r>
            <w:r w:rsidRPr="000C0C51">
              <w:rPr>
                <w:rFonts w:ascii="Arial" w:hAnsi="Arial" w:cs="Arial"/>
              </w:rPr>
              <w:t>, compreendendo:</w:t>
            </w:r>
          </w:p>
        </w:tc>
      </w:tr>
      <w:tr w:rsidR="00A9445B" w:rsidRPr="000C0C51" w:rsidTr="00A9445B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I - duas Unidades Geradoras, totalizando 28.000 </w:t>
            </w:r>
            <w:proofErr w:type="gramStart"/>
            <w:r w:rsidRPr="000C0C5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C0C51">
              <w:rPr>
                <w:rFonts w:ascii="Arial" w:hAnsi="Arial" w:cs="Arial"/>
                <w:color w:val="000000"/>
              </w:rPr>
              <w:t xml:space="preserve"> de capacidade instalada; e </w:t>
            </w:r>
          </w:p>
        </w:tc>
      </w:tr>
      <w:tr w:rsidR="00A9445B" w:rsidRPr="000C0C51" w:rsidTr="00A9445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13,8/138 </w:t>
            </w:r>
            <w:proofErr w:type="gramStart"/>
            <w:r w:rsidRPr="000C0C5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0C0C51">
              <w:rPr>
                <w:rFonts w:ascii="Arial" w:hAnsi="Arial" w:cs="Arial"/>
                <w:color w:val="000000"/>
              </w:rPr>
              <w:t>, e uma Linha de Transmissão de 138 kV, Circuito Simples, com cerca de setenta quilômetros de extensão, interligando a Subestação Elevadora à Subestação da UHE Mimoso, de propriedade da Companhia Energética de Mato Grosso do Sul - ENERSUL.</w:t>
            </w:r>
          </w:p>
        </w:tc>
      </w:tr>
      <w:tr w:rsidR="00A9445B" w:rsidRPr="000C0C51" w:rsidTr="00A9445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De 1</w:t>
            </w:r>
            <w:r w:rsidRPr="000C0C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C0C51">
              <w:rPr>
                <w:rFonts w:ascii="Arial" w:hAnsi="Arial" w:cs="Arial"/>
                <w:color w:val="000000"/>
              </w:rPr>
              <w:t>/1/2015 a 30/4/2017.</w:t>
            </w:r>
          </w:p>
        </w:tc>
      </w:tr>
      <w:tr w:rsidR="00A9445B" w:rsidRPr="000C0C51" w:rsidTr="00A9445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rPr>
                <w:rFonts w:ascii="Arial" w:hAnsi="Arial" w:cs="Arial"/>
              </w:rPr>
            </w:pPr>
            <w:r w:rsidRPr="000C0C51">
              <w:rPr>
                <w:rFonts w:ascii="Arial" w:hAnsi="Arial" w:cs="Arial"/>
              </w:rPr>
              <w:t>Localidade do Projeto [Município(s</w:t>
            </w:r>
            <w:proofErr w:type="gramStart"/>
            <w:r w:rsidRPr="000C0C51">
              <w:rPr>
                <w:rFonts w:ascii="Arial" w:hAnsi="Arial" w:cs="Arial"/>
              </w:rPr>
              <w:t>)</w:t>
            </w:r>
            <w:proofErr w:type="gramEnd"/>
            <w:r w:rsidRPr="000C0C51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</w:rPr>
              <w:t xml:space="preserve">Municípios de </w:t>
            </w:r>
            <w:r w:rsidRPr="000C0C51">
              <w:rPr>
                <w:rFonts w:ascii="Arial" w:hAnsi="Arial" w:cs="Arial"/>
                <w:noProof/>
              </w:rPr>
              <w:t>Ribas do Rio Pardo e de Água Clara</w:t>
            </w:r>
            <w:r w:rsidRPr="000C0C51">
              <w:rPr>
                <w:rFonts w:ascii="Arial" w:hAnsi="Arial" w:cs="Arial"/>
              </w:rPr>
              <w:t xml:space="preserve">, Estado de </w:t>
            </w:r>
            <w:r w:rsidRPr="000C0C51">
              <w:rPr>
                <w:rFonts w:ascii="Arial" w:hAnsi="Arial" w:cs="Arial"/>
                <w:noProof/>
              </w:rPr>
              <w:t>Mato Grosso do Sul</w:t>
            </w:r>
            <w:r w:rsidRPr="000C0C5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9445B" w:rsidRPr="000C0C51" w:rsidRDefault="00A9445B" w:rsidP="00A9445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9445B" w:rsidRPr="000C0C51" w:rsidTr="006374B4">
        <w:tc>
          <w:tcPr>
            <w:tcW w:w="432" w:type="dxa"/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0C0C5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9445B" w:rsidRPr="000C0C51" w:rsidTr="006374B4">
        <w:trPr>
          <w:trHeight w:val="191"/>
        </w:trPr>
        <w:tc>
          <w:tcPr>
            <w:tcW w:w="6991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Nome: Darci Mario Fantin.</w:t>
            </w:r>
          </w:p>
        </w:tc>
        <w:tc>
          <w:tcPr>
            <w:tcW w:w="3357" w:type="dxa"/>
            <w:vAlign w:val="center"/>
          </w:tcPr>
          <w:p w:rsidR="00A9445B" w:rsidRPr="000C0C51" w:rsidRDefault="00A9445B" w:rsidP="006374B4">
            <w:pPr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CPF: 014.572.689-49.</w:t>
            </w:r>
          </w:p>
        </w:tc>
      </w:tr>
      <w:tr w:rsidR="00A9445B" w:rsidRPr="000C0C51" w:rsidTr="006374B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0C0C51">
              <w:rPr>
                <w:rFonts w:ascii="Arial" w:hAnsi="Arial" w:cs="Arial"/>
                <w:color w:val="000000"/>
              </w:rPr>
              <w:t>Maister</w:t>
            </w:r>
            <w:proofErr w:type="spellEnd"/>
            <w:r w:rsidRPr="000C0C51">
              <w:rPr>
                <w:rFonts w:ascii="Arial" w:hAnsi="Arial" w:cs="Arial"/>
                <w:color w:val="000000"/>
              </w:rPr>
              <w:t xml:space="preserve">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5B" w:rsidRPr="000C0C51" w:rsidRDefault="00A9445B" w:rsidP="006374B4">
            <w:pPr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CPF: 317.222.889-49.</w:t>
            </w:r>
          </w:p>
        </w:tc>
      </w:tr>
      <w:tr w:rsidR="00A9445B" w:rsidRPr="000C0C51" w:rsidTr="006374B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Nome: Luis Fernando Mauricio.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5B" w:rsidRPr="000C0C51" w:rsidRDefault="00A9445B" w:rsidP="006374B4">
            <w:pPr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CPF: 456.483.799-00.</w:t>
            </w:r>
          </w:p>
        </w:tc>
      </w:tr>
    </w:tbl>
    <w:p w:rsidR="00A9445B" w:rsidRPr="000C0C51" w:rsidRDefault="00A9445B" w:rsidP="00A9445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9445B" w:rsidRPr="000C0C51" w:rsidTr="006374B4">
        <w:tc>
          <w:tcPr>
            <w:tcW w:w="432" w:type="dxa"/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9445B" w:rsidRPr="000C0C51" w:rsidTr="006374B4">
        <w:trPr>
          <w:trHeight w:val="113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89.050.730,59.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103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104.149.269,41.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108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42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C0C5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b/>
                <w:color w:val="000000"/>
              </w:rPr>
              <w:t>193.200.000,00</w:t>
            </w:r>
            <w:r w:rsidRPr="000C0C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445B" w:rsidRPr="000C0C51" w:rsidRDefault="00A9445B" w:rsidP="00A9445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9445B" w:rsidRPr="000C0C51" w:rsidTr="006374B4">
        <w:tc>
          <w:tcPr>
            <w:tcW w:w="432" w:type="dxa"/>
          </w:tcPr>
          <w:p w:rsidR="00A9445B" w:rsidRPr="000C0C51" w:rsidRDefault="00A9445B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445B" w:rsidRPr="000C0C51" w:rsidRDefault="00A9445B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C0C5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9445B" w:rsidRPr="000C0C51" w:rsidTr="006374B4">
        <w:trPr>
          <w:trHeight w:val="125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83.306.958,47.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116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99.591.821,08.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119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45B" w:rsidRPr="000C0C51" w:rsidTr="006374B4">
        <w:trPr>
          <w:trHeight w:val="42"/>
        </w:trPr>
        <w:tc>
          <w:tcPr>
            <w:tcW w:w="1418" w:type="dxa"/>
            <w:gridSpan w:val="2"/>
          </w:tcPr>
          <w:p w:rsidR="00A9445B" w:rsidRPr="000C0C51" w:rsidRDefault="00A9445B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C0C5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C0C51">
              <w:rPr>
                <w:rFonts w:ascii="Arial" w:hAnsi="Arial" w:cs="Arial"/>
                <w:b/>
                <w:color w:val="000000"/>
              </w:rPr>
              <w:t>182.898.779,55</w:t>
            </w:r>
            <w:r w:rsidRPr="000C0C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9445B" w:rsidRPr="000C0C51" w:rsidRDefault="00A9445B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445B" w:rsidRPr="000C0C51" w:rsidRDefault="00A9445B" w:rsidP="00A9445B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A9445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A9445B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9445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9BFF8-F5E7-4651-AE7C-FA4AB771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2015-02-12T11:05:00Z</dcterms:created>
  <dcterms:modified xsi:type="dcterms:W3CDTF">2015-02-12T11:05:00Z</dcterms:modified>
</cp:coreProperties>
</file>