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E532" w14:textId="438ED227" w:rsidR="00DF2D62" w:rsidRPr="000757BC" w:rsidRDefault="00DF2D62" w:rsidP="0051501D">
      <w:pPr>
        <w:rPr>
          <w:rFonts w:ascii="Segoe UI" w:hAnsi="Segoe UI" w:cs="Segoe UI"/>
          <w:b/>
          <w:color w:val="767171" w:themeColor="background2" w:themeShade="80"/>
        </w:rPr>
      </w:pPr>
    </w:p>
    <w:p w14:paraId="75D0A2ED"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0075049"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139FF9D5"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7B4016C6"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4B6A52F"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4DEBF4A2"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7014CEA7"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948DAC5"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2AFDAC62"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0CAE5E5"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2E2682B" w14:textId="7FEE4285" w:rsidR="00305D18" w:rsidRPr="000757BC" w:rsidRDefault="00AD6537" w:rsidP="00626A7E">
      <w:pPr>
        <w:spacing w:after="0" w:line="240" w:lineRule="auto"/>
        <w:jc w:val="center"/>
        <w:rPr>
          <w:rFonts w:ascii="Segoe UI" w:hAnsi="Segoe UI" w:cs="Segoe UI"/>
          <w:b/>
          <w:color w:val="767171" w:themeColor="background2" w:themeShade="80"/>
        </w:rPr>
      </w:pPr>
      <w:r w:rsidRPr="000757BC">
        <w:rPr>
          <w:rFonts w:ascii="Segoe UI" w:hAnsi="Segoe UI" w:cs="Segoe UI"/>
          <w:noProof/>
          <w:lang w:eastAsia="pt-BR"/>
        </w:rPr>
        <w:drawing>
          <wp:inline distT="0" distB="0" distL="0" distR="0" wp14:anchorId="3D6D3382" wp14:editId="215DC8F6">
            <wp:extent cx="3124200" cy="977454"/>
            <wp:effectExtent l="0" t="0" r="0" b="0"/>
            <wp:docPr id="3" name="Picture 3"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pic:nvPicPr>
                  <pic:blipFill>
                    <a:blip r:embed="rId11"/>
                    <a:stretch>
                      <a:fillRect/>
                    </a:stretch>
                  </pic:blipFill>
                  <pic:spPr>
                    <a:xfrm>
                      <a:off x="0" y="0"/>
                      <a:ext cx="3142924" cy="983312"/>
                    </a:xfrm>
                    <a:prstGeom prst="rect">
                      <a:avLst/>
                    </a:prstGeom>
                  </pic:spPr>
                </pic:pic>
              </a:graphicData>
            </a:graphic>
          </wp:inline>
        </w:drawing>
      </w:r>
    </w:p>
    <w:p w14:paraId="22C31BA1"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3207B972"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4F0F301"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26A56370" w14:textId="77777777" w:rsidR="0046247C" w:rsidRDefault="00DF2D62" w:rsidP="003832CA">
      <w:pPr>
        <w:jc w:val="center"/>
        <w:rPr>
          <w:rFonts w:ascii="Segoe UI" w:hAnsi="Segoe UI" w:cs="Segoe UI"/>
          <w:b/>
          <w:bCs/>
          <w:sz w:val="40"/>
          <w:szCs w:val="40"/>
        </w:rPr>
      </w:pPr>
      <w:r w:rsidRPr="003832CA">
        <w:rPr>
          <w:rFonts w:ascii="Segoe UI" w:hAnsi="Segoe UI" w:cs="Segoe UI"/>
          <w:b/>
          <w:bCs/>
          <w:sz w:val="40"/>
          <w:szCs w:val="40"/>
        </w:rPr>
        <w:t xml:space="preserve">Demonstrações </w:t>
      </w:r>
      <w:r w:rsidR="009C1BED" w:rsidRPr="003832CA">
        <w:rPr>
          <w:rFonts w:ascii="Segoe UI" w:hAnsi="Segoe UI" w:cs="Segoe UI"/>
          <w:b/>
          <w:bCs/>
          <w:sz w:val="40"/>
          <w:szCs w:val="40"/>
        </w:rPr>
        <w:t>Financeiras</w:t>
      </w:r>
      <w:r w:rsidR="008919E6">
        <w:rPr>
          <w:rFonts w:ascii="Segoe UI" w:hAnsi="Segoe UI" w:cs="Segoe UI"/>
          <w:b/>
          <w:bCs/>
          <w:sz w:val="40"/>
          <w:szCs w:val="40"/>
        </w:rPr>
        <w:t xml:space="preserve"> </w:t>
      </w:r>
    </w:p>
    <w:p w14:paraId="4F3336EA" w14:textId="77777777" w:rsidR="00BC620B" w:rsidRDefault="0046247C" w:rsidP="003832CA">
      <w:pPr>
        <w:jc w:val="center"/>
        <w:rPr>
          <w:rFonts w:ascii="Segoe UI" w:hAnsi="Segoe UI" w:cs="Segoe UI"/>
          <w:b/>
          <w:bCs/>
          <w:sz w:val="40"/>
          <w:szCs w:val="40"/>
        </w:rPr>
      </w:pPr>
      <w:r>
        <w:rPr>
          <w:rFonts w:ascii="Segoe UI" w:hAnsi="Segoe UI" w:cs="Segoe UI"/>
          <w:b/>
          <w:bCs/>
          <w:sz w:val="40"/>
          <w:szCs w:val="40"/>
        </w:rPr>
        <w:t xml:space="preserve">individuais e consolidadas </w:t>
      </w:r>
    </w:p>
    <w:p w14:paraId="5200FDEB" w14:textId="2DBAE1CB" w:rsidR="00DF2D62" w:rsidRPr="00BC620B" w:rsidRDefault="0046247C" w:rsidP="00BC620B">
      <w:pPr>
        <w:jc w:val="center"/>
        <w:rPr>
          <w:rFonts w:ascii="Segoe UI" w:hAnsi="Segoe UI" w:cs="Segoe UI"/>
          <w:b/>
          <w:bCs/>
          <w:sz w:val="40"/>
          <w:szCs w:val="40"/>
        </w:rPr>
      </w:pPr>
      <w:r w:rsidRPr="00BC620B">
        <w:rPr>
          <w:rFonts w:ascii="Segoe UI" w:hAnsi="Segoe UI" w:cs="Segoe UI"/>
          <w:b/>
          <w:bCs/>
          <w:sz w:val="28"/>
          <w:szCs w:val="28"/>
        </w:rPr>
        <w:t>em</w:t>
      </w:r>
      <w:r w:rsidR="00BC620B">
        <w:rPr>
          <w:rFonts w:ascii="Segoe UI" w:hAnsi="Segoe UI" w:cs="Segoe UI"/>
          <w:b/>
          <w:bCs/>
          <w:sz w:val="40"/>
          <w:szCs w:val="40"/>
        </w:rPr>
        <w:t xml:space="preserve"> </w:t>
      </w:r>
      <w:r w:rsidR="009A3F78" w:rsidRPr="000757BC">
        <w:rPr>
          <w:rFonts w:ascii="Segoe UI" w:hAnsi="Segoe UI" w:cs="Segoe UI"/>
          <w:b/>
          <w:sz w:val="28"/>
        </w:rPr>
        <w:t>3</w:t>
      </w:r>
      <w:r w:rsidR="006378F6" w:rsidRPr="000757BC">
        <w:rPr>
          <w:rFonts w:ascii="Segoe UI" w:hAnsi="Segoe UI" w:cs="Segoe UI"/>
          <w:b/>
          <w:sz w:val="28"/>
        </w:rPr>
        <w:t>1</w:t>
      </w:r>
      <w:r w:rsidR="009A3F78" w:rsidRPr="000757BC">
        <w:rPr>
          <w:rFonts w:ascii="Segoe UI" w:hAnsi="Segoe UI" w:cs="Segoe UI"/>
          <w:b/>
          <w:sz w:val="28"/>
        </w:rPr>
        <w:t xml:space="preserve"> de </w:t>
      </w:r>
      <w:r w:rsidR="006378F6" w:rsidRPr="000757BC">
        <w:rPr>
          <w:rFonts w:ascii="Segoe UI" w:hAnsi="Segoe UI" w:cs="Segoe UI"/>
          <w:b/>
          <w:sz w:val="28"/>
        </w:rPr>
        <w:t>dezembro</w:t>
      </w:r>
      <w:r w:rsidR="009A3F78" w:rsidRPr="000757BC">
        <w:rPr>
          <w:rFonts w:ascii="Segoe UI" w:hAnsi="Segoe UI" w:cs="Segoe UI"/>
          <w:b/>
          <w:sz w:val="28"/>
        </w:rPr>
        <w:t xml:space="preserve"> de 2022</w:t>
      </w:r>
    </w:p>
    <w:p w14:paraId="00EB20E9" w14:textId="097F26E3" w:rsidR="00DF2D62" w:rsidRPr="000757BC" w:rsidRDefault="00DF2D62" w:rsidP="00C11BC9">
      <w:pPr>
        <w:jc w:val="center"/>
        <w:rPr>
          <w:rFonts w:ascii="Segoe UI" w:hAnsi="Segoe UI" w:cs="Segoe UI"/>
          <w:b/>
          <w:bCs/>
          <w:kern w:val="36"/>
        </w:rPr>
      </w:pPr>
      <w:r w:rsidRPr="000757BC">
        <w:rPr>
          <w:rFonts w:ascii="Segoe UI" w:hAnsi="Segoe UI" w:cs="Segoe UI"/>
        </w:rPr>
        <w:br w:type="page"/>
      </w:r>
    </w:p>
    <w:p w14:paraId="575A40F7" w14:textId="77777777" w:rsidR="00DF2D62" w:rsidRPr="000757BC" w:rsidRDefault="00DF2D62" w:rsidP="00CF5F07">
      <w:pPr>
        <w:spacing w:after="0" w:line="240" w:lineRule="auto"/>
        <w:jc w:val="both"/>
        <w:rPr>
          <w:rFonts w:ascii="Segoe UI" w:hAnsi="Segoe UI" w:cs="Segoe UI"/>
          <w:b/>
          <w:color w:val="767171" w:themeColor="background2" w:themeShade="80"/>
        </w:rPr>
        <w:sectPr w:rsidR="00DF2D62" w:rsidRPr="000757BC">
          <w:headerReference w:type="default" r:id="rId12"/>
          <w:pgSz w:w="11906" w:h="16838"/>
          <w:pgMar w:top="1417" w:right="1701" w:bottom="1417" w:left="1701" w:header="708" w:footer="708" w:gutter="0"/>
          <w:cols w:space="708"/>
          <w:docGrid w:linePitch="360"/>
        </w:sectPr>
      </w:pPr>
    </w:p>
    <w:p w14:paraId="5E20F985" w14:textId="77777777" w:rsidR="007715F1" w:rsidRPr="000757BC" w:rsidRDefault="007715F1" w:rsidP="00F7132F">
      <w:pPr>
        <w:widowControl w:val="0"/>
        <w:spacing w:after="0"/>
        <w:jc w:val="center"/>
        <w:rPr>
          <w:rFonts w:ascii="Segoe UI" w:hAnsi="Segoe UI" w:cs="Segoe UI"/>
          <w:b/>
          <w:bCs/>
          <w:color w:val="0070C0"/>
          <w:szCs w:val="26"/>
        </w:rPr>
      </w:pPr>
    </w:p>
    <w:tbl>
      <w:tblPr>
        <w:tblW w:w="5000" w:type="pct"/>
        <w:tblCellMar>
          <w:left w:w="70" w:type="dxa"/>
          <w:right w:w="70" w:type="dxa"/>
        </w:tblCellMar>
        <w:tblLook w:val="04A0" w:firstRow="1" w:lastRow="0" w:firstColumn="1" w:lastColumn="0" w:noHBand="0" w:noVBand="1"/>
      </w:tblPr>
      <w:tblGrid>
        <w:gridCol w:w="4473"/>
        <w:gridCol w:w="598"/>
        <w:gridCol w:w="1433"/>
        <w:gridCol w:w="207"/>
        <w:gridCol w:w="552"/>
        <w:gridCol w:w="832"/>
        <w:gridCol w:w="550"/>
      </w:tblGrid>
      <w:tr w:rsidR="00534A74" w:rsidRPr="00534A74" w14:paraId="17622821" w14:textId="77777777" w:rsidTr="00DC1D61">
        <w:trPr>
          <w:gridAfter w:val="1"/>
          <w:wAfter w:w="319" w:type="pct"/>
          <w:trHeight w:val="240"/>
        </w:trPr>
        <w:tc>
          <w:tcPr>
            <w:tcW w:w="2587" w:type="pct"/>
            <w:vMerge w:val="restart"/>
            <w:tcBorders>
              <w:top w:val="nil"/>
              <w:left w:val="nil"/>
              <w:bottom w:val="nil"/>
              <w:right w:val="nil"/>
            </w:tcBorders>
            <w:shd w:val="clear" w:color="000000" w:fill="1B80C4"/>
            <w:noWrap/>
            <w:vAlign w:val="center"/>
            <w:hideMark/>
          </w:tcPr>
          <w:p w14:paraId="35C48DF9"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ATIVO </w:t>
            </w:r>
          </w:p>
        </w:tc>
        <w:tc>
          <w:tcPr>
            <w:tcW w:w="346" w:type="pct"/>
            <w:vMerge w:val="restart"/>
            <w:tcBorders>
              <w:top w:val="nil"/>
              <w:left w:val="nil"/>
              <w:bottom w:val="nil"/>
              <w:right w:val="nil"/>
            </w:tcBorders>
            <w:shd w:val="clear" w:color="000000" w:fill="1B80C4"/>
            <w:noWrap/>
            <w:vAlign w:val="center"/>
            <w:hideMark/>
          </w:tcPr>
          <w:p w14:paraId="5087538F" w14:textId="77777777" w:rsidR="00534A74" w:rsidRPr="00534A74" w:rsidRDefault="00534A74" w:rsidP="00534A74">
            <w:pPr>
              <w:spacing w:after="0" w:line="240" w:lineRule="auto"/>
              <w:jc w:val="center"/>
              <w:rPr>
                <w:rFonts w:ascii="Segoe UI" w:eastAsia="Times New Roman" w:hAnsi="Segoe UI" w:cs="Segoe UI"/>
                <w:color w:val="FFFFFF"/>
                <w:sz w:val="18"/>
                <w:szCs w:val="18"/>
                <w:lang w:eastAsia="pt-BR"/>
              </w:rPr>
            </w:pPr>
            <w:r w:rsidRPr="00534A74">
              <w:rPr>
                <w:rFonts w:ascii="Segoe UI" w:eastAsia="Times New Roman" w:hAnsi="Segoe UI" w:cs="Segoe UI"/>
                <w:color w:val="FFFFFF"/>
                <w:sz w:val="18"/>
                <w:szCs w:val="18"/>
                <w:lang w:eastAsia="pt-BR"/>
              </w:rPr>
              <w:t xml:space="preserve"> Nota </w:t>
            </w:r>
          </w:p>
        </w:tc>
        <w:tc>
          <w:tcPr>
            <w:tcW w:w="829" w:type="pct"/>
            <w:tcBorders>
              <w:top w:val="nil"/>
              <w:left w:val="nil"/>
              <w:bottom w:val="nil"/>
              <w:right w:val="nil"/>
            </w:tcBorders>
            <w:shd w:val="clear" w:color="000000" w:fill="1B80C4"/>
            <w:noWrap/>
            <w:vAlign w:val="bottom"/>
            <w:hideMark/>
          </w:tcPr>
          <w:p w14:paraId="729D8770" w14:textId="138FED7A" w:rsidR="00534A74" w:rsidRPr="00534A74" w:rsidRDefault="00534A74" w:rsidP="00DC1D61">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Controladora</w:t>
            </w:r>
          </w:p>
        </w:tc>
        <w:tc>
          <w:tcPr>
            <w:tcW w:w="120" w:type="pct"/>
            <w:tcBorders>
              <w:top w:val="nil"/>
              <w:left w:val="nil"/>
              <w:bottom w:val="nil"/>
              <w:right w:val="nil"/>
            </w:tcBorders>
            <w:shd w:val="clear" w:color="000000" w:fill="1B80C4"/>
            <w:noWrap/>
            <w:vAlign w:val="bottom"/>
            <w:hideMark/>
          </w:tcPr>
          <w:p w14:paraId="2061C282" w14:textId="13961FF7" w:rsidR="00534A74" w:rsidRPr="00534A74" w:rsidRDefault="00534A74" w:rsidP="00DC1D61">
            <w:pPr>
              <w:spacing w:after="0" w:line="240" w:lineRule="auto"/>
              <w:jc w:val="center"/>
              <w:rPr>
                <w:rFonts w:ascii="Segoe UI" w:eastAsia="Times New Roman" w:hAnsi="Segoe UI" w:cs="Segoe UI"/>
                <w:b/>
                <w:bCs/>
                <w:color w:val="FFFFFF"/>
                <w:sz w:val="18"/>
                <w:szCs w:val="18"/>
                <w:lang w:eastAsia="pt-BR"/>
              </w:rPr>
            </w:pPr>
          </w:p>
        </w:tc>
        <w:tc>
          <w:tcPr>
            <w:tcW w:w="800" w:type="pct"/>
            <w:gridSpan w:val="2"/>
            <w:tcBorders>
              <w:top w:val="nil"/>
              <w:left w:val="nil"/>
              <w:bottom w:val="nil"/>
              <w:right w:val="nil"/>
            </w:tcBorders>
            <w:shd w:val="clear" w:color="000000" w:fill="1B80C4"/>
            <w:noWrap/>
            <w:vAlign w:val="bottom"/>
            <w:hideMark/>
          </w:tcPr>
          <w:p w14:paraId="616FC194" w14:textId="33351EC1" w:rsidR="00534A74" w:rsidRPr="00534A74" w:rsidRDefault="00534A74" w:rsidP="00DC1D61">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Consolidado</w:t>
            </w:r>
          </w:p>
        </w:tc>
      </w:tr>
      <w:tr w:rsidR="00534A74" w:rsidRPr="00534A74" w14:paraId="537CE9A5" w14:textId="77777777" w:rsidTr="00DC1D61">
        <w:trPr>
          <w:gridAfter w:val="1"/>
          <w:wAfter w:w="319" w:type="pct"/>
          <w:trHeight w:val="240"/>
        </w:trPr>
        <w:tc>
          <w:tcPr>
            <w:tcW w:w="2587" w:type="pct"/>
            <w:vMerge/>
            <w:tcBorders>
              <w:top w:val="nil"/>
              <w:left w:val="nil"/>
              <w:bottom w:val="nil"/>
              <w:right w:val="nil"/>
            </w:tcBorders>
            <w:vAlign w:val="center"/>
            <w:hideMark/>
          </w:tcPr>
          <w:p w14:paraId="2BAA39E7"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c>
          <w:tcPr>
            <w:tcW w:w="346" w:type="pct"/>
            <w:vMerge/>
            <w:tcBorders>
              <w:top w:val="nil"/>
              <w:left w:val="nil"/>
              <w:bottom w:val="nil"/>
              <w:right w:val="nil"/>
            </w:tcBorders>
            <w:vAlign w:val="center"/>
            <w:hideMark/>
          </w:tcPr>
          <w:p w14:paraId="3C7C2A6F" w14:textId="77777777" w:rsidR="00534A74" w:rsidRPr="00534A74" w:rsidRDefault="00534A74" w:rsidP="00534A74">
            <w:pPr>
              <w:spacing w:after="0" w:line="240" w:lineRule="auto"/>
              <w:rPr>
                <w:rFonts w:ascii="Segoe UI" w:eastAsia="Times New Roman" w:hAnsi="Segoe UI" w:cs="Segoe UI"/>
                <w:color w:val="FFFFFF"/>
                <w:sz w:val="18"/>
                <w:szCs w:val="18"/>
                <w:lang w:eastAsia="pt-BR"/>
              </w:rPr>
            </w:pPr>
          </w:p>
        </w:tc>
        <w:tc>
          <w:tcPr>
            <w:tcW w:w="829" w:type="pct"/>
            <w:tcBorders>
              <w:top w:val="single" w:sz="4" w:space="0" w:color="F2F2F2"/>
              <w:left w:val="nil"/>
              <w:bottom w:val="nil"/>
              <w:right w:val="nil"/>
            </w:tcBorders>
            <w:shd w:val="clear" w:color="000000" w:fill="1B80C4"/>
            <w:noWrap/>
            <w:vAlign w:val="center"/>
            <w:hideMark/>
          </w:tcPr>
          <w:p w14:paraId="0274C429" w14:textId="77777777" w:rsidR="00534A74" w:rsidRPr="00534A74" w:rsidRDefault="00534A74" w:rsidP="00DC1D61">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31/12/2022</w:t>
            </w:r>
          </w:p>
        </w:tc>
        <w:tc>
          <w:tcPr>
            <w:tcW w:w="120" w:type="pct"/>
            <w:tcBorders>
              <w:top w:val="nil"/>
              <w:left w:val="nil"/>
              <w:right w:val="nil"/>
            </w:tcBorders>
            <w:shd w:val="clear" w:color="000000" w:fill="1B80C4"/>
            <w:noWrap/>
            <w:vAlign w:val="center"/>
            <w:hideMark/>
          </w:tcPr>
          <w:p w14:paraId="54961895" w14:textId="17E9B1CD" w:rsidR="00534A74" w:rsidRPr="00534A74" w:rsidRDefault="00534A74" w:rsidP="00DC1D61">
            <w:pPr>
              <w:spacing w:after="0" w:line="240" w:lineRule="auto"/>
              <w:jc w:val="center"/>
              <w:rPr>
                <w:rFonts w:ascii="Segoe UI" w:eastAsia="Times New Roman" w:hAnsi="Segoe UI" w:cs="Segoe UI"/>
                <w:b/>
                <w:bCs/>
                <w:color w:val="FFFFFF"/>
                <w:sz w:val="18"/>
                <w:szCs w:val="18"/>
                <w:lang w:eastAsia="pt-BR"/>
              </w:rPr>
            </w:pPr>
          </w:p>
        </w:tc>
        <w:tc>
          <w:tcPr>
            <w:tcW w:w="800" w:type="pct"/>
            <w:gridSpan w:val="2"/>
            <w:tcBorders>
              <w:top w:val="single" w:sz="4" w:space="0" w:color="F2F2F2"/>
              <w:left w:val="nil"/>
              <w:bottom w:val="nil"/>
              <w:right w:val="nil"/>
            </w:tcBorders>
            <w:shd w:val="clear" w:color="000000" w:fill="1B80C4"/>
            <w:noWrap/>
            <w:vAlign w:val="center"/>
            <w:hideMark/>
          </w:tcPr>
          <w:p w14:paraId="1D39F51C" w14:textId="77777777" w:rsidR="00534A74" w:rsidRPr="00534A74" w:rsidRDefault="00534A74" w:rsidP="00DC1D61">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31/12/2022</w:t>
            </w:r>
          </w:p>
        </w:tc>
      </w:tr>
      <w:tr w:rsidR="00534A74" w:rsidRPr="00534A74" w14:paraId="2934C4D7"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7A1C3ACD" w14:textId="77777777" w:rsidR="00534A74" w:rsidRPr="00534A74" w:rsidRDefault="00534A74" w:rsidP="00534A74">
            <w:pPr>
              <w:spacing w:after="0" w:line="240" w:lineRule="auto"/>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 xml:space="preserve"> CIRCULANTE </w:t>
            </w:r>
          </w:p>
        </w:tc>
        <w:tc>
          <w:tcPr>
            <w:tcW w:w="346" w:type="pct"/>
            <w:tcBorders>
              <w:top w:val="nil"/>
              <w:left w:val="nil"/>
              <w:bottom w:val="nil"/>
              <w:right w:val="nil"/>
            </w:tcBorders>
            <w:shd w:val="clear" w:color="auto" w:fill="auto"/>
            <w:noWrap/>
            <w:vAlign w:val="center"/>
            <w:hideMark/>
          </w:tcPr>
          <w:p w14:paraId="2808BED7" w14:textId="77777777" w:rsidR="00534A74" w:rsidRPr="00534A74" w:rsidRDefault="00534A74" w:rsidP="00534A74">
            <w:pPr>
              <w:spacing w:after="0" w:line="240" w:lineRule="auto"/>
              <w:jc w:val="right"/>
              <w:rPr>
                <w:rFonts w:ascii="Segoe UI" w:eastAsia="Times New Roman" w:hAnsi="Segoe UI" w:cs="Segoe UI"/>
                <w:b/>
                <w:bCs/>
                <w:sz w:val="18"/>
                <w:szCs w:val="18"/>
                <w:lang w:eastAsia="pt-BR"/>
              </w:rPr>
            </w:pPr>
          </w:p>
        </w:tc>
        <w:tc>
          <w:tcPr>
            <w:tcW w:w="829" w:type="pct"/>
            <w:tcBorders>
              <w:top w:val="nil"/>
              <w:left w:val="nil"/>
              <w:bottom w:val="nil"/>
              <w:right w:val="nil"/>
            </w:tcBorders>
            <w:shd w:val="clear" w:color="auto" w:fill="auto"/>
            <w:noWrap/>
            <w:vAlign w:val="bottom"/>
            <w:hideMark/>
          </w:tcPr>
          <w:p w14:paraId="728DF506"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120" w:type="pct"/>
            <w:tcBorders>
              <w:top w:val="nil"/>
              <w:left w:val="nil"/>
              <w:bottom w:val="nil"/>
              <w:right w:val="nil"/>
            </w:tcBorders>
            <w:shd w:val="clear" w:color="auto" w:fill="auto"/>
            <w:noWrap/>
            <w:vAlign w:val="bottom"/>
            <w:hideMark/>
          </w:tcPr>
          <w:p w14:paraId="4AFDECDA"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800" w:type="pct"/>
            <w:gridSpan w:val="2"/>
            <w:tcBorders>
              <w:top w:val="nil"/>
              <w:left w:val="nil"/>
              <w:bottom w:val="nil"/>
              <w:right w:val="nil"/>
            </w:tcBorders>
            <w:shd w:val="clear" w:color="auto" w:fill="auto"/>
            <w:noWrap/>
            <w:vAlign w:val="bottom"/>
            <w:hideMark/>
          </w:tcPr>
          <w:p w14:paraId="0A7442D6"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r>
      <w:tr w:rsidR="00534A74" w:rsidRPr="00534A74" w14:paraId="1483804D"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68702F50"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Caixa e equivalente de caixa </w:t>
            </w:r>
          </w:p>
        </w:tc>
        <w:tc>
          <w:tcPr>
            <w:tcW w:w="346" w:type="pct"/>
            <w:tcBorders>
              <w:top w:val="nil"/>
              <w:left w:val="nil"/>
              <w:bottom w:val="nil"/>
              <w:right w:val="nil"/>
            </w:tcBorders>
            <w:shd w:val="clear" w:color="000000" w:fill="FFFFFF"/>
            <w:noWrap/>
            <w:vAlign w:val="center"/>
            <w:hideMark/>
          </w:tcPr>
          <w:p w14:paraId="32D40DA5" w14:textId="77D2C48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4</w:t>
            </w:r>
          </w:p>
        </w:tc>
        <w:tc>
          <w:tcPr>
            <w:tcW w:w="829" w:type="pct"/>
            <w:tcBorders>
              <w:top w:val="nil"/>
              <w:left w:val="nil"/>
              <w:bottom w:val="nil"/>
              <w:right w:val="nil"/>
            </w:tcBorders>
            <w:shd w:val="clear" w:color="auto" w:fill="auto"/>
            <w:noWrap/>
            <w:vAlign w:val="center"/>
            <w:hideMark/>
          </w:tcPr>
          <w:p w14:paraId="0C1C36E8" w14:textId="365DD7F4"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2.361.031</w:t>
            </w:r>
          </w:p>
        </w:tc>
        <w:tc>
          <w:tcPr>
            <w:tcW w:w="120" w:type="pct"/>
            <w:tcBorders>
              <w:top w:val="nil"/>
              <w:left w:val="nil"/>
              <w:bottom w:val="nil"/>
              <w:right w:val="nil"/>
            </w:tcBorders>
            <w:shd w:val="clear" w:color="auto" w:fill="auto"/>
            <w:noWrap/>
            <w:vAlign w:val="bottom"/>
            <w:hideMark/>
          </w:tcPr>
          <w:p w14:paraId="31730C18"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25A3B5D5" w14:textId="59065E8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3.162.546</w:t>
            </w:r>
          </w:p>
        </w:tc>
      </w:tr>
      <w:tr w:rsidR="00534A74" w:rsidRPr="00534A74" w14:paraId="69695783"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13DDCE3C"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Títulos e valores mobiliários </w:t>
            </w:r>
          </w:p>
        </w:tc>
        <w:tc>
          <w:tcPr>
            <w:tcW w:w="346" w:type="pct"/>
            <w:tcBorders>
              <w:top w:val="nil"/>
              <w:left w:val="nil"/>
              <w:bottom w:val="nil"/>
              <w:right w:val="nil"/>
            </w:tcBorders>
            <w:shd w:val="clear" w:color="000000" w:fill="FFFFFF"/>
            <w:noWrap/>
            <w:vAlign w:val="center"/>
            <w:hideMark/>
          </w:tcPr>
          <w:p w14:paraId="3F3D997B" w14:textId="72FB635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w:t>
            </w:r>
          </w:p>
        </w:tc>
        <w:tc>
          <w:tcPr>
            <w:tcW w:w="829" w:type="pct"/>
            <w:tcBorders>
              <w:top w:val="nil"/>
              <w:left w:val="nil"/>
              <w:bottom w:val="nil"/>
              <w:right w:val="nil"/>
            </w:tcBorders>
            <w:shd w:val="clear" w:color="auto" w:fill="auto"/>
            <w:noWrap/>
            <w:vAlign w:val="center"/>
            <w:hideMark/>
          </w:tcPr>
          <w:p w14:paraId="3935DAAD" w14:textId="63FA5B1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120" w:type="pct"/>
            <w:tcBorders>
              <w:top w:val="nil"/>
              <w:left w:val="nil"/>
              <w:bottom w:val="nil"/>
              <w:right w:val="nil"/>
            </w:tcBorders>
            <w:shd w:val="clear" w:color="auto" w:fill="auto"/>
            <w:noWrap/>
            <w:vAlign w:val="bottom"/>
            <w:hideMark/>
          </w:tcPr>
          <w:p w14:paraId="6212F444"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0C31B13E" w14:textId="766BCE6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2.754.126</w:t>
            </w:r>
          </w:p>
        </w:tc>
      </w:tr>
      <w:tr w:rsidR="00534A74" w:rsidRPr="00534A74" w14:paraId="4594B50A"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094F1B14"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Clientes </w:t>
            </w:r>
          </w:p>
        </w:tc>
        <w:tc>
          <w:tcPr>
            <w:tcW w:w="346" w:type="pct"/>
            <w:tcBorders>
              <w:top w:val="nil"/>
              <w:left w:val="nil"/>
              <w:bottom w:val="nil"/>
              <w:right w:val="nil"/>
            </w:tcBorders>
            <w:shd w:val="clear" w:color="000000" w:fill="FFFFFF"/>
            <w:noWrap/>
            <w:vAlign w:val="center"/>
            <w:hideMark/>
          </w:tcPr>
          <w:p w14:paraId="3ACE839D" w14:textId="67B7737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6</w:t>
            </w:r>
          </w:p>
        </w:tc>
        <w:tc>
          <w:tcPr>
            <w:tcW w:w="829" w:type="pct"/>
            <w:tcBorders>
              <w:top w:val="nil"/>
              <w:left w:val="nil"/>
              <w:bottom w:val="nil"/>
              <w:right w:val="nil"/>
            </w:tcBorders>
            <w:shd w:val="clear" w:color="auto" w:fill="auto"/>
            <w:noWrap/>
            <w:vAlign w:val="center"/>
            <w:hideMark/>
          </w:tcPr>
          <w:p w14:paraId="1F9C0477" w14:textId="15FFFF50"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3.148.034</w:t>
            </w:r>
          </w:p>
        </w:tc>
        <w:tc>
          <w:tcPr>
            <w:tcW w:w="120" w:type="pct"/>
            <w:tcBorders>
              <w:top w:val="nil"/>
              <w:left w:val="nil"/>
              <w:bottom w:val="nil"/>
              <w:right w:val="nil"/>
            </w:tcBorders>
            <w:shd w:val="clear" w:color="auto" w:fill="auto"/>
            <w:noWrap/>
            <w:vAlign w:val="bottom"/>
            <w:hideMark/>
          </w:tcPr>
          <w:p w14:paraId="3F640852"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7BA00960" w14:textId="393436B0"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3.626.530</w:t>
            </w:r>
          </w:p>
        </w:tc>
      </w:tr>
      <w:tr w:rsidR="00534A74" w:rsidRPr="00534A74" w14:paraId="35EA2D54"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74F22290"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Tributos a compensar </w:t>
            </w:r>
          </w:p>
        </w:tc>
        <w:tc>
          <w:tcPr>
            <w:tcW w:w="346" w:type="pct"/>
            <w:tcBorders>
              <w:top w:val="nil"/>
              <w:left w:val="nil"/>
              <w:bottom w:val="nil"/>
              <w:right w:val="nil"/>
            </w:tcBorders>
            <w:shd w:val="clear" w:color="000000" w:fill="FFFFFF"/>
            <w:noWrap/>
            <w:vAlign w:val="center"/>
            <w:hideMark/>
          </w:tcPr>
          <w:p w14:paraId="0824D7AA" w14:textId="3CC84748"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w:t>
            </w:r>
          </w:p>
        </w:tc>
        <w:tc>
          <w:tcPr>
            <w:tcW w:w="829" w:type="pct"/>
            <w:tcBorders>
              <w:top w:val="nil"/>
              <w:left w:val="nil"/>
              <w:bottom w:val="nil"/>
              <w:right w:val="nil"/>
            </w:tcBorders>
            <w:shd w:val="clear" w:color="auto" w:fill="auto"/>
            <w:noWrap/>
            <w:vAlign w:val="center"/>
            <w:hideMark/>
          </w:tcPr>
          <w:p w14:paraId="08725739" w14:textId="6F3CF21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171.371</w:t>
            </w:r>
          </w:p>
        </w:tc>
        <w:tc>
          <w:tcPr>
            <w:tcW w:w="120" w:type="pct"/>
            <w:tcBorders>
              <w:top w:val="nil"/>
              <w:left w:val="nil"/>
              <w:bottom w:val="nil"/>
              <w:right w:val="nil"/>
            </w:tcBorders>
            <w:shd w:val="clear" w:color="auto" w:fill="auto"/>
            <w:noWrap/>
            <w:vAlign w:val="bottom"/>
            <w:hideMark/>
          </w:tcPr>
          <w:p w14:paraId="2588DD9B"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0EAA4A1F" w14:textId="43D6813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340.766</w:t>
            </w:r>
          </w:p>
        </w:tc>
      </w:tr>
      <w:tr w:rsidR="00534A74" w:rsidRPr="00534A74" w14:paraId="586B65AC"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73D9AD7A"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Imposto de renda e contribuição social </w:t>
            </w:r>
          </w:p>
        </w:tc>
        <w:tc>
          <w:tcPr>
            <w:tcW w:w="346" w:type="pct"/>
            <w:tcBorders>
              <w:top w:val="nil"/>
              <w:left w:val="nil"/>
              <w:bottom w:val="nil"/>
              <w:right w:val="nil"/>
            </w:tcBorders>
            <w:shd w:val="clear" w:color="000000" w:fill="FFFFFF"/>
            <w:noWrap/>
            <w:vAlign w:val="center"/>
            <w:hideMark/>
          </w:tcPr>
          <w:p w14:paraId="00E129D8" w14:textId="59A54BB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8</w:t>
            </w:r>
          </w:p>
        </w:tc>
        <w:tc>
          <w:tcPr>
            <w:tcW w:w="829" w:type="pct"/>
            <w:tcBorders>
              <w:top w:val="nil"/>
              <w:left w:val="nil"/>
              <w:bottom w:val="nil"/>
              <w:right w:val="nil"/>
            </w:tcBorders>
            <w:shd w:val="clear" w:color="auto" w:fill="auto"/>
            <w:noWrap/>
            <w:vAlign w:val="center"/>
            <w:hideMark/>
          </w:tcPr>
          <w:p w14:paraId="590EF525" w14:textId="631CD9C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13.530</w:t>
            </w:r>
          </w:p>
        </w:tc>
        <w:tc>
          <w:tcPr>
            <w:tcW w:w="120" w:type="pct"/>
            <w:tcBorders>
              <w:top w:val="nil"/>
              <w:left w:val="nil"/>
              <w:bottom w:val="nil"/>
              <w:right w:val="nil"/>
            </w:tcBorders>
            <w:shd w:val="clear" w:color="auto" w:fill="auto"/>
            <w:noWrap/>
            <w:vAlign w:val="bottom"/>
            <w:hideMark/>
          </w:tcPr>
          <w:p w14:paraId="2DDF76B1"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70D938F8" w14:textId="3A1D454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101.478</w:t>
            </w:r>
          </w:p>
        </w:tc>
      </w:tr>
      <w:tr w:rsidR="00534A74" w:rsidRPr="00534A74" w14:paraId="091C0993"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2B2860C3"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Estoque de combustível nuclear </w:t>
            </w:r>
          </w:p>
        </w:tc>
        <w:tc>
          <w:tcPr>
            <w:tcW w:w="346" w:type="pct"/>
            <w:tcBorders>
              <w:top w:val="nil"/>
              <w:left w:val="nil"/>
              <w:bottom w:val="nil"/>
              <w:right w:val="nil"/>
            </w:tcBorders>
            <w:shd w:val="clear" w:color="000000" w:fill="FFFFFF"/>
            <w:noWrap/>
            <w:vAlign w:val="center"/>
            <w:hideMark/>
          </w:tcPr>
          <w:p w14:paraId="4714D42F" w14:textId="1715465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9</w:t>
            </w:r>
          </w:p>
        </w:tc>
        <w:tc>
          <w:tcPr>
            <w:tcW w:w="829" w:type="pct"/>
            <w:tcBorders>
              <w:top w:val="nil"/>
              <w:left w:val="nil"/>
              <w:bottom w:val="nil"/>
              <w:right w:val="nil"/>
            </w:tcBorders>
            <w:shd w:val="clear" w:color="auto" w:fill="auto"/>
            <w:noWrap/>
            <w:vAlign w:val="center"/>
            <w:hideMark/>
          </w:tcPr>
          <w:p w14:paraId="051CE386" w14:textId="682145A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120" w:type="pct"/>
            <w:tcBorders>
              <w:top w:val="nil"/>
              <w:left w:val="nil"/>
              <w:bottom w:val="nil"/>
              <w:right w:val="nil"/>
            </w:tcBorders>
            <w:shd w:val="clear" w:color="auto" w:fill="auto"/>
            <w:noWrap/>
            <w:vAlign w:val="bottom"/>
            <w:hideMark/>
          </w:tcPr>
          <w:p w14:paraId="405133FE"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0644667A" w14:textId="6ED539F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886.415</w:t>
            </w:r>
          </w:p>
        </w:tc>
      </w:tr>
      <w:tr w:rsidR="00534A74" w:rsidRPr="00534A74" w14:paraId="0D437CB5"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13A8092C"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Almoxarifado </w:t>
            </w:r>
          </w:p>
        </w:tc>
        <w:tc>
          <w:tcPr>
            <w:tcW w:w="346" w:type="pct"/>
            <w:tcBorders>
              <w:top w:val="nil"/>
              <w:left w:val="nil"/>
              <w:bottom w:val="nil"/>
              <w:right w:val="nil"/>
            </w:tcBorders>
            <w:shd w:val="clear" w:color="000000" w:fill="FFFFFF"/>
            <w:noWrap/>
            <w:vAlign w:val="center"/>
            <w:hideMark/>
          </w:tcPr>
          <w:p w14:paraId="30749C60" w14:textId="051E28BB"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29" w:type="pct"/>
            <w:tcBorders>
              <w:top w:val="nil"/>
              <w:left w:val="nil"/>
              <w:bottom w:val="nil"/>
              <w:right w:val="nil"/>
            </w:tcBorders>
            <w:shd w:val="clear" w:color="auto" w:fill="auto"/>
            <w:noWrap/>
            <w:vAlign w:val="center"/>
            <w:hideMark/>
          </w:tcPr>
          <w:p w14:paraId="049FDBFB" w14:textId="734A55E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120" w:type="pct"/>
            <w:tcBorders>
              <w:top w:val="nil"/>
              <w:left w:val="nil"/>
              <w:right w:val="nil"/>
            </w:tcBorders>
            <w:shd w:val="clear" w:color="auto" w:fill="auto"/>
            <w:noWrap/>
            <w:vAlign w:val="bottom"/>
            <w:hideMark/>
          </w:tcPr>
          <w:p w14:paraId="03C6DC24"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7EF80E24" w14:textId="13465B6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286.361</w:t>
            </w:r>
          </w:p>
        </w:tc>
      </w:tr>
      <w:tr w:rsidR="00534A74" w:rsidRPr="00534A74" w14:paraId="71EBFB81"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7113E885"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Outros </w:t>
            </w:r>
          </w:p>
        </w:tc>
        <w:tc>
          <w:tcPr>
            <w:tcW w:w="346" w:type="pct"/>
            <w:tcBorders>
              <w:top w:val="nil"/>
              <w:left w:val="nil"/>
              <w:bottom w:val="nil"/>
              <w:right w:val="nil"/>
            </w:tcBorders>
            <w:shd w:val="clear" w:color="000000" w:fill="FFFFFF"/>
            <w:noWrap/>
            <w:vAlign w:val="center"/>
            <w:hideMark/>
          </w:tcPr>
          <w:p w14:paraId="23CC1C12" w14:textId="23214550"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10</w:t>
            </w:r>
          </w:p>
        </w:tc>
        <w:tc>
          <w:tcPr>
            <w:tcW w:w="829" w:type="pct"/>
            <w:tcBorders>
              <w:top w:val="nil"/>
              <w:left w:val="nil"/>
              <w:bottom w:val="single" w:sz="4" w:space="0" w:color="1B80C4"/>
              <w:right w:val="nil"/>
            </w:tcBorders>
            <w:shd w:val="clear" w:color="auto" w:fill="auto"/>
            <w:noWrap/>
            <w:vAlign w:val="center"/>
            <w:hideMark/>
          </w:tcPr>
          <w:p w14:paraId="685DABCA" w14:textId="3FB75D2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685.547</w:t>
            </w:r>
          </w:p>
        </w:tc>
        <w:tc>
          <w:tcPr>
            <w:tcW w:w="120" w:type="pct"/>
            <w:tcBorders>
              <w:top w:val="nil"/>
              <w:left w:val="nil"/>
              <w:right w:val="nil"/>
            </w:tcBorders>
            <w:shd w:val="clear" w:color="auto" w:fill="auto"/>
            <w:noWrap/>
            <w:vAlign w:val="center"/>
            <w:hideMark/>
          </w:tcPr>
          <w:p w14:paraId="6C9448A2" w14:textId="787D7C6D"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single" w:sz="4" w:space="0" w:color="1B80C4"/>
              <w:right w:val="nil"/>
            </w:tcBorders>
            <w:shd w:val="clear" w:color="auto" w:fill="auto"/>
            <w:noWrap/>
            <w:vAlign w:val="center"/>
            <w:hideMark/>
          </w:tcPr>
          <w:p w14:paraId="0FB37068" w14:textId="615D723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798.764</w:t>
            </w:r>
          </w:p>
        </w:tc>
      </w:tr>
      <w:tr w:rsidR="00534A74" w:rsidRPr="00534A74" w14:paraId="0A1C8454"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051C66C6"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346" w:type="pct"/>
            <w:tcBorders>
              <w:top w:val="nil"/>
              <w:left w:val="nil"/>
              <w:bottom w:val="nil"/>
              <w:right w:val="nil"/>
            </w:tcBorders>
            <w:shd w:val="clear" w:color="000000" w:fill="FFFFFF"/>
            <w:noWrap/>
            <w:vAlign w:val="center"/>
            <w:hideMark/>
          </w:tcPr>
          <w:p w14:paraId="2D9F646A" w14:textId="58F4799B"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29" w:type="pct"/>
            <w:tcBorders>
              <w:top w:val="nil"/>
              <w:left w:val="nil"/>
              <w:bottom w:val="nil"/>
              <w:right w:val="nil"/>
            </w:tcBorders>
            <w:shd w:val="clear" w:color="auto" w:fill="auto"/>
            <w:noWrap/>
            <w:vAlign w:val="bottom"/>
            <w:hideMark/>
          </w:tcPr>
          <w:p w14:paraId="56DC0FF9" w14:textId="76D91A02"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6.379.513</w:t>
            </w:r>
          </w:p>
        </w:tc>
        <w:tc>
          <w:tcPr>
            <w:tcW w:w="120" w:type="pct"/>
            <w:tcBorders>
              <w:top w:val="nil"/>
              <w:left w:val="nil"/>
              <w:bottom w:val="nil"/>
              <w:right w:val="nil"/>
            </w:tcBorders>
            <w:shd w:val="clear" w:color="auto" w:fill="auto"/>
            <w:noWrap/>
            <w:vAlign w:val="bottom"/>
            <w:hideMark/>
          </w:tcPr>
          <w:p w14:paraId="535D98A6" w14:textId="77777777" w:rsidR="00534A74" w:rsidRPr="00534A74" w:rsidRDefault="00534A74" w:rsidP="00534A74">
            <w:pPr>
              <w:spacing w:after="0" w:line="240" w:lineRule="auto"/>
              <w:jc w:val="right"/>
              <w:rPr>
                <w:rFonts w:ascii="Segoe UI" w:eastAsia="Times New Roman" w:hAnsi="Segoe UI" w:cs="Segoe UI"/>
                <w:b/>
                <w:bCs/>
                <w:sz w:val="18"/>
                <w:szCs w:val="18"/>
                <w:lang w:eastAsia="pt-BR"/>
              </w:rPr>
            </w:pPr>
          </w:p>
        </w:tc>
        <w:tc>
          <w:tcPr>
            <w:tcW w:w="800" w:type="pct"/>
            <w:gridSpan w:val="2"/>
            <w:tcBorders>
              <w:top w:val="nil"/>
              <w:left w:val="nil"/>
              <w:bottom w:val="nil"/>
              <w:right w:val="nil"/>
            </w:tcBorders>
            <w:shd w:val="clear" w:color="auto" w:fill="auto"/>
            <w:noWrap/>
            <w:vAlign w:val="bottom"/>
            <w:hideMark/>
          </w:tcPr>
          <w:p w14:paraId="48B6064D" w14:textId="027B8C90"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11.956.986</w:t>
            </w:r>
          </w:p>
        </w:tc>
      </w:tr>
      <w:tr w:rsidR="00534A74" w:rsidRPr="00534A74" w14:paraId="1405E5EF"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030D4184" w14:textId="77777777" w:rsidR="00534A74" w:rsidRPr="00534A74" w:rsidRDefault="00534A74" w:rsidP="00534A74">
            <w:pPr>
              <w:spacing w:after="0" w:line="240" w:lineRule="auto"/>
              <w:jc w:val="center"/>
              <w:rPr>
                <w:rFonts w:ascii="Segoe UI" w:eastAsia="Times New Roman" w:hAnsi="Segoe UI" w:cs="Segoe UI"/>
                <w:b/>
                <w:bCs/>
                <w:sz w:val="18"/>
                <w:szCs w:val="18"/>
                <w:lang w:eastAsia="pt-BR"/>
              </w:rPr>
            </w:pPr>
          </w:p>
        </w:tc>
        <w:tc>
          <w:tcPr>
            <w:tcW w:w="346" w:type="pct"/>
            <w:tcBorders>
              <w:top w:val="nil"/>
              <w:left w:val="nil"/>
              <w:bottom w:val="nil"/>
              <w:right w:val="nil"/>
            </w:tcBorders>
            <w:shd w:val="clear" w:color="000000" w:fill="FFFFFF"/>
            <w:noWrap/>
            <w:vAlign w:val="center"/>
            <w:hideMark/>
          </w:tcPr>
          <w:p w14:paraId="2E9724DE" w14:textId="58CC1BC5"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29" w:type="pct"/>
            <w:tcBorders>
              <w:top w:val="nil"/>
              <w:left w:val="nil"/>
              <w:bottom w:val="nil"/>
              <w:right w:val="nil"/>
            </w:tcBorders>
            <w:shd w:val="clear" w:color="auto" w:fill="auto"/>
            <w:noWrap/>
            <w:vAlign w:val="bottom"/>
            <w:hideMark/>
          </w:tcPr>
          <w:p w14:paraId="776E302A"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120" w:type="pct"/>
            <w:tcBorders>
              <w:top w:val="nil"/>
              <w:left w:val="nil"/>
              <w:bottom w:val="nil"/>
              <w:right w:val="nil"/>
            </w:tcBorders>
            <w:shd w:val="clear" w:color="auto" w:fill="auto"/>
            <w:noWrap/>
            <w:vAlign w:val="bottom"/>
            <w:hideMark/>
          </w:tcPr>
          <w:p w14:paraId="593AB218"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800" w:type="pct"/>
            <w:gridSpan w:val="2"/>
            <w:tcBorders>
              <w:top w:val="nil"/>
              <w:left w:val="nil"/>
              <w:bottom w:val="nil"/>
              <w:right w:val="nil"/>
            </w:tcBorders>
            <w:shd w:val="clear" w:color="auto" w:fill="auto"/>
            <w:noWrap/>
            <w:vAlign w:val="bottom"/>
            <w:hideMark/>
          </w:tcPr>
          <w:p w14:paraId="3BCF1FDB"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r>
      <w:tr w:rsidR="00534A74" w:rsidRPr="00534A74" w14:paraId="40EF5ED4"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4152BF57" w14:textId="77777777" w:rsidR="00534A74" w:rsidRPr="00534A74" w:rsidRDefault="00534A74" w:rsidP="00534A74">
            <w:pPr>
              <w:spacing w:after="0" w:line="240" w:lineRule="auto"/>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 xml:space="preserve"> NÃO CIRCULANTE </w:t>
            </w:r>
          </w:p>
        </w:tc>
        <w:tc>
          <w:tcPr>
            <w:tcW w:w="346" w:type="pct"/>
            <w:tcBorders>
              <w:top w:val="nil"/>
              <w:left w:val="nil"/>
              <w:bottom w:val="nil"/>
              <w:right w:val="nil"/>
            </w:tcBorders>
            <w:shd w:val="clear" w:color="000000" w:fill="FFFFFF"/>
            <w:noWrap/>
            <w:vAlign w:val="center"/>
            <w:hideMark/>
          </w:tcPr>
          <w:p w14:paraId="1E834B51" w14:textId="29523BE6"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29" w:type="pct"/>
            <w:tcBorders>
              <w:top w:val="nil"/>
              <w:left w:val="nil"/>
              <w:bottom w:val="nil"/>
              <w:right w:val="nil"/>
            </w:tcBorders>
            <w:shd w:val="clear" w:color="auto" w:fill="auto"/>
            <w:noWrap/>
            <w:vAlign w:val="bottom"/>
            <w:hideMark/>
          </w:tcPr>
          <w:p w14:paraId="2DED2CAE"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120" w:type="pct"/>
            <w:tcBorders>
              <w:top w:val="nil"/>
              <w:left w:val="nil"/>
              <w:bottom w:val="nil"/>
              <w:right w:val="nil"/>
            </w:tcBorders>
            <w:shd w:val="clear" w:color="auto" w:fill="auto"/>
            <w:noWrap/>
            <w:vAlign w:val="bottom"/>
            <w:hideMark/>
          </w:tcPr>
          <w:p w14:paraId="7ED7E945"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800" w:type="pct"/>
            <w:gridSpan w:val="2"/>
            <w:tcBorders>
              <w:top w:val="nil"/>
              <w:left w:val="nil"/>
              <w:bottom w:val="nil"/>
              <w:right w:val="nil"/>
            </w:tcBorders>
            <w:shd w:val="clear" w:color="auto" w:fill="auto"/>
            <w:noWrap/>
            <w:vAlign w:val="bottom"/>
            <w:hideMark/>
          </w:tcPr>
          <w:p w14:paraId="3C1D0902"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r>
      <w:tr w:rsidR="00534A74" w:rsidRPr="00534A74" w14:paraId="19B492EF"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3A15C155" w14:textId="183F88D0"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w:t>
            </w:r>
            <w:r w:rsidR="005237DA">
              <w:rPr>
                <w:rFonts w:ascii="Segoe UI" w:eastAsia="Times New Roman" w:hAnsi="Segoe UI" w:cs="Segoe UI"/>
                <w:sz w:val="18"/>
                <w:szCs w:val="18"/>
                <w:lang w:eastAsia="pt-BR"/>
              </w:rPr>
              <w:t>Fundo de descomissionamento</w:t>
            </w:r>
            <w:r w:rsidRPr="00534A74">
              <w:rPr>
                <w:rFonts w:ascii="Segoe UI" w:eastAsia="Times New Roman" w:hAnsi="Segoe UI" w:cs="Segoe UI"/>
                <w:sz w:val="18"/>
                <w:szCs w:val="18"/>
                <w:lang w:eastAsia="pt-BR"/>
              </w:rPr>
              <w:t xml:space="preserve"> </w:t>
            </w:r>
          </w:p>
        </w:tc>
        <w:tc>
          <w:tcPr>
            <w:tcW w:w="346" w:type="pct"/>
            <w:tcBorders>
              <w:top w:val="nil"/>
              <w:left w:val="nil"/>
              <w:bottom w:val="nil"/>
              <w:right w:val="nil"/>
            </w:tcBorders>
            <w:shd w:val="clear" w:color="000000" w:fill="FFFFFF"/>
            <w:noWrap/>
            <w:vAlign w:val="center"/>
            <w:hideMark/>
          </w:tcPr>
          <w:p w14:paraId="6FA6BD4E" w14:textId="093816F8"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11</w:t>
            </w:r>
          </w:p>
        </w:tc>
        <w:tc>
          <w:tcPr>
            <w:tcW w:w="829" w:type="pct"/>
            <w:tcBorders>
              <w:top w:val="nil"/>
              <w:left w:val="nil"/>
              <w:bottom w:val="nil"/>
              <w:right w:val="nil"/>
            </w:tcBorders>
            <w:shd w:val="clear" w:color="auto" w:fill="auto"/>
            <w:noWrap/>
            <w:vAlign w:val="center"/>
            <w:hideMark/>
          </w:tcPr>
          <w:p w14:paraId="6AB95AF6" w14:textId="2FA1DE7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120" w:type="pct"/>
            <w:tcBorders>
              <w:top w:val="nil"/>
              <w:left w:val="nil"/>
              <w:bottom w:val="nil"/>
              <w:right w:val="nil"/>
            </w:tcBorders>
            <w:shd w:val="clear" w:color="auto" w:fill="auto"/>
            <w:noWrap/>
            <w:vAlign w:val="bottom"/>
            <w:hideMark/>
          </w:tcPr>
          <w:p w14:paraId="63E3727F"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27AC57E4" w14:textId="6F0570A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2.561.274</w:t>
            </w:r>
          </w:p>
        </w:tc>
      </w:tr>
      <w:tr w:rsidR="00534A74" w:rsidRPr="00534A74" w14:paraId="6C40F5AF"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3F758AC7"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Clientes </w:t>
            </w:r>
          </w:p>
        </w:tc>
        <w:tc>
          <w:tcPr>
            <w:tcW w:w="346" w:type="pct"/>
            <w:tcBorders>
              <w:top w:val="nil"/>
              <w:left w:val="nil"/>
              <w:bottom w:val="nil"/>
              <w:right w:val="nil"/>
            </w:tcBorders>
            <w:shd w:val="clear" w:color="000000" w:fill="FFFFFF"/>
            <w:noWrap/>
            <w:vAlign w:val="center"/>
            <w:hideMark/>
          </w:tcPr>
          <w:p w14:paraId="1B59D7BA" w14:textId="34A08B8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6</w:t>
            </w:r>
          </w:p>
        </w:tc>
        <w:tc>
          <w:tcPr>
            <w:tcW w:w="829" w:type="pct"/>
            <w:tcBorders>
              <w:top w:val="nil"/>
              <w:left w:val="nil"/>
              <w:bottom w:val="nil"/>
              <w:right w:val="nil"/>
            </w:tcBorders>
            <w:shd w:val="clear" w:color="auto" w:fill="auto"/>
            <w:noWrap/>
            <w:vAlign w:val="center"/>
            <w:hideMark/>
          </w:tcPr>
          <w:p w14:paraId="60B5AF78" w14:textId="3D3A3121"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290.061</w:t>
            </w:r>
          </w:p>
        </w:tc>
        <w:tc>
          <w:tcPr>
            <w:tcW w:w="120" w:type="pct"/>
            <w:tcBorders>
              <w:top w:val="nil"/>
              <w:left w:val="nil"/>
              <w:bottom w:val="nil"/>
              <w:right w:val="nil"/>
            </w:tcBorders>
            <w:shd w:val="clear" w:color="auto" w:fill="auto"/>
            <w:noWrap/>
            <w:vAlign w:val="bottom"/>
            <w:hideMark/>
          </w:tcPr>
          <w:p w14:paraId="35197193"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2C26EC38" w14:textId="7D15B374"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290.061</w:t>
            </w:r>
          </w:p>
        </w:tc>
      </w:tr>
      <w:tr w:rsidR="00534A74" w:rsidRPr="00534A74" w14:paraId="2C414C4F"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131E3682"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Estoque de combustível nuclear </w:t>
            </w:r>
          </w:p>
        </w:tc>
        <w:tc>
          <w:tcPr>
            <w:tcW w:w="346" w:type="pct"/>
            <w:tcBorders>
              <w:top w:val="nil"/>
              <w:left w:val="nil"/>
              <w:bottom w:val="nil"/>
              <w:right w:val="nil"/>
            </w:tcBorders>
            <w:shd w:val="clear" w:color="000000" w:fill="FFFFFF"/>
            <w:noWrap/>
            <w:vAlign w:val="center"/>
            <w:hideMark/>
          </w:tcPr>
          <w:p w14:paraId="091DDD7D" w14:textId="105B460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9</w:t>
            </w:r>
          </w:p>
        </w:tc>
        <w:tc>
          <w:tcPr>
            <w:tcW w:w="829" w:type="pct"/>
            <w:tcBorders>
              <w:top w:val="nil"/>
              <w:left w:val="nil"/>
              <w:bottom w:val="nil"/>
              <w:right w:val="nil"/>
            </w:tcBorders>
            <w:shd w:val="clear" w:color="auto" w:fill="auto"/>
            <w:noWrap/>
            <w:vAlign w:val="center"/>
            <w:hideMark/>
          </w:tcPr>
          <w:p w14:paraId="59C6CA18" w14:textId="3935ACF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120" w:type="pct"/>
            <w:tcBorders>
              <w:top w:val="nil"/>
              <w:left w:val="nil"/>
              <w:bottom w:val="nil"/>
              <w:right w:val="nil"/>
            </w:tcBorders>
            <w:shd w:val="clear" w:color="auto" w:fill="auto"/>
            <w:noWrap/>
            <w:vAlign w:val="bottom"/>
            <w:hideMark/>
          </w:tcPr>
          <w:p w14:paraId="3A43D1B6"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56D10889" w14:textId="48A5EBE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1.892.886</w:t>
            </w:r>
          </w:p>
        </w:tc>
      </w:tr>
      <w:tr w:rsidR="00534A74" w:rsidRPr="00534A74" w14:paraId="66F8FE0A"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601932B0"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Cauções e depósitos vinculados </w:t>
            </w:r>
          </w:p>
        </w:tc>
        <w:tc>
          <w:tcPr>
            <w:tcW w:w="346" w:type="pct"/>
            <w:tcBorders>
              <w:top w:val="nil"/>
              <w:left w:val="nil"/>
              <w:bottom w:val="nil"/>
              <w:right w:val="nil"/>
            </w:tcBorders>
            <w:shd w:val="clear" w:color="auto" w:fill="auto"/>
            <w:noWrap/>
            <w:vAlign w:val="center"/>
            <w:hideMark/>
          </w:tcPr>
          <w:p w14:paraId="41BA686C" w14:textId="4A540A7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20.2</w:t>
            </w:r>
          </w:p>
        </w:tc>
        <w:tc>
          <w:tcPr>
            <w:tcW w:w="829" w:type="pct"/>
            <w:tcBorders>
              <w:top w:val="nil"/>
              <w:left w:val="nil"/>
              <w:bottom w:val="nil"/>
              <w:right w:val="nil"/>
            </w:tcBorders>
            <w:shd w:val="clear" w:color="auto" w:fill="auto"/>
            <w:noWrap/>
            <w:vAlign w:val="center"/>
            <w:hideMark/>
          </w:tcPr>
          <w:p w14:paraId="2744D2F3" w14:textId="2D860698"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120" w:type="pct"/>
            <w:tcBorders>
              <w:top w:val="nil"/>
              <w:left w:val="nil"/>
              <w:bottom w:val="nil"/>
              <w:right w:val="nil"/>
            </w:tcBorders>
            <w:shd w:val="clear" w:color="auto" w:fill="auto"/>
            <w:noWrap/>
            <w:vAlign w:val="bottom"/>
            <w:hideMark/>
          </w:tcPr>
          <w:p w14:paraId="165D7458"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1A451310" w14:textId="3DCEBB2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90.068</w:t>
            </w:r>
          </w:p>
        </w:tc>
      </w:tr>
      <w:tr w:rsidR="00534A74" w:rsidRPr="00534A74" w14:paraId="3FAFFB0B"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7936AC6E"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Outros </w:t>
            </w:r>
          </w:p>
        </w:tc>
        <w:tc>
          <w:tcPr>
            <w:tcW w:w="346" w:type="pct"/>
            <w:tcBorders>
              <w:top w:val="nil"/>
              <w:left w:val="nil"/>
              <w:bottom w:val="nil"/>
              <w:right w:val="nil"/>
            </w:tcBorders>
            <w:shd w:val="clear" w:color="000000" w:fill="FFFFFF"/>
            <w:noWrap/>
            <w:vAlign w:val="center"/>
            <w:hideMark/>
          </w:tcPr>
          <w:p w14:paraId="41820041" w14:textId="5BE39EE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10</w:t>
            </w:r>
          </w:p>
        </w:tc>
        <w:tc>
          <w:tcPr>
            <w:tcW w:w="829" w:type="pct"/>
            <w:tcBorders>
              <w:top w:val="nil"/>
              <w:left w:val="nil"/>
              <w:bottom w:val="nil"/>
              <w:right w:val="nil"/>
            </w:tcBorders>
            <w:shd w:val="clear" w:color="auto" w:fill="auto"/>
            <w:noWrap/>
            <w:vAlign w:val="center"/>
            <w:hideMark/>
          </w:tcPr>
          <w:p w14:paraId="3350A70A" w14:textId="5C771CF8"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1.792.641</w:t>
            </w:r>
          </w:p>
        </w:tc>
        <w:tc>
          <w:tcPr>
            <w:tcW w:w="120" w:type="pct"/>
            <w:tcBorders>
              <w:top w:val="nil"/>
              <w:left w:val="nil"/>
              <w:bottom w:val="nil"/>
              <w:right w:val="nil"/>
            </w:tcBorders>
            <w:shd w:val="clear" w:color="auto" w:fill="auto"/>
            <w:noWrap/>
            <w:vAlign w:val="bottom"/>
            <w:hideMark/>
          </w:tcPr>
          <w:p w14:paraId="3824F3EA"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7CAE2435" w14:textId="41EE49A8"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1.827.122</w:t>
            </w:r>
          </w:p>
        </w:tc>
      </w:tr>
      <w:tr w:rsidR="00534A74" w:rsidRPr="00534A74" w14:paraId="25F74B34"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5D3E9D27"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Investimento </w:t>
            </w:r>
          </w:p>
        </w:tc>
        <w:tc>
          <w:tcPr>
            <w:tcW w:w="346" w:type="pct"/>
            <w:tcBorders>
              <w:top w:val="nil"/>
              <w:left w:val="nil"/>
              <w:bottom w:val="nil"/>
              <w:right w:val="nil"/>
            </w:tcBorders>
            <w:shd w:val="clear" w:color="auto" w:fill="auto"/>
            <w:noWrap/>
            <w:vAlign w:val="center"/>
            <w:hideMark/>
          </w:tcPr>
          <w:p w14:paraId="461FB7EF" w14:textId="05B40EC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12</w:t>
            </w:r>
          </w:p>
        </w:tc>
        <w:tc>
          <w:tcPr>
            <w:tcW w:w="829" w:type="pct"/>
            <w:tcBorders>
              <w:top w:val="nil"/>
              <w:left w:val="nil"/>
              <w:bottom w:val="nil"/>
              <w:right w:val="nil"/>
            </w:tcBorders>
            <w:shd w:val="clear" w:color="auto" w:fill="auto"/>
            <w:noWrap/>
            <w:vAlign w:val="center"/>
            <w:hideMark/>
          </w:tcPr>
          <w:p w14:paraId="49E032B3" w14:textId="42A11CD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6.255.805</w:t>
            </w:r>
          </w:p>
        </w:tc>
        <w:tc>
          <w:tcPr>
            <w:tcW w:w="120" w:type="pct"/>
            <w:tcBorders>
              <w:top w:val="nil"/>
              <w:left w:val="nil"/>
              <w:bottom w:val="nil"/>
              <w:right w:val="nil"/>
            </w:tcBorders>
            <w:shd w:val="clear" w:color="auto" w:fill="auto"/>
            <w:noWrap/>
            <w:vAlign w:val="bottom"/>
            <w:hideMark/>
          </w:tcPr>
          <w:p w14:paraId="3905E5ED"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32529A54" w14:textId="28E6C9C0"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1.320.406</w:t>
            </w:r>
          </w:p>
        </w:tc>
      </w:tr>
      <w:tr w:rsidR="00534A74" w:rsidRPr="00534A74" w14:paraId="6E20A367"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1B0CD6B2"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Imobilizado </w:t>
            </w:r>
          </w:p>
        </w:tc>
        <w:tc>
          <w:tcPr>
            <w:tcW w:w="346" w:type="pct"/>
            <w:tcBorders>
              <w:top w:val="nil"/>
              <w:left w:val="nil"/>
              <w:bottom w:val="nil"/>
              <w:right w:val="nil"/>
            </w:tcBorders>
            <w:shd w:val="clear" w:color="auto" w:fill="auto"/>
            <w:noWrap/>
            <w:vAlign w:val="center"/>
            <w:hideMark/>
          </w:tcPr>
          <w:p w14:paraId="5695251B" w14:textId="4352B2E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13</w:t>
            </w:r>
          </w:p>
        </w:tc>
        <w:tc>
          <w:tcPr>
            <w:tcW w:w="829" w:type="pct"/>
            <w:tcBorders>
              <w:top w:val="nil"/>
              <w:left w:val="nil"/>
              <w:bottom w:val="nil"/>
              <w:right w:val="nil"/>
            </w:tcBorders>
            <w:shd w:val="clear" w:color="auto" w:fill="auto"/>
            <w:noWrap/>
            <w:vAlign w:val="center"/>
            <w:hideMark/>
          </w:tcPr>
          <w:p w14:paraId="32BD70B9" w14:textId="0B9671E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9.083</w:t>
            </w:r>
          </w:p>
        </w:tc>
        <w:tc>
          <w:tcPr>
            <w:tcW w:w="120" w:type="pct"/>
            <w:tcBorders>
              <w:top w:val="nil"/>
              <w:left w:val="nil"/>
              <w:right w:val="nil"/>
            </w:tcBorders>
            <w:shd w:val="clear" w:color="auto" w:fill="auto"/>
            <w:noWrap/>
            <w:vAlign w:val="bottom"/>
            <w:hideMark/>
          </w:tcPr>
          <w:p w14:paraId="289A42F9"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nil"/>
              <w:right w:val="nil"/>
            </w:tcBorders>
            <w:shd w:val="clear" w:color="auto" w:fill="auto"/>
            <w:noWrap/>
            <w:vAlign w:val="bottom"/>
            <w:hideMark/>
          </w:tcPr>
          <w:p w14:paraId="41081529" w14:textId="750159E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13.771.150</w:t>
            </w:r>
          </w:p>
        </w:tc>
      </w:tr>
      <w:tr w:rsidR="00534A74" w:rsidRPr="00534A74" w14:paraId="545D50BF"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75299AA1"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Intangível </w:t>
            </w:r>
          </w:p>
        </w:tc>
        <w:tc>
          <w:tcPr>
            <w:tcW w:w="346" w:type="pct"/>
            <w:tcBorders>
              <w:top w:val="nil"/>
              <w:left w:val="nil"/>
              <w:bottom w:val="nil"/>
              <w:right w:val="nil"/>
            </w:tcBorders>
            <w:shd w:val="clear" w:color="auto" w:fill="auto"/>
            <w:noWrap/>
            <w:vAlign w:val="center"/>
            <w:hideMark/>
          </w:tcPr>
          <w:p w14:paraId="581E0833" w14:textId="21822E7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14</w:t>
            </w:r>
          </w:p>
        </w:tc>
        <w:tc>
          <w:tcPr>
            <w:tcW w:w="829" w:type="pct"/>
            <w:tcBorders>
              <w:top w:val="nil"/>
              <w:left w:val="nil"/>
              <w:bottom w:val="single" w:sz="4" w:space="0" w:color="1B80C4"/>
              <w:right w:val="nil"/>
            </w:tcBorders>
            <w:shd w:val="clear" w:color="auto" w:fill="auto"/>
            <w:noWrap/>
            <w:vAlign w:val="center"/>
            <w:hideMark/>
          </w:tcPr>
          <w:p w14:paraId="132D7428" w14:textId="7D6A634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120" w:type="pct"/>
            <w:tcBorders>
              <w:top w:val="nil"/>
              <w:left w:val="nil"/>
              <w:right w:val="nil"/>
            </w:tcBorders>
            <w:shd w:val="clear" w:color="auto" w:fill="auto"/>
            <w:noWrap/>
            <w:vAlign w:val="center"/>
            <w:hideMark/>
          </w:tcPr>
          <w:p w14:paraId="51CDDE06" w14:textId="757021CA"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800" w:type="pct"/>
            <w:gridSpan w:val="2"/>
            <w:tcBorders>
              <w:top w:val="nil"/>
              <w:left w:val="nil"/>
              <w:bottom w:val="single" w:sz="4" w:space="0" w:color="1B80C4"/>
              <w:right w:val="nil"/>
            </w:tcBorders>
            <w:shd w:val="clear" w:color="auto" w:fill="auto"/>
            <w:noWrap/>
            <w:vAlign w:val="center"/>
            <w:hideMark/>
          </w:tcPr>
          <w:p w14:paraId="61CB6E8F" w14:textId="5B85F711"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577.052</w:t>
            </w:r>
          </w:p>
        </w:tc>
      </w:tr>
      <w:tr w:rsidR="00534A74" w:rsidRPr="00534A74" w14:paraId="4EDF61CF" w14:textId="77777777" w:rsidTr="00DC1D61">
        <w:trPr>
          <w:gridAfter w:val="1"/>
          <w:wAfter w:w="319" w:type="pct"/>
          <w:trHeight w:val="240"/>
        </w:trPr>
        <w:tc>
          <w:tcPr>
            <w:tcW w:w="2587" w:type="pct"/>
            <w:tcBorders>
              <w:top w:val="nil"/>
              <w:left w:val="nil"/>
              <w:bottom w:val="nil"/>
              <w:right w:val="nil"/>
            </w:tcBorders>
            <w:shd w:val="clear" w:color="auto" w:fill="auto"/>
            <w:noWrap/>
            <w:vAlign w:val="center"/>
            <w:hideMark/>
          </w:tcPr>
          <w:p w14:paraId="1AEF7F56"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346" w:type="pct"/>
            <w:tcBorders>
              <w:top w:val="nil"/>
              <w:left w:val="nil"/>
              <w:bottom w:val="nil"/>
              <w:right w:val="nil"/>
            </w:tcBorders>
            <w:shd w:val="clear" w:color="auto" w:fill="auto"/>
            <w:noWrap/>
            <w:vAlign w:val="center"/>
            <w:hideMark/>
          </w:tcPr>
          <w:p w14:paraId="70F4D8CF"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829" w:type="pct"/>
            <w:tcBorders>
              <w:top w:val="nil"/>
              <w:left w:val="nil"/>
              <w:bottom w:val="nil"/>
              <w:right w:val="nil"/>
            </w:tcBorders>
            <w:shd w:val="clear" w:color="auto" w:fill="auto"/>
            <w:noWrap/>
            <w:vAlign w:val="bottom"/>
            <w:hideMark/>
          </w:tcPr>
          <w:p w14:paraId="7C2E83D8" w14:textId="1F438E77"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8.347.590</w:t>
            </w:r>
          </w:p>
        </w:tc>
        <w:tc>
          <w:tcPr>
            <w:tcW w:w="120" w:type="pct"/>
            <w:tcBorders>
              <w:top w:val="nil"/>
              <w:left w:val="nil"/>
              <w:right w:val="nil"/>
            </w:tcBorders>
            <w:shd w:val="clear" w:color="auto" w:fill="auto"/>
            <w:noWrap/>
            <w:vAlign w:val="bottom"/>
            <w:hideMark/>
          </w:tcPr>
          <w:p w14:paraId="1F84DF0C" w14:textId="77777777" w:rsidR="00534A74" w:rsidRPr="00534A74" w:rsidRDefault="00534A74" w:rsidP="00534A74">
            <w:pPr>
              <w:spacing w:after="0" w:line="240" w:lineRule="auto"/>
              <w:jc w:val="right"/>
              <w:rPr>
                <w:rFonts w:ascii="Segoe UI" w:eastAsia="Times New Roman" w:hAnsi="Segoe UI" w:cs="Segoe UI"/>
                <w:b/>
                <w:bCs/>
                <w:sz w:val="18"/>
                <w:szCs w:val="18"/>
                <w:lang w:eastAsia="pt-BR"/>
              </w:rPr>
            </w:pPr>
          </w:p>
        </w:tc>
        <w:tc>
          <w:tcPr>
            <w:tcW w:w="800" w:type="pct"/>
            <w:gridSpan w:val="2"/>
            <w:tcBorders>
              <w:top w:val="nil"/>
              <w:left w:val="nil"/>
              <w:bottom w:val="nil"/>
              <w:right w:val="nil"/>
            </w:tcBorders>
            <w:shd w:val="clear" w:color="auto" w:fill="auto"/>
            <w:noWrap/>
            <w:vAlign w:val="bottom"/>
            <w:hideMark/>
          </w:tcPr>
          <w:p w14:paraId="476D804A" w14:textId="5C68406C"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22.330.019</w:t>
            </w:r>
          </w:p>
        </w:tc>
      </w:tr>
      <w:tr w:rsidR="00534A74" w:rsidRPr="00534A74" w14:paraId="3A36FB93" w14:textId="77777777" w:rsidTr="00DC1D61">
        <w:trPr>
          <w:trHeight w:val="240"/>
        </w:trPr>
        <w:tc>
          <w:tcPr>
            <w:tcW w:w="2587" w:type="pct"/>
            <w:tcBorders>
              <w:top w:val="nil"/>
              <w:left w:val="nil"/>
              <w:bottom w:val="nil"/>
              <w:right w:val="nil"/>
            </w:tcBorders>
            <w:shd w:val="clear" w:color="auto" w:fill="auto"/>
            <w:noWrap/>
            <w:vAlign w:val="center"/>
            <w:hideMark/>
          </w:tcPr>
          <w:p w14:paraId="6AB8349D" w14:textId="77777777" w:rsidR="00534A74" w:rsidRPr="00534A74" w:rsidRDefault="00534A74" w:rsidP="00534A74">
            <w:pPr>
              <w:spacing w:after="0" w:line="240" w:lineRule="auto"/>
              <w:jc w:val="center"/>
              <w:rPr>
                <w:rFonts w:ascii="Segoe UI" w:eastAsia="Times New Roman" w:hAnsi="Segoe UI" w:cs="Segoe UI"/>
                <w:b/>
                <w:bCs/>
                <w:sz w:val="18"/>
                <w:szCs w:val="18"/>
                <w:lang w:eastAsia="pt-BR"/>
              </w:rPr>
            </w:pPr>
          </w:p>
        </w:tc>
        <w:tc>
          <w:tcPr>
            <w:tcW w:w="346" w:type="pct"/>
            <w:tcBorders>
              <w:top w:val="nil"/>
              <w:left w:val="nil"/>
              <w:bottom w:val="nil"/>
              <w:right w:val="nil"/>
            </w:tcBorders>
            <w:shd w:val="clear" w:color="auto" w:fill="auto"/>
            <w:noWrap/>
            <w:vAlign w:val="center"/>
            <w:hideMark/>
          </w:tcPr>
          <w:p w14:paraId="37C752E3"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829" w:type="pct"/>
            <w:tcBorders>
              <w:top w:val="nil"/>
              <w:left w:val="nil"/>
              <w:bottom w:val="nil"/>
              <w:right w:val="nil"/>
            </w:tcBorders>
            <w:shd w:val="clear" w:color="auto" w:fill="auto"/>
            <w:noWrap/>
            <w:vAlign w:val="bottom"/>
            <w:hideMark/>
          </w:tcPr>
          <w:p w14:paraId="74C39EDC"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39" w:type="pct"/>
            <w:gridSpan w:val="2"/>
            <w:tcBorders>
              <w:top w:val="nil"/>
              <w:left w:val="nil"/>
              <w:bottom w:val="nil"/>
              <w:right w:val="nil"/>
            </w:tcBorders>
            <w:shd w:val="clear" w:color="auto" w:fill="auto"/>
            <w:noWrap/>
            <w:vAlign w:val="bottom"/>
            <w:hideMark/>
          </w:tcPr>
          <w:p w14:paraId="0FB25A4E"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800" w:type="pct"/>
            <w:gridSpan w:val="2"/>
            <w:tcBorders>
              <w:top w:val="nil"/>
              <w:left w:val="nil"/>
              <w:bottom w:val="nil"/>
              <w:right w:val="nil"/>
            </w:tcBorders>
            <w:shd w:val="clear" w:color="auto" w:fill="auto"/>
            <w:noWrap/>
            <w:vAlign w:val="bottom"/>
            <w:hideMark/>
          </w:tcPr>
          <w:p w14:paraId="483F29E4"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r>
      <w:tr w:rsidR="00534A74" w:rsidRPr="00534A74" w14:paraId="0B412EDE" w14:textId="77777777" w:rsidTr="00DC1D61">
        <w:trPr>
          <w:gridAfter w:val="1"/>
          <w:wAfter w:w="319" w:type="pct"/>
          <w:trHeight w:val="255"/>
        </w:trPr>
        <w:tc>
          <w:tcPr>
            <w:tcW w:w="2587" w:type="pct"/>
            <w:tcBorders>
              <w:top w:val="nil"/>
              <w:left w:val="nil"/>
              <w:bottom w:val="nil"/>
              <w:right w:val="nil"/>
            </w:tcBorders>
            <w:shd w:val="clear" w:color="auto" w:fill="auto"/>
            <w:noWrap/>
            <w:vAlign w:val="center"/>
            <w:hideMark/>
          </w:tcPr>
          <w:p w14:paraId="6A5E17E2" w14:textId="77777777" w:rsidR="00534A74" w:rsidRPr="00534A74" w:rsidRDefault="00534A74" w:rsidP="00534A74">
            <w:pPr>
              <w:spacing w:after="0" w:line="240" w:lineRule="auto"/>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 xml:space="preserve"> TOTAL DO ATIVO </w:t>
            </w:r>
          </w:p>
        </w:tc>
        <w:tc>
          <w:tcPr>
            <w:tcW w:w="346" w:type="pct"/>
            <w:tcBorders>
              <w:top w:val="nil"/>
              <w:left w:val="nil"/>
              <w:bottom w:val="nil"/>
              <w:right w:val="nil"/>
            </w:tcBorders>
            <w:shd w:val="clear" w:color="auto" w:fill="auto"/>
            <w:noWrap/>
            <w:vAlign w:val="center"/>
            <w:hideMark/>
          </w:tcPr>
          <w:p w14:paraId="36C71F01" w14:textId="77777777" w:rsidR="00534A74" w:rsidRPr="00534A74" w:rsidRDefault="00534A74" w:rsidP="00534A74">
            <w:pPr>
              <w:spacing w:after="0" w:line="240" w:lineRule="auto"/>
              <w:jc w:val="right"/>
              <w:rPr>
                <w:rFonts w:ascii="Segoe UI" w:eastAsia="Times New Roman" w:hAnsi="Segoe UI" w:cs="Segoe UI"/>
                <w:b/>
                <w:bCs/>
                <w:sz w:val="18"/>
                <w:szCs w:val="18"/>
                <w:lang w:eastAsia="pt-BR"/>
              </w:rPr>
            </w:pPr>
          </w:p>
        </w:tc>
        <w:tc>
          <w:tcPr>
            <w:tcW w:w="829" w:type="pct"/>
            <w:tcBorders>
              <w:top w:val="single" w:sz="4" w:space="0" w:color="1B80C4"/>
              <w:left w:val="nil"/>
              <w:bottom w:val="double" w:sz="6" w:space="0" w:color="1B80C4"/>
              <w:right w:val="nil"/>
            </w:tcBorders>
            <w:shd w:val="clear" w:color="auto" w:fill="auto"/>
            <w:noWrap/>
            <w:vAlign w:val="bottom"/>
            <w:hideMark/>
          </w:tcPr>
          <w:p w14:paraId="0FFD4468" w14:textId="45B88AA0"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14.727.103</w:t>
            </w:r>
          </w:p>
        </w:tc>
        <w:tc>
          <w:tcPr>
            <w:tcW w:w="120" w:type="pct"/>
            <w:tcBorders>
              <w:left w:val="nil"/>
              <w:right w:val="nil"/>
            </w:tcBorders>
            <w:shd w:val="clear" w:color="auto" w:fill="auto"/>
            <w:noWrap/>
            <w:vAlign w:val="bottom"/>
            <w:hideMark/>
          </w:tcPr>
          <w:p w14:paraId="0235F17F" w14:textId="53AAF5D0" w:rsidR="00534A74" w:rsidRPr="00534A74" w:rsidRDefault="00534A74" w:rsidP="00534A74">
            <w:pPr>
              <w:spacing w:after="0" w:line="240" w:lineRule="auto"/>
              <w:jc w:val="right"/>
              <w:rPr>
                <w:rFonts w:ascii="Segoe UI" w:eastAsia="Times New Roman" w:hAnsi="Segoe UI" w:cs="Segoe UI"/>
                <w:b/>
                <w:bCs/>
                <w:sz w:val="18"/>
                <w:szCs w:val="18"/>
                <w:lang w:eastAsia="pt-BR"/>
              </w:rPr>
            </w:pPr>
          </w:p>
        </w:tc>
        <w:tc>
          <w:tcPr>
            <w:tcW w:w="800" w:type="pct"/>
            <w:gridSpan w:val="2"/>
            <w:tcBorders>
              <w:top w:val="single" w:sz="4" w:space="0" w:color="1B80C4"/>
              <w:left w:val="nil"/>
              <w:bottom w:val="double" w:sz="6" w:space="0" w:color="1B80C4"/>
              <w:right w:val="nil"/>
            </w:tcBorders>
            <w:shd w:val="clear" w:color="auto" w:fill="auto"/>
            <w:noWrap/>
            <w:vAlign w:val="bottom"/>
            <w:hideMark/>
          </w:tcPr>
          <w:p w14:paraId="6A7E52F3" w14:textId="3C5B8C4E"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34.287.005</w:t>
            </w:r>
          </w:p>
        </w:tc>
      </w:tr>
    </w:tbl>
    <w:p w14:paraId="5F54C04C" w14:textId="77777777" w:rsidR="00F52374" w:rsidRPr="000757BC" w:rsidRDefault="00F52374" w:rsidP="004B6B1F">
      <w:pPr>
        <w:widowControl w:val="0"/>
        <w:rPr>
          <w:rFonts w:ascii="Segoe UI" w:hAnsi="Segoe UI" w:cs="Segoe UI"/>
          <w:bCs/>
        </w:rPr>
      </w:pPr>
    </w:p>
    <w:p w14:paraId="6921E425" w14:textId="5497010D" w:rsidR="007835BD" w:rsidRDefault="007835BD" w:rsidP="007835BD">
      <w:pPr>
        <w:spacing w:after="0" w:line="240" w:lineRule="auto"/>
        <w:jc w:val="both"/>
        <w:rPr>
          <w:rFonts w:ascii="Segoe UI" w:hAnsi="Segoe UI" w:cs="Segoe UI"/>
          <w:b/>
          <w:color w:val="767171" w:themeColor="background2" w:themeShade="80"/>
        </w:rPr>
      </w:pPr>
    </w:p>
    <w:p w14:paraId="401023B8" w14:textId="46371512" w:rsidR="00515246" w:rsidRDefault="00515246" w:rsidP="007835BD">
      <w:pPr>
        <w:spacing w:after="0" w:line="240" w:lineRule="auto"/>
        <w:jc w:val="both"/>
        <w:rPr>
          <w:rFonts w:ascii="Segoe UI" w:hAnsi="Segoe UI" w:cs="Segoe UI"/>
          <w:b/>
          <w:color w:val="767171" w:themeColor="background2" w:themeShade="80"/>
        </w:rPr>
      </w:pPr>
    </w:p>
    <w:p w14:paraId="4A303B77" w14:textId="37661B99" w:rsidR="00515246" w:rsidRDefault="00515246" w:rsidP="007835BD">
      <w:pPr>
        <w:spacing w:after="0" w:line="240" w:lineRule="auto"/>
        <w:jc w:val="both"/>
        <w:rPr>
          <w:rFonts w:ascii="Segoe UI" w:hAnsi="Segoe UI" w:cs="Segoe UI"/>
          <w:b/>
          <w:color w:val="767171" w:themeColor="background2" w:themeShade="80"/>
        </w:rPr>
      </w:pPr>
    </w:p>
    <w:p w14:paraId="633D8E7A" w14:textId="4B8FCC9D" w:rsidR="00515246" w:rsidRDefault="00515246" w:rsidP="007835BD">
      <w:pPr>
        <w:spacing w:after="0" w:line="240" w:lineRule="auto"/>
        <w:jc w:val="both"/>
        <w:rPr>
          <w:rFonts w:ascii="Segoe UI" w:hAnsi="Segoe UI" w:cs="Segoe UI"/>
          <w:b/>
          <w:color w:val="767171" w:themeColor="background2" w:themeShade="80"/>
        </w:rPr>
      </w:pPr>
    </w:p>
    <w:p w14:paraId="66A98B42" w14:textId="11505638" w:rsidR="00515246" w:rsidRDefault="00515246" w:rsidP="007835BD">
      <w:pPr>
        <w:spacing w:after="0" w:line="240" w:lineRule="auto"/>
        <w:jc w:val="both"/>
        <w:rPr>
          <w:rFonts w:ascii="Segoe UI" w:hAnsi="Segoe UI" w:cs="Segoe UI"/>
          <w:b/>
          <w:color w:val="767171" w:themeColor="background2" w:themeShade="80"/>
        </w:rPr>
      </w:pPr>
    </w:p>
    <w:p w14:paraId="520863C1" w14:textId="26E7D2E8" w:rsidR="00515246" w:rsidRDefault="00515246" w:rsidP="007835BD">
      <w:pPr>
        <w:spacing w:after="0" w:line="240" w:lineRule="auto"/>
        <w:jc w:val="both"/>
        <w:rPr>
          <w:rFonts w:ascii="Segoe UI" w:hAnsi="Segoe UI" w:cs="Segoe UI"/>
          <w:b/>
          <w:color w:val="767171" w:themeColor="background2" w:themeShade="80"/>
        </w:rPr>
      </w:pPr>
    </w:p>
    <w:p w14:paraId="2692E86C" w14:textId="6CEB3E6A" w:rsidR="00515246" w:rsidRDefault="00515246" w:rsidP="007835BD">
      <w:pPr>
        <w:spacing w:after="0" w:line="240" w:lineRule="auto"/>
        <w:jc w:val="both"/>
        <w:rPr>
          <w:rFonts w:ascii="Segoe UI" w:hAnsi="Segoe UI" w:cs="Segoe UI"/>
          <w:b/>
          <w:color w:val="767171" w:themeColor="background2" w:themeShade="80"/>
        </w:rPr>
      </w:pPr>
    </w:p>
    <w:p w14:paraId="17C657C7" w14:textId="2F223D18" w:rsidR="00515246" w:rsidRDefault="00515246" w:rsidP="007835BD">
      <w:pPr>
        <w:spacing w:after="0" w:line="240" w:lineRule="auto"/>
        <w:jc w:val="both"/>
        <w:rPr>
          <w:rFonts w:ascii="Segoe UI" w:hAnsi="Segoe UI" w:cs="Segoe UI"/>
          <w:b/>
          <w:color w:val="767171" w:themeColor="background2" w:themeShade="80"/>
        </w:rPr>
      </w:pPr>
    </w:p>
    <w:p w14:paraId="4F8E865A" w14:textId="29C51339" w:rsidR="00515246" w:rsidRDefault="00515246" w:rsidP="007835BD">
      <w:pPr>
        <w:spacing w:after="0" w:line="240" w:lineRule="auto"/>
        <w:jc w:val="both"/>
        <w:rPr>
          <w:rFonts w:ascii="Segoe UI" w:hAnsi="Segoe UI" w:cs="Segoe UI"/>
          <w:b/>
          <w:color w:val="767171" w:themeColor="background2" w:themeShade="80"/>
        </w:rPr>
      </w:pPr>
    </w:p>
    <w:p w14:paraId="087F3419" w14:textId="12FE5403" w:rsidR="00515246" w:rsidRDefault="00515246" w:rsidP="007835BD">
      <w:pPr>
        <w:spacing w:after="0" w:line="240" w:lineRule="auto"/>
        <w:jc w:val="both"/>
        <w:rPr>
          <w:rFonts w:ascii="Segoe UI" w:hAnsi="Segoe UI" w:cs="Segoe UI"/>
          <w:b/>
          <w:color w:val="767171" w:themeColor="background2" w:themeShade="80"/>
        </w:rPr>
      </w:pPr>
    </w:p>
    <w:p w14:paraId="4359C6A6" w14:textId="77777777" w:rsidR="006523E4" w:rsidRDefault="006523E4" w:rsidP="007835BD">
      <w:pPr>
        <w:spacing w:after="0" w:line="240" w:lineRule="auto"/>
        <w:jc w:val="both"/>
        <w:rPr>
          <w:rFonts w:ascii="Segoe UI" w:hAnsi="Segoe UI" w:cs="Segoe UI"/>
          <w:b/>
          <w:color w:val="767171" w:themeColor="background2" w:themeShade="80"/>
        </w:rPr>
      </w:pPr>
    </w:p>
    <w:p w14:paraId="029EED24" w14:textId="25FC2B90" w:rsidR="0013282A" w:rsidRDefault="0013282A" w:rsidP="007835BD">
      <w:pPr>
        <w:spacing w:after="0" w:line="240" w:lineRule="auto"/>
        <w:jc w:val="both"/>
        <w:rPr>
          <w:rFonts w:ascii="Segoe UI" w:hAnsi="Segoe UI" w:cs="Segoe UI"/>
          <w:b/>
          <w:color w:val="767171" w:themeColor="background2" w:themeShade="80"/>
        </w:rPr>
      </w:pPr>
    </w:p>
    <w:p w14:paraId="561FF09B" w14:textId="77777777" w:rsidR="0013282A" w:rsidRDefault="0013282A" w:rsidP="007835BD">
      <w:pPr>
        <w:spacing w:after="0" w:line="240" w:lineRule="auto"/>
        <w:jc w:val="both"/>
        <w:rPr>
          <w:rFonts w:ascii="Segoe UI" w:hAnsi="Segoe UI" w:cs="Segoe UI"/>
          <w:b/>
          <w:color w:val="767171" w:themeColor="background2" w:themeShade="80"/>
        </w:rPr>
      </w:pPr>
    </w:p>
    <w:p w14:paraId="740D651C" w14:textId="77777777" w:rsidR="006523E4" w:rsidRDefault="006523E4" w:rsidP="007835BD">
      <w:pPr>
        <w:spacing w:after="0" w:line="240" w:lineRule="auto"/>
        <w:jc w:val="both"/>
        <w:rPr>
          <w:rFonts w:ascii="Segoe UI" w:hAnsi="Segoe UI" w:cs="Segoe UI"/>
          <w:b/>
          <w:color w:val="767171" w:themeColor="background2" w:themeShade="80"/>
        </w:rPr>
      </w:pPr>
    </w:p>
    <w:p w14:paraId="41E9C205" w14:textId="77777777" w:rsidR="00515246" w:rsidRDefault="00515246" w:rsidP="007835BD">
      <w:pPr>
        <w:spacing w:after="0" w:line="240" w:lineRule="auto"/>
        <w:jc w:val="both"/>
        <w:rPr>
          <w:rFonts w:ascii="Segoe UI" w:hAnsi="Segoe UI" w:cs="Segoe UI"/>
          <w:b/>
          <w:color w:val="767171" w:themeColor="background2" w:themeShade="80"/>
        </w:rPr>
      </w:pPr>
    </w:p>
    <w:p w14:paraId="047EFD81" w14:textId="16CFE7E7" w:rsidR="00515246" w:rsidRDefault="00515246" w:rsidP="007835BD">
      <w:pPr>
        <w:spacing w:after="0" w:line="240" w:lineRule="auto"/>
        <w:jc w:val="both"/>
        <w:rPr>
          <w:rFonts w:ascii="Segoe UI" w:hAnsi="Segoe UI" w:cs="Segoe UI"/>
          <w:b/>
          <w:color w:val="767171" w:themeColor="background2" w:themeShade="80"/>
        </w:rPr>
      </w:pPr>
    </w:p>
    <w:p w14:paraId="2EE75856" w14:textId="135E7C4A" w:rsidR="00515246" w:rsidRDefault="00515246" w:rsidP="007835BD">
      <w:pPr>
        <w:spacing w:after="0" w:line="240" w:lineRule="auto"/>
        <w:jc w:val="both"/>
        <w:rPr>
          <w:rFonts w:ascii="Segoe UI" w:hAnsi="Segoe UI" w:cs="Segoe UI"/>
          <w:b/>
          <w:color w:val="767171" w:themeColor="background2" w:themeShade="80"/>
        </w:rPr>
      </w:pPr>
    </w:p>
    <w:p w14:paraId="2AD2E126" w14:textId="77144678" w:rsidR="00D304B1" w:rsidRDefault="00D304B1" w:rsidP="007835BD">
      <w:pPr>
        <w:spacing w:after="0" w:line="240" w:lineRule="auto"/>
        <w:jc w:val="both"/>
        <w:rPr>
          <w:rFonts w:ascii="Segoe UI" w:hAnsi="Segoe UI" w:cs="Segoe UI"/>
          <w:b/>
          <w:color w:val="767171" w:themeColor="background2" w:themeShade="80"/>
        </w:rPr>
      </w:pPr>
    </w:p>
    <w:p w14:paraId="5FE0575D" w14:textId="77777777" w:rsidR="00D304B1" w:rsidRPr="000757BC" w:rsidRDefault="00D304B1" w:rsidP="007835BD">
      <w:pPr>
        <w:spacing w:after="0" w:line="240" w:lineRule="auto"/>
        <w:jc w:val="both"/>
        <w:rPr>
          <w:rFonts w:ascii="Segoe UI" w:hAnsi="Segoe UI" w:cs="Segoe UI"/>
          <w:b/>
          <w:color w:val="767171" w:themeColor="background2" w:themeShade="80"/>
        </w:rPr>
      </w:pPr>
    </w:p>
    <w:p w14:paraId="193D1CA8" w14:textId="0788A4D1" w:rsidR="007835BD" w:rsidRPr="00C95C06" w:rsidRDefault="00A65EEE" w:rsidP="007835BD">
      <w:pPr>
        <w:widowControl w:val="0"/>
        <w:rPr>
          <w:rFonts w:ascii="Segoe UI" w:hAnsi="Segoe UI" w:cs="Segoe UI"/>
          <w:bCs/>
          <w:sz w:val="19"/>
          <w:szCs w:val="19"/>
        </w:rPr>
      </w:pPr>
      <w:r w:rsidRPr="00C95C06">
        <w:rPr>
          <w:rFonts w:ascii="Segoe UI" w:hAnsi="Segoe UI" w:cs="Segoe UI"/>
          <w:bCs/>
          <w:sz w:val="19"/>
          <w:szCs w:val="19"/>
        </w:rPr>
        <w:t>A</w:t>
      </w:r>
      <w:r w:rsidR="007835BD" w:rsidRPr="00C95C06">
        <w:rPr>
          <w:rFonts w:ascii="Segoe UI" w:hAnsi="Segoe UI" w:cs="Segoe UI"/>
          <w:bCs/>
          <w:sz w:val="19"/>
          <w:szCs w:val="19"/>
        </w:rPr>
        <w:t xml:space="preserve">s notas explicativas são parte integrante das demonstrações </w:t>
      </w:r>
      <w:r w:rsidR="000A114A" w:rsidRPr="00C95C06">
        <w:rPr>
          <w:rFonts w:ascii="Segoe UI" w:hAnsi="Segoe UI" w:cs="Segoe UI"/>
          <w:bCs/>
          <w:sz w:val="19"/>
          <w:szCs w:val="19"/>
        </w:rPr>
        <w:t>financeiras</w:t>
      </w:r>
      <w:r w:rsidR="00C95C06" w:rsidRPr="00C95C06">
        <w:rPr>
          <w:rFonts w:ascii="Segoe UI" w:hAnsi="Segoe UI" w:cs="Segoe UI"/>
          <w:bCs/>
          <w:sz w:val="19"/>
          <w:szCs w:val="19"/>
        </w:rPr>
        <w:t xml:space="preserve"> individuais e consolidadas</w:t>
      </w:r>
      <w:r w:rsidR="007835BD" w:rsidRPr="00C95C06">
        <w:rPr>
          <w:rFonts w:ascii="Segoe UI" w:hAnsi="Segoe UI" w:cs="Segoe UI"/>
          <w:bCs/>
          <w:sz w:val="19"/>
          <w:szCs w:val="19"/>
        </w:rPr>
        <w:t>.</w:t>
      </w:r>
    </w:p>
    <w:p w14:paraId="58810709" w14:textId="77777777" w:rsidR="003D318B" w:rsidRPr="000757BC" w:rsidRDefault="003D318B" w:rsidP="00CF5F07">
      <w:pPr>
        <w:spacing w:after="0" w:line="240" w:lineRule="auto"/>
        <w:jc w:val="both"/>
        <w:rPr>
          <w:rFonts w:ascii="Segoe UI" w:hAnsi="Segoe UI" w:cs="Segoe UI"/>
          <w:b/>
          <w:color w:val="767171" w:themeColor="background2" w:themeShade="80"/>
        </w:rPr>
        <w:sectPr w:rsidR="003D318B" w:rsidRPr="000757BC" w:rsidSect="00D37B59">
          <w:headerReference w:type="even" r:id="rId13"/>
          <w:headerReference w:type="default" r:id="rId14"/>
          <w:footerReference w:type="default" r:id="rId15"/>
          <w:headerReference w:type="first" r:id="rId16"/>
          <w:pgSz w:w="11906" w:h="16838"/>
          <w:pgMar w:top="1417" w:right="1701" w:bottom="1417" w:left="1560" w:header="708" w:footer="708" w:gutter="0"/>
          <w:cols w:space="708"/>
          <w:docGrid w:linePitch="360"/>
        </w:sectPr>
      </w:pPr>
    </w:p>
    <w:p w14:paraId="293615BE" w14:textId="77777777" w:rsidR="007835BD" w:rsidRPr="000757BC" w:rsidRDefault="007835BD" w:rsidP="0599CB22">
      <w:pPr>
        <w:spacing w:after="0" w:line="240" w:lineRule="auto"/>
        <w:jc w:val="both"/>
        <w:rPr>
          <w:rFonts w:ascii="Segoe UI" w:hAnsi="Segoe UI" w:cs="Segoe UI"/>
          <w:color w:val="767171" w:themeColor="background2" w:themeShade="80"/>
        </w:rPr>
      </w:pPr>
    </w:p>
    <w:tbl>
      <w:tblPr>
        <w:tblW w:w="5000" w:type="pct"/>
        <w:tblCellMar>
          <w:left w:w="70" w:type="dxa"/>
          <w:right w:w="70" w:type="dxa"/>
        </w:tblCellMar>
        <w:tblLook w:val="04A0" w:firstRow="1" w:lastRow="0" w:firstColumn="1" w:lastColumn="0" w:noHBand="0" w:noVBand="1"/>
      </w:tblPr>
      <w:tblGrid>
        <w:gridCol w:w="5159"/>
        <w:gridCol w:w="627"/>
        <w:gridCol w:w="1506"/>
        <w:gridCol w:w="190"/>
        <w:gridCol w:w="1449"/>
      </w:tblGrid>
      <w:tr w:rsidR="005212B3" w:rsidRPr="00CA0796" w14:paraId="4AE100D6" w14:textId="77777777" w:rsidTr="00640B0C">
        <w:trPr>
          <w:trHeight w:val="300"/>
        </w:trPr>
        <w:tc>
          <w:tcPr>
            <w:tcW w:w="2888" w:type="pct"/>
            <w:vMerge w:val="restart"/>
            <w:tcBorders>
              <w:top w:val="nil"/>
              <w:left w:val="nil"/>
              <w:bottom w:val="nil"/>
              <w:right w:val="nil"/>
            </w:tcBorders>
            <w:shd w:val="clear" w:color="000000" w:fill="1B80C4"/>
            <w:noWrap/>
            <w:vAlign w:val="center"/>
            <w:hideMark/>
          </w:tcPr>
          <w:p w14:paraId="2692CD70" w14:textId="77777777" w:rsidR="00CA0796" w:rsidRPr="00CA0796" w:rsidRDefault="00CA0796" w:rsidP="00CA0796">
            <w:pPr>
              <w:spacing w:after="0" w:line="240" w:lineRule="auto"/>
              <w:rPr>
                <w:rFonts w:ascii="Segoe UI" w:eastAsia="Times New Roman" w:hAnsi="Segoe UI" w:cs="Segoe UI"/>
                <w:b/>
                <w:bCs/>
                <w:color w:val="FFFFFF"/>
                <w:sz w:val="18"/>
                <w:szCs w:val="18"/>
                <w:lang w:eastAsia="pt-BR"/>
              </w:rPr>
            </w:pPr>
            <w:r w:rsidRPr="00CA0796">
              <w:rPr>
                <w:rFonts w:ascii="Segoe UI" w:eastAsia="Times New Roman" w:hAnsi="Segoe UI" w:cs="Segoe UI"/>
                <w:b/>
                <w:bCs/>
                <w:color w:val="FFFFFF"/>
                <w:sz w:val="18"/>
                <w:szCs w:val="18"/>
                <w:lang w:eastAsia="pt-BR"/>
              </w:rPr>
              <w:t xml:space="preserve">PASSIVO E PATRIMÔNIO LÍQUIDO  </w:t>
            </w:r>
          </w:p>
        </w:tc>
        <w:tc>
          <w:tcPr>
            <w:tcW w:w="351" w:type="pct"/>
            <w:vMerge w:val="restart"/>
            <w:tcBorders>
              <w:top w:val="nil"/>
              <w:left w:val="nil"/>
              <w:bottom w:val="nil"/>
              <w:right w:val="nil"/>
            </w:tcBorders>
            <w:shd w:val="clear" w:color="000000" w:fill="1B80C4"/>
            <w:noWrap/>
            <w:vAlign w:val="center"/>
            <w:hideMark/>
          </w:tcPr>
          <w:p w14:paraId="68E018AD" w14:textId="77777777" w:rsidR="00CA0796" w:rsidRPr="00CA0796" w:rsidRDefault="00CA0796" w:rsidP="00CA0796">
            <w:pPr>
              <w:spacing w:after="0" w:line="240" w:lineRule="auto"/>
              <w:jc w:val="center"/>
              <w:rPr>
                <w:rFonts w:ascii="Segoe UI" w:eastAsia="Times New Roman" w:hAnsi="Segoe UI" w:cs="Segoe UI"/>
                <w:color w:val="FFFFFF"/>
                <w:sz w:val="18"/>
                <w:szCs w:val="18"/>
                <w:lang w:eastAsia="pt-BR"/>
              </w:rPr>
            </w:pPr>
            <w:r w:rsidRPr="00CA0796">
              <w:rPr>
                <w:rFonts w:ascii="Segoe UI" w:eastAsia="Times New Roman" w:hAnsi="Segoe UI" w:cs="Segoe UI"/>
                <w:color w:val="FFFFFF"/>
                <w:sz w:val="18"/>
                <w:szCs w:val="18"/>
                <w:lang w:eastAsia="pt-BR"/>
              </w:rPr>
              <w:t xml:space="preserve"> Nota </w:t>
            </w:r>
          </w:p>
        </w:tc>
        <w:tc>
          <w:tcPr>
            <w:tcW w:w="843" w:type="pct"/>
            <w:tcBorders>
              <w:top w:val="nil"/>
              <w:left w:val="nil"/>
              <w:bottom w:val="single" w:sz="4" w:space="0" w:color="FFFFFF" w:themeColor="background1"/>
              <w:right w:val="nil"/>
            </w:tcBorders>
            <w:shd w:val="clear" w:color="000000" w:fill="1B80C4"/>
            <w:noWrap/>
            <w:vAlign w:val="bottom"/>
            <w:hideMark/>
          </w:tcPr>
          <w:p w14:paraId="781FA0A0" w14:textId="77777777" w:rsidR="00CA0796" w:rsidRPr="00CA0796" w:rsidRDefault="00CA0796" w:rsidP="00CA0796">
            <w:pPr>
              <w:spacing w:after="0" w:line="240" w:lineRule="auto"/>
              <w:jc w:val="center"/>
              <w:rPr>
                <w:rFonts w:ascii="Segoe UI" w:eastAsia="Times New Roman" w:hAnsi="Segoe UI" w:cs="Segoe UI"/>
                <w:b/>
                <w:bCs/>
                <w:color w:val="FFFFFF"/>
                <w:sz w:val="18"/>
                <w:szCs w:val="18"/>
                <w:lang w:eastAsia="pt-BR"/>
              </w:rPr>
            </w:pPr>
            <w:r w:rsidRPr="00CA0796">
              <w:rPr>
                <w:rFonts w:ascii="Segoe UI" w:eastAsia="Times New Roman" w:hAnsi="Segoe UI" w:cs="Segoe UI"/>
                <w:b/>
                <w:bCs/>
                <w:color w:val="FFFFFF"/>
                <w:sz w:val="18"/>
                <w:szCs w:val="18"/>
                <w:lang w:eastAsia="pt-BR"/>
              </w:rPr>
              <w:t xml:space="preserve"> Controladora </w:t>
            </w:r>
          </w:p>
        </w:tc>
        <w:tc>
          <w:tcPr>
            <w:tcW w:w="106" w:type="pct"/>
            <w:tcBorders>
              <w:top w:val="nil"/>
              <w:left w:val="nil"/>
              <w:bottom w:val="single" w:sz="4" w:space="0" w:color="FFFFFF" w:themeColor="background1"/>
              <w:right w:val="nil"/>
            </w:tcBorders>
            <w:shd w:val="clear" w:color="000000" w:fill="1B80C4"/>
            <w:noWrap/>
            <w:vAlign w:val="bottom"/>
            <w:hideMark/>
          </w:tcPr>
          <w:p w14:paraId="70621D06" w14:textId="77777777" w:rsidR="00CA0796" w:rsidRPr="00CA0796" w:rsidRDefault="00CA0796" w:rsidP="00CA0796">
            <w:pPr>
              <w:spacing w:after="0" w:line="240" w:lineRule="auto"/>
              <w:jc w:val="center"/>
              <w:rPr>
                <w:rFonts w:ascii="Segoe UI" w:eastAsia="Times New Roman" w:hAnsi="Segoe UI" w:cs="Segoe UI"/>
                <w:b/>
                <w:bCs/>
                <w:color w:val="FFFFFF"/>
                <w:sz w:val="18"/>
                <w:szCs w:val="18"/>
                <w:lang w:eastAsia="pt-BR"/>
              </w:rPr>
            </w:pPr>
            <w:r w:rsidRPr="00CA0796">
              <w:rPr>
                <w:rFonts w:ascii="Segoe UI" w:eastAsia="Times New Roman" w:hAnsi="Segoe UI" w:cs="Segoe UI"/>
                <w:b/>
                <w:bCs/>
                <w:color w:val="FFFFFF"/>
                <w:sz w:val="18"/>
                <w:szCs w:val="18"/>
                <w:lang w:eastAsia="pt-BR"/>
              </w:rPr>
              <w:t> </w:t>
            </w:r>
          </w:p>
        </w:tc>
        <w:tc>
          <w:tcPr>
            <w:tcW w:w="811" w:type="pct"/>
            <w:tcBorders>
              <w:top w:val="nil"/>
              <w:left w:val="nil"/>
              <w:bottom w:val="single" w:sz="4" w:space="0" w:color="FFFFFF" w:themeColor="background1"/>
              <w:right w:val="nil"/>
            </w:tcBorders>
            <w:shd w:val="clear" w:color="000000" w:fill="1B80C4"/>
            <w:noWrap/>
            <w:vAlign w:val="bottom"/>
            <w:hideMark/>
          </w:tcPr>
          <w:p w14:paraId="7F00559A" w14:textId="77777777" w:rsidR="00CA0796" w:rsidRPr="00CA0796" w:rsidRDefault="00CA0796" w:rsidP="00CA0796">
            <w:pPr>
              <w:spacing w:after="0" w:line="240" w:lineRule="auto"/>
              <w:jc w:val="center"/>
              <w:rPr>
                <w:rFonts w:ascii="Segoe UI" w:eastAsia="Times New Roman" w:hAnsi="Segoe UI" w:cs="Segoe UI"/>
                <w:b/>
                <w:bCs/>
                <w:color w:val="FFFFFF"/>
                <w:sz w:val="18"/>
                <w:szCs w:val="18"/>
                <w:lang w:eastAsia="pt-BR"/>
              </w:rPr>
            </w:pPr>
            <w:r w:rsidRPr="00CA0796">
              <w:rPr>
                <w:rFonts w:ascii="Segoe UI" w:eastAsia="Times New Roman" w:hAnsi="Segoe UI" w:cs="Segoe UI"/>
                <w:b/>
                <w:bCs/>
                <w:color w:val="FFFFFF"/>
                <w:sz w:val="18"/>
                <w:szCs w:val="18"/>
                <w:lang w:eastAsia="pt-BR"/>
              </w:rPr>
              <w:t xml:space="preserve"> Consolidado </w:t>
            </w:r>
          </w:p>
        </w:tc>
      </w:tr>
      <w:tr w:rsidR="005212B3" w:rsidRPr="00CA0796" w14:paraId="30C333F6" w14:textId="77777777" w:rsidTr="00640B0C">
        <w:trPr>
          <w:trHeight w:val="240"/>
        </w:trPr>
        <w:tc>
          <w:tcPr>
            <w:tcW w:w="2888" w:type="pct"/>
            <w:vMerge/>
            <w:tcBorders>
              <w:left w:val="nil"/>
              <w:right w:val="nil"/>
            </w:tcBorders>
            <w:vAlign w:val="center"/>
            <w:hideMark/>
          </w:tcPr>
          <w:p w14:paraId="34E9F061" w14:textId="77777777" w:rsidR="00CA0796" w:rsidRPr="00CA0796" w:rsidRDefault="00CA0796" w:rsidP="00CA0796">
            <w:pPr>
              <w:spacing w:after="0" w:line="240" w:lineRule="auto"/>
              <w:rPr>
                <w:rFonts w:ascii="Segoe UI" w:eastAsia="Times New Roman" w:hAnsi="Segoe UI" w:cs="Segoe UI"/>
                <w:b/>
                <w:bCs/>
                <w:color w:val="FFFFFF"/>
                <w:sz w:val="18"/>
                <w:szCs w:val="18"/>
                <w:lang w:eastAsia="pt-BR"/>
              </w:rPr>
            </w:pPr>
          </w:p>
        </w:tc>
        <w:tc>
          <w:tcPr>
            <w:tcW w:w="351" w:type="pct"/>
            <w:vMerge/>
            <w:tcBorders>
              <w:left w:val="nil"/>
              <w:right w:val="nil"/>
            </w:tcBorders>
            <w:vAlign w:val="center"/>
            <w:hideMark/>
          </w:tcPr>
          <w:p w14:paraId="0DB77C87" w14:textId="77777777" w:rsidR="00CA0796" w:rsidRPr="00CA0796" w:rsidRDefault="00CA0796" w:rsidP="00CA0796">
            <w:pPr>
              <w:spacing w:after="0" w:line="240" w:lineRule="auto"/>
              <w:rPr>
                <w:rFonts w:ascii="Segoe UI" w:eastAsia="Times New Roman" w:hAnsi="Segoe UI" w:cs="Segoe UI"/>
                <w:color w:val="FFFFFF"/>
                <w:sz w:val="18"/>
                <w:szCs w:val="18"/>
                <w:lang w:eastAsia="pt-BR"/>
              </w:rPr>
            </w:pPr>
          </w:p>
        </w:tc>
        <w:tc>
          <w:tcPr>
            <w:tcW w:w="843" w:type="pct"/>
            <w:tcBorders>
              <w:top w:val="single" w:sz="4" w:space="0" w:color="FFFFFF" w:themeColor="background1"/>
              <w:left w:val="nil"/>
              <w:right w:val="nil"/>
            </w:tcBorders>
            <w:shd w:val="clear" w:color="000000" w:fill="1B80C4"/>
            <w:noWrap/>
            <w:vAlign w:val="center"/>
            <w:hideMark/>
          </w:tcPr>
          <w:p w14:paraId="5330FEDD" w14:textId="77777777" w:rsidR="00CA0796" w:rsidRPr="00CA0796" w:rsidRDefault="00CA0796" w:rsidP="00CA0796">
            <w:pPr>
              <w:spacing w:after="0" w:line="240" w:lineRule="auto"/>
              <w:jc w:val="center"/>
              <w:rPr>
                <w:rFonts w:ascii="Segoe UI" w:eastAsia="Times New Roman" w:hAnsi="Segoe UI" w:cs="Segoe UI"/>
                <w:b/>
                <w:bCs/>
                <w:color w:val="FFFFFF"/>
                <w:sz w:val="18"/>
                <w:szCs w:val="18"/>
                <w:lang w:eastAsia="pt-BR"/>
              </w:rPr>
            </w:pPr>
            <w:r w:rsidRPr="00CA0796">
              <w:rPr>
                <w:rFonts w:ascii="Segoe UI" w:eastAsia="Times New Roman" w:hAnsi="Segoe UI" w:cs="Segoe UI"/>
                <w:b/>
                <w:bCs/>
                <w:color w:val="FFFFFF"/>
                <w:sz w:val="18"/>
                <w:szCs w:val="18"/>
                <w:lang w:eastAsia="pt-BR"/>
              </w:rPr>
              <w:t>31/12/2022</w:t>
            </w:r>
          </w:p>
        </w:tc>
        <w:tc>
          <w:tcPr>
            <w:tcW w:w="106" w:type="pct"/>
            <w:tcBorders>
              <w:top w:val="single" w:sz="4" w:space="0" w:color="FFFFFF" w:themeColor="background1"/>
              <w:left w:val="nil"/>
              <w:right w:val="nil"/>
            </w:tcBorders>
            <w:shd w:val="clear" w:color="000000" w:fill="1B80C4"/>
            <w:noWrap/>
            <w:vAlign w:val="center"/>
            <w:hideMark/>
          </w:tcPr>
          <w:p w14:paraId="19AE4A7D" w14:textId="77777777" w:rsidR="00CA0796" w:rsidRPr="00CA0796" w:rsidRDefault="00CA0796" w:rsidP="00CA0796">
            <w:pPr>
              <w:spacing w:after="0" w:line="240" w:lineRule="auto"/>
              <w:jc w:val="center"/>
              <w:rPr>
                <w:rFonts w:ascii="Segoe UI" w:eastAsia="Times New Roman" w:hAnsi="Segoe UI" w:cs="Segoe UI"/>
                <w:b/>
                <w:bCs/>
                <w:color w:val="FFFFFF"/>
                <w:sz w:val="18"/>
                <w:szCs w:val="18"/>
                <w:lang w:eastAsia="pt-BR"/>
              </w:rPr>
            </w:pPr>
            <w:r w:rsidRPr="00CA0796">
              <w:rPr>
                <w:rFonts w:ascii="Segoe UI" w:eastAsia="Times New Roman" w:hAnsi="Segoe UI" w:cs="Segoe UI"/>
                <w:b/>
                <w:bCs/>
                <w:color w:val="FFFFFF"/>
                <w:sz w:val="18"/>
                <w:szCs w:val="18"/>
                <w:lang w:eastAsia="pt-BR"/>
              </w:rPr>
              <w:t> </w:t>
            </w:r>
          </w:p>
        </w:tc>
        <w:tc>
          <w:tcPr>
            <w:tcW w:w="811" w:type="pct"/>
            <w:tcBorders>
              <w:top w:val="single" w:sz="4" w:space="0" w:color="FFFFFF" w:themeColor="background1"/>
              <w:left w:val="nil"/>
              <w:right w:val="nil"/>
            </w:tcBorders>
            <w:shd w:val="clear" w:color="000000" w:fill="1B80C4"/>
            <w:noWrap/>
            <w:vAlign w:val="center"/>
            <w:hideMark/>
          </w:tcPr>
          <w:p w14:paraId="4E6C6DF5" w14:textId="77777777" w:rsidR="00CA0796" w:rsidRPr="00CA0796" w:rsidRDefault="00CA0796" w:rsidP="00CA0796">
            <w:pPr>
              <w:spacing w:after="0" w:line="240" w:lineRule="auto"/>
              <w:jc w:val="center"/>
              <w:rPr>
                <w:rFonts w:ascii="Segoe UI" w:eastAsia="Times New Roman" w:hAnsi="Segoe UI" w:cs="Segoe UI"/>
                <w:b/>
                <w:bCs/>
                <w:color w:val="FFFFFF"/>
                <w:sz w:val="18"/>
                <w:szCs w:val="18"/>
                <w:lang w:eastAsia="pt-BR"/>
              </w:rPr>
            </w:pPr>
            <w:r w:rsidRPr="00CA0796">
              <w:rPr>
                <w:rFonts w:ascii="Segoe UI" w:eastAsia="Times New Roman" w:hAnsi="Segoe UI" w:cs="Segoe UI"/>
                <w:b/>
                <w:bCs/>
                <w:color w:val="FFFFFF"/>
                <w:sz w:val="18"/>
                <w:szCs w:val="18"/>
                <w:lang w:eastAsia="pt-BR"/>
              </w:rPr>
              <w:t>31/12/2022</w:t>
            </w:r>
          </w:p>
        </w:tc>
      </w:tr>
      <w:tr w:rsidR="00CA0796" w:rsidRPr="00CA0796" w14:paraId="460AF331" w14:textId="77777777" w:rsidTr="00482C5E">
        <w:trPr>
          <w:trHeight w:val="240"/>
        </w:trPr>
        <w:tc>
          <w:tcPr>
            <w:tcW w:w="2888" w:type="pct"/>
            <w:tcBorders>
              <w:left w:val="nil"/>
              <w:bottom w:val="nil"/>
              <w:right w:val="nil"/>
            </w:tcBorders>
            <w:shd w:val="clear" w:color="auto" w:fill="auto"/>
            <w:noWrap/>
            <w:vAlign w:val="center"/>
            <w:hideMark/>
          </w:tcPr>
          <w:p w14:paraId="4BAD23AE" w14:textId="77777777" w:rsidR="00CA0796" w:rsidRPr="00CA0796" w:rsidRDefault="00CA0796" w:rsidP="00CA0796">
            <w:pPr>
              <w:spacing w:after="0" w:line="240" w:lineRule="auto"/>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 xml:space="preserve"> CIRCULANTE </w:t>
            </w:r>
          </w:p>
        </w:tc>
        <w:tc>
          <w:tcPr>
            <w:tcW w:w="351" w:type="pct"/>
            <w:tcBorders>
              <w:left w:val="nil"/>
              <w:bottom w:val="nil"/>
              <w:right w:val="nil"/>
            </w:tcBorders>
            <w:shd w:val="clear" w:color="auto" w:fill="auto"/>
            <w:noWrap/>
            <w:vAlign w:val="center"/>
            <w:hideMark/>
          </w:tcPr>
          <w:p w14:paraId="4C3EB6B5"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43" w:type="pct"/>
            <w:tcBorders>
              <w:left w:val="nil"/>
              <w:bottom w:val="nil"/>
              <w:right w:val="nil"/>
            </w:tcBorders>
            <w:shd w:val="clear" w:color="auto" w:fill="auto"/>
            <w:noWrap/>
            <w:vAlign w:val="bottom"/>
            <w:hideMark/>
          </w:tcPr>
          <w:p w14:paraId="1CF41832"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106" w:type="pct"/>
            <w:tcBorders>
              <w:left w:val="nil"/>
              <w:bottom w:val="nil"/>
              <w:right w:val="nil"/>
            </w:tcBorders>
            <w:shd w:val="clear" w:color="auto" w:fill="auto"/>
            <w:noWrap/>
            <w:vAlign w:val="bottom"/>
            <w:hideMark/>
          </w:tcPr>
          <w:p w14:paraId="5B50F2DB"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11" w:type="pct"/>
            <w:tcBorders>
              <w:left w:val="nil"/>
              <w:bottom w:val="nil"/>
              <w:right w:val="nil"/>
            </w:tcBorders>
            <w:shd w:val="clear" w:color="auto" w:fill="auto"/>
            <w:noWrap/>
            <w:vAlign w:val="center"/>
            <w:hideMark/>
          </w:tcPr>
          <w:p w14:paraId="4B819A58"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r>
      <w:tr w:rsidR="00CA0796" w:rsidRPr="00CA0796" w14:paraId="6BB67DB2" w14:textId="77777777" w:rsidTr="00CA0796">
        <w:trPr>
          <w:trHeight w:val="240"/>
        </w:trPr>
        <w:tc>
          <w:tcPr>
            <w:tcW w:w="2888" w:type="pct"/>
            <w:tcBorders>
              <w:top w:val="nil"/>
              <w:left w:val="nil"/>
              <w:bottom w:val="nil"/>
              <w:right w:val="nil"/>
            </w:tcBorders>
            <w:shd w:val="clear" w:color="000000" w:fill="FFFFFF"/>
            <w:noWrap/>
            <w:vAlign w:val="center"/>
            <w:hideMark/>
          </w:tcPr>
          <w:p w14:paraId="2D2074BF"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Fornecedores </w:t>
            </w:r>
          </w:p>
        </w:tc>
        <w:tc>
          <w:tcPr>
            <w:tcW w:w="351" w:type="pct"/>
            <w:tcBorders>
              <w:top w:val="nil"/>
              <w:left w:val="nil"/>
              <w:bottom w:val="nil"/>
              <w:right w:val="nil"/>
            </w:tcBorders>
            <w:shd w:val="clear" w:color="auto" w:fill="auto"/>
            <w:noWrap/>
            <w:vAlign w:val="center"/>
            <w:hideMark/>
          </w:tcPr>
          <w:p w14:paraId="512B83F9" w14:textId="3575C37D"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15</w:t>
            </w:r>
          </w:p>
        </w:tc>
        <w:tc>
          <w:tcPr>
            <w:tcW w:w="843" w:type="pct"/>
            <w:tcBorders>
              <w:top w:val="nil"/>
              <w:left w:val="nil"/>
              <w:bottom w:val="nil"/>
              <w:right w:val="nil"/>
            </w:tcBorders>
            <w:shd w:val="clear" w:color="auto" w:fill="auto"/>
            <w:noWrap/>
            <w:vAlign w:val="center"/>
            <w:hideMark/>
          </w:tcPr>
          <w:p w14:paraId="0D72D754" w14:textId="3232B7E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3.814.216</w:t>
            </w:r>
          </w:p>
        </w:tc>
        <w:tc>
          <w:tcPr>
            <w:tcW w:w="106" w:type="pct"/>
            <w:tcBorders>
              <w:top w:val="nil"/>
              <w:left w:val="nil"/>
              <w:bottom w:val="nil"/>
              <w:right w:val="nil"/>
            </w:tcBorders>
            <w:shd w:val="clear" w:color="auto" w:fill="auto"/>
            <w:noWrap/>
            <w:vAlign w:val="bottom"/>
            <w:hideMark/>
          </w:tcPr>
          <w:p w14:paraId="09BB6C43"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76350966" w14:textId="59B3C17E"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4.852.166</w:t>
            </w:r>
          </w:p>
        </w:tc>
      </w:tr>
      <w:tr w:rsidR="00CA0796" w:rsidRPr="00CA0796" w14:paraId="5B0CE79B" w14:textId="77777777" w:rsidTr="00CA0796">
        <w:trPr>
          <w:trHeight w:val="240"/>
        </w:trPr>
        <w:tc>
          <w:tcPr>
            <w:tcW w:w="2888" w:type="pct"/>
            <w:tcBorders>
              <w:top w:val="nil"/>
              <w:left w:val="nil"/>
              <w:bottom w:val="nil"/>
              <w:right w:val="nil"/>
            </w:tcBorders>
            <w:shd w:val="clear" w:color="000000" w:fill="FFFFFF"/>
            <w:noWrap/>
            <w:vAlign w:val="center"/>
            <w:hideMark/>
          </w:tcPr>
          <w:p w14:paraId="53010861"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Empréstimos e financiamentos  </w:t>
            </w:r>
          </w:p>
        </w:tc>
        <w:tc>
          <w:tcPr>
            <w:tcW w:w="351" w:type="pct"/>
            <w:tcBorders>
              <w:top w:val="nil"/>
              <w:left w:val="nil"/>
              <w:bottom w:val="nil"/>
              <w:right w:val="nil"/>
            </w:tcBorders>
            <w:shd w:val="clear" w:color="auto" w:fill="auto"/>
            <w:noWrap/>
            <w:vAlign w:val="center"/>
            <w:hideMark/>
          </w:tcPr>
          <w:p w14:paraId="69AB4EAC" w14:textId="2BDBEEC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16</w:t>
            </w:r>
          </w:p>
        </w:tc>
        <w:tc>
          <w:tcPr>
            <w:tcW w:w="843" w:type="pct"/>
            <w:tcBorders>
              <w:top w:val="nil"/>
              <w:left w:val="nil"/>
              <w:bottom w:val="nil"/>
              <w:right w:val="nil"/>
            </w:tcBorders>
            <w:shd w:val="clear" w:color="auto" w:fill="auto"/>
            <w:noWrap/>
            <w:vAlign w:val="center"/>
            <w:hideMark/>
          </w:tcPr>
          <w:p w14:paraId="6BF609BA" w14:textId="58F99BEA"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58E01E54"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28F85CCD" w14:textId="370B184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414.435</w:t>
            </w:r>
          </w:p>
        </w:tc>
      </w:tr>
      <w:tr w:rsidR="00CA0796" w:rsidRPr="00CA0796" w14:paraId="50B96F42" w14:textId="77777777" w:rsidTr="00CA0796">
        <w:trPr>
          <w:trHeight w:val="240"/>
        </w:trPr>
        <w:tc>
          <w:tcPr>
            <w:tcW w:w="2888" w:type="pct"/>
            <w:tcBorders>
              <w:top w:val="nil"/>
              <w:left w:val="nil"/>
              <w:bottom w:val="nil"/>
              <w:right w:val="nil"/>
            </w:tcBorders>
            <w:shd w:val="clear" w:color="000000" w:fill="FFFFFF"/>
            <w:noWrap/>
            <w:vAlign w:val="center"/>
            <w:hideMark/>
          </w:tcPr>
          <w:p w14:paraId="191E1BEC"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Tributos a recolher </w:t>
            </w:r>
          </w:p>
        </w:tc>
        <w:tc>
          <w:tcPr>
            <w:tcW w:w="351" w:type="pct"/>
            <w:tcBorders>
              <w:top w:val="nil"/>
              <w:left w:val="nil"/>
              <w:bottom w:val="nil"/>
              <w:right w:val="nil"/>
            </w:tcBorders>
            <w:shd w:val="clear" w:color="auto" w:fill="auto"/>
            <w:noWrap/>
            <w:vAlign w:val="center"/>
            <w:hideMark/>
          </w:tcPr>
          <w:p w14:paraId="3321F4D1" w14:textId="384613F7"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17</w:t>
            </w:r>
          </w:p>
        </w:tc>
        <w:tc>
          <w:tcPr>
            <w:tcW w:w="843" w:type="pct"/>
            <w:tcBorders>
              <w:top w:val="nil"/>
              <w:left w:val="nil"/>
              <w:bottom w:val="nil"/>
              <w:right w:val="nil"/>
            </w:tcBorders>
            <w:shd w:val="clear" w:color="auto" w:fill="auto"/>
            <w:noWrap/>
            <w:vAlign w:val="center"/>
            <w:hideMark/>
          </w:tcPr>
          <w:p w14:paraId="38B9C5BA" w14:textId="52C9095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36.496</w:t>
            </w:r>
          </w:p>
        </w:tc>
        <w:tc>
          <w:tcPr>
            <w:tcW w:w="106" w:type="pct"/>
            <w:tcBorders>
              <w:top w:val="nil"/>
              <w:left w:val="nil"/>
              <w:bottom w:val="nil"/>
              <w:right w:val="nil"/>
            </w:tcBorders>
            <w:shd w:val="clear" w:color="auto" w:fill="auto"/>
            <w:noWrap/>
            <w:vAlign w:val="bottom"/>
            <w:hideMark/>
          </w:tcPr>
          <w:p w14:paraId="49E33534"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2C7CF46B" w14:textId="3EEB8B86"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268.956</w:t>
            </w:r>
          </w:p>
        </w:tc>
      </w:tr>
      <w:tr w:rsidR="00CA0796" w:rsidRPr="00CA0796" w14:paraId="41DA8991" w14:textId="77777777" w:rsidTr="00CA0796">
        <w:trPr>
          <w:trHeight w:val="240"/>
        </w:trPr>
        <w:tc>
          <w:tcPr>
            <w:tcW w:w="2888" w:type="pct"/>
            <w:tcBorders>
              <w:top w:val="nil"/>
              <w:left w:val="nil"/>
              <w:bottom w:val="nil"/>
              <w:right w:val="nil"/>
            </w:tcBorders>
            <w:shd w:val="clear" w:color="000000" w:fill="FFFFFF"/>
            <w:noWrap/>
            <w:vAlign w:val="center"/>
            <w:hideMark/>
          </w:tcPr>
          <w:p w14:paraId="74EE0E44"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Folha de pagamento e obrigações estimadas </w:t>
            </w:r>
          </w:p>
        </w:tc>
        <w:tc>
          <w:tcPr>
            <w:tcW w:w="351" w:type="pct"/>
            <w:tcBorders>
              <w:top w:val="nil"/>
              <w:left w:val="nil"/>
              <w:bottom w:val="nil"/>
              <w:right w:val="nil"/>
            </w:tcBorders>
            <w:shd w:val="clear" w:color="auto" w:fill="auto"/>
            <w:noWrap/>
            <w:vAlign w:val="center"/>
            <w:hideMark/>
          </w:tcPr>
          <w:p w14:paraId="6BA637FE" w14:textId="262540C9"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18</w:t>
            </w:r>
          </w:p>
        </w:tc>
        <w:tc>
          <w:tcPr>
            <w:tcW w:w="843" w:type="pct"/>
            <w:tcBorders>
              <w:top w:val="nil"/>
              <w:left w:val="nil"/>
              <w:bottom w:val="nil"/>
              <w:right w:val="nil"/>
            </w:tcBorders>
            <w:shd w:val="clear" w:color="auto" w:fill="auto"/>
            <w:noWrap/>
            <w:vAlign w:val="center"/>
            <w:hideMark/>
          </w:tcPr>
          <w:p w14:paraId="62BEFDB0" w14:textId="729139F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1.789</w:t>
            </w:r>
          </w:p>
        </w:tc>
        <w:tc>
          <w:tcPr>
            <w:tcW w:w="106" w:type="pct"/>
            <w:tcBorders>
              <w:top w:val="nil"/>
              <w:left w:val="nil"/>
              <w:bottom w:val="nil"/>
              <w:right w:val="nil"/>
            </w:tcBorders>
            <w:shd w:val="clear" w:color="auto" w:fill="auto"/>
            <w:noWrap/>
            <w:vAlign w:val="bottom"/>
            <w:hideMark/>
          </w:tcPr>
          <w:p w14:paraId="541730DD"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18BA65A7" w14:textId="1C2F600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275.378</w:t>
            </w:r>
          </w:p>
        </w:tc>
      </w:tr>
      <w:tr w:rsidR="00CA0796" w:rsidRPr="00CA0796" w14:paraId="6DA39DC5" w14:textId="77777777" w:rsidTr="00CA0796">
        <w:trPr>
          <w:trHeight w:val="240"/>
        </w:trPr>
        <w:tc>
          <w:tcPr>
            <w:tcW w:w="2888" w:type="pct"/>
            <w:tcBorders>
              <w:top w:val="nil"/>
              <w:left w:val="nil"/>
              <w:bottom w:val="nil"/>
              <w:right w:val="nil"/>
            </w:tcBorders>
            <w:shd w:val="clear" w:color="000000" w:fill="FFFFFF"/>
            <w:noWrap/>
            <w:vAlign w:val="center"/>
            <w:hideMark/>
          </w:tcPr>
          <w:p w14:paraId="77DC479B"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Provisões para litígios e passivos contingentes </w:t>
            </w:r>
          </w:p>
        </w:tc>
        <w:tc>
          <w:tcPr>
            <w:tcW w:w="351" w:type="pct"/>
            <w:tcBorders>
              <w:top w:val="nil"/>
              <w:left w:val="nil"/>
              <w:bottom w:val="nil"/>
              <w:right w:val="nil"/>
            </w:tcBorders>
            <w:shd w:val="clear" w:color="auto" w:fill="auto"/>
            <w:noWrap/>
            <w:vAlign w:val="center"/>
            <w:hideMark/>
          </w:tcPr>
          <w:p w14:paraId="58B3ED88" w14:textId="71295C5F"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20</w:t>
            </w:r>
          </w:p>
        </w:tc>
        <w:tc>
          <w:tcPr>
            <w:tcW w:w="843" w:type="pct"/>
            <w:tcBorders>
              <w:top w:val="nil"/>
              <w:left w:val="nil"/>
              <w:bottom w:val="nil"/>
              <w:right w:val="nil"/>
            </w:tcBorders>
            <w:shd w:val="clear" w:color="auto" w:fill="auto"/>
            <w:noWrap/>
            <w:vAlign w:val="center"/>
            <w:hideMark/>
          </w:tcPr>
          <w:p w14:paraId="09AC6DB9" w14:textId="320C8B06"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36FA1A97"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33DAD82A" w14:textId="0E658CF4"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104.515</w:t>
            </w:r>
          </w:p>
        </w:tc>
      </w:tr>
      <w:tr w:rsidR="00CA0796" w:rsidRPr="00CA0796" w14:paraId="34CA4872" w14:textId="77777777" w:rsidTr="00CA0796">
        <w:trPr>
          <w:trHeight w:val="240"/>
        </w:trPr>
        <w:tc>
          <w:tcPr>
            <w:tcW w:w="2888" w:type="pct"/>
            <w:tcBorders>
              <w:top w:val="nil"/>
              <w:left w:val="nil"/>
              <w:bottom w:val="nil"/>
              <w:right w:val="nil"/>
            </w:tcBorders>
            <w:shd w:val="clear" w:color="000000" w:fill="FFFFFF"/>
            <w:noWrap/>
            <w:vAlign w:val="center"/>
            <w:hideMark/>
          </w:tcPr>
          <w:p w14:paraId="38E87897"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Benefício pós-emprego </w:t>
            </w:r>
          </w:p>
        </w:tc>
        <w:tc>
          <w:tcPr>
            <w:tcW w:w="351" w:type="pct"/>
            <w:tcBorders>
              <w:top w:val="nil"/>
              <w:left w:val="nil"/>
              <w:bottom w:val="nil"/>
              <w:right w:val="nil"/>
            </w:tcBorders>
            <w:shd w:val="clear" w:color="auto" w:fill="auto"/>
            <w:noWrap/>
            <w:vAlign w:val="center"/>
            <w:hideMark/>
          </w:tcPr>
          <w:p w14:paraId="49671398" w14:textId="47EADB77"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21</w:t>
            </w:r>
          </w:p>
        </w:tc>
        <w:tc>
          <w:tcPr>
            <w:tcW w:w="843" w:type="pct"/>
            <w:tcBorders>
              <w:top w:val="nil"/>
              <w:left w:val="nil"/>
              <w:bottom w:val="nil"/>
              <w:right w:val="nil"/>
            </w:tcBorders>
            <w:shd w:val="clear" w:color="auto" w:fill="auto"/>
            <w:noWrap/>
            <w:vAlign w:val="center"/>
            <w:hideMark/>
          </w:tcPr>
          <w:p w14:paraId="126786C9" w14:textId="7B508215"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28AA9B52"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34156B83" w14:textId="5B46F70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5.330</w:t>
            </w:r>
          </w:p>
        </w:tc>
      </w:tr>
      <w:tr w:rsidR="00CA0796" w:rsidRPr="00CA0796" w14:paraId="7CC117EA" w14:textId="77777777" w:rsidTr="00CA0796">
        <w:trPr>
          <w:trHeight w:val="240"/>
        </w:trPr>
        <w:tc>
          <w:tcPr>
            <w:tcW w:w="2888" w:type="pct"/>
            <w:tcBorders>
              <w:top w:val="nil"/>
              <w:left w:val="nil"/>
              <w:bottom w:val="nil"/>
              <w:right w:val="nil"/>
            </w:tcBorders>
            <w:shd w:val="clear" w:color="000000" w:fill="FFFFFF"/>
            <w:noWrap/>
            <w:vAlign w:val="center"/>
            <w:hideMark/>
          </w:tcPr>
          <w:p w14:paraId="4F4A1EAC"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Incentivo de desligamento de pessoal </w:t>
            </w:r>
          </w:p>
        </w:tc>
        <w:tc>
          <w:tcPr>
            <w:tcW w:w="351" w:type="pct"/>
            <w:tcBorders>
              <w:top w:val="nil"/>
              <w:left w:val="nil"/>
              <w:bottom w:val="nil"/>
              <w:right w:val="nil"/>
            </w:tcBorders>
            <w:shd w:val="clear" w:color="auto" w:fill="auto"/>
            <w:noWrap/>
            <w:vAlign w:val="center"/>
            <w:hideMark/>
          </w:tcPr>
          <w:p w14:paraId="69877D7B"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0DE5BF17" w14:textId="764117B6"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41E07BF2"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5BFFBB4B" w14:textId="56B77EB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1.011</w:t>
            </w:r>
          </w:p>
        </w:tc>
      </w:tr>
      <w:tr w:rsidR="00CA0796" w:rsidRPr="00CA0796" w14:paraId="4E572527" w14:textId="77777777" w:rsidTr="00CA0796">
        <w:trPr>
          <w:trHeight w:val="240"/>
        </w:trPr>
        <w:tc>
          <w:tcPr>
            <w:tcW w:w="2888" w:type="pct"/>
            <w:tcBorders>
              <w:top w:val="nil"/>
              <w:left w:val="nil"/>
              <w:bottom w:val="nil"/>
              <w:right w:val="nil"/>
            </w:tcBorders>
            <w:shd w:val="clear" w:color="000000" w:fill="FFFFFF"/>
            <w:noWrap/>
            <w:vAlign w:val="center"/>
            <w:hideMark/>
          </w:tcPr>
          <w:p w14:paraId="16BF6CE3"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Conta a pagar aquisição de investimentos </w:t>
            </w:r>
          </w:p>
        </w:tc>
        <w:tc>
          <w:tcPr>
            <w:tcW w:w="351" w:type="pct"/>
            <w:tcBorders>
              <w:top w:val="nil"/>
              <w:left w:val="nil"/>
              <w:bottom w:val="nil"/>
              <w:right w:val="nil"/>
            </w:tcBorders>
            <w:shd w:val="clear" w:color="auto" w:fill="auto"/>
            <w:noWrap/>
            <w:vAlign w:val="center"/>
            <w:hideMark/>
          </w:tcPr>
          <w:p w14:paraId="48C10420" w14:textId="6DBAF485"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19</w:t>
            </w:r>
          </w:p>
        </w:tc>
        <w:tc>
          <w:tcPr>
            <w:tcW w:w="843" w:type="pct"/>
            <w:tcBorders>
              <w:top w:val="nil"/>
              <w:left w:val="nil"/>
              <w:bottom w:val="nil"/>
              <w:right w:val="nil"/>
            </w:tcBorders>
            <w:shd w:val="clear" w:color="auto" w:fill="auto"/>
            <w:noWrap/>
            <w:vAlign w:val="center"/>
            <w:hideMark/>
          </w:tcPr>
          <w:p w14:paraId="2FC81A4A" w14:textId="779180B4"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65.993</w:t>
            </w:r>
          </w:p>
        </w:tc>
        <w:tc>
          <w:tcPr>
            <w:tcW w:w="106" w:type="pct"/>
            <w:tcBorders>
              <w:top w:val="nil"/>
              <w:left w:val="nil"/>
              <w:bottom w:val="nil"/>
              <w:right w:val="nil"/>
            </w:tcBorders>
            <w:shd w:val="clear" w:color="auto" w:fill="auto"/>
            <w:noWrap/>
            <w:vAlign w:val="bottom"/>
            <w:hideMark/>
          </w:tcPr>
          <w:p w14:paraId="2AA55A7B"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248CF31B" w14:textId="429892C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65.993</w:t>
            </w:r>
          </w:p>
        </w:tc>
      </w:tr>
      <w:tr w:rsidR="00CA0796" w:rsidRPr="00CA0796" w14:paraId="418FA005" w14:textId="77777777" w:rsidTr="00CA0796">
        <w:trPr>
          <w:trHeight w:val="240"/>
        </w:trPr>
        <w:tc>
          <w:tcPr>
            <w:tcW w:w="2888" w:type="pct"/>
            <w:tcBorders>
              <w:top w:val="nil"/>
              <w:left w:val="nil"/>
              <w:bottom w:val="nil"/>
              <w:right w:val="nil"/>
            </w:tcBorders>
            <w:shd w:val="clear" w:color="000000" w:fill="FFFFFF"/>
            <w:noWrap/>
            <w:vAlign w:val="center"/>
            <w:hideMark/>
          </w:tcPr>
          <w:p w14:paraId="00393AEA"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Arrendamentos </w:t>
            </w:r>
          </w:p>
        </w:tc>
        <w:tc>
          <w:tcPr>
            <w:tcW w:w="351" w:type="pct"/>
            <w:tcBorders>
              <w:top w:val="nil"/>
              <w:left w:val="nil"/>
              <w:bottom w:val="nil"/>
              <w:right w:val="nil"/>
            </w:tcBorders>
            <w:shd w:val="clear" w:color="auto" w:fill="auto"/>
            <w:noWrap/>
            <w:vAlign w:val="center"/>
            <w:hideMark/>
          </w:tcPr>
          <w:p w14:paraId="2E95CC25"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43C57691" w14:textId="285AAEA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2.234</w:t>
            </w:r>
          </w:p>
        </w:tc>
        <w:tc>
          <w:tcPr>
            <w:tcW w:w="106" w:type="pct"/>
            <w:tcBorders>
              <w:top w:val="nil"/>
              <w:left w:val="nil"/>
              <w:bottom w:val="nil"/>
              <w:right w:val="nil"/>
            </w:tcBorders>
            <w:shd w:val="clear" w:color="auto" w:fill="auto"/>
            <w:noWrap/>
            <w:vAlign w:val="bottom"/>
            <w:hideMark/>
          </w:tcPr>
          <w:p w14:paraId="096279B6"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21E3F736" w14:textId="7B5D615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27.645</w:t>
            </w:r>
          </w:p>
        </w:tc>
      </w:tr>
      <w:tr w:rsidR="00CA0796" w:rsidRPr="00CA0796" w14:paraId="544E5608" w14:textId="77777777" w:rsidTr="00CA0796">
        <w:trPr>
          <w:trHeight w:val="240"/>
        </w:trPr>
        <w:tc>
          <w:tcPr>
            <w:tcW w:w="2888" w:type="pct"/>
            <w:tcBorders>
              <w:top w:val="nil"/>
              <w:left w:val="nil"/>
              <w:bottom w:val="nil"/>
              <w:right w:val="nil"/>
            </w:tcBorders>
            <w:shd w:val="clear" w:color="000000" w:fill="FFFFFF"/>
            <w:noWrap/>
            <w:vAlign w:val="center"/>
            <w:hideMark/>
          </w:tcPr>
          <w:p w14:paraId="3DFAABA5"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Previdência privada </w:t>
            </w:r>
          </w:p>
        </w:tc>
        <w:tc>
          <w:tcPr>
            <w:tcW w:w="351" w:type="pct"/>
            <w:tcBorders>
              <w:top w:val="nil"/>
              <w:left w:val="nil"/>
              <w:bottom w:val="nil"/>
              <w:right w:val="nil"/>
            </w:tcBorders>
            <w:shd w:val="clear" w:color="auto" w:fill="auto"/>
            <w:noWrap/>
            <w:vAlign w:val="center"/>
            <w:hideMark/>
          </w:tcPr>
          <w:p w14:paraId="5497ABE3"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59AA003A" w14:textId="36E0DA7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69D785F6"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0C3B26DB" w14:textId="768517DB"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21.469</w:t>
            </w:r>
          </w:p>
        </w:tc>
      </w:tr>
      <w:tr w:rsidR="00CA0796" w:rsidRPr="00CA0796" w14:paraId="15DB7A4E" w14:textId="77777777" w:rsidTr="00CA0796">
        <w:trPr>
          <w:trHeight w:val="240"/>
        </w:trPr>
        <w:tc>
          <w:tcPr>
            <w:tcW w:w="2888" w:type="pct"/>
            <w:tcBorders>
              <w:top w:val="nil"/>
              <w:left w:val="nil"/>
              <w:bottom w:val="nil"/>
              <w:right w:val="nil"/>
            </w:tcBorders>
            <w:shd w:val="clear" w:color="000000" w:fill="FFFFFF"/>
            <w:noWrap/>
            <w:vAlign w:val="center"/>
            <w:hideMark/>
          </w:tcPr>
          <w:p w14:paraId="5C474CC4"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Energia Itaipu </w:t>
            </w:r>
          </w:p>
        </w:tc>
        <w:tc>
          <w:tcPr>
            <w:tcW w:w="351" w:type="pct"/>
            <w:tcBorders>
              <w:top w:val="nil"/>
              <w:left w:val="nil"/>
              <w:bottom w:val="nil"/>
              <w:right w:val="nil"/>
            </w:tcBorders>
            <w:shd w:val="clear" w:color="auto" w:fill="auto"/>
            <w:noWrap/>
            <w:vAlign w:val="center"/>
            <w:hideMark/>
          </w:tcPr>
          <w:p w14:paraId="3658EF91" w14:textId="6EBD6275"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28</w:t>
            </w:r>
          </w:p>
        </w:tc>
        <w:tc>
          <w:tcPr>
            <w:tcW w:w="843" w:type="pct"/>
            <w:tcBorders>
              <w:top w:val="nil"/>
              <w:left w:val="nil"/>
              <w:bottom w:val="nil"/>
              <w:right w:val="nil"/>
            </w:tcBorders>
            <w:shd w:val="clear" w:color="auto" w:fill="auto"/>
            <w:noWrap/>
            <w:vAlign w:val="center"/>
            <w:hideMark/>
          </w:tcPr>
          <w:p w14:paraId="0CEB6AE4" w14:textId="3E02D89A"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318.760</w:t>
            </w:r>
          </w:p>
        </w:tc>
        <w:tc>
          <w:tcPr>
            <w:tcW w:w="106" w:type="pct"/>
            <w:tcBorders>
              <w:top w:val="nil"/>
              <w:left w:val="nil"/>
              <w:bottom w:val="nil"/>
              <w:right w:val="nil"/>
            </w:tcBorders>
            <w:shd w:val="clear" w:color="auto" w:fill="auto"/>
            <w:noWrap/>
            <w:vAlign w:val="bottom"/>
            <w:hideMark/>
          </w:tcPr>
          <w:p w14:paraId="3E705ECE"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77F1E497" w14:textId="47C4427B"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318.760</w:t>
            </w:r>
          </w:p>
        </w:tc>
      </w:tr>
      <w:tr w:rsidR="00CA0796" w:rsidRPr="00CA0796" w14:paraId="4E2DFE45" w14:textId="77777777" w:rsidTr="00CA0796">
        <w:trPr>
          <w:trHeight w:val="240"/>
        </w:trPr>
        <w:tc>
          <w:tcPr>
            <w:tcW w:w="2888" w:type="pct"/>
            <w:tcBorders>
              <w:top w:val="nil"/>
              <w:left w:val="nil"/>
              <w:bottom w:val="nil"/>
              <w:right w:val="nil"/>
            </w:tcBorders>
            <w:shd w:val="clear" w:color="000000" w:fill="FFFFFF"/>
            <w:noWrap/>
            <w:vAlign w:val="center"/>
            <w:hideMark/>
          </w:tcPr>
          <w:p w14:paraId="4DEE7168"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Encargos setoriais </w:t>
            </w:r>
          </w:p>
        </w:tc>
        <w:tc>
          <w:tcPr>
            <w:tcW w:w="351" w:type="pct"/>
            <w:tcBorders>
              <w:top w:val="nil"/>
              <w:left w:val="nil"/>
              <w:bottom w:val="nil"/>
              <w:right w:val="nil"/>
            </w:tcBorders>
            <w:shd w:val="clear" w:color="auto" w:fill="auto"/>
            <w:noWrap/>
            <w:vAlign w:val="center"/>
            <w:hideMark/>
          </w:tcPr>
          <w:p w14:paraId="4F818DA1"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38233414" w14:textId="64AF612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3991ADE5"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24C900BC" w14:textId="0B5F0374"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45.420</w:t>
            </w:r>
          </w:p>
        </w:tc>
      </w:tr>
      <w:tr w:rsidR="00CA0796" w:rsidRPr="00CA0796" w14:paraId="4BFA4172" w14:textId="77777777" w:rsidTr="00CA0796">
        <w:trPr>
          <w:trHeight w:val="240"/>
        </w:trPr>
        <w:tc>
          <w:tcPr>
            <w:tcW w:w="2888" w:type="pct"/>
            <w:tcBorders>
              <w:top w:val="nil"/>
              <w:left w:val="nil"/>
              <w:bottom w:val="nil"/>
              <w:right w:val="nil"/>
            </w:tcBorders>
            <w:shd w:val="clear" w:color="auto" w:fill="auto"/>
            <w:noWrap/>
            <w:vAlign w:val="center"/>
            <w:hideMark/>
          </w:tcPr>
          <w:p w14:paraId="55806BF7"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Dividendos declarados e juros sobre o capital próprio </w:t>
            </w:r>
          </w:p>
        </w:tc>
        <w:tc>
          <w:tcPr>
            <w:tcW w:w="351" w:type="pct"/>
            <w:tcBorders>
              <w:top w:val="nil"/>
              <w:left w:val="nil"/>
              <w:bottom w:val="nil"/>
              <w:right w:val="nil"/>
            </w:tcBorders>
            <w:shd w:val="clear" w:color="auto" w:fill="auto"/>
            <w:noWrap/>
            <w:vAlign w:val="center"/>
            <w:hideMark/>
          </w:tcPr>
          <w:p w14:paraId="3ABAC6D6"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2A6ACCFF" w14:textId="4D6DC885"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25.150</w:t>
            </w:r>
          </w:p>
        </w:tc>
        <w:tc>
          <w:tcPr>
            <w:tcW w:w="106" w:type="pct"/>
            <w:tcBorders>
              <w:top w:val="nil"/>
              <w:left w:val="nil"/>
              <w:bottom w:val="nil"/>
              <w:right w:val="nil"/>
            </w:tcBorders>
            <w:shd w:val="clear" w:color="auto" w:fill="auto"/>
            <w:noWrap/>
            <w:vAlign w:val="bottom"/>
            <w:hideMark/>
          </w:tcPr>
          <w:p w14:paraId="5E471087"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6751E63B" w14:textId="44916065"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25.150</w:t>
            </w:r>
          </w:p>
        </w:tc>
      </w:tr>
      <w:tr w:rsidR="00CA0796" w:rsidRPr="00CA0796" w14:paraId="0363DA91" w14:textId="77777777" w:rsidTr="00CA0796">
        <w:trPr>
          <w:trHeight w:val="240"/>
        </w:trPr>
        <w:tc>
          <w:tcPr>
            <w:tcW w:w="2888" w:type="pct"/>
            <w:tcBorders>
              <w:top w:val="nil"/>
              <w:left w:val="nil"/>
              <w:bottom w:val="nil"/>
              <w:right w:val="nil"/>
            </w:tcBorders>
            <w:shd w:val="clear" w:color="auto" w:fill="auto"/>
            <w:noWrap/>
            <w:vAlign w:val="center"/>
            <w:hideMark/>
          </w:tcPr>
          <w:p w14:paraId="5AAD8E5A"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Ressarcimento de cliente - desvio negativo </w:t>
            </w:r>
          </w:p>
        </w:tc>
        <w:tc>
          <w:tcPr>
            <w:tcW w:w="351" w:type="pct"/>
            <w:tcBorders>
              <w:top w:val="nil"/>
              <w:left w:val="nil"/>
              <w:bottom w:val="nil"/>
              <w:right w:val="nil"/>
            </w:tcBorders>
            <w:shd w:val="clear" w:color="auto" w:fill="auto"/>
            <w:noWrap/>
            <w:vAlign w:val="center"/>
            <w:hideMark/>
          </w:tcPr>
          <w:p w14:paraId="4F3AE7AA"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21D63DDA" w14:textId="32C9475E"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330F868C"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75A98518" w14:textId="495A0871"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151.026</w:t>
            </w:r>
          </w:p>
        </w:tc>
      </w:tr>
      <w:tr w:rsidR="00CA0796" w:rsidRPr="00CA0796" w14:paraId="476F4671" w14:textId="77777777" w:rsidTr="00CA0796">
        <w:trPr>
          <w:trHeight w:val="240"/>
        </w:trPr>
        <w:tc>
          <w:tcPr>
            <w:tcW w:w="2888" w:type="pct"/>
            <w:tcBorders>
              <w:top w:val="nil"/>
              <w:left w:val="nil"/>
              <w:bottom w:val="nil"/>
              <w:right w:val="nil"/>
            </w:tcBorders>
            <w:shd w:val="clear" w:color="000000" w:fill="FFFFFF"/>
            <w:noWrap/>
            <w:vAlign w:val="center"/>
            <w:hideMark/>
          </w:tcPr>
          <w:p w14:paraId="28C48F12"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Outros </w:t>
            </w:r>
          </w:p>
        </w:tc>
        <w:tc>
          <w:tcPr>
            <w:tcW w:w="351" w:type="pct"/>
            <w:tcBorders>
              <w:top w:val="nil"/>
              <w:left w:val="nil"/>
              <w:bottom w:val="nil"/>
              <w:right w:val="nil"/>
            </w:tcBorders>
            <w:shd w:val="clear" w:color="auto" w:fill="auto"/>
            <w:noWrap/>
            <w:vAlign w:val="center"/>
            <w:hideMark/>
          </w:tcPr>
          <w:p w14:paraId="17B16754" w14:textId="3BDCCFF5"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10</w:t>
            </w:r>
          </w:p>
        </w:tc>
        <w:tc>
          <w:tcPr>
            <w:tcW w:w="843" w:type="pct"/>
            <w:tcBorders>
              <w:top w:val="nil"/>
              <w:left w:val="nil"/>
              <w:bottom w:val="single" w:sz="4" w:space="0" w:color="1B80C4"/>
              <w:right w:val="nil"/>
            </w:tcBorders>
            <w:shd w:val="clear" w:color="auto" w:fill="auto"/>
            <w:noWrap/>
            <w:vAlign w:val="center"/>
            <w:hideMark/>
          </w:tcPr>
          <w:p w14:paraId="0BD5C76D" w14:textId="3241276E"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695.299</w:t>
            </w:r>
          </w:p>
        </w:tc>
        <w:tc>
          <w:tcPr>
            <w:tcW w:w="106" w:type="pct"/>
            <w:tcBorders>
              <w:top w:val="nil"/>
              <w:left w:val="nil"/>
              <w:bottom w:val="nil"/>
              <w:right w:val="nil"/>
            </w:tcBorders>
            <w:shd w:val="clear" w:color="auto" w:fill="auto"/>
            <w:noWrap/>
            <w:vAlign w:val="bottom"/>
            <w:hideMark/>
          </w:tcPr>
          <w:p w14:paraId="23506622"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single" w:sz="4" w:space="0" w:color="1B80C4"/>
              <w:right w:val="nil"/>
            </w:tcBorders>
            <w:shd w:val="clear" w:color="auto" w:fill="auto"/>
            <w:noWrap/>
            <w:vAlign w:val="bottom"/>
            <w:hideMark/>
          </w:tcPr>
          <w:p w14:paraId="5E6AEF68" w14:textId="6565CB9B"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729.971</w:t>
            </w:r>
          </w:p>
        </w:tc>
      </w:tr>
      <w:tr w:rsidR="00CA0796" w:rsidRPr="00CA0796" w14:paraId="618F01A6" w14:textId="77777777" w:rsidTr="00CA0796">
        <w:trPr>
          <w:trHeight w:val="240"/>
        </w:trPr>
        <w:tc>
          <w:tcPr>
            <w:tcW w:w="2888" w:type="pct"/>
            <w:tcBorders>
              <w:top w:val="nil"/>
              <w:left w:val="nil"/>
              <w:bottom w:val="nil"/>
              <w:right w:val="nil"/>
            </w:tcBorders>
            <w:shd w:val="clear" w:color="000000" w:fill="FFFFFF"/>
            <w:vAlign w:val="center"/>
            <w:hideMark/>
          </w:tcPr>
          <w:p w14:paraId="12EE38D7"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w:t>
            </w:r>
          </w:p>
        </w:tc>
        <w:tc>
          <w:tcPr>
            <w:tcW w:w="351" w:type="pct"/>
            <w:tcBorders>
              <w:top w:val="nil"/>
              <w:left w:val="nil"/>
              <w:bottom w:val="nil"/>
              <w:right w:val="nil"/>
            </w:tcBorders>
            <w:shd w:val="clear" w:color="auto" w:fill="auto"/>
            <w:vAlign w:val="center"/>
            <w:hideMark/>
          </w:tcPr>
          <w:p w14:paraId="58075723"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bottom"/>
            <w:hideMark/>
          </w:tcPr>
          <w:p w14:paraId="2CA6BB0C" w14:textId="43E226FC"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4.959.937</w:t>
            </w:r>
          </w:p>
        </w:tc>
        <w:tc>
          <w:tcPr>
            <w:tcW w:w="106" w:type="pct"/>
            <w:tcBorders>
              <w:top w:val="nil"/>
              <w:left w:val="nil"/>
              <w:bottom w:val="nil"/>
              <w:right w:val="nil"/>
            </w:tcBorders>
            <w:shd w:val="clear" w:color="auto" w:fill="auto"/>
            <w:noWrap/>
            <w:vAlign w:val="bottom"/>
            <w:hideMark/>
          </w:tcPr>
          <w:p w14:paraId="13629354"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11" w:type="pct"/>
            <w:tcBorders>
              <w:top w:val="nil"/>
              <w:left w:val="nil"/>
              <w:bottom w:val="nil"/>
              <w:right w:val="nil"/>
            </w:tcBorders>
            <w:shd w:val="clear" w:color="auto" w:fill="auto"/>
            <w:noWrap/>
            <w:vAlign w:val="bottom"/>
            <w:hideMark/>
          </w:tcPr>
          <w:p w14:paraId="47BABA6F" w14:textId="567AFFC3"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7.307.225</w:t>
            </w:r>
          </w:p>
        </w:tc>
      </w:tr>
      <w:tr w:rsidR="00CA0796" w:rsidRPr="00CA0796" w14:paraId="79ACD87F" w14:textId="77777777" w:rsidTr="00CA0796">
        <w:trPr>
          <w:trHeight w:val="240"/>
        </w:trPr>
        <w:tc>
          <w:tcPr>
            <w:tcW w:w="2888" w:type="pct"/>
            <w:tcBorders>
              <w:top w:val="nil"/>
              <w:left w:val="nil"/>
              <w:bottom w:val="nil"/>
              <w:right w:val="nil"/>
            </w:tcBorders>
            <w:shd w:val="clear" w:color="000000" w:fill="FFFFFF"/>
            <w:vAlign w:val="center"/>
            <w:hideMark/>
          </w:tcPr>
          <w:p w14:paraId="463F2887"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w:t>
            </w:r>
          </w:p>
        </w:tc>
        <w:tc>
          <w:tcPr>
            <w:tcW w:w="351" w:type="pct"/>
            <w:tcBorders>
              <w:top w:val="nil"/>
              <w:left w:val="nil"/>
              <w:bottom w:val="nil"/>
              <w:right w:val="nil"/>
            </w:tcBorders>
            <w:shd w:val="clear" w:color="auto" w:fill="auto"/>
            <w:noWrap/>
            <w:vAlign w:val="center"/>
            <w:hideMark/>
          </w:tcPr>
          <w:p w14:paraId="00029A1D"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bottom"/>
            <w:hideMark/>
          </w:tcPr>
          <w:p w14:paraId="7EDF008E"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106" w:type="pct"/>
            <w:tcBorders>
              <w:top w:val="nil"/>
              <w:left w:val="nil"/>
              <w:bottom w:val="nil"/>
              <w:right w:val="nil"/>
            </w:tcBorders>
            <w:shd w:val="clear" w:color="auto" w:fill="auto"/>
            <w:noWrap/>
            <w:vAlign w:val="bottom"/>
            <w:hideMark/>
          </w:tcPr>
          <w:p w14:paraId="4C25465E"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11" w:type="pct"/>
            <w:tcBorders>
              <w:top w:val="nil"/>
              <w:left w:val="nil"/>
              <w:bottom w:val="nil"/>
              <w:right w:val="nil"/>
            </w:tcBorders>
            <w:shd w:val="clear" w:color="auto" w:fill="auto"/>
            <w:noWrap/>
            <w:vAlign w:val="center"/>
            <w:hideMark/>
          </w:tcPr>
          <w:p w14:paraId="4D095273"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r>
      <w:tr w:rsidR="00CA0796" w:rsidRPr="00CA0796" w14:paraId="77DCFEBD" w14:textId="77777777" w:rsidTr="00CA0796">
        <w:trPr>
          <w:trHeight w:val="240"/>
        </w:trPr>
        <w:tc>
          <w:tcPr>
            <w:tcW w:w="2888" w:type="pct"/>
            <w:tcBorders>
              <w:top w:val="nil"/>
              <w:left w:val="nil"/>
              <w:bottom w:val="nil"/>
              <w:right w:val="nil"/>
            </w:tcBorders>
            <w:shd w:val="clear" w:color="000000" w:fill="FFFFFF"/>
            <w:noWrap/>
            <w:vAlign w:val="center"/>
            <w:hideMark/>
          </w:tcPr>
          <w:p w14:paraId="76FA6E5A" w14:textId="77777777" w:rsidR="00CA0796" w:rsidRPr="00CA0796" w:rsidRDefault="00CA0796" w:rsidP="00CA0796">
            <w:pPr>
              <w:spacing w:after="0" w:line="240" w:lineRule="auto"/>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 xml:space="preserve"> NÃO CIRCULANTE </w:t>
            </w:r>
          </w:p>
        </w:tc>
        <w:tc>
          <w:tcPr>
            <w:tcW w:w="351" w:type="pct"/>
            <w:tcBorders>
              <w:top w:val="nil"/>
              <w:left w:val="nil"/>
              <w:bottom w:val="nil"/>
              <w:right w:val="nil"/>
            </w:tcBorders>
            <w:shd w:val="clear" w:color="auto" w:fill="auto"/>
            <w:noWrap/>
            <w:vAlign w:val="center"/>
            <w:hideMark/>
          </w:tcPr>
          <w:p w14:paraId="00687A65"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43" w:type="pct"/>
            <w:tcBorders>
              <w:top w:val="nil"/>
              <w:left w:val="nil"/>
              <w:bottom w:val="nil"/>
              <w:right w:val="nil"/>
            </w:tcBorders>
            <w:shd w:val="clear" w:color="auto" w:fill="auto"/>
            <w:noWrap/>
            <w:vAlign w:val="bottom"/>
            <w:hideMark/>
          </w:tcPr>
          <w:p w14:paraId="432C265E"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106" w:type="pct"/>
            <w:tcBorders>
              <w:top w:val="nil"/>
              <w:left w:val="nil"/>
              <w:bottom w:val="nil"/>
              <w:right w:val="nil"/>
            </w:tcBorders>
            <w:shd w:val="clear" w:color="auto" w:fill="auto"/>
            <w:noWrap/>
            <w:vAlign w:val="bottom"/>
            <w:hideMark/>
          </w:tcPr>
          <w:p w14:paraId="0FC8CE67"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11" w:type="pct"/>
            <w:tcBorders>
              <w:top w:val="nil"/>
              <w:left w:val="nil"/>
              <w:bottom w:val="nil"/>
              <w:right w:val="nil"/>
            </w:tcBorders>
            <w:shd w:val="clear" w:color="auto" w:fill="auto"/>
            <w:noWrap/>
            <w:vAlign w:val="center"/>
            <w:hideMark/>
          </w:tcPr>
          <w:p w14:paraId="25A2F6A6"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r>
      <w:tr w:rsidR="00CA0796" w:rsidRPr="00CA0796" w14:paraId="09E6F60B" w14:textId="77777777" w:rsidTr="00CA0796">
        <w:trPr>
          <w:trHeight w:val="240"/>
        </w:trPr>
        <w:tc>
          <w:tcPr>
            <w:tcW w:w="2888" w:type="pct"/>
            <w:tcBorders>
              <w:top w:val="nil"/>
              <w:left w:val="nil"/>
              <w:bottom w:val="nil"/>
              <w:right w:val="nil"/>
            </w:tcBorders>
            <w:shd w:val="clear" w:color="000000" w:fill="FFFFFF"/>
            <w:noWrap/>
            <w:vAlign w:val="center"/>
            <w:hideMark/>
          </w:tcPr>
          <w:p w14:paraId="524BB0C9"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Empréstimos e financiamentos  </w:t>
            </w:r>
          </w:p>
        </w:tc>
        <w:tc>
          <w:tcPr>
            <w:tcW w:w="351" w:type="pct"/>
            <w:tcBorders>
              <w:top w:val="nil"/>
              <w:left w:val="nil"/>
              <w:bottom w:val="nil"/>
              <w:right w:val="nil"/>
            </w:tcBorders>
            <w:shd w:val="clear" w:color="auto" w:fill="auto"/>
            <w:noWrap/>
            <w:vAlign w:val="center"/>
            <w:hideMark/>
          </w:tcPr>
          <w:p w14:paraId="3CC9E14B" w14:textId="4A24A173"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16</w:t>
            </w:r>
          </w:p>
        </w:tc>
        <w:tc>
          <w:tcPr>
            <w:tcW w:w="843" w:type="pct"/>
            <w:tcBorders>
              <w:top w:val="nil"/>
              <w:left w:val="nil"/>
              <w:bottom w:val="nil"/>
              <w:right w:val="nil"/>
            </w:tcBorders>
            <w:shd w:val="clear" w:color="auto" w:fill="auto"/>
            <w:noWrap/>
            <w:vAlign w:val="center"/>
            <w:hideMark/>
          </w:tcPr>
          <w:p w14:paraId="27D4BEA8" w14:textId="4967F99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27A306A7"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3443036B" w14:textId="1BBCF87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6.718.184</w:t>
            </w:r>
          </w:p>
        </w:tc>
      </w:tr>
      <w:tr w:rsidR="00CA0796" w:rsidRPr="00CA0796" w14:paraId="02DA8375" w14:textId="77777777" w:rsidTr="00CA0796">
        <w:trPr>
          <w:trHeight w:val="240"/>
        </w:trPr>
        <w:tc>
          <w:tcPr>
            <w:tcW w:w="2888" w:type="pct"/>
            <w:tcBorders>
              <w:top w:val="nil"/>
              <w:left w:val="nil"/>
              <w:bottom w:val="nil"/>
              <w:right w:val="nil"/>
            </w:tcBorders>
            <w:shd w:val="clear" w:color="000000" w:fill="FFFFFF"/>
            <w:noWrap/>
            <w:vAlign w:val="center"/>
            <w:hideMark/>
          </w:tcPr>
          <w:p w14:paraId="7C79B31F" w14:textId="5EF8E582"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w:t>
            </w:r>
            <w:r w:rsidR="00BC6020">
              <w:rPr>
                <w:rFonts w:ascii="Segoe UI" w:eastAsia="Times New Roman" w:hAnsi="Segoe UI" w:cs="Segoe UI"/>
                <w:sz w:val="18"/>
                <w:szCs w:val="18"/>
                <w:lang w:eastAsia="pt-BR"/>
              </w:rPr>
              <w:t>I</w:t>
            </w:r>
            <w:r w:rsidRPr="00CA0796">
              <w:rPr>
                <w:rFonts w:ascii="Segoe UI" w:eastAsia="Times New Roman" w:hAnsi="Segoe UI" w:cs="Segoe UI"/>
                <w:sz w:val="18"/>
                <w:szCs w:val="18"/>
                <w:lang w:eastAsia="pt-BR"/>
              </w:rPr>
              <w:t xml:space="preserve">mpostos diferidos </w:t>
            </w:r>
          </w:p>
        </w:tc>
        <w:tc>
          <w:tcPr>
            <w:tcW w:w="351" w:type="pct"/>
            <w:tcBorders>
              <w:top w:val="nil"/>
              <w:left w:val="nil"/>
              <w:bottom w:val="nil"/>
              <w:right w:val="nil"/>
            </w:tcBorders>
            <w:shd w:val="clear" w:color="auto" w:fill="auto"/>
            <w:noWrap/>
            <w:vAlign w:val="center"/>
            <w:hideMark/>
          </w:tcPr>
          <w:p w14:paraId="63D9B621" w14:textId="14BA8D25" w:rsidR="00CA0796" w:rsidRPr="00CA0796" w:rsidRDefault="00552B3B" w:rsidP="00CA0796">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8.</w:t>
            </w:r>
            <w:r w:rsidR="005F44A6">
              <w:rPr>
                <w:rFonts w:ascii="Segoe UI" w:eastAsia="Times New Roman" w:hAnsi="Segoe UI" w:cs="Segoe UI"/>
                <w:sz w:val="18"/>
                <w:szCs w:val="18"/>
                <w:lang w:eastAsia="pt-BR"/>
              </w:rPr>
              <w:t>2</w:t>
            </w:r>
          </w:p>
        </w:tc>
        <w:tc>
          <w:tcPr>
            <w:tcW w:w="843" w:type="pct"/>
            <w:tcBorders>
              <w:top w:val="nil"/>
              <w:left w:val="nil"/>
              <w:bottom w:val="nil"/>
              <w:right w:val="nil"/>
            </w:tcBorders>
            <w:shd w:val="clear" w:color="auto" w:fill="auto"/>
            <w:noWrap/>
            <w:vAlign w:val="center"/>
            <w:hideMark/>
          </w:tcPr>
          <w:p w14:paraId="322CF238" w14:textId="39CA55EF"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21.321</w:t>
            </w:r>
          </w:p>
        </w:tc>
        <w:tc>
          <w:tcPr>
            <w:tcW w:w="106" w:type="pct"/>
            <w:tcBorders>
              <w:top w:val="nil"/>
              <w:left w:val="nil"/>
              <w:bottom w:val="nil"/>
              <w:right w:val="nil"/>
            </w:tcBorders>
            <w:shd w:val="clear" w:color="auto" w:fill="auto"/>
            <w:noWrap/>
            <w:vAlign w:val="bottom"/>
            <w:hideMark/>
          </w:tcPr>
          <w:p w14:paraId="01552D35"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3BB3FC15" w14:textId="6F90F870"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22.639</w:t>
            </w:r>
          </w:p>
        </w:tc>
      </w:tr>
      <w:tr w:rsidR="00CA0796" w:rsidRPr="00CA0796" w14:paraId="61CA015F" w14:textId="77777777" w:rsidTr="00CA0796">
        <w:trPr>
          <w:trHeight w:val="240"/>
        </w:trPr>
        <w:tc>
          <w:tcPr>
            <w:tcW w:w="2888" w:type="pct"/>
            <w:tcBorders>
              <w:top w:val="nil"/>
              <w:left w:val="nil"/>
              <w:bottom w:val="nil"/>
              <w:right w:val="nil"/>
            </w:tcBorders>
            <w:shd w:val="clear" w:color="auto" w:fill="auto"/>
            <w:noWrap/>
            <w:vAlign w:val="center"/>
            <w:hideMark/>
          </w:tcPr>
          <w:p w14:paraId="13F1C592"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Provisões para litígios e passivos contingentes </w:t>
            </w:r>
          </w:p>
        </w:tc>
        <w:tc>
          <w:tcPr>
            <w:tcW w:w="351" w:type="pct"/>
            <w:tcBorders>
              <w:top w:val="nil"/>
              <w:left w:val="nil"/>
              <w:bottom w:val="nil"/>
              <w:right w:val="nil"/>
            </w:tcBorders>
            <w:shd w:val="clear" w:color="auto" w:fill="auto"/>
            <w:noWrap/>
            <w:vAlign w:val="center"/>
            <w:hideMark/>
          </w:tcPr>
          <w:p w14:paraId="3D353002" w14:textId="7D354C2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20</w:t>
            </w:r>
          </w:p>
        </w:tc>
        <w:tc>
          <w:tcPr>
            <w:tcW w:w="843" w:type="pct"/>
            <w:tcBorders>
              <w:top w:val="nil"/>
              <w:left w:val="nil"/>
              <w:bottom w:val="nil"/>
              <w:right w:val="nil"/>
            </w:tcBorders>
            <w:shd w:val="clear" w:color="auto" w:fill="auto"/>
            <w:noWrap/>
            <w:vAlign w:val="center"/>
            <w:hideMark/>
          </w:tcPr>
          <w:p w14:paraId="3C7F8F86" w14:textId="17E5AB7D"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04B1D682"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357EF000" w14:textId="182E104B"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241.996</w:t>
            </w:r>
          </w:p>
        </w:tc>
      </w:tr>
      <w:tr w:rsidR="00CA0796" w:rsidRPr="00CA0796" w14:paraId="7D16DCC9" w14:textId="77777777" w:rsidTr="00CA0796">
        <w:trPr>
          <w:trHeight w:val="240"/>
        </w:trPr>
        <w:tc>
          <w:tcPr>
            <w:tcW w:w="2888" w:type="pct"/>
            <w:tcBorders>
              <w:top w:val="nil"/>
              <w:left w:val="nil"/>
              <w:bottom w:val="nil"/>
              <w:right w:val="nil"/>
            </w:tcBorders>
            <w:shd w:val="clear" w:color="auto" w:fill="auto"/>
            <w:noWrap/>
            <w:vAlign w:val="center"/>
            <w:hideMark/>
          </w:tcPr>
          <w:p w14:paraId="1DA37D65"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Benefício pós-emprego </w:t>
            </w:r>
          </w:p>
        </w:tc>
        <w:tc>
          <w:tcPr>
            <w:tcW w:w="351" w:type="pct"/>
            <w:tcBorders>
              <w:top w:val="nil"/>
              <w:left w:val="nil"/>
              <w:bottom w:val="nil"/>
              <w:right w:val="nil"/>
            </w:tcBorders>
            <w:shd w:val="clear" w:color="auto" w:fill="auto"/>
            <w:noWrap/>
            <w:vAlign w:val="center"/>
            <w:hideMark/>
          </w:tcPr>
          <w:p w14:paraId="240E440A" w14:textId="094BCBD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21</w:t>
            </w:r>
          </w:p>
        </w:tc>
        <w:tc>
          <w:tcPr>
            <w:tcW w:w="843" w:type="pct"/>
            <w:tcBorders>
              <w:top w:val="nil"/>
              <w:left w:val="nil"/>
              <w:bottom w:val="nil"/>
              <w:right w:val="nil"/>
            </w:tcBorders>
            <w:shd w:val="clear" w:color="auto" w:fill="auto"/>
            <w:noWrap/>
            <w:vAlign w:val="center"/>
            <w:hideMark/>
          </w:tcPr>
          <w:p w14:paraId="5254FDE3" w14:textId="7A9B1E61"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219CC788"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169F6C9F" w14:textId="26D404B6"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356.993</w:t>
            </w:r>
          </w:p>
        </w:tc>
      </w:tr>
      <w:tr w:rsidR="00CA0796" w:rsidRPr="00CA0796" w14:paraId="41E8CAA7" w14:textId="77777777" w:rsidTr="00CA0796">
        <w:trPr>
          <w:trHeight w:val="240"/>
        </w:trPr>
        <w:tc>
          <w:tcPr>
            <w:tcW w:w="2888" w:type="pct"/>
            <w:tcBorders>
              <w:top w:val="nil"/>
              <w:left w:val="nil"/>
              <w:bottom w:val="nil"/>
              <w:right w:val="nil"/>
            </w:tcBorders>
            <w:shd w:val="clear" w:color="auto" w:fill="auto"/>
            <w:noWrap/>
            <w:vAlign w:val="center"/>
            <w:hideMark/>
          </w:tcPr>
          <w:p w14:paraId="51767576"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Conta a pagar aquisição de investimentos </w:t>
            </w:r>
          </w:p>
        </w:tc>
        <w:tc>
          <w:tcPr>
            <w:tcW w:w="351" w:type="pct"/>
            <w:tcBorders>
              <w:top w:val="nil"/>
              <w:left w:val="nil"/>
              <w:bottom w:val="nil"/>
              <w:right w:val="nil"/>
            </w:tcBorders>
            <w:shd w:val="clear" w:color="auto" w:fill="auto"/>
            <w:noWrap/>
            <w:vAlign w:val="center"/>
            <w:hideMark/>
          </w:tcPr>
          <w:p w14:paraId="488521E8" w14:textId="1C9768D0"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19</w:t>
            </w:r>
          </w:p>
        </w:tc>
        <w:tc>
          <w:tcPr>
            <w:tcW w:w="843" w:type="pct"/>
            <w:tcBorders>
              <w:top w:val="nil"/>
              <w:left w:val="nil"/>
              <w:bottom w:val="nil"/>
              <w:right w:val="nil"/>
            </w:tcBorders>
            <w:shd w:val="clear" w:color="auto" w:fill="auto"/>
            <w:noWrap/>
            <w:vAlign w:val="center"/>
            <w:hideMark/>
          </w:tcPr>
          <w:p w14:paraId="3672ACA8" w14:textId="24C88B4B"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1.226.377</w:t>
            </w:r>
          </w:p>
        </w:tc>
        <w:tc>
          <w:tcPr>
            <w:tcW w:w="106" w:type="pct"/>
            <w:tcBorders>
              <w:top w:val="nil"/>
              <w:left w:val="nil"/>
              <w:bottom w:val="nil"/>
              <w:right w:val="nil"/>
            </w:tcBorders>
            <w:shd w:val="clear" w:color="auto" w:fill="auto"/>
            <w:noWrap/>
            <w:vAlign w:val="bottom"/>
            <w:hideMark/>
          </w:tcPr>
          <w:p w14:paraId="685667AB"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55D405A1" w14:textId="07EE075C"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1.226.377</w:t>
            </w:r>
          </w:p>
        </w:tc>
      </w:tr>
      <w:tr w:rsidR="00CA0796" w:rsidRPr="00CA0796" w14:paraId="6DF2CBF2" w14:textId="77777777" w:rsidTr="00CA0796">
        <w:trPr>
          <w:trHeight w:val="240"/>
        </w:trPr>
        <w:tc>
          <w:tcPr>
            <w:tcW w:w="2888" w:type="pct"/>
            <w:tcBorders>
              <w:top w:val="nil"/>
              <w:left w:val="nil"/>
              <w:bottom w:val="nil"/>
              <w:right w:val="nil"/>
            </w:tcBorders>
            <w:shd w:val="clear" w:color="auto" w:fill="auto"/>
            <w:noWrap/>
            <w:vAlign w:val="center"/>
            <w:hideMark/>
          </w:tcPr>
          <w:p w14:paraId="1AB3485B"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Arrendamentos </w:t>
            </w:r>
          </w:p>
        </w:tc>
        <w:tc>
          <w:tcPr>
            <w:tcW w:w="351" w:type="pct"/>
            <w:tcBorders>
              <w:top w:val="nil"/>
              <w:left w:val="nil"/>
              <w:bottom w:val="nil"/>
              <w:right w:val="nil"/>
            </w:tcBorders>
            <w:shd w:val="clear" w:color="auto" w:fill="auto"/>
            <w:noWrap/>
            <w:vAlign w:val="center"/>
            <w:hideMark/>
          </w:tcPr>
          <w:p w14:paraId="6AEB7CCF"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6720026A" w14:textId="42FEDA00"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7.333</w:t>
            </w:r>
          </w:p>
        </w:tc>
        <w:tc>
          <w:tcPr>
            <w:tcW w:w="106" w:type="pct"/>
            <w:tcBorders>
              <w:top w:val="nil"/>
              <w:left w:val="nil"/>
              <w:bottom w:val="nil"/>
              <w:right w:val="nil"/>
            </w:tcBorders>
            <w:shd w:val="clear" w:color="auto" w:fill="auto"/>
            <w:noWrap/>
            <w:vAlign w:val="bottom"/>
            <w:hideMark/>
          </w:tcPr>
          <w:p w14:paraId="52098807"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52B4677B" w14:textId="1A3B77E7"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58.773</w:t>
            </w:r>
          </w:p>
        </w:tc>
      </w:tr>
      <w:tr w:rsidR="00CA0796" w:rsidRPr="00CA0796" w14:paraId="636E22AF" w14:textId="77777777" w:rsidTr="00CA0796">
        <w:trPr>
          <w:trHeight w:val="240"/>
        </w:trPr>
        <w:tc>
          <w:tcPr>
            <w:tcW w:w="2888" w:type="pct"/>
            <w:tcBorders>
              <w:top w:val="nil"/>
              <w:left w:val="nil"/>
              <w:bottom w:val="nil"/>
              <w:right w:val="nil"/>
            </w:tcBorders>
            <w:shd w:val="clear" w:color="auto" w:fill="auto"/>
            <w:noWrap/>
            <w:vAlign w:val="center"/>
            <w:hideMark/>
          </w:tcPr>
          <w:p w14:paraId="16870332"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Previdência privada </w:t>
            </w:r>
          </w:p>
        </w:tc>
        <w:tc>
          <w:tcPr>
            <w:tcW w:w="351" w:type="pct"/>
            <w:tcBorders>
              <w:top w:val="nil"/>
              <w:left w:val="nil"/>
              <w:bottom w:val="nil"/>
              <w:right w:val="nil"/>
            </w:tcBorders>
            <w:shd w:val="clear" w:color="auto" w:fill="auto"/>
            <w:noWrap/>
            <w:vAlign w:val="center"/>
            <w:hideMark/>
          </w:tcPr>
          <w:p w14:paraId="54924771"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0ACB8F53" w14:textId="58E8C26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3E460B64"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202FC390" w14:textId="55932F8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177.178</w:t>
            </w:r>
          </w:p>
        </w:tc>
      </w:tr>
      <w:tr w:rsidR="00CA0796" w:rsidRPr="00CA0796" w14:paraId="52C12885" w14:textId="77777777" w:rsidTr="00CA0796">
        <w:trPr>
          <w:trHeight w:val="240"/>
        </w:trPr>
        <w:tc>
          <w:tcPr>
            <w:tcW w:w="2888" w:type="pct"/>
            <w:tcBorders>
              <w:top w:val="nil"/>
              <w:left w:val="nil"/>
              <w:bottom w:val="nil"/>
              <w:right w:val="nil"/>
            </w:tcBorders>
            <w:shd w:val="clear" w:color="auto" w:fill="auto"/>
            <w:noWrap/>
            <w:vAlign w:val="center"/>
            <w:hideMark/>
          </w:tcPr>
          <w:p w14:paraId="7BA829F9"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Obrigação para desmobilização de ativos </w:t>
            </w:r>
          </w:p>
        </w:tc>
        <w:tc>
          <w:tcPr>
            <w:tcW w:w="351" w:type="pct"/>
            <w:tcBorders>
              <w:top w:val="nil"/>
              <w:left w:val="nil"/>
              <w:bottom w:val="nil"/>
              <w:right w:val="nil"/>
            </w:tcBorders>
            <w:shd w:val="clear" w:color="auto" w:fill="auto"/>
            <w:noWrap/>
            <w:vAlign w:val="center"/>
            <w:hideMark/>
          </w:tcPr>
          <w:p w14:paraId="7D5F3EF2" w14:textId="2C296AA0"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22</w:t>
            </w:r>
          </w:p>
        </w:tc>
        <w:tc>
          <w:tcPr>
            <w:tcW w:w="843" w:type="pct"/>
            <w:tcBorders>
              <w:top w:val="nil"/>
              <w:left w:val="nil"/>
              <w:bottom w:val="nil"/>
              <w:right w:val="nil"/>
            </w:tcBorders>
            <w:shd w:val="clear" w:color="auto" w:fill="auto"/>
            <w:noWrap/>
            <w:vAlign w:val="center"/>
            <w:hideMark/>
          </w:tcPr>
          <w:p w14:paraId="49FED61B" w14:textId="114EEBA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50689DF4"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588072CE" w14:textId="2F59992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2.651.537</w:t>
            </w:r>
          </w:p>
        </w:tc>
      </w:tr>
      <w:tr w:rsidR="00CA0796" w:rsidRPr="00CA0796" w14:paraId="0D0F8731" w14:textId="77777777" w:rsidTr="00CA0796">
        <w:trPr>
          <w:trHeight w:val="240"/>
        </w:trPr>
        <w:tc>
          <w:tcPr>
            <w:tcW w:w="2888" w:type="pct"/>
            <w:tcBorders>
              <w:top w:val="nil"/>
              <w:left w:val="nil"/>
              <w:bottom w:val="nil"/>
              <w:right w:val="nil"/>
            </w:tcBorders>
            <w:shd w:val="clear" w:color="auto" w:fill="auto"/>
            <w:noWrap/>
            <w:vAlign w:val="center"/>
            <w:hideMark/>
          </w:tcPr>
          <w:p w14:paraId="573C4E6E"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Ressarcimento de cliente - desvio negativo </w:t>
            </w:r>
          </w:p>
        </w:tc>
        <w:tc>
          <w:tcPr>
            <w:tcW w:w="351" w:type="pct"/>
            <w:tcBorders>
              <w:top w:val="nil"/>
              <w:left w:val="nil"/>
              <w:bottom w:val="nil"/>
              <w:right w:val="nil"/>
            </w:tcBorders>
            <w:shd w:val="clear" w:color="auto" w:fill="auto"/>
            <w:noWrap/>
            <w:vAlign w:val="center"/>
            <w:hideMark/>
          </w:tcPr>
          <w:p w14:paraId="3F99C32E"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nil"/>
              <w:right w:val="nil"/>
            </w:tcBorders>
            <w:shd w:val="clear" w:color="auto" w:fill="auto"/>
            <w:noWrap/>
            <w:vAlign w:val="center"/>
            <w:hideMark/>
          </w:tcPr>
          <w:p w14:paraId="08E180CC" w14:textId="00AC9564"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4E16D7B8"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5D5E7DDE" w14:textId="60A60E7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13.730</w:t>
            </w:r>
          </w:p>
        </w:tc>
      </w:tr>
      <w:tr w:rsidR="00CA0796" w:rsidRPr="00CA0796" w14:paraId="240AD2D6" w14:textId="77777777" w:rsidTr="00CA0796">
        <w:trPr>
          <w:trHeight w:val="240"/>
        </w:trPr>
        <w:tc>
          <w:tcPr>
            <w:tcW w:w="2888" w:type="pct"/>
            <w:tcBorders>
              <w:top w:val="nil"/>
              <w:left w:val="nil"/>
              <w:bottom w:val="nil"/>
              <w:right w:val="nil"/>
            </w:tcBorders>
            <w:shd w:val="clear" w:color="auto" w:fill="auto"/>
            <w:noWrap/>
            <w:vAlign w:val="center"/>
            <w:hideMark/>
          </w:tcPr>
          <w:p w14:paraId="27C2189A"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Outros </w:t>
            </w:r>
          </w:p>
        </w:tc>
        <w:tc>
          <w:tcPr>
            <w:tcW w:w="351" w:type="pct"/>
            <w:tcBorders>
              <w:top w:val="nil"/>
              <w:left w:val="nil"/>
              <w:bottom w:val="nil"/>
              <w:right w:val="nil"/>
            </w:tcBorders>
            <w:shd w:val="clear" w:color="auto" w:fill="auto"/>
            <w:noWrap/>
            <w:vAlign w:val="center"/>
            <w:hideMark/>
          </w:tcPr>
          <w:p w14:paraId="5C368F74" w14:textId="19032B97"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10</w:t>
            </w:r>
          </w:p>
        </w:tc>
        <w:tc>
          <w:tcPr>
            <w:tcW w:w="843" w:type="pct"/>
            <w:tcBorders>
              <w:top w:val="nil"/>
              <w:left w:val="nil"/>
              <w:bottom w:val="single" w:sz="4" w:space="0" w:color="1B80C4"/>
              <w:right w:val="nil"/>
            </w:tcBorders>
            <w:shd w:val="clear" w:color="auto" w:fill="auto"/>
            <w:noWrap/>
            <w:vAlign w:val="center"/>
            <w:hideMark/>
          </w:tcPr>
          <w:p w14:paraId="342A483B" w14:textId="05ABBCC9"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1.792.006</w:t>
            </w:r>
          </w:p>
        </w:tc>
        <w:tc>
          <w:tcPr>
            <w:tcW w:w="106" w:type="pct"/>
            <w:tcBorders>
              <w:top w:val="nil"/>
              <w:left w:val="nil"/>
              <w:bottom w:val="nil"/>
              <w:right w:val="nil"/>
            </w:tcBorders>
            <w:shd w:val="clear" w:color="auto" w:fill="auto"/>
            <w:noWrap/>
            <w:vAlign w:val="bottom"/>
            <w:hideMark/>
          </w:tcPr>
          <w:p w14:paraId="5521D946"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single" w:sz="4" w:space="0" w:color="1B80C4"/>
              <w:right w:val="nil"/>
            </w:tcBorders>
            <w:shd w:val="clear" w:color="auto" w:fill="auto"/>
            <w:noWrap/>
            <w:vAlign w:val="bottom"/>
            <w:hideMark/>
          </w:tcPr>
          <w:p w14:paraId="0E99241B" w14:textId="35582E05"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1.793.680</w:t>
            </w:r>
          </w:p>
        </w:tc>
      </w:tr>
      <w:tr w:rsidR="00CA0796" w:rsidRPr="00CA0796" w14:paraId="0B005952" w14:textId="77777777" w:rsidTr="00CA0796">
        <w:trPr>
          <w:trHeight w:val="240"/>
        </w:trPr>
        <w:tc>
          <w:tcPr>
            <w:tcW w:w="2888" w:type="pct"/>
            <w:tcBorders>
              <w:top w:val="nil"/>
              <w:left w:val="nil"/>
              <w:bottom w:val="nil"/>
              <w:right w:val="nil"/>
            </w:tcBorders>
            <w:shd w:val="clear" w:color="auto" w:fill="auto"/>
            <w:noWrap/>
            <w:vAlign w:val="center"/>
            <w:hideMark/>
          </w:tcPr>
          <w:p w14:paraId="4E4729F7" w14:textId="77777777" w:rsidR="00CA0796" w:rsidRPr="00CA0796" w:rsidRDefault="00CA0796" w:rsidP="00CA0796">
            <w:pPr>
              <w:spacing w:after="0" w:line="240" w:lineRule="auto"/>
              <w:rPr>
                <w:rFonts w:ascii="Segoe UI" w:eastAsia="Times New Roman" w:hAnsi="Segoe UI" w:cs="Segoe UI"/>
                <w:sz w:val="18"/>
                <w:szCs w:val="18"/>
                <w:lang w:eastAsia="pt-BR"/>
              </w:rPr>
            </w:pPr>
          </w:p>
        </w:tc>
        <w:tc>
          <w:tcPr>
            <w:tcW w:w="351" w:type="pct"/>
            <w:tcBorders>
              <w:top w:val="nil"/>
              <w:left w:val="nil"/>
              <w:bottom w:val="nil"/>
              <w:right w:val="nil"/>
            </w:tcBorders>
            <w:shd w:val="clear" w:color="auto" w:fill="auto"/>
            <w:noWrap/>
            <w:vAlign w:val="center"/>
            <w:hideMark/>
          </w:tcPr>
          <w:p w14:paraId="1B21DAD9"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43" w:type="pct"/>
            <w:tcBorders>
              <w:top w:val="nil"/>
              <w:left w:val="nil"/>
              <w:bottom w:val="nil"/>
              <w:right w:val="nil"/>
            </w:tcBorders>
            <w:shd w:val="clear" w:color="auto" w:fill="auto"/>
            <w:noWrap/>
            <w:vAlign w:val="bottom"/>
            <w:hideMark/>
          </w:tcPr>
          <w:p w14:paraId="7CD582CE" w14:textId="4123468C"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3.047.037</w:t>
            </w:r>
          </w:p>
        </w:tc>
        <w:tc>
          <w:tcPr>
            <w:tcW w:w="106" w:type="pct"/>
            <w:tcBorders>
              <w:top w:val="nil"/>
              <w:left w:val="nil"/>
              <w:bottom w:val="nil"/>
              <w:right w:val="nil"/>
            </w:tcBorders>
            <w:shd w:val="clear" w:color="auto" w:fill="auto"/>
            <w:noWrap/>
            <w:vAlign w:val="bottom"/>
            <w:hideMark/>
          </w:tcPr>
          <w:p w14:paraId="26082015"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11" w:type="pct"/>
            <w:tcBorders>
              <w:top w:val="nil"/>
              <w:left w:val="nil"/>
              <w:bottom w:val="nil"/>
              <w:right w:val="nil"/>
            </w:tcBorders>
            <w:shd w:val="clear" w:color="auto" w:fill="auto"/>
            <w:noWrap/>
            <w:vAlign w:val="bottom"/>
            <w:hideMark/>
          </w:tcPr>
          <w:p w14:paraId="20C39A3A" w14:textId="19711F73"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13.261.087</w:t>
            </w:r>
          </w:p>
        </w:tc>
      </w:tr>
      <w:tr w:rsidR="00CA0796" w:rsidRPr="00CA0796" w14:paraId="442F6B86" w14:textId="77777777" w:rsidTr="00CA0796">
        <w:trPr>
          <w:trHeight w:val="240"/>
        </w:trPr>
        <w:tc>
          <w:tcPr>
            <w:tcW w:w="2888" w:type="pct"/>
            <w:tcBorders>
              <w:top w:val="nil"/>
              <w:left w:val="nil"/>
              <w:bottom w:val="nil"/>
              <w:right w:val="nil"/>
            </w:tcBorders>
            <w:shd w:val="clear" w:color="auto" w:fill="auto"/>
            <w:noWrap/>
            <w:vAlign w:val="center"/>
            <w:hideMark/>
          </w:tcPr>
          <w:p w14:paraId="276F65BF" w14:textId="77777777" w:rsidR="00CA0796" w:rsidRPr="00CA0796" w:rsidRDefault="00CA0796" w:rsidP="00CA0796">
            <w:pPr>
              <w:spacing w:after="0" w:line="240" w:lineRule="auto"/>
              <w:jc w:val="center"/>
              <w:rPr>
                <w:rFonts w:ascii="Segoe UI" w:eastAsia="Times New Roman" w:hAnsi="Segoe UI" w:cs="Segoe UI"/>
                <w:b/>
                <w:bCs/>
                <w:sz w:val="18"/>
                <w:szCs w:val="18"/>
                <w:lang w:eastAsia="pt-BR"/>
              </w:rPr>
            </w:pPr>
          </w:p>
        </w:tc>
        <w:tc>
          <w:tcPr>
            <w:tcW w:w="351" w:type="pct"/>
            <w:tcBorders>
              <w:top w:val="nil"/>
              <w:left w:val="nil"/>
              <w:bottom w:val="nil"/>
              <w:right w:val="nil"/>
            </w:tcBorders>
            <w:shd w:val="clear" w:color="auto" w:fill="auto"/>
            <w:noWrap/>
            <w:vAlign w:val="center"/>
            <w:hideMark/>
          </w:tcPr>
          <w:p w14:paraId="779F2ABF"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43" w:type="pct"/>
            <w:tcBorders>
              <w:top w:val="nil"/>
              <w:left w:val="nil"/>
              <w:bottom w:val="nil"/>
              <w:right w:val="nil"/>
            </w:tcBorders>
            <w:shd w:val="clear" w:color="auto" w:fill="auto"/>
            <w:noWrap/>
            <w:vAlign w:val="bottom"/>
            <w:hideMark/>
          </w:tcPr>
          <w:p w14:paraId="3037E3D7"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106" w:type="pct"/>
            <w:tcBorders>
              <w:top w:val="nil"/>
              <w:left w:val="nil"/>
              <w:bottom w:val="nil"/>
              <w:right w:val="nil"/>
            </w:tcBorders>
            <w:shd w:val="clear" w:color="auto" w:fill="auto"/>
            <w:noWrap/>
            <w:vAlign w:val="bottom"/>
            <w:hideMark/>
          </w:tcPr>
          <w:p w14:paraId="6B2C6BB8"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11" w:type="pct"/>
            <w:tcBorders>
              <w:top w:val="nil"/>
              <w:left w:val="nil"/>
              <w:bottom w:val="nil"/>
              <w:right w:val="nil"/>
            </w:tcBorders>
            <w:shd w:val="clear" w:color="auto" w:fill="auto"/>
            <w:noWrap/>
            <w:vAlign w:val="center"/>
            <w:hideMark/>
          </w:tcPr>
          <w:p w14:paraId="222D7006"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r>
      <w:tr w:rsidR="00CA0796" w:rsidRPr="00CA0796" w14:paraId="3534FF78" w14:textId="77777777" w:rsidTr="00CA0796">
        <w:trPr>
          <w:trHeight w:val="240"/>
        </w:trPr>
        <w:tc>
          <w:tcPr>
            <w:tcW w:w="2888" w:type="pct"/>
            <w:tcBorders>
              <w:top w:val="nil"/>
              <w:left w:val="nil"/>
              <w:bottom w:val="nil"/>
              <w:right w:val="nil"/>
            </w:tcBorders>
            <w:shd w:val="clear" w:color="auto" w:fill="auto"/>
            <w:noWrap/>
            <w:vAlign w:val="center"/>
            <w:hideMark/>
          </w:tcPr>
          <w:p w14:paraId="6A3CC93F" w14:textId="77777777" w:rsidR="00CA0796" w:rsidRPr="00CA0796" w:rsidRDefault="00CA0796" w:rsidP="00CA0796">
            <w:pPr>
              <w:spacing w:after="0" w:line="240" w:lineRule="auto"/>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 xml:space="preserve"> PATRIMÔNIO LÍQUIDO </w:t>
            </w:r>
          </w:p>
        </w:tc>
        <w:tc>
          <w:tcPr>
            <w:tcW w:w="351" w:type="pct"/>
            <w:tcBorders>
              <w:top w:val="nil"/>
              <w:left w:val="nil"/>
              <w:bottom w:val="nil"/>
              <w:right w:val="nil"/>
            </w:tcBorders>
            <w:shd w:val="clear" w:color="auto" w:fill="auto"/>
            <w:noWrap/>
            <w:vAlign w:val="center"/>
            <w:hideMark/>
          </w:tcPr>
          <w:p w14:paraId="3901605C"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43" w:type="pct"/>
            <w:tcBorders>
              <w:top w:val="nil"/>
              <w:left w:val="nil"/>
              <w:bottom w:val="nil"/>
              <w:right w:val="nil"/>
            </w:tcBorders>
            <w:shd w:val="clear" w:color="auto" w:fill="auto"/>
            <w:noWrap/>
            <w:vAlign w:val="bottom"/>
            <w:hideMark/>
          </w:tcPr>
          <w:p w14:paraId="04DA8789"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106" w:type="pct"/>
            <w:tcBorders>
              <w:top w:val="nil"/>
              <w:left w:val="nil"/>
              <w:bottom w:val="nil"/>
              <w:right w:val="nil"/>
            </w:tcBorders>
            <w:shd w:val="clear" w:color="auto" w:fill="auto"/>
            <w:noWrap/>
            <w:vAlign w:val="bottom"/>
            <w:hideMark/>
          </w:tcPr>
          <w:p w14:paraId="4E8E4BA4"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11" w:type="pct"/>
            <w:tcBorders>
              <w:top w:val="nil"/>
              <w:left w:val="nil"/>
              <w:bottom w:val="nil"/>
              <w:right w:val="nil"/>
            </w:tcBorders>
            <w:shd w:val="clear" w:color="auto" w:fill="auto"/>
            <w:noWrap/>
            <w:vAlign w:val="center"/>
            <w:hideMark/>
          </w:tcPr>
          <w:p w14:paraId="43F8A73F"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r>
      <w:tr w:rsidR="00CA0796" w:rsidRPr="00CA0796" w14:paraId="47D1BB7D" w14:textId="77777777" w:rsidTr="00CA0796">
        <w:trPr>
          <w:trHeight w:val="240"/>
        </w:trPr>
        <w:tc>
          <w:tcPr>
            <w:tcW w:w="2888" w:type="pct"/>
            <w:tcBorders>
              <w:top w:val="nil"/>
              <w:left w:val="nil"/>
              <w:bottom w:val="nil"/>
              <w:right w:val="nil"/>
            </w:tcBorders>
            <w:shd w:val="clear" w:color="auto" w:fill="auto"/>
            <w:noWrap/>
            <w:vAlign w:val="center"/>
            <w:hideMark/>
          </w:tcPr>
          <w:p w14:paraId="4D39616E"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Capital social </w:t>
            </w:r>
          </w:p>
        </w:tc>
        <w:tc>
          <w:tcPr>
            <w:tcW w:w="351" w:type="pct"/>
            <w:tcBorders>
              <w:top w:val="nil"/>
              <w:left w:val="nil"/>
              <w:bottom w:val="nil"/>
              <w:right w:val="nil"/>
            </w:tcBorders>
            <w:shd w:val="clear" w:color="auto" w:fill="auto"/>
            <w:noWrap/>
            <w:vAlign w:val="center"/>
            <w:hideMark/>
          </w:tcPr>
          <w:p w14:paraId="2D5B93B3" w14:textId="13E7327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23</w:t>
            </w:r>
          </w:p>
        </w:tc>
        <w:tc>
          <w:tcPr>
            <w:tcW w:w="843" w:type="pct"/>
            <w:tcBorders>
              <w:top w:val="nil"/>
              <w:left w:val="nil"/>
              <w:bottom w:val="nil"/>
              <w:right w:val="nil"/>
            </w:tcBorders>
            <w:shd w:val="clear" w:color="auto" w:fill="auto"/>
            <w:noWrap/>
            <w:vAlign w:val="center"/>
            <w:hideMark/>
          </w:tcPr>
          <w:p w14:paraId="2D3E1298" w14:textId="5A44D3C2"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6.323.492</w:t>
            </w:r>
          </w:p>
        </w:tc>
        <w:tc>
          <w:tcPr>
            <w:tcW w:w="106" w:type="pct"/>
            <w:tcBorders>
              <w:top w:val="nil"/>
              <w:left w:val="nil"/>
              <w:bottom w:val="nil"/>
              <w:right w:val="nil"/>
            </w:tcBorders>
            <w:shd w:val="clear" w:color="auto" w:fill="auto"/>
            <w:noWrap/>
            <w:vAlign w:val="bottom"/>
            <w:hideMark/>
          </w:tcPr>
          <w:p w14:paraId="415C1F85"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0632040B" w14:textId="3983AA29"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6.323.492</w:t>
            </w:r>
          </w:p>
        </w:tc>
      </w:tr>
      <w:tr w:rsidR="00CA0796" w:rsidRPr="00CA0796" w14:paraId="6EAB43FD" w14:textId="77777777" w:rsidTr="00CA0796">
        <w:trPr>
          <w:trHeight w:val="240"/>
        </w:trPr>
        <w:tc>
          <w:tcPr>
            <w:tcW w:w="2888" w:type="pct"/>
            <w:tcBorders>
              <w:top w:val="nil"/>
              <w:left w:val="nil"/>
              <w:bottom w:val="nil"/>
              <w:right w:val="nil"/>
            </w:tcBorders>
            <w:shd w:val="clear" w:color="auto" w:fill="auto"/>
            <w:noWrap/>
            <w:vAlign w:val="center"/>
            <w:hideMark/>
          </w:tcPr>
          <w:p w14:paraId="54128BAB"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Reservas </w:t>
            </w:r>
          </w:p>
        </w:tc>
        <w:tc>
          <w:tcPr>
            <w:tcW w:w="351" w:type="pct"/>
            <w:tcBorders>
              <w:top w:val="nil"/>
              <w:left w:val="nil"/>
              <w:bottom w:val="nil"/>
              <w:right w:val="nil"/>
            </w:tcBorders>
            <w:shd w:val="clear" w:color="auto" w:fill="auto"/>
            <w:noWrap/>
            <w:vAlign w:val="center"/>
            <w:hideMark/>
          </w:tcPr>
          <w:p w14:paraId="6684F01E" w14:textId="3896755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23</w:t>
            </w:r>
          </w:p>
        </w:tc>
        <w:tc>
          <w:tcPr>
            <w:tcW w:w="843" w:type="pct"/>
            <w:tcBorders>
              <w:top w:val="nil"/>
              <w:left w:val="nil"/>
              <w:bottom w:val="nil"/>
              <w:right w:val="nil"/>
            </w:tcBorders>
            <w:shd w:val="clear" w:color="auto" w:fill="auto"/>
            <w:noWrap/>
            <w:vAlign w:val="center"/>
            <w:hideMark/>
          </w:tcPr>
          <w:p w14:paraId="14FC964D" w14:textId="5AA30009"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80.745</w:t>
            </w:r>
          </w:p>
        </w:tc>
        <w:tc>
          <w:tcPr>
            <w:tcW w:w="106" w:type="pct"/>
            <w:tcBorders>
              <w:top w:val="nil"/>
              <w:left w:val="nil"/>
              <w:bottom w:val="nil"/>
              <w:right w:val="nil"/>
            </w:tcBorders>
            <w:shd w:val="clear" w:color="auto" w:fill="auto"/>
            <w:noWrap/>
            <w:vAlign w:val="bottom"/>
            <w:hideMark/>
          </w:tcPr>
          <w:p w14:paraId="391ED4ED"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bottom"/>
            <w:hideMark/>
          </w:tcPr>
          <w:p w14:paraId="6EDB507A" w14:textId="7ECE29B8"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80.745</w:t>
            </w:r>
          </w:p>
        </w:tc>
      </w:tr>
      <w:tr w:rsidR="00CA0796" w:rsidRPr="00CA0796" w14:paraId="0AEB144B" w14:textId="77777777" w:rsidTr="00CA0796">
        <w:trPr>
          <w:trHeight w:val="240"/>
        </w:trPr>
        <w:tc>
          <w:tcPr>
            <w:tcW w:w="2888" w:type="pct"/>
            <w:tcBorders>
              <w:top w:val="nil"/>
              <w:left w:val="nil"/>
              <w:bottom w:val="nil"/>
              <w:right w:val="nil"/>
            </w:tcBorders>
            <w:shd w:val="clear" w:color="auto" w:fill="auto"/>
            <w:noWrap/>
            <w:vAlign w:val="center"/>
            <w:hideMark/>
          </w:tcPr>
          <w:p w14:paraId="3B5C41DD" w14:textId="77777777" w:rsidR="00CA0796" w:rsidRPr="00CA0796" w:rsidRDefault="00CA0796" w:rsidP="00CA0796">
            <w:pPr>
              <w:spacing w:after="0" w:line="240" w:lineRule="auto"/>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 xml:space="preserve"> Ajustes de avaliação patrimonial </w:t>
            </w:r>
          </w:p>
        </w:tc>
        <w:tc>
          <w:tcPr>
            <w:tcW w:w="351" w:type="pct"/>
            <w:tcBorders>
              <w:top w:val="nil"/>
              <w:left w:val="nil"/>
              <w:bottom w:val="nil"/>
              <w:right w:val="nil"/>
            </w:tcBorders>
            <w:shd w:val="clear" w:color="auto" w:fill="auto"/>
            <w:noWrap/>
            <w:vAlign w:val="center"/>
            <w:hideMark/>
          </w:tcPr>
          <w:p w14:paraId="5D5785FD"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43" w:type="pct"/>
            <w:tcBorders>
              <w:top w:val="nil"/>
              <w:left w:val="nil"/>
              <w:bottom w:val="single" w:sz="4" w:space="0" w:color="1B80C4"/>
              <w:right w:val="nil"/>
            </w:tcBorders>
            <w:shd w:val="clear" w:color="auto" w:fill="auto"/>
            <w:noWrap/>
            <w:vAlign w:val="center"/>
            <w:hideMark/>
          </w:tcPr>
          <w:p w14:paraId="01BC186D" w14:textId="690F00EA"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315.892</w:t>
            </w:r>
          </w:p>
        </w:tc>
        <w:tc>
          <w:tcPr>
            <w:tcW w:w="106" w:type="pct"/>
            <w:tcBorders>
              <w:top w:val="nil"/>
              <w:left w:val="nil"/>
              <w:bottom w:val="nil"/>
              <w:right w:val="nil"/>
            </w:tcBorders>
            <w:shd w:val="clear" w:color="auto" w:fill="auto"/>
            <w:noWrap/>
            <w:vAlign w:val="bottom"/>
            <w:hideMark/>
          </w:tcPr>
          <w:p w14:paraId="2801B516"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single" w:sz="4" w:space="0" w:color="1B80C4"/>
              <w:right w:val="nil"/>
            </w:tcBorders>
            <w:shd w:val="clear" w:color="auto" w:fill="auto"/>
            <w:noWrap/>
            <w:vAlign w:val="bottom"/>
            <w:hideMark/>
          </w:tcPr>
          <w:p w14:paraId="648CDC44" w14:textId="363C0D89"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315.892</w:t>
            </w:r>
          </w:p>
        </w:tc>
      </w:tr>
      <w:tr w:rsidR="00CA0796" w:rsidRPr="00CA0796" w14:paraId="6519695C" w14:textId="77777777" w:rsidTr="00CA0796">
        <w:trPr>
          <w:trHeight w:val="240"/>
        </w:trPr>
        <w:tc>
          <w:tcPr>
            <w:tcW w:w="2888" w:type="pct"/>
            <w:tcBorders>
              <w:top w:val="nil"/>
              <w:left w:val="nil"/>
              <w:bottom w:val="nil"/>
              <w:right w:val="nil"/>
            </w:tcBorders>
            <w:shd w:val="clear" w:color="auto" w:fill="auto"/>
            <w:noWrap/>
            <w:vAlign w:val="center"/>
            <w:hideMark/>
          </w:tcPr>
          <w:p w14:paraId="777630D3" w14:textId="77777777" w:rsidR="00CA0796" w:rsidRPr="00CA0796" w:rsidRDefault="00CA0796" w:rsidP="00CA0796">
            <w:pPr>
              <w:spacing w:after="0" w:line="240" w:lineRule="auto"/>
              <w:rPr>
                <w:rFonts w:ascii="Segoe UI" w:eastAsia="Times New Roman" w:hAnsi="Segoe UI" w:cs="Segoe UI"/>
                <w:sz w:val="18"/>
                <w:szCs w:val="18"/>
                <w:lang w:eastAsia="pt-BR"/>
              </w:rPr>
            </w:pPr>
          </w:p>
        </w:tc>
        <w:tc>
          <w:tcPr>
            <w:tcW w:w="351" w:type="pct"/>
            <w:tcBorders>
              <w:top w:val="nil"/>
              <w:left w:val="nil"/>
              <w:bottom w:val="nil"/>
              <w:right w:val="nil"/>
            </w:tcBorders>
            <w:shd w:val="clear" w:color="auto" w:fill="auto"/>
            <w:noWrap/>
            <w:vAlign w:val="center"/>
            <w:hideMark/>
          </w:tcPr>
          <w:p w14:paraId="0C3BF59B"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43" w:type="pct"/>
            <w:tcBorders>
              <w:top w:val="nil"/>
              <w:left w:val="nil"/>
              <w:bottom w:val="nil"/>
              <w:right w:val="nil"/>
            </w:tcBorders>
            <w:shd w:val="clear" w:color="auto" w:fill="auto"/>
            <w:noWrap/>
            <w:vAlign w:val="bottom"/>
            <w:hideMark/>
          </w:tcPr>
          <w:p w14:paraId="734A04F6" w14:textId="64EB78CB"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6.720.129</w:t>
            </w:r>
          </w:p>
        </w:tc>
        <w:tc>
          <w:tcPr>
            <w:tcW w:w="106" w:type="pct"/>
            <w:tcBorders>
              <w:top w:val="nil"/>
              <w:left w:val="nil"/>
              <w:bottom w:val="nil"/>
              <w:right w:val="nil"/>
            </w:tcBorders>
            <w:shd w:val="clear" w:color="auto" w:fill="auto"/>
            <w:noWrap/>
            <w:vAlign w:val="bottom"/>
            <w:hideMark/>
          </w:tcPr>
          <w:p w14:paraId="79AD4068"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11" w:type="pct"/>
            <w:tcBorders>
              <w:top w:val="nil"/>
              <w:left w:val="nil"/>
              <w:bottom w:val="nil"/>
              <w:right w:val="nil"/>
            </w:tcBorders>
            <w:shd w:val="clear" w:color="auto" w:fill="auto"/>
            <w:noWrap/>
            <w:vAlign w:val="bottom"/>
            <w:hideMark/>
          </w:tcPr>
          <w:p w14:paraId="068CDD7B" w14:textId="63D51DDD"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6.720.129</w:t>
            </w:r>
          </w:p>
        </w:tc>
      </w:tr>
      <w:tr w:rsidR="00CA0796" w:rsidRPr="00CA0796" w14:paraId="00BACB8C" w14:textId="77777777" w:rsidTr="00CA0796">
        <w:trPr>
          <w:trHeight w:val="240"/>
        </w:trPr>
        <w:tc>
          <w:tcPr>
            <w:tcW w:w="2888" w:type="pct"/>
            <w:tcBorders>
              <w:top w:val="nil"/>
              <w:left w:val="nil"/>
              <w:bottom w:val="nil"/>
              <w:right w:val="nil"/>
            </w:tcBorders>
            <w:shd w:val="clear" w:color="auto" w:fill="auto"/>
            <w:noWrap/>
            <w:vAlign w:val="center"/>
            <w:hideMark/>
          </w:tcPr>
          <w:p w14:paraId="1AEBD8AC" w14:textId="77777777" w:rsidR="00CA0796" w:rsidRPr="00CA0796" w:rsidRDefault="00CA0796" w:rsidP="00CA0796">
            <w:pPr>
              <w:spacing w:after="0" w:line="240" w:lineRule="auto"/>
              <w:jc w:val="center"/>
              <w:rPr>
                <w:rFonts w:ascii="Segoe UI" w:eastAsia="Times New Roman" w:hAnsi="Segoe UI" w:cs="Segoe UI"/>
                <w:b/>
                <w:bCs/>
                <w:sz w:val="18"/>
                <w:szCs w:val="18"/>
                <w:lang w:eastAsia="pt-BR"/>
              </w:rPr>
            </w:pPr>
          </w:p>
        </w:tc>
        <w:tc>
          <w:tcPr>
            <w:tcW w:w="351" w:type="pct"/>
            <w:tcBorders>
              <w:top w:val="nil"/>
              <w:left w:val="nil"/>
              <w:bottom w:val="nil"/>
              <w:right w:val="nil"/>
            </w:tcBorders>
            <w:shd w:val="clear" w:color="auto" w:fill="auto"/>
            <w:noWrap/>
            <w:vAlign w:val="center"/>
            <w:hideMark/>
          </w:tcPr>
          <w:p w14:paraId="64E407B0"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43" w:type="pct"/>
            <w:tcBorders>
              <w:top w:val="nil"/>
              <w:left w:val="nil"/>
              <w:bottom w:val="nil"/>
              <w:right w:val="nil"/>
            </w:tcBorders>
            <w:shd w:val="clear" w:color="auto" w:fill="auto"/>
            <w:noWrap/>
            <w:vAlign w:val="bottom"/>
            <w:hideMark/>
          </w:tcPr>
          <w:p w14:paraId="1B07D689"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106" w:type="pct"/>
            <w:tcBorders>
              <w:top w:val="nil"/>
              <w:left w:val="nil"/>
              <w:bottom w:val="nil"/>
              <w:right w:val="nil"/>
            </w:tcBorders>
            <w:shd w:val="clear" w:color="auto" w:fill="auto"/>
            <w:noWrap/>
            <w:vAlign w:val="bottom"/>
            <w:hideMark/>
          </w:tcPr>
          <w:p w14:paraId="16BE1951"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11" w:type="pct"/>
            <w:tcBorders>
              <w:top w:val="nil"/>
              <w:left w:val="nil"/>
              <w:bottom w:val="nil"/>
              <w:right w:val="nil"/>
            </w:tcBorders>
            <w:shd w:val="clear" w:color="auto" w:fill="auto"/>
            <w:noWrap/>
            <w:vAlign w:val="center"/>
            <w:hideMark/>
          </w:tcPr>
          <w:p w14:paraId="15DE0036"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r>
      <w:tr w:rsidR="00CA0796" w:rsidRPr="00CA0796" w14:paraId="0C27C0B3" w14:textId="77777777" w:rsidTr="00CA0796">
        <w:trPr>
          <w:trHeight w:val="240"/>
        </w:trPr>
        <w:tc>
          <w:tcPr>
            <w:tcW w:w="2888" w:type="pct"/>
            <w:tcBorders>
              <w:top w:val="nil"/>
              <w:left w:val="nil"/>
              <w:bottom w:val="nil"/>
              <w:right w:val="nil"/>
            </w:tcBorders>
            <w:shd w:val="clear" w:color="auto" w:fill="auto"/>
            <w:noWrap/>
            <w:vAlign w:val="center"/>
            <w:hideMark/>
          </w:tcPr>
          <w:p w14:paraId="191F689E" w14:textId="77777777" w:rsidR="00CA0796" w:rsidRPr="00CA0796" w:rsidRDefault="00CA0796" w:rsidP="00CA0796">
            <w:pPr>
              <w:spacing w:after="0" w:line="240" w:lineRule="auto"/>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 xml:space="preserve"> Participação de acionistas não controladores </w:t>
            </w:r>
          </w:p>
        </w:tc>
        <w:tc>
          <w:tcPr>
            <w:tcW w:w="351" w:type="pct"/>
            <w:tcBorders>
              <w:top w:val="nil"/>
              <w:left w:val="nil"/>
              <w:bottom w:val="nil"/>
              <w:right w:val="nil"/>
            </w:tcBorders>
            <w:shd w:val="clear" w:color="auto" w:fill="auto"/>
            <w:noWrap/>
            <w:vAlign w:val="center"/>
            <w:hideMark/>
          </w:tcPr>
          <w:p w14:paraId="64FD3610"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43" w:type="pct"/>
            <w:tcBorders>
              <w:top w:val="nil"/>
              <w:left w:val="nil"/>
              <w:bottom w:val="nil"/>
              <w:right w:val="nil"/>
            </w:tcBorders>
            <w:shd w:val="clear" w:color="auto" w:fill="auto"/>
            <w:noWrap/>
            <w:vAlign w:val="center"/>
            <w:hideMark/>
          </w:tcPr>
          <w:p w14:paraId="610FDFC9" w14:textId="6E75BE7E"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w:t>
            </w:r>
          </w:p>
        </w:tc>
        <w:tc>
          <w:tcPr>
            <w:tcW w:w="106" w:type="pct"/>
            <w:tcBorders>
              <w:top w:val="nil"/>
              <w:left w:val="nil"/>
              <w:bottom w:val="nil"/>
              <w:right w:val="nil"/>
            </w:tcBorders>
            <w:shd w:val="clear" w:color="auto" w:fill="auto"/>
            <w:noWrap/>
            <w:vAlign w:val="bottom"/>
            <w:hideMark/>
          </w:tcPr>
          <w:p w14:paraId="39090D9E" w14:textId="77777777" w:rsidR="00CA0796" w:rsidRPr="00CA0796" w:rsidRDefault="00CA0796" w:rsidP="00CA0796">
            <w:pPr>
              <w:spacing w:after="0" w:line="240" w:lineRule="auto"/>
              <w:jc w:val="right"/>
              <w:rPr>
                <w:rFonts w:ascii="Segoe UI" w:eastAsia="Times New Roman" w:hAnsi="Segoe UI" w:cs="Segoe UI"/>
                <w:sz w:val="18"/>
                <w:szCs w:val="18"/>
                <w:lang w:eastAsia="pt-BR"/>
              </w:rPr>
            </w:pPr>
          </w:p>
        </w:tc>
        <w:tc>
          <w:tcPr>
            <w:tcW w:w="811" w:type="pct"/>
            <w:tcBorders>
              <w:top w:val="nil"/>
              <w:left w:val="nil"/>
              <w:bottom w:val="nil"/>
              <w:right w:val="nil"/>
            </w:tcBorders>
            <w:shd w:val="clear" w:color="auto" w:fill="auto"/>
            <w:noWrap/>
            <w:vAlign w:val="center"/>
            <w:hideMark/>
          </w:tcPr>
          <w:p w14:paraId="2B5C39F2" w14:textId="3FA454EB" w:rsidR="00CA0796" w:rsidRPr="00CA0796" w:rsidRDefault="00CA0796" w:rsidP="00CA0796">
            <w:pPr>
              <w:spacing w:after="0" w:line="240" w:lineRule="auto"/>
              <w:jc w:val="right"/>
              <w:rPr>
                <w:rFonts w:ascii="Segoe UI" w:eastAsia="Times New Roman" w:hAnsi="Segoe UI" w:cs="Segoe UI"/>
                <w:sz w:val="18"/>
                <w:szCs w:val="18"/>
                <w:lang w:eastAsia="pt-BR"/>
              </w:rPr>
            </w:pPr>
            <w:r w:rsidRPr="00CA0796">
              <w:rPr>
                <w:rFonts w:ascii="Segoe UI" w:eastAsia="Times New Roman" w:hAnsi="Segoe UI" w:cs="Segoe UI"/>
                <w:sz w:val="18"/>
                <w:szCs w:val="18"/>
                <w:lang w:eastAsia="pt-BR"/>
              </w:rPr>
              <w:t>6.998.564</w:t>
            </w:r>
          </w:p>
        </w:tc>
      </w:tr>
      <w:tr w:rsidR="00CA0796" w:rsidRPr="00CA0796" w14:paraId="10F5F1C3" w14:textId="77777777" w:rsidTr="00CA0796">
        <w:trPr>
          <w:trHeight w:val="240"/>
        </w:trPr>
        <w:tc>
          <w:tcPr>
            <w:tcW w:w="2888" w:type="pct"/>
            <w:tcBorders>
              <w:top w:val="nil"/>
              <w:left w:val="nil"/>
              <w:bottom w:val="nil"/>
              <w:right w:val="nil"/>
            </w:tcBorders>
            <w:shd w:val="clear" w:color="auto" w:fill="auto"/>
            <w:noWrap/>
            <w:vAlign w:val="center"/>
            <w:hideMark/>
          </w:tcPr>
          <w:p w14:paraId="6C1846F3" w14:textId="77777777" w:rsidR="00CA0796" w:rsidRPr="00CA0796" w:rsidRDefault="00CA0796" w:rsidP="00CA0796">
            <w:pPr>
              <w:spacing w:after="0" w:line="240" w:lineRule="auto"/>
              <w:rPr>
                <w:rFonts w:ascii="Segoe UI" w:eastAsia="Times New Roman" w:hAnsi="Segoe UI" w:cs="Segoe UI"/>
                <w:sz w:val="18"/>
                <w:szCs w:val="18"/>
                <w:lang w:eastAsia="pt-BR"/>
              </w:rPr>
            </w:pPr>
          </w:p>
        </w:tc>
        <w:tc>
          <w:tcPr>
            <w:tcW w:w="351" w:type="pct"/>
            <w:tcBorders>
              <w:top w:val="nil"/>
              <w:left w:val="nil"/>
              <w:bottom w:val="nil"/>
              <w:right w:val="nil"/>
            </w:tcBorders>
            <w:shd w:val="clear" w:color="auto" w:fill="auto"/>
            <w:noWrap/>
            <w:vAlign w:val="center"/>
            <w:hideMark/>
          </w:tcPr>
          <w:p w14:paraId="7A66D3C2"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43" w:type="pct"/>
            <w:tcBorders>
              <w:top w:val="nil"/>
              <w:left w:val="nil"/>
              <w:bottom w:val="nil"/>
              <w:right w:val="nil"/>
            </w:tcBorders>
            <w:shd w:val="clear" w:color="auto" w:fill="auto"/>
            <w:noWrap/>
            <w:vAlign w:val="bottom"/>
            <w:hideMark/>
          </w:tcPr>
          <w:p w14:paraId="55D6A081"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106" w:type="pct"/>
            <w:tcBorders>
              <w:top w:val="nil"/>
              <w:left w:val="nil"/>
              <w:bottom w:val="nil"/>
              <w:right w:val="nil"/>
            </w:tcBorders>
            <w:shd w:val="clear" w:color="auto" w:fill="auto"/>
            <w:noWrap/>
            <w:vAlign w:val="bottom"/>
            <w:hideMark/>
          </w:tcPr>
          <w:p w14:paraId="25D8456A"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c>
          <w:tcPr>
            <w:tcW w:w="811" w:type="pct"/>
            <w:tcBorders>
              <w:top w:val="nil"/>
              <w:left w:val="nil"/>
              <w:bottom w:val="nil"/>
              <w:right w:val="nil"/>
            </w:tcBorders>
            <w:shd w:val="clear" w:color="auto" w:fill="auto"/>
            <w:noWrap/>
            <w:vAlign w:val="center"/>
            <w:hideMark/>
          </w:tcPr>
          <w:p w14:paraId="74EBB119" w14:textId="77777777" w:rsidR="00CA0796" w:rsidRPr="00CA0796" w:rsidRDefault="00CA0796" w:rsidP="00CA0796">
            <w:pPr>
              <w:spacing w:after="0" w:line="240" w:lineRule="auto"/>
              <w:jc w:val="right"/>
              <w:rPr>
                <w:rFonts w:ascii="Times New Roman" w:eastAsia="Times New Roman" w:hAnsi="Times New Roman" w:cs="Times New Roman"/>
                <w:sz w:val="20"/>
                <w:szCs w:val="20"/>
                <w:lang w:eastAsia="pt-BR"/>
              </w:rPr>
            </w:pPr>
          </w:p>
        </w:tc>
      </w:tr>
      <w:tr w:rsidR="00CA0796" w:rsidRPr="00CA0796" w14:paraId="6177179A" w14:textId="77777777" w:rsidTr="00CA0796">
        <w:trPr>
          <w:trHeight w:val="255"/>
        </w:trPr>
        <w:tc>
          <w:tcPr>
            <w:tcW w:w="2888" w:type="pct"/>
            <w:tcBorders>
              <w:top w:val="nil"/>
              <w:left w:val="nil"/>
              <w:bottom w:val="nil"/>
              <w:right w:val="nil"/>
            </w:tcBorders>
            <w:shd w:val="clear" w:color="auto" w:fill="auto"/>
            <w:noWrap/>
            <w:vAlign w:val="center"/>
            <w:hideMark/>
          </w:tcPr>
          <w:p w14:paraId="46488C0C" w14:textId="77777777" w:rsidR="00CA0796" w:rsidRPr="00CA0796" w:rsidRDefault="00CA0796" w:rsidP="00CA0796">
            <w:pPr>
              <w:spacing w:after="0" w:line="240" w:lineRule="auto"/>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 xml:space="preserve"> TOTAL DO PASSIVO E DO PATRIMÔNIO LÍQUIDO </w:t>
            </w:r>
          </w:p>
        </w:tc>
        <w:tc>
          <w:tcPr>
            <w:tcW w:w="351" w:type="pct"/>
            <w:tcBorders>
              <w:top w:val="nil"/>
              <w:left w:val="nil"/>
              <w:bottom w:val="nil"/>
              <w:right w:val="nil"/>
            </w:tcBorders>
            <w:shd w:val="clear" w:color="auto" w:fill="auto"/>
            <w:noWrap/>
            <w:vAlign w:val="center"/>
            <w:hideMark/>
          </w:tcPr>
          <w:p w14:paraId="683189C4"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43" w:type="pct"/>
            <w:tcBorders>
              <w:top w:val="single" w:sz="4" w:space="0" w:color="1B80C4"/>
              <w:left w:val="nil"/>
              <w:bottom w:val="double" w:sz="6" w:space="0" w:color="1B80C4"/>
              <w:right w:val="nil"/>
            </w:tcBorders>
            <w:shd w:val="clear" w:color="auto" w:fill="auto"/>
            <w:noWrap/>
            <w:vAlign w:val="bottom"/>
            <w:hideMark/>
          </w:tcPr>
          <w:p w14:paraId="4F7F0323" w14:textId="6D61F749"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14.727.103</w:t>
            </w:r>
          </w:p>
        </w:tc>
        <w:tc>
          <w:tcPr>
            <w:tcW w:w="106" w:type="pct"/>
            <w:tcBorders>
              <w:top w:val="nil"/>
              <w:left w:val="nil"/>
              <w:bottom w:val="nil"/>
              <w:right w:val="nil"/>
            </w:tcBorders>
            <w:shd w:val="clear" w:color="auto" w:fill="auto"/>
            <w:noWrap/>
            <w:vAlign w:val="bottom"/>
            <w:hideMark/>
          </w:tcPr>
          <w:p w14:paraId="56A834DF" w14:textId="77777777" w:rsidR="00CA0796" w:rsidRPr="00CA0796" w:rsidRDefault="00CA0796" w:rsidP="00CA0796">
            <w:pPr>
              <w:spacing w:after="0" w:line="240" w:lineRule="auto"/>
              <w:jc w:val="right"/>
              <w:rPr>
                <w:rFonts w:ascii="Segoe UI" w:eastAsia="Times New Roman" w:hAnsi="Segoe UI" w:cs="Segoe UI"/>
                <w:b/>
                <w:bCs/>
                <w:sz w:val="18"/>
                <w:szCs w:val="18"/>
                <w:lang w:eastAsia="pt-BR"/>
              </w:rPr>
            </w:pPr>
          </w:p>
        </w:tc>
        <w:tc>
          <w:tcPr>
            <w:tcW w:w="811" w:type="pct"/>
            <w:tcBorders>
              <w:top w:val="single" w:sz="4" w:space="0" w:color="1B80C4"/>
              <w:left w:val="nil"/>
              <w:bottom w:val="double" w:sz="6" w:space="0" w:color="1B80C4"/>
              <w:right w:val="nil"/>
            </w:tcBorders>
            <w:shd w:val="clear" w:color="auto" w:fill="auto"/>
            <w:noWrap/>
            <w:vAlign w:val="bottom"/>
            <w:hideMark/>
          </w:tcPr>
          <w:p w14:paraId="0E014314" w14:textId="1B2043E2" w:rsidR="00CA0796" w:rsidRPr="00CA0796" w:rsidRDefault="00CA0796" w:rsidP="00CA0796">
            <w:pPr>
              <w:spacing w:after="0" w:line="240" w:lineRule="auto"/>
              <w:jc w:val="right"/>
              <w:rPr>
                <w:rFonts w:ascii="Segoe UI" w:eastAsia="Times New Roman" w:hAnsi="Segoe UI" w:cs="Segoe UI"/>
                <w:b/>
                <w:bCs/>
                <w:sz w:val="18"/>
                <w:szCs w:val="18"/>
                <w:lang w:eastAsia="pt-BR"/>
              </w:rPr>
            </w:pPr>
            <w:r w:rsidRPr="00CA0796">
              <w:rPr>
                <w:rFonts w:ascii="Segoe UI" w:eastAsia="Times New Roman" w:hAnsi="Segoe UI" w:cs="Segoe UI"/>
                <w:b/>
                <w:bCs/>
                <w:sz w:val="18"/>
                <w:szCs w:val="18"/>
                <w:lang w:eastAsia="pt-BR"/>
              </w:rPr>
              <w:t>34.287.005</w:t>
            </w:r>
          </w:p>
        </w:tc>
      </w:tr>
    </w:tbl>
    <w:p w14:paraId="50C9CBCA" w14:textId="77777777" w:rsidR="007835BD" w:rsidRPr="000757BC" w:rsidRDefault="007835BD" w:rsidP="007835BD">
      <w:pPr>
        <w:spacing w:after="0" w:line="240" w:lineRule="auto"/>
        <w:jc w:val="both"/>
        <w:rPr>
          <w:rFonts w:ascii="Segoe UI" w:hAnsi="Segoe UI" w:cs="Segoe UI"/>
          <w:b/>
          <w:color w:val="767171" w:themeColor="background2" w:themeShade="80"/>
        </w:rPr>
      </w:pPr>
    </w:p>
    <w:p w14:paraId="21E51B56" w14:textId="6D5668DD" w:rsidR="00D109A9" w:rsidRDefault="00D109A9" w:rsidP="007835BD">
      <w:pPr>
        <w:spacing w:after="0" w:line="240" w:lineRule="auto"/>
        <w:jc w:val="both"/>
        <w:rPr>
          <w:rFonts w:ascii="Segoe UI" w:hAnsi="Segoe UI" w:cs="Segoe UI"/>
          <w:b/>
          <w:color w:val="767171" w:themeColor="background2" w:themeShade="80"/>
        </w:rPr>
      </w:pPr>
    </w:p>
    <w:p w14:paraId="4FA1BF5D" w14:textId="0B372177" w:rsidR="00136264" w:rsidRDefault="00136264" w:rsidP="007835BD">
      <w:pPr>
        <w:spacing w:after="0" w:line="240" w:lineRule="auto"/>
        <w:jc w:val="both"/>
        <w:rPr>
          <w:rFonts w:ascii="Segoe UI" w:hAnsi="Segoe UI" w:cs="Segoe UI"/>
          <w:b/>
          <w:color w:val="767171" w:themeColor="background2" w:themeShade="80"/>
        </w:rPr>
      </w:pPr>
    </w:p>
    <w:p w14:paraId="5D0B7B11" w14:textId="77777777" w:rsidR="00136264" w:rsidRDefault="00136264" w:rsidP="007835BD">
      <w:pPr>
        <w:spacing w:after="0" w:line="240" w:lineRule="auto"/>
        <w:jc w:val="both"/>
        <w:rPr>
          <w:rFonts w:ascii="Segoe UI" w:hAnsi="Segoe UI" w:cs="Segoe UI"/>
          <w:b/>
          <w:color w:val="767171" w:themeColor="background2" w:themeShade="80"/>
        </w:rPr>
      </w:pPr>
    </w:p>
    <w:p w14:paraId="7B9BC8EC" w14:textId="77777777" w:rsidR="00C95C06" w:rsidRDefault="00C95C06" w:rsidP="007835BD">
      <w:pPr>
        <w:spacing w:after="0" w:line="240" w:lineRule="auto"/>
        <w:jc w:val="both"/>
        <w:rPr>
          <w:rFonts w:ascii="Segoe UI" w:hAnsi="Segoe UI" w:cs="Segoe UI"/>
          <w:b/>
          <w:color w:val="767171" w:themeColor="background2" w:themeShade="80"/>
        </w:rPr>
      </w:pPr>
    </w:p>
    <w:p w14:paraId="7046A86B" w14:textId="77777777" w:rsidR="00C95C06" w:rsidRPr="000757BC" w:rsidRDefault="00C95C06" w:rsidP="007835BD">
      <w:pPr>
        <w:spacing w:after="0" w:line="240" w:lineRule="auto"/>
        <w:jc w:val="both"/>
        <w:rPr>
          <w:rFonts w:ascii="Segoe UI" w:hAnsi="Segoe UI" w:cs="Segoe UI"/>
          <w:b/>
          <w:color w:val="767171" w:themeColor="background2" w:themeShade="80"/>
        </w:rPr>
      </w:pPr>
    </w:p>
    <w:p w14:paraId="62841FE1" w14:textId="77777777" w:rsidR="00C95C06" w:rsidRPr="00C95C06" w:rsidRDefault="00C95C06" w:rsidP="00C95C06">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 financeiras individuais e consolidadas.</w:t>
      </w:r>
    </w:p>
    <w:p w14:paraId="64A24052" w14:textId="53922101" w:rsidR="004B6B1F" w:rsidRPr="000A114A" w:rsidRDefault="004B6B1F" w:rsidP="003C10BD">
      <w:pPr>
        <w:widowControl w:val="0"/>
        <w:rPr>
          <w:rFonts w:ascii="Segoe UI" w:hAnsi="Segoe UI" w:cs="Segoe UI"/>
          <w:bCs/>
          <w:sz w:val="20"/>
          <w:szCs w:val="20"/>
        </w:rPr>
      </w:pPr>
      <w:r w:rsidRPr="000A114A">
        <w:rPr>
          <w:rFonts w:ascii="Segoe UI" w:hAnsi="Segoe UI" w:cs="Segoe UI"/>
          <w:bCs/>
          <w:sz w:val="20"/>
          <w:szCs w:val="20"/>
        </w:rPr>
        <w:br w:type="page"/>
      </w:r>
    </w:p>
    <w:p w14:paraId="3F8A8100" w14:textId="77777777" w:rsidR="00757563" w:rsidRPr="000757BC" w:rsidRDefault="00757563" w:rsidP="00C11BC9">
      <w:pPr>
        <w:widowControl w:val="0"/>
        <w:spacing w:after="0"/>
        <w:rPr>
          <w:rFonts w:ascii="Segoe UI" w:hAnsi="Segoe UI" w:cs="Segoe UI"/>
          <w:bCs/>
          <w:szCs w:val="26"/>
        </w:rPr>
        <w:sectPr w:rsidR="00757563" w:rsidRPr="000757BC" w:rsidSect="006E1B4F">
          <w:footerReference w:type="default" r:id="rId17"/>
          <w:pgSz w:w="11906" w:h="16838"/>
          <w:pgMar w:top="1417" w:right="1274" w:bottom="1417" w:left="1701" w:header="708" w:footer="708" w:gutter="0"/>
          <w:cols w:space="708"/>
          <w:docGrid w:linePitch="360"/>
        </w:sectPr>
      </w:pPr>
    </w:p>
    <w:tbl>
      <w:tblPr>
        <w:tblW w:w="4961" w:type="pct"/>
        <w:tblCellMar>
          <w:left w:w="70" w:type="dxa"/>
          <w:right w:w="70" w:type="dxa"/>
        </w:tblCellMar>
        <w:tblLook w:val="04A0" w:firstRow="1" w:lastRow="0" w:firstColumn="1" w:lastColumn="0" w:noHBand="0" w:noVBand="1"/>
      </w:tblPr>
      <w:tblGrid>
        <w:gridCol w:w="8511"/>
        <w:gridCol w:w="589"/>
        <w:gridCol w:w="2242"/>
        <w:gridCol w:w="425"/>
        <w:gridCol w:w="2126"/>
      </w:tblGrid>
      <w:tr w:rsidR="005A73DC" w:rsidRPr="005A73DC" w14:paraId="7F86F92D" w14:textId="77777777" w:rsidTr="00F456C5">
        <w:trPr>
          <w:trHeight w:val="240"/>
        </w:trPr>
        <w:tc>
          <w:tcPr>
            <w:tcW w:w="3062" w:type="pct"/>
            <w:vMerge w:val="restart"/>
            <w:tcBorders>
              <w:top w:val="nil"/>
              <w:left w:val="nil"/>
              <w:bottom w:val="nil"/>
              <w:right w:val="nil"/>
            </w:tcBorders>
            <w:shd w:val="clear" w:color="000000" w:fill="1B80C4"/>
            <w:noWrap/>
            <w:vAlign w:val="center"/>
            <w:hideMark/>
          </w:tcPr>
          <w:p w14:paraId="32567C08" w14:textId="77777777" w:rsidR="005A73DC" w:rsidRPr="005A73DC" w:rsidRDefault="005A73DC" w:rsidP="005A73DC">
            <w:pPr>
              <w:spacing w:after="0" w:line="240" w:lineRule="auto"/>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lastRenderedPageBreak/>
              <w:t xml:space="preserve">DEMONSTRAÇÕES DO RESULTADO </w:t>
            </w:r>
          </w:p>
        </w:tc>
        <w:tc>
          <w:tcPr>
            <w:tcW w:w="212" w:type="pct"/>
            <w:vMerge w:val="restart"/>
            <w:tcBorders>
              <w:top w:val="nil"/>
              <w:left w:val="nil"/>
              <w:bottom w:val="nil"/>
              <w:right w:val="nil"/>
            </w:tcBorders>
            <w:shd w:val="clear" w:color="000000" w:fill="1B80C4"/>
            <w:noWrap/>
            <w:vAlign w:val="center"/>
            <w:hideMark/>
          </w:tcPr>
          <w:p w14:paraId="3AE106FD" w14:textId="77777777" w:rsidR="005A73DC" w:rsidRPr="005A73DC" w:rsidRDefault="005A73DC" w:rsidP="005A73DC">
            <w:pPr>
              <w:spacing w:after="0" w:line="240" w:lineRule="auto"/>
              <w:jc w:val="center"/>
              <w:rPr>
                <w:rFonts w:ascii="Segoe UI" w:eastAsia="Times New Roman" w:hAnsi="Segoe UI" w:cs="Segoe UI"/>
                <w:color w:val="FFFFFF"/>
                <w:sz w:val="18"/>
                <w:szCs w:val="18"/>
                <w:lang w:eastAsia="pt-BR"/>
              </w:rPr>
            </w:pPr>
            <w:r w:rsidRPr="005A73DC">
              <w:rPr>
                <w:rFonts w:ascii="Segoe UI" w:eastAsia="Times New Roman" w:hAnsi="Segoe UI" w:cs="Segoe UI"/>
                <w:color w:val="FFFFFF"/>
                <w:sz w:val="18"/>
                <w:szCs w:val="18"/>
                <w:lang w:eastAsia="pt-BR"/>
              </w:rPr>
              <w:t xml:space="preserve"> Nota </w:t>
            </w:r>
          </w:p>
        </w:tc>
        <w:tc>
          <w:tcPr>
            <w:tcW w:w="807" w:type="pct"/>
            <w:tcBorders>
              <w:top w:val="nil"/>
              <w:left w:val="nil"/>
              <w:bottom w:val="nil"/>
              <w:right w:val="nil"/>
            </w:tcBorders>
            <w:shd w:val="clear" w:color="000000" w:fill="1B80C4"/>
            <w:noWrap/>
            <w:vAlign w:val="bottom"/>
            <w:hideMark/>
          </w:tcPr>
          <w:p w14:paraId="65D5E7B5" w14:textId="77777777" w:rsidR="005A73DC" w:rsidRPr="005A73DC" w:rsidRDefault="005A73DC" w:rsidP="005A73DC">
            <w:pPr>
              <w:spacing w:after="0" w:line="240" w:lineRule="auto"/>
              <w:jc w:val="center"/>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t xml:space="preserve"> Controladora </w:t>
            </w:r>
          </w:p>
        </w:tc>
        <w:tc>
          <w:tcPr>
            <w:tcW w:w="153" w:type="pct"/>
            <w:tcBorders>
              <w:top w:val="nil"/>
              <w:left w:val="nil"/>
              <w:bottom w:val="nil"/>
              <w:right w:val="nil"/>
            </w:tcBorders>
            <w:shd w:val="clear" w:color="000000" w:fill="1B80C4"/>
            <w:noWrap/>
            <w:vAlign w:val="center"/>
            <w:hideMark/>
          </w:tcPr>
          <w:p w14:paraId="5A26F5C0" w14:textId="77777777" w:rsidR="005A73DC" w:rsidRPr="005A73DC" w:rsidRDefault="005A73DC" w:rsidP="005A73DC">
            <w:pPr>
              <w:spacing w:after="0" w:line="240" w:lineRule="auto"/>
              <w:jc w:val="center"/>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t> </w:t>
            </w:r>
          </w:p>
        </w:tc>
        <w:tc>
          <w:tcPr>
            <w:tcW w:w="765" w:type="pct"/>
            <w:tcBorders>
              <w:top w:val="nil"/>
              <w:left w:val="nil"/>
              <w:bottom w:val="nil"/>
              <w:right w:val="nil"/>
            </w:tcBorders>
            <w:shd w:val="clear" w:color="000000" w:fill="1B80C4"/>
            <w:noWrap/>
            <w:vAlign w:val="bottom"/>
            <w:hideMark/>
          </w:tcPr>
          <w:p w14:paraId="23AEAF47" w14:textId="77777777" w:rsidR="005A73DC" w:rsidRPr="005A73DC" w:rsidRDefault="005A73DC" w:rsidP="005A73DC">
            <w:pPr>
              <w:spacing w:after="0" w:line="240" w:lineRule="auto"/>
              <w:jc w:val="center"/>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t xml:space="preserve"> Consolidado </w:t>
            </w:r>
          </w:p>
        </w:tc>
      </w:tr>
      <w:tr w:rsidR="005A73DC" w:rsidRPr="005A73DC" w14:paraId="1585E930" w14:textId="77777777" w:rsidTr="00F456C5">
        <w:trPr>
          <w:trHeight w:val="240"/>
        </w:trPr>
        <w:tc>
          <w:tcPr>
            <w:tcW w:w="3062" w:type="pct"/>
            <w:vMerge/>
            <w:tcBorders>
              <w:top w:val="nil"/>
              <w:left w:val="nil"/>
              <w:bottom w:val="nil"/>
              <w:right w:val="nil"/>
            </w:tcBorders>
            <w:vAlign w:val="center"/>
            <w:hideMark/>
          </w:tcPr>
          <w:p w14:paraId="78123100" w14:textId="77777777" w:rsidR="005A73DC" w:rsidRPr="005A73DC" w:rsidRDefault="005A73DC" w:rsidP="005A73DC">
            <w:pPr>
              <w:spacing w:after="0" w:line="240" w:lineRule="auto"/>
              <w:rPr>
                <w:rFonts w:ascii="Segoe UI" w:eastAsia="Times New Roman" w:hAnsi="Segoe UI" w:cs="Segoe UI"/>
                <w:b/>
                <w:bCs/>
                <w:color w:val="FFFFFF"/>
                <w:sz w:val="18"/>
                <w:szCs w:val="18"/>
                <w:lang w:eastAsia="pt-BR"/>
              </w:rPr>
            </w:pPr>
          </w:p>
        </w:tc>
        <w:tc>
          <w:tcPr>
            <w:tcW w:w="212" w:type="pct"/>
            <w:vMerge/>
            <w:tcBorders>
              <w:top w:val="nil"/>
              <w:left w:val="nil"/>
              <w:bottom w:val="nil"/>
              <w:right w:val="nil"/>
            </w:tcBorders>
            <w:vAlign w:val="center"/>
            <w:hideMark/>
          </w:tcPr>
          <w:p w14:paraId="6CEEBE5D" w14:textId="77777777" w:rsidR="005A73DC" w:rsidRPr="005A73DC" w:rsidRDefault="005A73DC" w:rsidP="005A73DC">
            <w:pPr>
              <w:spacing w:after="0" w:line="240" w:lineRule="auto"/>
              <w:rPr>
                <w:rFonts w:ascii="Segoe UI" w:eastAsia="Times New Roman" w:hAnsi="Segoe UI" w:cs="Segoe UI"/>
                <w:color w:val="FFFFFF"/>
                <w:sz w:val="18"/>
                <w:szCs w:val="18"/>
                <w:lang w:eastAsia="pt-BR"/>
              </w:rPr>
            </w:pPr>
          </w:p>
        </w:tc>
        <w:tc>
          <w:tcPr>
            <w:tcW w:w="807" w:type="pct"/>
            <w:tcBorders>
              <w:top w:val="single" w:sz="4" w:space="0" w:color="F2F2F2"/>
              <w:left w:val="nil"/>
              <w:bottom w:val="single" w:sz="4" w:space="0" w:color="F2F2F2"/>
              <w:right w:val="nil"/>
            </w:tcBorders>
            <w:shd w:val="clear" w:color="000000" w:fill="1B80C4"/>
            <w:noWrap/>
            <w:vAlign w:val="center"/>
            <w:hideMark/>
          </w:tcPr>
          <w:p w14:paraId="1E09EF3F" w14:textId="77777777" w:rsidR="005A73DC" w:rsidRPr="005A73DC" w:rsidRDefault="005A73DC" w:rsidP="005A73DC">
            <w:pPr>
              <w:spacing w:after="0" w:line="240" w:lineRule="auto"/>
              <w:jc w:val="center"/>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t>31/12/2022</w:t>
            </w:r>
          </w:p>
        </w:tc>
        <w:tc>
          <w:tcPr>
            <w:tcW w:w="153" w:type="pct"/>
            <w:tcBorders>
              <w:top w:val="nil"/>
              <w:left w:val="nil"/>
              <w:bottom w:val="nil"/>
              <w:right w:val="nil"/>
            </w:tcBorders>
            <w:shd w:val="clear" w:color="000000" w:fill="1B80C4"/>
            <w:noWrap/>
            <w:vAlign w:val="center"/>
            <w:hideMark/>
          </w:tcPr>
          <w:p w14:paraId="7E2C084B" w14:textId="77777777" w:rsidR="005A73DC" w:rsidRPr="005A73DC" w:rsidRDefault="005A73DC" w:rsidP="005A73DC">
            <w:pPr>
              <w:spacing w:after="0" w:line="240" w:lineRule="auto"/>
              <w:jc w:val="center"/>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t> </w:t>
            </w:r>
          </w:p>
        </w:tc>
        <w:tc>
          <w:tcPr>
            <w:tcW w:w="765" w:type="pct"/>
            <w:tcBorders>
              <w:top w:val="single" w:sz="4" w:space="0" w:color="F2F2F2"/>
              <w:left w:val="nil"/>
              <w:bottom w:val="single" w:sz="4" w:space="0" w:color="F2F2F2"/>
              <w:right w:val="nil"/>
            </w:tcBorders>
            <w:shd w:val="clear" w:color="000000" w:fill="1B80C4"/>
            <w:noWrap/>
            <w:vAlign w:val="center"/>
            <w:hideMark/>
          </w:tcPr>
          <w:p w14:paraId="7A471F3A" w14:textId="77777777" w:rsidR="005A73DC" w:rsidRPr="005A73DC" w:rsidRDefault="005A73DC" w:rsidP="005A73DC">
            <w:pPr>
              <w:spacing w:after="0" w:line="240" w:lineRule="auto"/>
              <w:jc w:val="center"/>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t>31/12/2022</w:t>
            </w:r>
          </w:p>
        </w:tc>
      </w:tr>
      <w:tr w:rsidR="005A73DC" w:rsidRPr="005A73DC" w14:paraId="5B6C5905" w14:textId="77777777" w:rsidTr="00F456C5">
        <w:trPr>
          <w:trHeight w:val="240"/>
        </w:trPr>
        <w:tc>
          <w:tcPr>
            <w:tcW w:w="3062" w:type="pct"/>
            <w:tcBorders>
              <w:top w:val="nil"/>
              <w:left w:val="nil"/>
              <w:bottom w:val="nil"/>
              <w:right w:val="nil"/>
            </w:tcBorders>
            <w:shd w:val="clear" w:color="auto" w:fill="auto"/>
            <w:noWrap/>
            <w:vAlign w:val="center"/>
            <w:hideMark/>
          </w:tcPr>
          <w:p w14:paraId="4D4F8651"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 xml:space="preserve"> Receita operacional bruta </w:t>
            </w:r>
          </w:p>
        </w:tc>
        <w:tc>
          <w:tcPr>
            <w:tcW w:w="212" w:type="pct"/>
            <w:tcBorders>
              <w:top w:val="nil"/>
              <w:left w:val="nil"/>
              <w:bottom w:val="nil"/>
              <w:right w:val="nil"/>
            </w:tcBorders>
            <w:shd w:val="clear" w:color="auto" w:fill="auto"/>
            <w:noWrap/>
            <w:vAlign w:val="bottom"/>
            <w:hideMark/>
          </w:tcPr>
          <w:p w14:paraId="7EE0ADE2"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807" w:type="pct"/>
            <w:tcBorders>
              <w:top w:val="nil"/>
              <w:left w:val="nil"/>
              <w:bottom w:val="nil"/>
              <w:right w:val="nil"/>
            </w:tcBorders>
            <w:shd w:val="clear" w:color="auto" w:fill="auto"/>
            <w:noWrap/>
            <w:vAlign w:val="center"/>
            <w:hideMark/>
          </w:tcPr>
          <w:p w14:paraId="0C7BBCDA" w14:textId="5782DD51"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21.844</w:t>
            </w:r>
          </w:p>
        </w:tc>
        <w:tc>
          <w:tcPr>
            <w:tcW w:w="153" w:type="pct"/>
            <w:tcBorders>
              <w:top w:val="nil"/>
              <w:left w:val="nil"/>
              <w:bottom w:val="nil"/>
              <w:right w:val="nil"/>
            </w:tcBorders>
            <w:shd w:val="clear" w:color="auto" w:fill="auto"/>
            <w:noWrap/>
            <w:vAlign w:val="bottom"/>
            <w:hideMark/>
          </w:tcPr>
          <w:p w14:paraId="0208B384"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22DB8AE6" w14:textId="24ECC90B"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2.619.050</w:t>
            </w:r>
          </w:p>
        </w:tc>
      </w:tr>
      <w:tr w:rsidR="005A73DC" w:rsidRPr="005A73DC" w14:paraId="3CBF6305" w14:textId="77777777" w:rsidTr="00F456C5">
        <w:trPr>
          <w:trHeight w:val="240"/>
        </w:trPr>
        <w:tc>
          <w:tcPr>
            <w:tcW w:w="3062" w:type="pct"/>
            <w:tcBorders>
              <w:top w:val="nil"/>
              <w:left w:val="nil"/>
              <w:bottom w:val="nil"/>
              <w:right w:val="nil"/>
            </w:tcBorders>
            <w:shd w:val="clear" w:color="auto" w:fill="auto"/>
            <w:noWrap/>
            <w:vAlign w:val="center"/>
            <w:hideMark/>
          </w:tcPr>
          <w:p w14:paraId="669FFFE3" w14:textId="77777777" w:rsidR="005A73DC" w:rsidRPr="005A73DC" w:rsidRDefault="005A73DC" w:rsidP="005A73DC">
            <w:pPr>
              <w:spacing w:after="0" w:line="240" w:lineRule="auto"/>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 Deduções sobre a receita </w:t>
            </w:r>
          </w:p>
        </w:tc>
        <w:tc>
          <w:tcPr>
            <w:tcW w:w="212" w:type="pct"/>
            <w:tcBorders>
              <w:top w:val="nil"/>
              <w:left w:val="nil"/>
              <w:bottom w:val="nil"/>
              <w:right w:val="nil"/>
            </w:tcBorders>
            <w:shd w:val="clear" w:color="auto" w:fill="auto"/>
            <w:noWrap/>
            <w:vAlign w:val="bottom"/>
            <w:hideMark/>
          </w:tcPr>
          <w:p w14:paraId="232896F6" w14:textId="77777777" w:rsidR="005A73DC" w:rsidRPr="005A73DC" w:rsidRDefault="005A73DC" w:rsidP="005A73DC">
            <w:pPr>
              <w:spacing w:after="0" w:line="240" w:lineRule="auto"/>
              <w:jc w:val="right"/>
              <w:rPr>
                <w:rFonts w:ascii="Segoe UI" w:eastAsia="Times New Roman" w:hAnsi="Segoe UI" w:cs="Segoe UI"/>
                <w:sz w:val="18"/>
                <w:szCs w:val="18"/>
                <w:lang w:eastAsia="pt-BR"/>
              </w:rPr>
            </w:pPr>
          </w:p>
        </w:tc>
        <w:tc>
          <w:tcPr>
            <w:tcW w:w="807" w:type="pct"/>
            <w:tcBorders>
              <w:top w:val="nil"/>
              <w:left w:val="nil"/>
              <w:bottom w:val="single" w:sz="4" w:space="0" w:color="1B80C4"/>
              <w:right w:val="nil"/>
            </w:tcBorders>
            <w:shd w:val="clear" w:color="auto" w:fill="auto"/>
            <w:noWrap/>
            <w:vAlign w:val="center"/>
            <w:hideMark/>
          </w:tcPr>
          <w:p w14:paraId="673419A1" w14:textId="7CE5FC3B"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(2.021)</w:t>
            </w:r>
          </w:p>
        </w:tc>
        <w:tc>
          <w:tcPr>
            <w:tcW w:w="153" w:type="pct"/>
            <w:tcBorders>
              <w:top w:val="nil"/>
              <w:left w:val="nil"/>
              <w:bottom w:val="nil"/>
              <w:right w:val="nil"/>
            </w:tcBorders>
            <w:shd w:val="clear" w:color="auto" w:fill="auto"/>
            <w:noWrap/>
            <w:vAlign w:val="bottom"/>
            <w:hideMark/>
          </w:tcPr>
          <w:p w14:paraId="54C83384"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single" w:sz="4" w:space="0" w:color="1B80C4"/>
              <w:right w:val="nil"/>
            </w:tcBorders>
            <w:shd w:val="clear" w:color="auto" w:fill="auto"/>
            <w:noWrap/>
            <w:vAlign w:val="bottom"/>
            <w:hideMark/>
          </w:tcPr>
          <w:p w14:paraId="1F6D3CBA" w14:textId="0001B770"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(316.243)</w:t>
            </w:r>
          </w:p>
        </w:tc>
      </w:tr>
      <w:tr w:rsidR="005A73DC" w:rsidRPr="005A73DC" w14:paraId="0444D89C" w14:textId="77777777" w:rsidTr="00F456C5">
        <w:trPr>
          <w:trHeight w:val="240"/>
        </w:trPr>
        <w:tc>
          <w:tcPr>
            <w:tcW w:w="3062" w:type="pct"/>
            <w:tcBorders>
              <w:top w:val="nil"/>
              <w:left w:val="nil"/>
              <w:bottom w:val="nil"/>
              <w:right w:val="nil"/>
            </w:tcBorders>
            <w:shd w:val="clear" w:color="auto" w:fill="auto"/>
            <w:noWrap/>
            <w:vAlign w:val="center"/>
            <w:hideMark/>
          </w:tcPr>
          <w:p w14:paraId="15467A2E" w14:textId="77777777" w:rsidR="005A73DC" w:rsidRPr="005A73DC" w:rsidRDefault="005A73DC" w:rsidP="005A73DC">
            <w:pPr>
              <w:spacing w:after="0" w:line="240" w:lineRule="auto"/>
              <w:rPr>
                <w:rFonts w:ascii="Segoe UI" w:eastAsia="Times New Roman" w:hAnsi="Segoe UI" w:cs="Segoe UI"/>
                <w:b/>
                <w:bCs/>
                <w:color w:val="000000"/>
                <w:sz w:val="18"/>
                <w:szCs w:val="18"/>
                <w:lang w:eastAsia="pt-BR"/>
              </w:rPr>
            </w:pPr>
            <w:r w:rsidRPr="005A73DC">
              <w:rPr>
                <w:rFonts w:ascii="Segoe UI" w:eastAsia="Times New Roman" w:hAnsi="Segoe UI" w:cs="Segoe UI"/>
                <w:b/>
                <w:bCs/>
                <w:color w:val="000000"/>
                <w:sz w:val="18"/>
                <w:szCs w:val="18"/>
                <w:lang w:eastAsia="pt-BR"/>
              </w:rPr>
              <w:t xml:space="preserve"> Receita operacional líquida </w:t>
            </w:r>
          </w:p>
        </w:tc>
        <w:tc>
          <w:tcPr>
            <w:tcW w:w="212" w:type="pct"/>
            <w:tcBorders>
              <w:top w:val="nil"/>
              <w:left w:val="nil"/>
              <w:bottom w:val="nil"/>
              <w:right w:val="nil"/>
            </w:tcBorders>
            <w:shd w:val="clear" w:color="auto" w:fill="auto"/>
            <w:noWrap/>
            <w:vAlign w:val="bottom"/>
            <w:hideMark/>
          </w:tcPr>
          <w:p w14:paraId="4BC9F580" w14:textId="1BD8C76B" w:rsidR="005A73DC" w:rsidRPr="005A73DC" w:rsidRDefault="005A73DC" w:rsidP="005A73DC">
            <w:pPr>
              <w:spacing w:after="0" w:line="240" w:lineRule="auto"/>
              <w:jc w:val="right"/>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24</w:t>
            </w:r>
          </w:p>
        </w:tc>
        <w:tc>
          <w:tcPr>
            <w:tcW w:w="807" w:type="pct"/>
            <w:tcBorders>
              <w:top w:val="nil"/>
              <w:left w:val="nil"/>
              <w:bottom w:val="nil"/>
              <w:right w:val="nil"/>
            </w:tcBorders>
            <w:shd w:val="clear" w:color="auto" w:fill="auto"/>
            <w:noWrap/>
            <w:vAlign w:val="center"/>
            <w:hideMark/>
          </w:tcPr>
          <w:p w14:paraId="1DDC1195" w14:textId="0A588211"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19.823</w:t>
            </w:r>
          </w:p>
        </w:tc>
        <w:tc>
          <w:tcPr>
            <w:tcW w:w="153" w:type="pct"/>
            <w:tcBorders>
              <w:top w:val="nil"/>
              <w:left w:val="nil"/>
              <w:bottom w:val="nil"/>
              <w:right w:val="nil"/>
            </w:tcBorders>
            <w:shd w:val="clear" w:color="auto" w:fill="auto"/>
            <w:noWrap/>
            <w:vAlign w:val="bottom"/>
            <w:hideMark/>
          </w:tcPr>
          <w:p w14:paraId="1E9B520E"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765" w:type="pct"/>
            <w:tcBorders>
              <w:top w:val="nil"/>
              <w:left w:val="nil"/>
              <w:bottom w:val="nil"/>
              <w:right w:val="nil"/>
            </w:tcBorders>
            <w:shd w:val="clear" w:color="auto" w:fill="auto"/>
            <w:noWrap/>
            <w:vAlign w:val="center"/>
            <w:hideMark/>
          </w:tcPr>
          <w:p w14:paraId="47A79D28" w14:textId="1B45CC72"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2.302.807</w:t>
            </w:r>
          </w:p>
        </w:tc>
      </w:tr>
      <w:tr w:rsidR="005A73DC" w:rsidRPr="005A73DC" w14:paraId="178F2832" w14:textId="77777777" w:rsidTr="00F456C5">
        <w:trPr>
          <w:trHeight w:val="80"/>
        </w:trPr>
        <w:tc>
          <w:tcPr>
            <w:tcW w:w="3062" w:type="pct"/>
            <w:tcBorders>
              <w:top w:val="nil"/>
              <w:left w:val="nil"/>
              <w:bottom w:val="nil"/>
              <w:right w:val="nil"/>
            </w:tcBorders>
            <w:shd w:val="clear" w:color="auto" w:fill="auto"/>
            <w:noWrap/>
            <w:vAlign w:val="center"/>
            <w:hideMark/>
          </w:tcPr>
          <w:p w14:paraId="60367A50"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212" w:type="pct"/>
            <w:tcBorders>
              <w:top w:val="nil"/>
              <w:left w:val="nil"/>
              <w:bottom w:val="nil"/>
              <w:right w:val="nil"/>
            </w:tcBorders>
            <w:shd w:val="clear" w:color="auto" w:fill="auto"/>
            <w:noWrap/>
            <w:vAlign w:val="bottom"/>
            <w:hideMark/>
          </w:tcPr>
          <w:p w14:paraId="24FF3E42"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center"/>
            <w:hideMark/>
          </w:tcPr>
          <w:p w14:paraId="6F0432BB"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153" w:type="pct"/>
            <w:tcBorders>
              <w:top w:val="nil"/>
              <w:left w:val="nil"/>
              <w:bottom w:val="nil"/>
              <w:right w:val="nil"/>
            </w:tcBorders>
            <w:shd w:val="clear" w:color="auto" w:fill="auto"/>
            <w:noWrap/>
            <w:vAlign w:val="bottom"/>
            <w:hideMark/>
          </w:tcPr>
          <w:p w14:paraId="0F1B1816"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765" w:type="pct"/>
            <w:tcBorders>
              <w:top w:val="nil"/>
              <w:left w:val="nil"/>
              <w:bottom w:val="nil"/>
              <w:right w:val="nil"/>
            </w:tcBorders>
            <w:shd w:val="clear" w:color="auto" w:fill="auto"/>
            <w:noWrap/>
            <w:vAlign w:val="bottom"/>
            <w:hideMark/>
          </w:tcPr>
          <w:p w14:paraId="1D77CA0D"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r>
      <w:tr w:rsidR="005A73DC" w:rsidRPr="005A73DC" w14:paraId="4FD63112" w14:textId="77777777" w:rsidTr="00F456C5">
        <w:trPr>
          <w:trHeight w:val="240"/>
        </w:trPr>
        <w:tc>
          <w:tcPr>
            <w:tcW w:w="3062" w:type="pct"/>
            <w:tcBorders>
              <w:top w:val="nil"/>
              <w:left w:val="nil"/>
              <w:bottom w:val="nil"/>
              <w:right w:val="nil"/>
            </w:tcBorders>
            <w:shd w:val="clear" w:color="auto" w:fill="auto"/>
            <w:noWrap/>
            <w:vAlign w:val="center"/>
            <w:hideMark/>
          </w:tcPr>
          <w:p w14:paraId="6A05C6FA"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 xml:space="preserve"> Custos operacionais </w:t>
            </w:r>
          </w:p>
        </w:tc>
        <w:tc>
          <w:tcPr>
            <w:tcW w:w="212" w:type="pct"/>
            <w:tcBorders>
              <w:top w:val="nil"/>
              <w:left w:val="nil"/>
              <w:bottom w:val="nil"/>
              <w:right w:val="nil"/>
            </w:tcBorders>
            <w:shd w:val="clear" w:color="auto" w:fill="auto"/>
            <w:noWrap/>
            <w:vAlign w:val="bottom"/>
            <w:hideMark/>
          </w:tcPr>
          <w:p w14:paraId="7AAF433A" w14:textId="46F9B528" w:rsidR="005A73DC" w:rsidRPr="005A73DC" w:rsidRDefault="005A73DC" w:rsidP="005A73DC">
            <w:pPr>
              <w:spacing w:after="0" w:line="240" w:lineRule="auto"/>
              <w:jc w:val="right"/>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25</w:t>
            </w:r>
          </w:p>
        </w:tc>
        <w:tc>
          <w:tcPr>
            <w:tcW w:w="807" w:type="pct"/>
            <w:tcBorders>
              <w:top w:val="nil"/>
              <w:left w:val="nil"/>
              <w:bottom w:val="nil"/>
              <w:right w:val="nil"/>
            </w:tcBorders>
            <w:shd w:val="clear" w:color="auto" w:fill="auto"/>
            <w:noWrap/>
            <w:vAlign w:val="center"/>
            <w:hideMark/>
          </w:tcPr>
          <w:p w14:paraId="30B3032E" w14:textId="5F2A73C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w:t>
            </w:r>
          </w:p>
        </w:tc>
        <w:tc>
          <w:tcPr>
            <w:tcW w:w="153" w:type="pct"/>
            <w:tcBorders>
              <w:top w:val="nil"/>
              <w:left w:val="nil"/>
              <w:bottom w:val="nil"/>
              <w:right w:val="nil"/>
            </w:tcBorders>
            <w:shd w:val="clear" w:color="auto" w:fill="auto"/>
            <w:noWrap/>
            <w:vAlign w:val="bottom"/>
            <w:hideMark/>
          </w:tcPr>
          <w:p w14:paraId="5E8DBFF8"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7F0A7923" w14:textId="3C98782C"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(1.561.924)</w:t>
            </w:r>
          </w:p>
        </w:tc>
      </w:tr>
      <w:tr w:rsidR="005A73DC" w:rsidRPr="005A73DC" w14:paraId="425B870C" w14:textId="77777777" w:rsidTr="00F456C5">
        <w:trPr>
          <w:trHeight w:val="80"/>
        </w:trPr>
        <w:tc>
          <w:tcPr>
            <w:tcW w:w="3062" w:type="pct"/>
            <w:tcBorders>
              <w:top w:val="nil"/>
              <w:left w:val="nil"/>
              <w:bottom w:val="nil"/>
              <w:right w:val="nil"/>
            </w:tcBorders>
            <w:shd w:val="clear" w:color="auto" w:fill="auto"/>
            <w:noWrap/>
            <w:vAlign w:val="center"/>
            <w:hideMark/>
          </w:tcPr>
          <w:p w14:paraId="67255508"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p>
        </w:tc>
        <w:tc>
          <w:tcPr>
            <w:tcW w:w="212" w:type="pct"/>
            <w:tcBorders>
              <w:top w:val="nil"/>
              <w:left w:val="nil"/>
              <w:bottom w:val="nil"/>
              <w:right w:val="nil"/>
            </w:tcBorders>
            <w:shd w:val="clear" w:color="auto" w:fill="auto"/>
            <w:noWrap/>
            <w:vAlign w:val="bottom"/>
            <w:hideMark/>
          </w:tcPr>
          <w:p w14:paraId="1E3BF76A"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single" w:sz="4" w:space="0" w:color="1B80C4"/>
              <w:right w:val="nil"/>
            </w:tcBorders>
            <w:shd w:val="clear" w:color="auto" w:fill="auto"/>
            <w:noWrap/>
            <w:vAlign w:val="center"/>
            <w:hideMark/>
          </w:tcPr>
          <w:p w14:paraId="7D8F595F" w14:textId="40470853"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153" w:type="pct"/>
            <w:tcBorders>
              <w:top w:val="nil"/>
              <w:left w:val="nil"/>
              <w:bottom w:val="nil"/>
              <w:right w:val="nil"/>
            </w:tcBorders>
            <w:shd w:val="clear" w:color="auto" w:fill="auto"/>
            <w:noWrap/>
            <w:vAlign w:val="bottom"/>
            <w:hideMark/>
          </w:tcPr>
          <w:p w14:paraId="7F6496BB"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single" w:sz="4" w:space="0" w:color="1B80C4"/>
              <w:right w:val="nil"/>
            </w:tcBorders>
            <w:shd w:val="clear" w:color="auto" w:fill="auto"/>
            <w:noWrap/>
            <w:vAlign w:val="bottom"/>
            <w:hideMark/>
          </w:tcPr>
          <w:p w14:paraId="50F782A3" w14:textId="001737EA"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r>
      <w:tr w:rsidR="005A73DC" w:rsidRPr="005A73DC" w14:paraId="2A600EF9" w14:textId="77777777" w:rsidTr="00F456C5">
        <w:trPr>
          <w:trHeight w:val="299"/>
        </w:trPr>
        <w:tc>
          <w:tcPr>
            <w:tcW w:w="3062" w:type="pct"/>
            <w:tcBorders>
              <w:top w:val="nil"/>
              <w:left w:val="nil"/>
              <w:bottom w:val="nil"/>
              <w:right w:val="nil"/>
            </w:tcBorders>
            <w:shd w:val="clear" w:color="auto" w:fill="auto"/>
            <w:noWrap/>
            <w:vAlign w:val="center"/>
            <w:hideMark/>
          </w:tcPr>
          <w:p w14:paraId="4C58BD69" w14:textId="77777777" w:rsidR="005A73DC" w:rsidRPr="005A73DC" w:rsidRDefault="005A73DC" w:rsidP="005A73DC">
            <w:pPr>
              <w:spacing w:after="0" w:line="240" w:lineRule="auto"/>
              <w:rPr>
                <w:rFonts w:ascii="Segoe UI" w:eastAsia="Times New Roman" w:hAnsi="Segoe UI" w:cs="Segoe UI"/>
                <w:b/>
                <w:bCs/>
                <w:color w:val="000000"/>
                <w:sz w:val="18"/>
                <w:szCs w:val="18"/>
                <w:lang w:eastAsia="pt-BR"/>
              </w:rPr>
            </w:pPr>
            <w:r w:rsidRPr="005A73DC">
              <w:rPr>
                <w:rFonts w:ascii="Segoe UI" w:eastAsia="Times New Roman" w:hAnsi="Segoe UI" w:cs="Segoe UI"/>
                <w:b/>
                <w:bCs/>
                <w:color w:val="000000"/>
                <w:sz w:val="18"/>
                <w:szCs w:val="18"/>
                <w:lang w:eastAsia="pt-BR"/>
              </w:rPr>
              <w:t xml:space="preserve"> RESULTADO BRUTO </w:t>
            </w:r>
          </w:p>
        </w:tc>
        <w:tc>
          <w:tcPr>
            <w:tcW w:w="212" w:type="pct"/>
            <w:tcBorders>
              <w:top w:val="nil"/>
              <w:left w:val="nil"/>
              <w:bottom w:val="nil"/>
              <w:right w:val="nil"/>
            </w:tcBorders>
            <w:shd w:val="clear" w:color="auto" w:fill="auto"/>
            <w:noWrap/>
            <w:vAlign w:val="bottom"/>
            <w:hideMark/>
          </w:tcPr>
          <w:p w14:paraId="03674E20" w14:textId="77777777" w:rsidR="005A73DC" w:rsidRPr="005A73DC" w:rsidRDefault="005A73DC" w:rsidP="005A73DC">
            <w:pPr>
              <w:spacing w:after="0" w:line="240" w:lineRule="auto"/>
              <w:jc w:val="right"/>
              <w:rPr>
                <w:rFonts w:ascii="Segoe UI" w:eastAsia="Times New Roman" w:hAnsi="Segoe UI" w:cs="Segoe UI"/>
                <w:b/>
                <w:bCs/>
                <w:color w:val="000000"/>
                <w:sz w:val="18"/>
                <w:szCs w:val="18"/>
                <w:lang w:eastAsia="pt-BR"/>
              </w:rPr>
            </w:pPr>
          </w:p>
        </w:tc>
        <w:tc>
          <w:tcPr>
            <w:tcW w:w="807" w:type="pct"/>
            <w:tcBorders>
              <w:top w:val="nil"/>
              <w:left w:val="nil"/>
              <w:bottom w:val="single" w:sz="4" w:space="0" w:color="1B80C4"/>
              <w:right w:val="nil"/>
            </w:tcBorders>
            <w:shd w:val="clear" w:color="auto" w:fill="auto"/>
            <w:noWrap/>
            <w:vAlign w:val="center"/>
            <w:hideMark/>
          </w:tcPr>
          <w:p w14:paraId="2D2CC119" w14:textId="078AC7FC"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19.823</w:t>
            </w:r>
          </w:p>
        </w:tc>
        <w:tc>
          <w:tcPr>
            <w:tcW w:w="153" w:type="pct"/>
            <w:tcBorders>
              <w:top w:val="nil"/>
              <w:left w:val="nil"/>
              <w:bottom w:val="nil"/>
              <w:right w:val="nil"/>
            </w:tcBorders>
            <w:shd w:val="clear" w:color="auto" w:fill="auto"/>
            <w:noWrap/>
            <w:vAlign w:val="bottom"/>
            <w:hideMark/>
          </w:tcPr>
          <w:p w14:paraId="28F89AA6"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765" w:type="pct"/>
            <w:tcBorders>
              <w:top w:val="nil"/>
              <w:left w:val="nil"/>
              <w:bottom w:val="single" w:sz="4" w:space="0" w:color="1B80C4"/>
              <w:right w:val="nil"/>
            </w:tcBorders>
            <w:shd w:val="clear" w:color="auto" w:fill="auto"/>
            <w:noWrap/>
            <w:vAlign w:val="center"/>
            <w:hideMark/>
          </w:tcPr>
          <w:p w14:paraId="64519F7B" w14:textId="32756A48"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740.883</w:t>
            </w:r>
          </w:p>
        </w:tc>
      </w:tr>
      <w:tr w:rsidR="005A73DC" w:rsidRPr="005A73DC" w14:paraId="3AE98F70" w14:textId="77777777" w:rsidTr="00F456C5">
        <w:trPr>
          <w:trHeight w:val="80"/>
        </w:trPr>
        <w:tc>
          <w:tcPr>
            <w:tcW w:w="3062" w:type="pct"/>
            <w:tcBorders>
              <w:top w:val="nil"/>
              <w:left w:val="nil"/>
              <w:bottom w:val="nil"/>
              <w:right w:val="nil"/>
            </w:tcBorders>
            <w:shd w:val="clear" w:color="auto" w:fill="auto"/>
            <w:noWrap/>
            <w:vAlign w:val="center"/>
            <w:hideMark/>
          </w:tcPr>
          <w:p w14:paraId="422B1F67"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212" w:type="pct"/>
            <w:tcBorders>
              <w:top w:val="nil"/>
              <w:left w:val="nil"/>
              <w:bottom w:val="nil"/>
              <w:right w:val="nil"/>
            </w:tcBorders>
            <w:shd w:val="clear" w:color="auto" w:fill="auto"/>
            <w:noWrap/>
            <w:vAlign w:val="bottom"/>
            <w:hideMark/>
          </w:tcPr>
          <w:p w14:paraId="0B608E0F"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top w:val="single" w:sz="4" w:space="0" w:color="1B80C4"/>
              <w:left w:val="nil"/>
              <w:bottom w:val="nil"/>
              <w:right w:val="nil"/>
            </w:tcBorders>
            <w:shd w:val="clear" w:color="auto" w:fill="auto"/>
            <w:noWrap/>
            <w:vAlign w:val="center"/>
            <w:hideMark/>
          </w:tcPr>
          <w:p w14:paraId="12368E8C"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153" w:type="pct"/>
            <w:tcBorders>
              <w:top w:val="nil"/>
              <w:left w:val="nil"/>
              <w:bottom w:val="nil"/>
              <w:right w:val="nil"/>
            </w:tcBorders>
            <w:shd w:val="clear" w:color="auto" w:fill="auto"/>
            <w:noWrap/>
            <w:vAlign w:val="bottom"/>
            <w:hideMark/>
          </w:tcPr>
          <w:p w14:paraId="52075412"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765" w:type="pct"/>
            <w:tcBorders>
              <w:top w:val="single" w:sz="4" w:space="0" w:color="1B80C4"/>
              <w:left w:val="nil"/>
              <w:bottom w:val="nil"/>
              <w:right w:val="nil"/>
            </w:tcBorders>
            <w:shd w:val="clear" w:color="auto" w:fill="auto"/>
            <w:noWrap/>
            <w:vAlign w:val="bottom"/>
            <w:hideMark/>
          </w:tcPr>
          <w:p w14:paraId="7E310DC1"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r>
      <w:tr w:rsidR="005A73DC" w:rsidRPr="005A73DC" w14:paraId="16C612F7" w14:textId="77777777" w:rsidTr="00F456C5">
        <w:trPr>
          <w:trHeight w:val="240"/>
        </w:trPr>
        <w:tc>
          <w:tcPr>
            <w:tcW w:w="3062" w:type="pct"/>
            <w:tcBorders>
              <w:top w:val="nil"/>
              <w:left w:val="nil"/>
              <w:bottom w:val="nil"/>
              <w:right w:val="nil"/>
            </w:tcBorders>
            <w:shd w:val="clear" w:color="auto" w:fill="auto"/>
            <w:noWrap/>
            <w:vAlign w:val="center"/>
            <w:hideMark/>
          </w:tcPr>
          <w:p w14:paraId="2D308BF0"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 xml:space="preserve"> Receitas / (Despesas) operacionais </w:t>
            </w:r>
          </w:p>
        </w:tc>
        <w:tc>
          <w:tcPr>
            <w:tcW w:w="212" w:type="pct"/>
            <w:tcBorders>
              <w:top w:val="nil"/>
              <w:left w:val="nil"/>
              <w:bottom w:val="nil"/>
              <w:right w:val="nil"/>
            </w:tcBorders>
            <w:shd w:val="clear" w:color="auto" w:fill="auto"/>
            <w:noWrap/>
            <w:vAlign w:val="bottom"/>
            <w:hideMark/>
          </w:tcPr>
          <w:p w14:paraId="3A753E45" w14:textId="19CADBCD" w:rsidR="005A73DC" w:rsidRPr="005A73DC" w:rsidRDefault="005A73DC" w:rsidP="005A73DC">
            <w:pPr>
              <w:spacing w:after="0" w:line="240" w:lineRule="auto"/>
              <w:jc w:val="right"/>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26</w:t>
            </w:r>
          </w:p>
        </w:tc>
        <w:tc>
          <w:tcPr>
            <w:tcW w:w="807" w:type="pct"/>
            <w:tcBorders>
              <w:top w:val="nil"/>
              <w:left w:val="nil"/>
              <w:bottom w:val="nil"/>
              <w:right w:val="nil"/>
            </w:tcBorders>
            <w:shd w:val="clear" w:color="auto" w:fill="auto"/>
            <w:noWrap/>
            <w:vAlign w:val="center"/>
            <w:hideMark/>
          </w:tcPr>
          <w:p w14:paraId="3EE2ACDE" w14:textId="6EBD739C"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(16.969)</w:t>
            </w:r>
          </w:p>
        </w:tc>
        <w:tc>
          <w:tcPr>
            <w:tcW w:w="153" w:type="pct"/>
            <w:tcBorders>
              <w:top w:val="nil"/>
              <w:left w:val="nil"/>
              <w:bottom w:val="nil"/>
              <w:right w:val="nil"/>
            </w:tcBorders>
            <w:shd w:val="clear" w:color="auto" w:fill="auto"/>
            <w:noWrap/>
            <w:vAlign w:val="bottom"/>
            <w:hideMark/>
          </w:tcPr>
          <w:p w14:paraId="190E8549"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5D1C03AE" w14:textId="452ECBC9"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(646.453)</w:t>
            </w:r>
          </w:p>
        </w:tc>
      </w:tr>
      <w:tr w:rsidR="005A73DC" w:rsidRPr="005A73DC" w14:paraId="6C5C1BFE" w14:textId="77777777" w:rsidTr="00F456C5">
        <w:trPr>
          <w:trHeight w:val="240"/>
        </w:trPr>
        <w:tc>
          <w:tcPr>
            <w:tcW w:w="3062" w:type="pct"/>
            <w:tcBorders>
              <w:top w:val="nil"/>
              <w:left w:val="nil"/>
              <w:bottom w:val="nil"/>
              <w:right w:val="nil"/>
            </w:tcBorders>
            <w:shd w:val="clear" w:color="auto" w:fill="auto"/>
            <w:noWrap/>
            <w:vAlign w:val="center"/>
            <w:hideMark/>
          </w:tcPr>
          <w:p w14:paraId="47D23EA9" w14:textId="41BDC5A9" w:rsidR="005A73DC" w:rsidRPr="005A73DC" w:rsidRDefault="005A73DC" w:rsidP="005A73DC">
            <w:pPr>
              <w:spacing w:after="0" w:line="240" w:lineRule="auto"/>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 xml:space="preserve"> Resultado da equivalência patrimonial </w:t>
            </w:r>
          </w:p>
        </w:tc>
        <w:tc>
          <w:tcPr>
            <w:tcW w:w="212" w:type="pct"/>
            <w:tcBorders>
              <w:top w:val="nil"/>
              <w:left w:val="nil"/>
              <w:bottom w:val="nil"/>
              <w:right w:val="nil"/>
            </w:tcBorders>
            <w:shd w:val="clear" w:color="auto" w:fill="auto"/>
            <w:noWrap/>
            <w:vAlign w:val="bottom"/>
            <w:hideMark/>
          </w:tcPr>
          <w:p w14:paraId="67BAA452" w14:textId="63081EA0" w:rsidR="005A73DC" w:rsidRPr="005A73DC" w:rsidRDefault="005A73DC" w:rsidP="005A73DC">
            <w:pPr>
              <w:spacing w:after="0" w:line="240" w:lineRule="auto"/>
              <w:jc w:val="right"/>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12</w:t>
            </w:r>
          </w:p>
        </w:tc>
        <w:tc>
          <w:tcPr>
            <w:tcW w:w="807" w:type="pct"/>
            <w:tcBorders>
              <w:top w:val="nil"/>
              <w:left w:val="nil"/>
              <w:bottom w:val="nil"/>
              <w:right w:val="nil"/>
            </w:tcBorders>
            <w:shd w:val="clear" w:color="auto" w:fill="auto"/>
            <w:noWrap/>
            <w:vAlign w:val="center"/>
            <w:hideMark/>
          </w:tcPr>
          <w:p w14:paraId="7E3ED033" w14:textId="66DCFA1D"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(43.921)</w:t>
            </w:r>
          </w:p>
        </w:tc>
        <w:tc>
          <w:tcPr>
            <w:tcW w:w="153" w:type="pct"/>
            <w:tcBorders>
              <w:top w:val="nil"/>
              <w:left w:val="nil"/>
              <w:bottom w:val="nil"/>
              <w:right w:val="nil"/>
            </w:tcBorders>
            <w:shd w:val="clear" w:color="auto" w:fill="auto"/>
            <w:noWrap/>
            <w:vAlign w:val="bottom"/>
            <w:hideMark/>
          </w:tcPr>
          <w:p w14:paraId="4AC642BE"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32FB4393" w14:textId="52746711"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31.136</w:t>
            </w:r>
          </w:p>
        </w:tc>
      </w:tr>
      <w:tr w:rsidR="005A73DC" w:rsidRPr="005A73DC" w14:paraId="13CEC371" w14:textId="77777777" w:rsidTr="00F456C5">
        <w:trPr>
          <w:trHeight w:val="240"/>
        </w:trPr>
        <w:tc>
          <w:tcPr>
            <w:tcW w:w="3062" w:type="pct"/>
            <w:tcBorders>
              <w:top w:val="nil"/>
              <w:left w:val="nil"/>
              <w:bottom w:val="nil"/>
              <w:right w:val="nil"/>
            </w:tcBorders>
            <w:shd w:val="clear" w:color="auto" w:fill="auto"/>
            <w:noWrap/>
            <w:vAlign w:val="center"/>
            <w:hideMark/>
          </w:tcPr>
          <w:p w14:paraId="24AAC4F4"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 xml:space="preserve"> Compra vantajosa </w:t>
            </w:r>
          </w:p>
        </w:tc>
        <w:tc>
          <w:tcPr>
            <w:tcW w:w="212" w:type="pct"/>
            <w:tcBorders>
              <w:top w:val="nil"/>
              <w:left w:val="nil"/>
              <w:bottom w:val="nil"/>
              <w:right w:val="nil"/>
            </w:tcBorders>
            <w:shd w:val="clear" w:color="auto" w:fill="auto"/>
            <w:noWrap/>
            <w:vAlign w:val="bottom"/>
            <w:hideMark/>
          </w:tcPr>
          <w:p w14:paraId="46528AD9"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807" w:type="pct"/>
            <w:tcBorders>
              <w:top w:val="nil"/>
              <w:left w:val="nil"/>
              <w:bottom w:val="single" w:sz="4" w:space="0" w:color="1B80C4"/>
              <w:right w:val="nil"/>
            </w:tcBorders>
            <w:shd w:val="clear" w:color="auto" w:fill="auto"/>
            <w:noWrap/>
            <w:vAlign w:val="center"/>
            <w:hideMark/>
          </w:tcPr>
          <w:p w14:paraId="67A5883D" w14:textId="09C5563B"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88.510</w:t>
            </w:r>
          </w:p>
        </w:tc>
        <w:tc>
          <w:tcPr>
            <w:tcW w:w="153" w:type="pct"/>
            <w:tcBorders>
              <w:top w:val="nil"/>
              <w:left w:val="nil"/>
              <w:bottom w:val="nil"/>
              <w:right w:val="nil"/>
            </w:tcBorders>
            <w:shd w:val="clear" w:color="auto" w:fill="auto"/>
            <w:noWrap/>
            <w:vAlign w:val="bottom"/>
            <w:hideMark/>
          </w:tcPr>
          <w:p w14:paraId="54686B18"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single" w:sz="4" w:space="0" w:color="1B80C4"/>
              <w:right w:val="nil"/>
            </w:tcBorders>
            <w:shd w:val="clear" w:color="auto" w:fill="auto"/>
            <w:noWrap/>
            <w:vAlign w:val="bottom"/>
            <w:hideMark/>
          </w:tcPr>
          <w:p w14:paraId="44E156E1" w14:textId="71869834"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88.510</w:t>
            </w:r>
          </w:p>
        </w:tc>
      </w:tr>
      <w:tr w:rsidR="005A73DC" w:rsidRPr="005A73DC" w14:paraId="0BBC44F5" w14:textId="77777777" w:rsidTr="00F456C5">
        <w:trPr>
          <w:trHeight w:val="240"/>
        </w:trPr>
        <w:tc>
          <w:tcPr>
            <w:tcW w:w="3062" w:type="pct"/>
            <w:tcBorders>
              <w:top w:val="nil"/>
              <w:left w:val="nil"/>
              <w:bottom w:val="nil"/>
              <w:right w:val="nil"/>
            </w:tcBorders>
            <w:shd w:val="clear" w:color="auto" w:fill="auto"/>
            <w:noWrap/>
            <w:vAlign w:val="center"/>
            <w:hideMark/>
          </w:tcPr>
          <w:p w14:paraId="7E2C8763"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p>
        </w:tc>
        <w:tc>
          <w:tcPr>
            <w:tcW w:w="212" w:type="pct"/>
            <w:tcBorders>
              <w:top w:val="nil"/>
              <w:left w:val="nil"/>
              <w:bottom w:val="nil"/>
              <w:right w:val="nil"/>
            </w:tcBorders>
            <w:shd w:val="clear" w:color="auto" w:fill="auto"/>
            <w:noWrap/>
            <w:vAlign w:val="bottom"/>
            <w:hideMark/>
          </w:tcPr>
          <w:p w14:paraId="0D52C9CB"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center"/>
            <w:hideMark/>
          </w:tcPr>
          <w:p w14:paraId="3C1428B8" w14:textId="3E2CF5DD"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27.620</w:t>
            </w:r>
          </w:p>
        </w:tc>
        <w:tc>
          <w:tcPr>
            <w:tcW w:w="153" w:type="pct"/>
            <w:tcBorders>
              <w:top w:val="nil"/>
              <w:left w:val="nil"/>
              <w:bottom w:val="nil"/>
              <w:right w:val="nil"/>
            </w:tcBorders>
            <w:shd w:val="clear" w:color="auto" w:fill="auto"/>
            <w:noWrap/>
            <w:vAlign w:val="bottom"/>
            <w:hideMark/>
          </w:tcPr>
          <w:p w14:paraId="6C6AE89E"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765" w:type="pct"/>
            <w:tcBorders>
              <w:top w:val="nil"/>
              <w:left w:val="nil"/>
              <w:bottom w:val="nil"/>
              <w:right w:val="nil"/>
            </w:tcBorders>
            <w:shd w:val="clear" w:color="auto" w:fill="auto"/>
            <w:noWrap/>
            <w:vAlign w:val="center"/>
            <w:hideMark/>
          </w:tcPr>
          <w:p w14:paraId="5C6AE411" w14:textId="234A301A"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(526.807)</w:t>
            </w:r>
          </w:p>
        </w:tc>
      </w:tr>
      <w:tr w:rsidR="005A73DC" w:rsidRPr="005A73DC" w14:paraId="464194A7" w14:textId="77777777" w:rsidTr="00F456C5">
        <w:trPr>
          <w:trHeight w:val="80"/>
        </w:trPr>
        <w:tc>
          <w:tcPr>
            <w:tcW w:w="3062" w:type="pct"/>
            <w:tcBorders>
              <w:top w:val="nil"/>
              <w:left w:val="nil"/>
              <w:bottom w:val="nil"/>
              <w:right w:val="nil"/>
            </w:tcBorders>
            <w:shd w:val="clear" w:color="auto" w:fill="auto"/>
            <w:noWrap/>
            <w:vAlign w:val="center"/>
            <w:hideMark/>
          </w:tcPr>
          <w:p w14:paraId="50AE2A3E"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212" w:type="pct"/>
            <w:tcBorders>
              <w:top w:val="nil"/>
              <w:left w:val="nil"/>
              <w:bottom w:val="nil"/>
              <w:right w:val="nil"/>
            </w:tcBorders>
            <w:shd w:val="clear" w:color="auto" w:fill="auto"/>
            <w:noWrap/>
            <w:vAlign w:val="bottom"/>
            <w:hideMark/>
          </w:tcPr>
          <w:p w14:paraId="4497720D"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single" w:sz="4" w:space="0" w:color="1B80C4"/>
              <w:right w:val="nil"/>
            </w:tcBorders>
            <w:shd w:val="clear" w:color="auto" w:fill="auto"/>
            <w:noWrap/>
            <w:vAlign w:val="bottom"/>
            <w:hideMark/>
          </w:tcPr>
          <w:p w14:paraId="00FF3B49" w14:textId="70242850"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153" w:type="pct"/>
            <w:tcBorders>
              <w:top w:val="nil"/>
              <w:left w:val="nil"/>
              <w:bottom w:val="nil"/>
              <w:right w:val="nil"/>
            </w:tcBorders>
            <w:shd w:val="clear" w:color="auto" w:fill="auto"/>
            <w:noWrap/>
            <w:vAlign w:val="bottom"/>
            <w:hideMark/>
          </w:tcPr>
          <w:p w14:paraId="5A921BD6"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single" w:sz="4" w:space="0" w:color="1B80C4"/>
              <w:right w:val="nil"/>
            </w:tcBorders>
            <w:shd w:val="clear" w:color="auto" w:fill="auto"/>
            <w:noWrap/>
            <w:vAlign w:val="bottom"/>
            <w:hideMark/>
          </w:tcPr>
          <w:p w14:paraId="3242C30D" w14:textId="362B8138"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r>
      <w:tr w:rsidR="005A73DC" w:rsidRPr="005A73DC" w14:paraId="69CFA2A5" w14:textId="77777777" w:rsidTr="00F456C5">
        <w:trPr>
          <w:trHeight w:val="240"/>
        </w:trPr>
        <w:tc>
          <w:tcPr>
            <w:tcW w:w="3062" w:type="pct"/>
            <w:tcBorders>
              <w:top w:val="nil"/>
              <w:left w:val="nil"/>
              <w:bottom w:val="nil"/>
              <w:right w:val="nil"/>
            </w:tcBorders>
            <w:shd w:val="clear" w:color="auto" w:fill="auto"/>
            <w:vAlign w:val="center"/>
            <w:hideMark/>
          </w:tcPr>
          <w:p w14:paraId="5CF096B8" w14:textId="77777777" w:rsidR="005A73DC" w:rsidRPr="005A73DC" w:rsidRDefault="005A73DC" w:rsidP="005A73DC">
            <w:pPr>
              <w:spacing w:after="0" w:line="240" w:lineRule="auto"/>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 xml:space="preserve"> RESULTADO OPERACIONAL ANTES DO RESULTADO FINANCEIRO </w:t>
            </w:r>
          </w:p>
        </w:tc>
        <w:tc>
          <w:tcPr>
            <w:tcW w:w="212" w:type="pct"/>
            <w:tcBorders>
              <w:top w:val="nil"/>
              <w:left w:val="nil"/>
              <w:bottom w:val="nil"/>
              <w:right w:val="nil"/>
            </w:tcBorders>
            <w:shd w:val="clear" w:color="auto" w:fill="auto"/>
            <w:noWrap/>
            <w:vAlign w:val="bottom"/>
            <w:hideMark/>
          </w:tcPr>
          <w:p w14:paraId="14D2F8B3"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807" w:type="pct"/>
            <w:tcBorders>
              <w:top w:val="nil"/>
              <w:left w:val="nil"/>
              <w:bottom w:val="double" w:sz="6" w:space="0" w:color="1B80C4"/>
              <w:right w:val="nil"/>
            </w:tcBorders>
            <w:shd w:val="clear" w:color="auto" w:fill="auto"/>
            <w:noWrap/>
            <w:vAlign w:val="center"/>
            <w:hideMark/>
          </w:tcPr>
          <w:p w14:paraId="7C9B950F" w14:textId="15514C3F"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47.443</w:t>
            </w:r>
          </w:p>
        </w:tc>
        <w:tc>
          <w:tcPr>
            <w:tcW w:w="153" w:type="pct"/>
            <w:tcBorders>
              <w:top w:val="nil"/>
              <w:left w:val="nil"/>
              <w:bottom w:val="nil"/>
              <w:right w:val="nil"/>
            </w:tcBorders>
            <w:shd w:val="clear" w:color="auto" w:fill="auto"/>
            <w:noWrap/>
            <w:vAlign w:val="bottom"/>
            <w:hideMark/>
          </w:tcPr>
          <w:p w14:paraId="77B25CD4"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765" w:type="pct"/>
            <w:tcBorders>
              <w:top w:val="nil"/>
              <w:left w:val="nil"/>
              <w:bottom w:val="double" w:sz="6" w:space="0" w:color="1B80C4"/>
              <w:right w:val="nil"/>
            </w:tcBorders>
            <w:shd w:val="clear" w:color="auto" w:fill="auto"/>
            <w:noWrap/>
            <w:vAlign w:val="center"/>
            <w:hideMark/>
          </w:tcPr>
          <w:p w14:paraId="10A01EF0" w14:textId="4006B707"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214.076</w:t>
            </w:r>
          </w:p>
        </w:tc>
      </w:tr>
      <w:tr w:rsidR="005212B3" w:rsidRPr="005A73DC" w14:paraId="2A686DEB" w14:textId="77777777" w:rsidTr="00F456C5">
        <w:trPr>
          <w:trHeight w:val="119"/>
        </w:trPr>
        <w:tc>
          <w:tcPr>
            <w:tcW w:w="3062" w:type="pct"/>
            <w:tcBorders>
              <w:top w:val="nil"/>
              <w:left w:val="nil"/>
              <w:bottom w:val="nil"/>
              <w:right w:val="nil"/>
            </w:tcBorders>
            <w:shd w:val="clear" w:color="auto" w:fill="auto"/>
            <w:noWrap/>
            <w:vAlign w:val="center"/>
            <w:hideMark/>
          </w:tcPr>
          <w:p w14:paraId="5D9F7C64"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212" w:type="pct"/>
            <w:tcBorders>
              <w:top w:val="nil"/>
              <w:left w:val="nil"/>
              <w:bottom w:val="nil"/>
              <w:right w:val="nil"/>
            </w:tcBorders>
            <w:shd w:val="clear" w:color="auto" w:fill="auto"/>
            <w:noWrap/>
            <w:vAlign w:val="bottom"/>
            <w:hideMark/>
          </w:tcPr>
          <w:p w14:paraId="4A73EA1C"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top w:val="double" w:sz="6" w:space="0" w:color="1B80C4"/>
              <w:left w:val="nil"/>
              <w:bottom w:val="nil"/>
              <w:right w:val="nil"/>
            </w:tcBorders>
            <w:shd w:val="clear" w:color="auto" w:fill="auto"/>
            <w:noWrap/>
            <w:vAlign w:val="bottom"/>
            <w:hideMark/>
          </w:tcPr>
          <w:p w14:paraId="5BE90F95"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153" w:type="pct"/>
            <w:tcBorders>
              <w:top w:val="nil"/>
              <w:left w:val="nil"/>
              <w:bottom w:val="nil"/>
              <w:right w:val="nil"/>
            </w:tcBorders>
            <w:shd w:val="clear" w:color="auto" w:fill="auto"/>
            <w:noWrap/>
            <w:vAlign w:val="bottom"/>
            <w:hideMark/>
          </w:tcPr>
          <w:p w14:paraId="1707B80C"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765" w:type="pct"/>
            <w:tcBorders>
              <w:top w:val="double" w:sz="6" w:space="0" w:color="1B80C4"/>
              <w:left w:val="nil"/>
              <w:bottom w:val="nil"/>
              <w:right w:val="nil"/>
            </w:tcBorders>
            <w:shd w:val="clear" w:color="auto" w:fill="auto"/>
            <w:noWrap/>
            <w:vAlign w:val="bottom"/>
            <w:hideMark/>
          </w:tcPr>
          <w:p w14:paraId="1E2C73F0"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r>
      <w:tr w:rsidR="005A73DC" w:rsidRPr="005A73DC" w14:paraId="6615B6A1" w14:textId="77777777" w:rsidTr="00F456C5">
        <w:trPr>
          <w:trHeight w:val="240"/>
        </w:trPr>
        <w:tc>
          <w:tcPr>
            <w:tcW w:w="3062" w:type="pct"/>
            <w:tcBorders>
              <w:top w:val="nil"/>
              <w:left w:val="nil"/>
              <w:bottom w:val="nil"/>
              <w:right w:val="nil"/>
            </w:tcBorders>
            <w:shd w:val="clear" w:color="auto" w:fill="auto"/>
            <w:noWrap/>
            <w:vAlign w:val="center"/>
            <w:hideMark/>
          </w:tcPr>
          <w:p w14:paraId="034D9EE6" w14:textId="77777777" w:rsidR="005A73DC" w:rsidRPr="005A73DC" w:rsidRDefault="005A73DC" w:rsidP="005A73DC">
            <w:pPr>
              <w:spacing w:after="0" w:line="240" w:lineRule="auto"/>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Receitas financeiras </w:t>
            </w:r>
          </w:p>
        </w:tc>
        <w:tc>
          <w:tcPr>
            <w:tcW w:w="212" w:type="pct"/>
            <w:tcBorders>
              <w:top w:val="nil"/>
              <w:left w:val="nil"/>
              <w:bottom w:val="nil"/>
              <w:right w:val="nil"/>
            </w:tcBorders>
            <w:shd w:val="clear" w:color="auto" w:fill="auto"/>
            <w:noWrap/>
            <w:vAlign w:val="bottom"/>
            <w:hideMark/>
          </w:tcPr>
          <w:p w14:paraId="53D59ED1" w14:textId="77777777" w:rsidR="005A73DC" w:rsidRPr="005A73DC" w:rsidRDefault="005A73DC" w:rsidP="005A73DC">
            <w:pPr>
              <w:spacing w:after="0" w:line="240" w:lineRule="auto"/>
              <w:jc w:val="right"/>
              <w:rPr>
                <w:rFonts w:ascii="Segoe UI" w:eastAsia="Times New Roman" w:hAnsi="Segoe UI" w:cs="Segoe UI"/>
                <w:sz w:val="18"/>
                <w:szCs w:val="18"/>
                <w:lang w:eastAsia="pt-BR"/>
              </w:rPr>
            </w:pPr>
          </w:p>
        </w:tc>
        <w:tc>
          <w:tcPr>
            <w:tcW w:w="807" w:type="pct"/>
            <w:tcBorders>
              <w:top w:val="nil"/>
              <w:left w:val="nil"/>
              <w:bottom w:val="nil"/>
              <w:right w:val="nil"/>
            </w:tcBorders>
            <w:shd w:val="clear" w:color="auto" w:fill="auto"/>
            <w:noWrap/>
            <w:vAlign w:val="center"/>
            <w:hideMark/>
          </w:tcPr>
          <w:p w14:paraId="453A99C9" w14:textId="069B7304"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195.602</w:t>
            </w:r>
          </w:p>
        </w:tc>
        <w:tc>
          <w:tcPr>
            <w:tcW w:w="153" w:type="pct"/>
            <w:tcBorders>
              <w:top w:val="nil"/>
              <w:left w:val="nil"/>
              <w:bottom w:val="nil"/>
              <w:right w:val="nil"/>
            </w:tcBorders>
            <w:shd w:val="clear" w:color="auto" w:fill="auto"/>
            <w:noWrap/>
            <w:vAlign w:val="bottom"/>
            <w:hideMark/>
          </w:tcPr>
          <w:p w14:paraId="742A870A"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1E8B6E5D" w14:textId="2091C1CE"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636.861</w:t>
            </w:r>
          </w:p>
        </w:tc>
      </w:tr>
      <w:tr w:rsidR="005A73DC" w:rsidRPr="005A73DC" w14:paraId="2C0AAC56" w14:textId="77777777" w:rsidTr="00F456C5">
        <w:trPr>
          <w:trHeight w:val="240"/>
        </w:trPr>
        <w:tc>
          <w:tcPr>
            <w:tcW w:w="3062" w:type="pct"/>
            <w:tcBorders>
              <w:top w:val="nil"/>
              <w:left w:val="nil"/>
              <w:bottom w:val="nil"/>
              <w:right w:val="nil"/>
            </w:tcBorders>
            <w:shd w:val="clear" w:color="auto" w:fill="auto"/>
            <w:noWrap/>
            <w:vAlign w:val="center"/>
            <w:hideMark/>
          </w:tcPr>
          <w:p w14:paraId="6A0C3E50" w14:textId="77777777" w:rsidR="005A73DC" w:rsidRPr="005A73DC" w:rsidRDefault="005A73DC" w:rsidP="005A73DC">
            <w:pPr>
              <w:spacing w:after="0" w:line="240" w:lineRule="auto"/>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Despesas financeiras </w:t>
            </w:r>
          </w:p>
        </w:tc>
        <w:tc>
          <w:tcPr>
            <w:tcW w:w="212" w:type="pct"/>
            <w:tcBorders>
              <w:top w:val="nil"/>
              <w:left w:val="nil"/>
              <w:bottom w:val="nil"/>
              <w:right w:val="nil"/>
            </w:tcBorders>
            <w:shd w:val="clear" w:color="auto" w:fill="auto"/>
            <w:noWrap/>
            <w:vAlign w:val="bottom"/>
            <w:hideMark/>
          </w:tcPr>
          <w:p w14:paraId="72BF7E9E" w14:textId="77777777" w:rsidR="005A73DC" w:rsidRPr="005A73DC" w:rsidRDefault="005A73DC" w:rsidP="005A73DC">
            <w:pPr>
              <w:spacing w:after="0" w:line="240" w:lineRule="auto"/>
              <w:jc w:val="right"/>
              <w:rPr>
                <w:rFonts w:ascii="Segoe UI" w:eastAsia="Times New Roman" w:hAnsi="Segoe UI" w:cs="Segoe UI"/>
                <w:sz w:val="18"/>
                <w:szCs w:val="18"/>
                <w:lang w:eastAsia="pt-BR"/>
              </w:rPr>
            </w:pPr>
          </w:p>
        </w:tc>
        <w:tc>
          <w:tcPr>
            <w:tcW w:w="807" w:type="pct"/>
            <w:tcBorders>
              <w:top w:val="nil"/>
              <w:left w:val="nil"/>
              <w:right w:val="nil"/>
            </w:tcBorders>
            <w:shd w:val="clear" w:color="auto" w:fill="auto"/>
            <w:noWrap/>
            <w:vAlign w:val="center"/>
            <w:hideMark/>
          </w:tcPr>
          <w:p w14:paraId="37696165" w14:textId="51724E11"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(32.059)</w:t>
            </w:r>
          </w:p>
        </w:tc>
        <w:tc>
          <w:tcPr>
            <w:tcW w:w="153" w:type="pct"/>
            <w:tcBorders>
              <w:top w:val="nil"/>
              <w:left w:val="nil"/>
              <w:bottom w:val="nil"/>
              <w:right w:val="nil"/>
            </w:tcBorders>
            <w:shd w:val="clear" w:color="auto" w:fill="auto"/>
            <w:noWrap/>
            <w:vAlign w:val="bottom"/>
            <w:hideMark/>
          </w:tcPr>
          <w:p w14:paraId="60CA2C0B"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47087F5B" w14:textId="62623D40"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(563.599)</w:t>
            </w:r>
          </w:p>
        </w:tc>
      </w:tr>
      <w:tr w:rsidR="005A73DC" w:rsidRPr="005A73DC" w14:paraId="44BA1F59" w14:textId="77777777" w:rsidTr="00F456C5">
        <w:trPr>
          <w:trHeight w:val="240"/>
        </w:trPr>
        <w:tc>
          <w:tcPr>
            <w:tcW w:w="3062" w:type="pct"/>
            <w:tcBorders>
              <w:top w:val="nil"/>
              <w:left w:val="nil"/>
              <w:bottom w:val="nil"/>
              <w:right w:val="nil"/>
            </w:tcBorders>
            <w:shd w:val="clear" w:color="auto" w:fill="auto"/>
            <w:noWrap/>
            <w:vAlign w:val="center"/>
            <w:hideMark/>
          </w:tcPr>
          <w:p w14:paraId="308236C2" w14:textId="77777777" w:rsidR="005A73DC" w:rsidRPr="005A73DC" w:rsidRDefault="005A73DC" w:rsidP="005A73DC">
            <w:pPr>
              <w:spacing w:after="0" w:line="240" w:lineRule="auto"/>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Variações cambiais </w:t>
            </w:r>
          </w:p>
        </w:tc>
        <w:tc>
          <w:tcPr>
            <w:tcW w:w="212" w:type="pct"/>
            <w:tcBorders>
              <w:top w:val="nil"/>
              <w:left w:val="nil"/>
              <w:bottom w:val="nil"/>
              <w:right w:val="nil"/>
            </w:tcBorders>
            <w:shd w:val="clear" w:color="auto" w:fill="auto"/>
            <w:noWrap/>
            <w:vAlign w:val="bottom"/>
            <w:hideMark/>
          </w:tcPr>
          <w:p w14:paraId="0E7B9050" w14:textId="77777777" w:rsidR="005A73DC" w:rsidRPr="005A73DC" w:rsidRDefault="005A73DC" w:rsidP="005A73DC">
            <w:pPr>
              <w:spacing w:after="0" w:line="240" w:lineRule="auto"/>
              <w:jc w:val="right"/>
              <w:rPr>
                <w:rFonts w:ascii="Segoe UI" w:eastAsia="Times New Roman" w:hAnsi="Segoe UI" w:cs="Segoe UI"/>
                <w:sz w:val="18"/>
                <w:szCs w:val="18"/>
                <w:lang w:eastAsia="pt-BR"/>
              </w:rPr>
            </w:pPr>
          </w:p>
        </w:tc>
        <w:tc>
          <w:tcPr>
            <w:tcW w:w="807" w:type="pct"/>
            <w:tcBorders>
              <w:top w:val="nil"/>
              <w:left w:val="nil"/>
              <w:right w:val="nil"/>
            </w:tcBorders>
            <w:shd w:val="clear" w:color="auto" w:fill="auto"/>
            <w:noWrap/>
            <w:vAlign w:val="center"/>
            <w:hideMark/>
          </w:tcPr>
          <w:p w14:paraId="355C0CC1" w14:textId="5D68B455"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(27.542)</w:t>
            </w:r>
          </w:p>
        </w:tc>
        <w:tc>
          <w:tcPr>
            <w:tcW w:w="153" w:type="pct"/>
            <w:tcBorders>
              <w:top w:val="nil"/>
              <w:left w:val="nil"/>
              <w:bottom w:val="nil"/>
              <w:right w:val="nil"/>
            </w:tcBorders>
            <w:shd w:val="clear" w:color="auto" w:fill="auto"/>
            <w:noWrap/>
            <w:vAlign w:val="bottom"/>
            <w:hideMark/>
          </w:tcPr>
          <w:p w14:paraId="27620ABA"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77424767" w14:textId="5CF2EE28"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(50.346)</w:t>
            </w:r>
          </w:p>
        </w:tc>
      </w:tr>
      <w:tr w:rsidR="005A73DC" w:rsidRPr="005A73DC" w14:paraId="2123FC76" w14:textId="77777777" w:rsidTr="00F456C5">
        <w:trPr>
          <w:trHeight w:val="196"/>
        </w:trPr>
        <w:tc>
          <w:tcPr>
            <w:tcW w:w="3062" w:type="pct"/>
            <w:tcBorders>
              <w:top w:val="nil"/>
              <w:left w:val="nil"/>
              <w:bottom w:val="nil"/>
              <w:right w:val="nil"/>
            </w:tcBorders>
            <w:shd w:val="clear" w:color="auto" w:fill="auto"/>
            <w:noWrap/>
            <w:vAlign w:val="center"/>
            <w:hideMark/>
          </w:tcPr>
          <w:p w14:paraId="33516696"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p>
        </w:tc>
        <w:tc>
          <w:tcPr>
            <w:tcW w:w="212" w:type="pct"/>
            <w:tcBorders>
              <w:top w:val="nil"/>
              <w:left w:val="nil"/>
              <w:bottom w:val="nil"/>
              <w:right w:val="nil"/>
            </w:tcBorders>
            <w:shd w:val="clear" w:color="auto" w:fill="auto"/>
            <w:noWrap/>
            <w:vAlign w:val="bottom"/>
            <w:hideMark/>
          </w:tcPr>
          <w:p w14:paraId="54D94662"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left w:val="nil"/>
              <w:bottom w:val="single" w:sz="4" w:space="0" w:color="1B80C4"/>
              <w:right w:val="nil"/>
            </w:tcBorders>
            <w:shd w:val="clear" w:color="auto" w:fill="auto"/>
            <w:noWrap/>
            <w:vAlign w:val="bottom"/>
            <w:hideMark/>
          </w:tcPr>
          <w:p w14:paraId="2E6DF8CA" w14:textId="6EA7533D"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153" w:type="pct"/>
            <w:tcBorders>
              <w:top w:val="nil"/>
              <w:left w:val="nil"/>
              <w:bottom w:val="nil"/>
              <w:right w:val="nil"/>
            </w:tcBorders>
            <w:shd w:val="clear" w:color="auto" w:fill="auto"/>
            <w:noWrap/>
            <w:vAlign w:val="bottom"/>
            <w:hideMark/>
          </w:tcPr>
          <w:p w14:paraId="4BEE3965"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single" w:sz="4" w:space="0" w:color="1B80C4"/>
              <w:right w:val="nil"/>
            </w:tcBorders>
            <w:shd w:val="clear" w:color="auto" w:fill="auto"/>
            <w:noWrap/>
            <w:vAlign w:val="bottom"/>
            <w:hideMark/>
          </w:tcPr>
          <w:p w14:paraId="0D1CB3A2" w14:textId="24313BC8"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r>
      <w:tr w:rsidR="005A73DC" w:rsidRPr="005A73DC" w14:paraId="09CA9F6A" w14:textId="77777777" w:rsidTr="00F456C5">
        <w:trPr>
          <w:trHeight w:val="240"/>
        </w:trPr>
        <w:tc>
          <w:tcPr>
            <w:tcW w:w="3062" w:type="pct"/>
            <w:tcBorders>
              <w:top w:val="nil"/>
              <w:left w:val="nil"/>
              <w:bottom w:val="nil"/>
              <w:right w:val="nil"/>
            </w:tcBorders>
            <w:shd w:val="clear" w:color="auto" w:fill="auto"/>
            <w:noWrap/>
            <w:vAlign w:val="center"/>
            <w:hideMark/>
          </w:tcPr>
          <w:p w14:paraId="7C98ED97" w14:textId="77777777" w:rsidR="005A73DC" w:rsidRPr="005A73DC" w:rsidRDefault="005A73DC" w:rsidP="005A73DC">
            <w:pPr>
              <w:spacing w:after="0" w:line="240" w:lineRule="auto"/>
              <w:rPr>
                <w:rFonts w:ascii="Segoe UI" w:eastAsia="Times New Roman" w:hAnsi="Segoe UI" w:cs="Segoe UI"/>
                <w:b/>
                <w:bCs/>
                <w:color w:val="000000"/>
                <w:sz w:val="18"/>
                <w:szCs w:val="18"/>
                <w:lang w:eastAsia="pt-BR"/>
              </w:rPr>
            </w:pPr>
            <w:r w:rsidRPr="005A73DC">
              <w:rPr>
                <w:rFonts w:ascii="Segoe UI" w:eastAsia="Times New Roman" w:hAnsi="Segoe UI" w:cs="Segoe UI"/>
                <w:b/>
                <w:bCs/>
                <w:color w:val="000000"/>
                <w:sz w:val="18"/>
                <w:szCs w:val="18"/>
                <w:lang w:eastAsia="pt-BR"/>
              </w:rPr>
              <w:t xml:space="preserve"> Resultado Financeiro </w:t>
            </w:r>
          </w:p>
        </w:tc>
        <w:tc>
          <w:tcPr>
            <w:tcW w:w="212" w:type="pct"/>
            <w:tcBorders>
              <w:top w:val="nil"/>
              <w:left w:val="nil"/>
              <w:bottom w:val="nil"/>
              <w:right w:val="nil"/>
            </w:tcBorders>
            <w:shd w:val="clear" w:color="auto" w:fill="auto"/>
            <w:noWrap/>
            <w:vAlign w:val="bottom"/>
            <w:hideMark/>
          </w:tcPr>
          <w:p w14:paraId="11DFB8F0" w14:textId="0FC16C34" w:rsidR="005A73DC" w:rsidRPr="005A73DC" w:rsidRDefault="005A73DC" w:rsidP="005A73DC">
            <w:pPr>
              <w:spacing w:after="0" w:line="240" w:lineRule="auto"/>
              <w:jc w:val="right"/>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27</w:t>
            </w:r>
          </w:p>
        </w:tc>
        <w:tc>
          <w:tcPr>
            <w:tcW w:w="807" w:type="pct"/>
            <w:tcBorders>
              <w:top w:val="single" w:sz="4" w:space="0" w:color="1B80C4"/>
              <w:left w:val="nil"/>
              <w:right w:val="nil"/>
            </w:tcBorders>
            <w:shd w:val="clear" w:color="auto" w:fill="auto"/>
            <w:noWrap/>
            <w:vAlign w:val="center"/>
            <w:hideMark/>
          </w:tcPr>
          <w:p w14:paraId="4EC6850F" w14:textId="798C48D7"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136.001</w:t>
            </w:r>
          </w:p>
        </w:tc>
        <w:tc>
          <w:tcPr>
            <w:tcW w:w="153" w:type="pct"/>
            <w:tcBorders>
              <w:top w:val="nil"/>
              <w:left w:val="nil"/>
              <w:bottom w:val="nil"/>
              <w:right w:val="nil"/>
            </w:tcBorders>
            <w:shd w:val="clear" w:color="auto" w:fill="auto"/>
            <w:noWrap/>
            <w:vAlign w:val="bottom"/>
            <w:hideMark/>
          </w:tcPr>
          <w:p w14:paraId="30EB814B"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765" w:type="pct"/>
            <w:tcBorders>
              <w:top w:val="nil"/>
              <w:left w:val="nil"/>
              <w:bottom w:val="nil"/>
              <w:right w:val="nil"/>
            </w:tcBorders>
            <w:shd w:val="clear" w:color="auto" w:fill="auto"/>
            <w:noWrap/>
            <w:vAlign w:val="center"/>
            <w:hideMark/>
          </w:tcPr>
          <w:p w14:paraId="55CBE2DA" w14:textId="2B7C8E61"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22.916</w:t>
            </w:r>
          </w:p>
        </w:tc>
      </w:tr>
      <w:tr w:rsidR="005A73DC" w:rsidRPr="005A73DC" w14:paraId="74E8A0E5" w14:textId="77777777" w:rsidTr="00F456C5">
        <w:trPr>
          <w:trHeight w:val="111"/>
        </w:trPr>
        <w:tc>
          <w:tcPr>
            <w:tcW w:w="3062" w:type="pct"/>
            <w:tcBorders>
              <w:top w:val="nil"/>
              <w:left w:val="nil"/>
              <w:bottom w:val="nil"/>
              <w:right w:val="nil"/>
            </w:tcBorders>
            <w:shd w:val="clear" w:color="auto" w:fill="auto"/>
            <w:noWrap/>
            <w:vAlign w:val="center"/>
            <w:hideMark/>
          </w:tcPr>
          <w:p w14:paraId="3D524D4C"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212" w:type="pct"/>
            <w:tcBorders>
              <w:top w:val="nil"/>
              <w:left w:val="nil"/>
              <w:bottom w:val="nil"/>
              <w:right w:val="nil"/>
            </w:tcBorders>
            <w:shd w:val="clear" w:color="auto" w:fill="auto"/>
            <w:noWrap/>
            <w:vAlign w:val="center"/>
            <w:hideMark/>
          </w:tcPr>
          <w:p w14:paraId="196C2165"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left w:val="nil"/>
              <w:bottom w:val="single" w:sz="4" w:space="0" w:color="1B80C4"/>
              <w:right w:val="nil"/>
            </w:tcBorders>
            <w:shd w:val="clear" w:color="auto" w:fill="auto"/>
            <w:noWrap/>
            <w:vAlign w:val="bottom"/>
            <w:hideMark/>
          </w:tcPr>
          <w:p w14:paraId="6449EFCA"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153" w:type="pct"/>
            <w:tcBorders>
              <w:top w:val="nil"/>
              <w:left w:val="nil"/>
              <w:bottom w:val="nil"/>
              <w:right w:val="nil"/>
            </w:tcBorders>
            <w:shd w:val="clear" w:color="auto" w:fill="auto"/>
            <w:noWrap/>
            <w:vAlign w:val="bottom"/>
            <w:hideMark/>
          </w:tcPr>
          <w:p w14:paraId="0380F8E5"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765" w:type="pct"/>
            <w:tcBorders>
              <w:top w:val="nil"/>
              <w:left w:val="nil"/>
              <w:bottom w:val="nil"/>
              <w:right w:val="nil"/>
            </w:tcBorders>
            <w:shd w:val="clear" w:color="auto" w:fill="auto"/>
            <w:noWrap/>
            <w:vAlign w:val="bottom"/>
            <w:hideMark/>
          </w:tcPr>
          <w:p w14:paraId="05D91ADF"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r>
      <w:tr w:rsidR="005A73DC" w:rsidRPr="005A73DC" w14:paraId="0A40EDA7" w14:textId="77777777" w:rsidTr="00F456C5">
        <w:trPr>
          <w:trHeight w:val="332"/>
        </w:trPr>
        <w:tc>
          <w:tcPr>
            <w:tcW w:w="3062" w:type="pct"/>
            <w:tcBorders>
              <w:top w:val="nil"/>
              <w:left w:val="nil"/>
              <w:bottom w:val="nil"/>
              <w:right w:val="nil"/>
            </w:tcBorders>
            <w:shd w:val="clear" w:color="auto" w:fill="auto"/>
            <w:noWrap/>
            <w:vAlign w:val="center"/>
            <w:hideMark/>
          </w:tcPr>
          <w:p w14:paraId="1B7160C3" w14:textId="77777777" w:rsidR="005A73DC" w:rsidRPr="005A73DC" w:rsidRDefault="005A73DC" w:rsidP="005A73DC">
            <w:pPr>
              <w:spacing w:after="0" w:line="240" w:lineRule="auto"/>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 xml:space="preserve"> RESULTADO OPERACIONAL ANTES DOS TRIBUTOS </w:t>
            </w:r>
          </w:p>
        </w:tc>
        <w:tc>
          <w:tcPr>
            <w:tcW w:w="212" w:type="pct"/>
            <w:tcBorders>
              <w:top w:val="nil"/>
              <w:left w:val="nil"/>
              <w:bottom w:val="nil"/>
              <w:right w:val="nil"/>
            </w:tcBorders>
            <w:shd w:val="clear" w:color="auto" w:fill="auto"/>
            <w:noWrap/>
            <w:vAlign w:val="bottom"/>
            <w:hideMark/>
          </w:tcPr>
          <w:p w14:paraId="6799DE25"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807" w:type="pct"/>
            <w:tcBorders>
              <w:top w:val="single" w:sz="4" w:space="0" w:color="1B80C4"/>
              <w:left w:val="nil"/>
              <w:bottom w:val="single" w:sz="4" w:space="0" w:color="1B80C4"/>
              <w:right w:val="nil"/>
            </w:tcBorders>
            <w:shd w:val="clear" w:color="auto" w:fill="auto"/>
            <w:noWrap/>
            <w:vAlign w:val="bottom"/>
            <w:hideMark/>
          </w:tcPr>
          <w:p w14:paraId="14EC3252" w14:textId="22987534" w:rsidR="005A73DC" w:rsidRPr="005A73DC" w:rsidRDefault="005A73DC" w:rsidP="005A73DC">
            <w:pPr>
              <w:spacing w:after="0" w:line="240" w:lineRule="auto"/>
              <w:jc w:val="right"/>
              <w:rPr>
                <w:rFonts w:ascii="Segoe UI" w:eastAsia="Times New Roman" w:hAnsi="Segoe UI" w:cs="Segoe UI"/>
                <w:b/>
                <w:bCs/>
                <w:color w:val="000000"/>
                <w:sz w:val="18"/>
                <w:szCs w:val="18"/>
                <w:lang w:eastAsia="pt-BR"/>
              </w:rPr>
            </w:pPr>
            <w:r w:rsidRPr="005A73DC">
              <w:rPr>
                <w:rFonts w:ascii="Segoe UI" w:eastAsia="Times New Roman" w:hAnsi="Segoe UI" w:cs="Segoe UI"/>
                <w:b/>
                <w:bCs/>
                <w:color w:val="000000"/>
                <w:sz w:val="18"/>
                <w:szCs w:val="18"/>
                <w:lang w:eastAsia="pt-BR"/>
              </w:rPr>
              <w:t>183.444</w:t>
            </w:r>
          </w:p>
        </w:tc>
        <w:tc>
          <w:tcPr>
            <w:tcW w:w="153" w:type="pct"/>
            <w:tcBorders>
              <w:top w:val="nil"/>
              <w:left w:val="nil"/>
              <w:bottom w:val="nil"/>
              <w:right w:val="nil"/>
            </w:tcBorders>
            <w:shd w:val="clear" w:color="auto" w:fill="auto"/>
            <w:noWrap/>
            <w:vAlign w:val="bottom"/>
            <w:hideMark/>
          </w:tcPr>
          <w:p w14:paraId="44533773" w14:textId="77777777" w:rsidR="005A73DC" w:rsidRPr="005A73DC" w:rsidRDefault="005A73DC" w:rsidP="005A73DC">
            <w:pPr>
              <w:spacing w:after="0" w:line="240" w:lineRule="auto"/>
              <w:jc w:val="right"/>
              <w:rPr>
                <w:rFonts w:ascii="Segoe UI" w:eastAsia="Times New Roman" w:hAnsi="Segoe UI" w:cs="Segoe UI"/>
                <w:b/>
                <w:bCs/>
                <w:color w:val="000000"/>
                <w:sz w:val="18"/>
                <w:szCs w:val="18"/>
                <w:lang w:eastAsia="pt-BR"/>
              </w:rPr>
            </w:pPr>
          </w:p>
        </w:tc>
        <w:tc>
          <w:tcPr>
            <w:tcW w:w="765" w:type="pct"/>
            <w:tcBorders>
              <w:top w:val="single" w:sz="4" w:space="0" w:color="1B80C4"/>
              <w:left w:val="nil"/>
              <w:bottom w:val="single" w:sz="4" w:space="0" w:color="1B80C4"/>
              <w:right w:val="nil"/>
            </w:tcBorders>
            <w:shd w:val="clear" w:color="auto" w:fill="auto"/>
            <w:noWrap/>
            <w:vAlign w:val="bottom"/>
            <w:hideMark/>
          </w:tcPr>
          <w:p w14:paraId="47831171" w14:textId="29C48046" w:rsidR="005A73DC" w:rsidRPr="005A73DC" w:rsidRDefault="005A73DC" w:rsidP="005A73DC">
            <w:pPr>
              <w:spacing w:after="0" w:line="240" w:lineRule="auto"/>
              <w:jc w:val="right"/>
              <w:rPr>
                <w:rFonts w:ascii="Segoe UI" w:eastAsia="Times New Roman" w:hAnsi="Segoe UI" w:cs="Segoe UI"/>
                <w:b/>
                <w:bCs/>
                <w:color w:val="000000"/>
                <w:sz w:val="18"/>
                <w:szCs w:val="18"/>
                <w:lang w:eastAsia="pt-BR"/>
              </w:rPr>
            </w:pPr>
            <w:r w:rsidRPr="005A73DC">
              <w:rPr>
                <w:rFonts w:ascii="Segoe UI" w:eastAsia="Times New Roman" w:hAnsi="Segoe UI" w:cs="Segoe UI"/>
                <w:b/>
                <w:bCs/>
                <w:color w:val="000000"/>
                <w:sz w:val="18"/>
                <w:szCs w:val="18"/>
                <w:lang w:eastAsia="pt-BR"/>
              </w:rPr>
              <w:t>236.992</w:t>
            </w:r>
          </w:p>
        </w:tc>
      </w:tr>
      <w:tr w:rsidR="005A73DC" w:rsidRPr="005A73DC" w14:paraId="603F012B" w14:textId="77777777" w:rsidTr="00F456C5">
        <w:trPr>
          <w:trHeight w:val="240"/>
        </w:trPr>
        <w:tc>
          <w:tcPr>
            <w:tcW w:w="3062" w:type="pct"/>
            <w:tcBorders>
              <w:top w:val="nil"/>
              <w:left w:val="nil"/>
              <w:bottom w:val="nil"/>
              <w:right w:val="nil"/>
            </w:tcBorders>
            <w:shd w:val="clear" w:color="auto" w:fill="auto"/>
            <w:noWrap/>
            <w:vAlign w:val="center"/>
            <w:hideMark/>
          </w:tcPr>
          <w:p w14:paraId="790A3EEF" w14:textId="77777777" w:rsidR="005A73DC" w:rsidRPr="005A73DC" w:rsidRDefault="005A73DC" w:rsidP="005A73DC">
            <w:pPr>
              <w:spacing w:after="0" w:line="240" w:lineRule="auto"/>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Imposto de renda e contribuição social corrente </w:t>
            </w:r>
          </w:p>
        </w:tc>
        <w:tc>
          <w:tcPr>
            <w:tcW w:w="212" w:type="pct"/>
            <w:tcBorders>
              <w:top w:val="nil"/>
              <w:left w:val="nil"/>
              <w:bottom w:val="nil"/>
              <w:right w:val="nil"/>
            </w:tcBorders>
            <w:shd w:val="clear" w:color="auto" w:fill="auto"/>
            <w:noWrap/>
            <w:vAlign w:val="bottom"/>
            <w:hideMark/>
          </w:tcPr>
          <w:p w14:paraId="191D4DF7" w14:textId="04E3E5E8" w:rsidR="005A73DC" w:rsidRPr="005A73DC" w:rsidRDefault="005A73DC" w:rsidP="005A73DC">
            <w:pPr>
              <w:spacing w:after="0" w:line="240" w:lineRule="auto"/>
              <w:jc w:val="right"/>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8</w:t>
            </w:r>
          </w:p>
        </w:tc>
        <w:tc>
          <w:tcPr>
            <w:tcW w:w="807" w:type="pct"/>
            <w:tcBorders>
              <w:top w:val="single" w:sz="4" w:space="0" w:color="1B80C4"/>
              <w:left w:val="nil"/>
              <w:bottom w:val="nil"/>
              <w:right w:val="nil"/>
            </w:tcBorders>
            <w:shd w:val="clear" w:color="auto" w:fill="auto"/>
            <w:noWrap/>
            <w:vAlign w:val="center"/>
            <w:hideMark/>
          </w:tcPr>
          <w:p w14:paraId="1444A904" w14:textId="6B384A60"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(56.228)</w:t>
            </w:r>
          </w:p>
        </w:tc>
        <w:tc>
          <w:tcPr>
            <w:tcW w:w="153" w:type="pct"/>
            <w:tcBorders>
              <w:top w:val="nil"/>
              <w:left w:val="nil"/>
              <w:bottom w:val="nil"/>
              <w:right w:val="nil"/>
            </w:tcBorders>
            <w:shd w:val="clear" w:color="auto" w:fill="auto"/>
            <w:noWrap/>
            <w:vAlign w:val="bottom"/>
            <w:hideMark/>
          </w:tcPr>
          <w:p w14:paraId="2914BF58"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single" w:sz="4" w:space="0" w:color="1B80C4"/>
              <w:left w:val="nil"/>
              <w:bottom w:val="nil"/>
              <w:right w:val="nil"/>
            </w:tcBorders>
            <w:shd w:val="clear" w:color="auto" w:fill="auto"/>
            <w:noWrap/>
            <w:vAlign w:val="bottom"/>
            <w:hideMark/>
          </w:tcPr>
          <w:p w14:paraId="1BFD51FC" w14:textId="48CEFD29"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(174.452)</w:t>
            </w:r>
          </w:p>
        </w:tc>
      </w:tr>
      <w:tr w:rsidR="005A73DC" w:rsidRPr="005A73DC" w14:paraId="777AC951" w14:textId="77777777" w:rsidTr="00F456C5">
        <w:trPr>
          <w:trHeight w:val="240"/>
        </w:trPr>
        <w:tc>
          <w:tcPr>
            <w:tcW w:w="3062" w:type="pct"/>
            <w:tcBorders>
              <w:top w:val="nil"/>
              <w:left w:val="nil"/>
              <w:bottom w:val="nil"/>
              <w:right w:val="nil"/>
            </w:tcBorders>
            <w:shd w:val="clear" w:color="auto" w:fill="auto"/>
            <w:noWrap/>
            <w:vAlign w:val="center"/>
            <w:hideMark/>
          </w:tcPr>
          <w:p w14:paraId="6C1CB98B" w14:textId="77777777" w:rsidR="005A73DC" w:rsidRPr="005A73DC" w:rsidRDefault="005A73DC" w:rsidP="005A73DC">
            <w:pPr>
              <w:spacing w:after="0" w:line="240" w:lineRule="auto"/>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Imposto de renda e contribuição social diferido </w:t>
            </w:r>
          </w:p>
        </w:tc>
        <w:tc>
          <w:tcPr>
            <w:tcW w:w="212" w:type="pct"/>
            <w:tcBorders>
              <w:top w:val="nil"/>
              <w:left w:val="nil"/>
              <w:bottom w:val="nil"/>
              <w:right w:val="nil"/>
            </w:tcBorders>
            <w:shd w:val="clear" w:color="auto" w:fill="auto"/>
            <w:noWrap/>
            <w:vAlign w:val="bottom"/>
            <w:hideMark/>
          </w:tcPr>
          <w:p w14:paraId="2506EB0E" w14:textId="5FAB6B16" w:rsidR="005A73DC" w:rsidRPr="005A73DC" w:rsidRDefault="005A73DC" w:rsidP="005A73DC">
            <w:pPr>
              <w:spacing w:after="0" w:line="240" w:lineRule="auto"/>
              <w:jc w:val="right"/>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8</w:t>
            </w:r>
          </w:p>
        </w:tc>
        <w:tc>
          <w:tcPr>
            <w:tcW w:w="807" w:type="pct"/>
            <w:tcBorders>
              <w:top w:val="nil"/>
              <w:left w:val="nil"/>
              <w:bottom w:val="nil"/>
              <w:right w:val="nil"/>
            </w:tcBorders>
            <w:shd w:val="clear" w:color="auto" w:fill="auto"/>
            <w:noWrap/>
            <w:vAlign w:val="center"/>
            <w:hideMark/>
          </w:tcPr>
          <w:p w14:paraId="15743EBF" w14:textId="44DF2664"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(21.321)</w:t>
            </w:r>
          </w:p>
        </w:tc>
        <w:tc>
          <w:tcPr>
            <w:tcW w:w="153" w:type="pct"/>
            <w:tcBorders>
              <w:top w:val="nil"/>
              <w:left w:val="nil"/>
              <w:bottom w:val="nil"/>
              <w:right w:val="nil"/>
            </w:tcBorders>
            <w:shd w:val="clear" w:color="auto" w:fill="auto"/>
            <w:noWrap/>
            <w:vAlign w:val="bottom"/>
            <w:hideMark/>
          </w:tcPr>
          <w:p w14:paraId="2797E3E1"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nil"/>
              <w:right w:val="nil"/>
            </w:tcBorders>
            <w:shd w:val="clear" w:color="auto" w:fill="auto"/>
            <w:noWrap/>
            <w:vAlign w:val="bottom"/>
            <w:hideMark/>
          </w:tcPr>
          <w:p w14:paraId="090DF4F3" w14:textId="54AD3C2A"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(21.321)</w:t>
            </w:r>
          </w:p>
        </w:tc>
      </w:tr>
      <w:tr w:rsidR="005A73DC" w:rsidRPr="005A73DC" w14:paraId="1F526B11" w14:textId="77777777" w:rsidTr="00F456C5">
        <w:trPr>
          <w:trHeight w:val="80"/>
        </w:trPr>
        <w:tc>
          <w:tcPr>
            <w:tcW w:w="3062" w:type="pct"/>
            <w:tcBorders>
              <w:top w:val="nil"/>
              <w:left w:val="nil"/>
              <w:bottom w:val="nil"/>
              <w:right w:val="nil"/>
            </w:tcBorders>
            <w:shd w:val="clear" w:color="auto" w:fill="auto"/>
            <w:noWrap/>
            <w:vAlign w:val="center"/>
            <w:hideMark/>
          </w:tcPr>
          <w:p w14:paraId="3C8A2DB9" w14:textId="77777777" w:rsidR="005A73DC" w:rsidRPr="005A73DC" w:rsidRDefault="005A73DC" w:rsidP="005A73DC">
            <w:pPr>
              <w:spacing w:after="0" w:line="240" w:lineRule="auto"/>
              <w:rPr>
                <w:rFonts w:ascii="Segoe UI" w:eastAsia="Times New Roman" w:hAnsi="Segoe UI" w:cs="Segoe UI"/>
                <w:color w:val="000000"/>
                <w:sz w:val="18"/>
                <w:szCs w:val="18"/>
                <w:lang w:eastAsia="pt-BR"/>
              </w:rPr>
            </w:pPr>
          </w:p>
        </w:tc>
        <w:tc>
          <w:tcPr>
            <w:tcW w:w="212" w:type="pct"/>
            <w:tcBorders>
              <w:top w:val="nil"/>
              <w:left w:val="nil"/>
              <w:bottom w:val="nil"/>
              <w:right w:val="nil"/>
            </w:tcBorders>
            <w:shd w:val="clear" w:color="auto" w:fill="auto"/>
            <w:noWrap/>
            <w:vAlign w:val="bottom"/>
            <w:hideMark/>
          </w:tcPr>
          <w:p w14:paraId="1C08F172" w14:textId="77777777" w:rsidR="005A73DC" w:rsidRPr="005A73DC" w:rsidRDefault="005A73DC" w:rsidP="005A73DC">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single" w:sz="4" w:space="0" w:color="1B80C4"/>
              <w:right w:val="nil"/>
            </w:tcBorders>
            <w:shd w:val="clear" w:color="auto" w:fill="auto"/>
            <w:noWrap/>
            <w:vAlign w:val="bottom"/>
            <w:hideMark/>
          </w:tcPr>
          <w:p w14:paraId="1E2350B9" w14:textId="14E9E868"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153" w:type="pct"/>
            <w:tcBorders>
              <w:top w:val="nil"/>
              <w:left w:val="nil"/>
              <w:bottom w:val="nil"/>
              <w:right w:val="nil"/>
            </w:tcBorders>
            <w:shd w:val="clear" w:color="auto" w:fill="auto"/>
            <w:noWrap/>
            <w:vAlign w:val="bottom"/>
            <w:hideMark/>
          </w:tcPr>
          <w:p w14:paraId="4BDC866C" w14:textId="77777777"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c>
          <w:tcPr>
            <w:tcW w:w="765" w:type="pct"/>
            <w:tcBorders>
              <w:top w:val="nil"/>
              <w:left w:val="nil"/>
              <w:bottom w:val="single" w:sz="4" w:space="0" w:color="1B80C4"/>
              <w:right w:val="nil"/>
            </w:tcBorders>
            <w:shd w:val="clear" w:color="auto" w:fill="auto"/>
            <w:noWrap/>
            <w:vAlign w:val="bottom"/>
            <w:hideMark/>
          </w:tcPr>
          <w:p w14:paraId="661DC66F" w14:textId="6C85ACC1" w:rsidR="005A73DC" w:rsidRPr="005A73DC" w:rsidRDefault="005A73DC" w:rsidP="005A73DC">
            <w:pPr>
              <w:spacing w:after="0" w:line="240" w:lineRule="auto"/>
              <w:jc w:val="right"/>
              <w:rPr>
                <w:rFonts w:ascii="Segoe UI" w:eastAsia="Times New Roman" w:hAnsi="Segoe UI" w:cs="Segoe UI"/>
                <w:color w:val="000000"/>
                <w:sz w:val="18"/>
                <w:szCs w:val="18"/>
                <w:lang w:eastAsia="pt-BR"/>
              </w:rPr>
            </w:pPr>
          </w:p>
        </w:tc>
      </w:tr>
      <w:tr w:rsidR="005A73DC" w:rsidRPr="005A73DC" w14:paraId="15EF6826" w14:textId="77777777" w:rsidTr="00F456C5">
        <w:trPr>
          <w:trHeight w:val="255"/>
        </w:trPr>
        <w:tc>
          <w:tcPr>
            <w:tcW w:w="3062" w:type="pct"/>
            <w:tcBorders>
              <w:top w:val="nil"/>
              <w:left w:val="nil"/>
              <w:bottom w:val="nil"/>
              <w:right w:val="nil"/>
            </w:tcBorders>
            <w:shd w:val="clear" w:color="auto" w:fill="auto"/>
            <w:noWrap/>
            <w:vAlign w:val="center"/>
            <w:hideMark/>
          </w:tcPr>
          <w:p w14:paraId="37E21D61" w14:textId="77777777" w:rsidR="005A73DC" w:rsidRPr="005A73DC" w:rsidRDefault="005A73DC" w:rsidP="005A73DC">
            <w:pPr>
              <w:spacing w:after="0" w:line="240" w:lineRule="auto"/>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 xml:space="preserve"> LUCRO DO EXERCÍCIO </w:t>
            </w:r>
          </w:p>
        </w:tc>
        <w:tc>
          <w:tcPr>
            <w:tcW w:w="212" w:type="pct"/>
            <w:tcBorders>
              <w:top w:val="nil"/>
              <w:left w:val="nil"/>
              <w:bottom w:val="nil"/>
              <w:right w:val="nil"/>
            </w:tcBorders>
            <w:shd w:val="clear" w:color="auto" w:fill="auto"/>
            <w:noWrap/>
            <w:vAlign w:val="bottom"/>
            <w:hideMark/>
          </w:tcPr>
          <w:p w14:paraId="788DE089"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807" w:type="pct"/>
            <w:tcBorders>
              <w:top w:val="nil"/>
              <w:left w:val="nil"/>
              <w:bottom w:val="double" w:sz="6" w:space="0" w:color="1B80C4"/>
              <w:right w:val="nil"/>
            </w:tcBorders>
            <w:shd w:val="clear" w:color="auto" w:fill="auto"/>
            <w:noWrap/>
            <w:vAlign w:val="center"/>
            <w:hideMark/>
          </w:tcPr>
          <w:p w14:paraId="75EBE0DA" w14:textId="2717E82E"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105.895</w:t>
            </w:r>
          </w:p>
        </w:tc>
        <w:tc>
          <w:tcPr>
            <w:tcW w:w="153" w:type="pct"/>
            <w:tcBorders>
              <w:top w:val="nil"/>
              <w:left w:val="nil"/>
              <w:bottom w:val="nil"/>
              <w:right w:val="nil"/>
            </w:tcBorders>
            <w:shd w:val="clear" w:color="auto" w:fill="auto"/>
            <w:noWrap/>
            <w:vAlign w:val="bottom"/>
            <w:hideMark/>
          </w:tcPr>
          <w:p w14:paraId="751DF969" w14:textId="77777777" w:rsidR="005A73DC" w:rsidRPr="005A73DC" w:rsidRDefault="005A73DC" w:rsidP="005A73DC">
            <w:pPr>
              <w:spacing w:after="0" w:line="240" w:lineRule="auto"/>
              <w:jc w:val="right"/>
              <w:rPr>
                <w:rFonts w:ascii="Segoe UI" w:eastAsia="Times New Roman" w:hAnsi="Segoe UI" w:cs="Segoe UI"/>
                <w:b/>
                <w:bCs/>
                <w:sz w:val="18"/>
                <w:szCs w:val="18"/>
                <w:lang w:eastAsia="pt-BR"/>
              </w:rPr>
            </w:pPr>
          </w:p>
        </w:tc>
        <w:tc>
          <w:tcPr>
            <w:tcW w:w="765" w:type="pct"/>
            <w:tcBorders>
              <w:top w:val="nil"/>
              <w:left w:val="nil"/>
              <w:bottom w:val="double" w:sz="6" w:space="0" w:color="1B80C4"/>
              <w:right w:val="nil"/>
            </w:tcBorders>
            <w:shd w:val="clear" w:color="auto" w:fill="auto"/>
            <w:noWrap/>
            <w:vAlign w:val="center"/>
            <w:hideMark/>
          </w:tcPr>
          <w:p w14:paraId="19F638D8" w14:textId="1414287E" w:rsidR="005A73DC" w:rsidRPr="005A73DC" w:rsidRDefault="005A73DC" w:rsidP="005A73DC">
            <w:pPr>
              <w:spacing w:after="0" w:line="240" w:lineRule="auto"/>
              <w:jc w:val="right"/>
              <w:rPr>
                <w:rFonts w:ascii="Segoe UI" w:eastAsia="Times New Roman" w:hAnsi="Segoe UI" w:cs="Segoe UI"/>
                <w:b/>
                <w:bCs/>
                <w:sz w:val="18"/>
                <w:szCs w:val="18"/>
                <w:lang w:eastAsia="pt-BR"/>
              </w:rPr>
            </w:pPr>
            <w:r w:rsidRPr="005A73DC">
              <w:rPr>
                <w:rFonts w:ascii="Segoe UI" w:eastAsia="Times New Roman" w:hAnsi="Segoe UI" w:cs="Segoe UI"/>
                <w:b/>
                <w:bCs/>
                <w:sz w:val="18"/>
                <w:szCs w:val="18"/>
                <w:lang w:eastAsia="pt-BR"/>
              </w:rPr>
              <w:t>41.219</w:t>
            </w:r>
          </w:p>
        </w:tc>
      </w:tr>
      <w:tr w:rsidR="005A73DC" w:rsidRPr="005A73DC" w14:paraId="2C6B873D" w14:textId="77777777" w:rsidTr="00F456C5">
        <w:trPr>
          <w:trHeight w:val="240"/>
        </w:trPr>
        <w:tc>
          <w:tcPr>
            <w:tcW w:w="3062" w:type="pct"/>
            <w:tcBorders>
              <w:top w:val="nil"/>
              <w:left w:val="nil"/>
              <w:bottom w:val="nil"/>
              <w:right w:val="nil"/>
            </w:tcBorders>
            <w:shd w:val="clear" w:color="auto" w:fill="auto"/>
            <w:noWrap/>
            <w:vAlign w:val="center"/>
            <w:hideMark/>
          </w:tcPr>
          <w:p w14:paraId="39CD561B" w14:textId="77777777" w:rsidR="005A73DC" w:rsidRPr="005A73DC" w:rsidRDefault="005A73DC" w:rsidP="005A73DC">
            <w:pPr>
              <w:spacing w:after="0" w:line="240" w:lineRule="auto"/>
              <w:outlineLvl w:val="0"/>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Atribuível a: </w:t>
            </w:r>
          </w:p>
        </w:tc>
        <w:tc>
          <w:tcPr>
            <w:tcW w:w="212" w:type="pct"/>
            <w:tcBorders>
              <w:top w:val="nil"/>
              <w:left w:val="nil"/>
              <w:bottom w:val="nil"/>
              <w:right w:val="nil"/>
            </w:tcBorders>
            <w:shd w:val="clear" w:color="auto" w:fill="auto"/>
            <w:noWrap/>
            <w:vAlign w:val="bottom"/>
            <w:hideMark/>
          </w:tcPr>
          <w:p w14:paraId="156D0A7A" w14:textId="77777777" w:rsidR="005A73DC" w:rsidRPr="005A73DC" w:rsidRDefault="005A73DC" w:rsidP="005A73DC">
            <w:pPr>
              <w:spacing w:after="0" w:line="240" w:lineRule="auto"/>
              <w:outlineLvl w:val="0"/>
              <w:rPr>
                <w:rFonts w:ascii="Segoe UI" w:eastAsia="Times New Roman" w:hAnsi="Segoe UI" w:cs="Segoe UI"/>
                <w:sz w:val="18"/>
                <w:szCs w:val="18"/>
                <w:lang w:eastAsia="pt-BR"/>
              </w:rPr>
            </w:pPr>
          </w:p>
        </w:tc>
        <w:tc>
          <w:tcPr>
            <w:tcW w:w="807" w:type="pct"/>
            <w:tcBorders>
              <w:top w:val="nil"/>
              <w:left w:val="nil"/>
              <w:bottom w:val="nil"/>
              <w:right w:val="nil"/>
            </w:tcBorders>
            <w:shd w:val="clear" w:color="auto" w:fill="auto"/>
            <w:noWrap/>
            <w:vAlign w:val="bottom"/>
            <w:hideMark/>
          </w:tcPr>
          <w:p w14:paraId="1337946F" w14:textId="77777777" w:rsidR="005A73DC" w:rsidRPr="005A73DC" w:rsidRDefault="005A73DC" w:rsidP="005A73DC">
            <w:pPr>
              <w:spacing w:after="0" w:line="240" w:lineRule="auto"/>
              <w:outlineLvl w:val="0"/>
              <w:rPr>
                <w:rFonts w:ascii="Times New Roman" w:eastAsia="Times New Roman" w:hAnsi="Times New Roman" w:cs="Times New Roman"/>
                <w:sz w:val="20"/>
                <w:szCs w:val="20"/>
                <w:lang w:eastAsia="pt-BR"/>
              </w:rPr>
            </w:pPr>
          </w:p>
        </w:tc>
        <w:tc>
          <w:tcPr>
            <w:tcW w:w="153" w:type="pct"/>
            <w:tcBorders>
              <w:top w:val="nil"/>
              <w:left w:val="nil"/>
              <w:bottom w:val="nil"/>
              <w:right w:val="nil"/>
            </w:tcBorders>
            <w:shd w:val="clear" w:color="auto" w:fill="auto"/>
            <w:noWrap/>
            <w:vAlign w:val="bottom"/>
            <w:hideMark/>
          </w:tcPr>
          <w:p w14:paraId="56461CF2" w14:textId="77777777" w:rsidR="005A73DC" w:rsidRPr="005A73DC" w:rsidRDefault="005A73DC" w:rsidP="005A73DC">
            <w:pPr>
              <w:spacing w:after="0" w:line="240" w:lineRule="auto"/>
              <w:outlineLvl w:val="0"/>
              <w:rPr>
                <w:rFonts w:ascii="Times New Roman" w:eastAsia="Times New Roman" w:hAnsi="Times New Roman" w:cs="Times New Roman"/>
                <w:sz w:val="20"/>
                <w:szCs w:val="20"/>
                <w:lang w:eastAsia="pt-BR"/>
              </w:rPr>
            </w:pPr>
          </w:p>
        </w:tc>
        <w:tc>
          <w:tcPr>
            <w:tcW w:w="765" w:type="pct"/>
            <w:tcBorders>
              <w:top w:val="nil"/>
              <w:left w:val="nil"/>
              <w:bottom w:val="nil"/>
              <w:right w:val="nil"/>
            </w:tcBorders>
            <w:shd w:val="clear" w:color="auto" w:fill="auto"/>
            <w:noWrap/>
            <w:vAlign w:val="bottom"/>
            <w:hideMark/>
          </w:tcPr>
          <w:p w14:paraId="5AD159B6" w14:textId="77777777" w:rsidR="005A73DC" w:rsidRPr="005A73DC" w:rsidRDefault="005A73DC" w:rsidP="005A73DC">
            <w:pPr>
              <w:spacing w:after="0" w:line="240" w:lineRule="auto"/>
              <w:outlineLvl w:val="0"/>
              <w:rPr>
                <w:rFonts w:ascii="Times New Roman" w:eastAsia="Times New Roman" w:hAnsi="Times New Roman" w:cs="Times New Roman"/>
                <w:sz w:val="20"/>
                <w:szCs w:val="20"/>
                <w:lang w:eastAsia="pt-BR"/>
              </w:rPr>
            </w:pPr>
          </w:p>
        </w:tc>
      </w:tr>
      <w:tr w:rsidR="005A73DC" w:rsidRPr="005A73DC" w14:paraId="2068A9DD" w14:textId="77777777" w:rsidTr="00F456C5">
        <w:trPr>
          <w:trHeight w:val="240"/>
        </w:trPr>
        <w:tc>
          <w:tcPr>
            <w:tcW w:w="3062" w:type="pct"/>
            <w:tcBorders>
              <w:top w:val="nil"/>
              <w:left w:val="nil"/>
              <w:bottom w:val="nil"/>
              <w:right w:val="nil"/>
            </w:tcBorders>
            <w:shd w:val="clear" w:color="auto" w:fill="auto"/>
            <w:noWrap/>
            <w:vAlign w:val="center"/>
            <w:hideMark/>
          </w:tcPr>
          <w:p w14:paraId="34300D1F" w14:textId="77777777" w:rsidR="005A73DC" w:rsidRPr="005A73DC" w:rsidRDefault="005A73DC" w:rsidP="005A73DC">
            <w:pPr>
              <w:spacing w:after="0" w:line="240" w:lineRule="auto"/>
              <w:ind w:firstLineChars="100" w:firstLine="180"/>
              <w:outlineLvl w:val="0"/>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Acionistas controladores </w:t>
            </w:r>
          </w:p>
        </w:tc>
        <w:tc>
          <w:tcPr>
            <w:tcW w:w="212" w:type="pct"/>
            <w:tcBorders>
              <w:top w:val="nil"/>
              <w:left w:val="nil"/>
              <w:bottom w:val="nil"/>
              <w:right w:val="nil"/>
            </w:tcBorders>
            <w:shd w:val="clear" w:color="auto" w:fill="auto"/>
            <w:noWrap/>
            <w:vAlign w:val="bottom"/>
            <w:hideMark/>
          </w:tcPr>
          <w:p w14:paraId="32742F8F" w14:textId="77777777" w:rsidR="005A73DC" w:rsidRPr="005A73DC" w:rsidRDefault="005A73DC" w:rsidP="005A73DC">
            <w:pPr>
              <w:spacing w:after="0" w:line="240" w:lineRule="auto"/>
              <w:ind w:firstLineChars="100" w:firstLine="180"/>
              <w:outlineLvl w:val="0"/>
              <w:rPr>
                <w:rFonts w:ascii="Segoe UI" w:eastAsia="Times New Roman" w:hAnsi="Segoe UI" w:cs="Segoe UI"/>
                <w:sz w:val="18"/>
                <w:szCs w:val="18"/>
                <w:lang w:eastAsia="pt-BR"/>
              </w:rPr>
            </w:pPr>
          </w:p>
        </w:tc>
        <w:tc>
          <w:tcPr>
            <w:tcW w:w="807" w:type="pct"/>
            <w:tcBorders>
              <w:top w:val="nil"/>
              <w:left w:val="nil"/>
              <w:bottom w:val="nil"/>
              <w:right w:val="nil"/>
            </w:tcBorders>
            <w:shd w:val="clear" w:color="auto" w:fill="auto"/>
            <w:noWrap/>
            <w:vAlign w:val="bottom"/>
            <w:hideMark/>
          </w:tcPr>
          <w:p w14:paraId="2E515DDD" w14:textId="77777777" w:rsidR="005A73DC" w:rsidRPr="005A73DC" w:rsidRDefault="005A73DC" w:rsidP="005A73DC">
            <w:pPr>
              <w:spacing w:after="0" w:line="240" w:lineRule="auto"/>
              <w:outlineLvl w:val="0"/>
              <w:rPr>
                <w:rFonts w:ascii="Segoe UI" w:eastAsia="Times New Roman" w:hAnsi="Segoe UI" w:cs="Segoe UI"/>
                <w:color w:val="FFFFFF"/>
                <w:sz w:val="18"/>
                <w:szCs w:val="18"/>
                <w:lang w:eastAsia="pt-BR"/>
              </w:rPr>
            </w:pPr>
            <w:r w:rsidRPr="005A73DC">
              <w:rPr>
                <w:rFonts w:ascii="Segoe UI" w:eastAsia="Times New Roman" w:hAnsi="Segoe UI" w:cs="Segoe UI"/>
                <w:color w:val="FFFFFF"/>
                <w:sz w:val="18"/>
                <w:szCs w:val="18"/>
                <w:lang w:eastAsia="pt-BR"/>
              </w:rPr>
              <w:t xml:space="preserve">              105.895 </w:t>
            </w:r>
          </w:p>
        </w:tc>
        <w:tc>
          <w:tcPr>
            <w:tcW w:w="153" w:type="pct"/>
            <w:tcBorders>
              <w:top w:val="nil"/>
              <w:left w:val="nil"/>
              <w:bottom w:val="nil"/>
              <w:right w:val="nil"/>
            </w:tcBorders>
            <w:shd w:val="clear" w:color="auto" w:fill="auto"/>
            <w:noWrap/>
            <w:vAlign w:val="bottom"/>
            <w:hideMark/>
          </w:tcPr>
          <w:p w14:paraId="028AA3C2" w14:textId="77777777" w:rsidR="005A73DC" w:rsidRPr="005A73DC" w:rsidRDefault="005A73DC" w:rsidP="005A73DC">
            <w:pPr>
              <w:spacing w:after="0" w:line="240" w:lineRule="auto"/>
              <w:outlineLvl w:val="0"/>
              <w:rPr>
                <w:rFonts w:ascii="Segoe UI" w:eastAsia="Times New Roman" w:hAnsi="Segoe UI" w:cs="Segoe UI"/>
                <w:color w:val="FFFFFF"/>
                <w:sz w:val="18"/>
                <w:szCs w:val="18"/>
                <w:lang w:eastAsia="pt-BR"/>
              </w:rPr>
            </w:pPr>
          </w:p>
        </w:tc>
        <w:tc>
          <w:tcPr>
            <w:tcW w:w="765" w:type="pct"/>
            <w:tcBorders>
              <w:top w:val="nil"/>
              <w:left w:val="nil"/>
              <w:bottom w:val="nil"/>
              <w:right w:val="nil"/>
            </w:tcBorders>
            <w:shd w:val="clear" w:color="auto" w:fill="auto"/>
            <w:noWrap/>
            <w:vAlign w:val="bottom"/>
            <w:hideMark/>
          </w:tcPr>
          <w:p w14:paraId="1BB8ECFF" w14:textId="77777777" w:rsidR="005A73DC" w:rsidRPr="005A73DC" w:rsidRDefault="005A73DC" w:rsidP="005A73DC">
            <w:pPr>
              <w:spacing w:after="0" w:line="240" w:lineRule="auto"/>
              <w:jc w:val="right"/>
              <w:outlineLvl w:val="0"/>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 xml:space="preserve">           105.895 </w:t>
            </w:r>
          </w:p>
        </w:tc>
      </w:tr>
      <w:tr w:rsidR="005A73DC" w:rsidRPr="005A73DC" w14:paraId="22C39528" w14:textId="77777777" w:rsidTr="00F456C5">
        <w:trPr>
          <w:trHeight w:val="240"/>
        </w:trPr>
        <w:tc>
          <w:tcPr>
            <w:tcW w:w="3062" w:type="pct"/>
            <w:tcBorders>
              <w:top w:val="nil"/>
              <w:left w:val="nil"/>
              <w:bottom w:val="nil"/>
              <w:right w:val="nil"/>
            </w:tcBorders>
            <w:shd w:val="clear" w:color="auto" w:fill="auto"/>
            <w:noWrap/>
            <w:vAlign w:val="center"/>
            <w:hideMark/>
          </w:tcPr>
          <w:p w14:paraId="6A4948BE" w14:textId="77777777" w:rsidR="005A73DC" w:rsidRPr="005A73DC" w:rsidRDefault="005A73DC" w:rsidP="005A73DC">
            <w:pPr>
              <w:spacing w:after="0" w:line="240" w:lineRule="auto"/>
              <w:ind w:firstLineChars="100" w:firstLine="180"/>
              <w:outlineLvl w:val="0"/>
              <w:rPr>
                <w:rFonts w:ascii="Segoe UI" w:eastAsia="Times New Roman" w:hAnsi="Segoe UI" w:cs="Segoe UI"/>
                <w:sz w:val="18"/>
                <w:szCs w:val="18"/>
                <w:lang w:eastAsia="pt-BR"/>
              </w:rPr>
            </w:pPr>
            <w:r w:rsidRPr="005A73DC">
              <w:rPr>
                <w:rFonts w:ascii="Segoe UI" w:eastAsia="Times New Roman" w:hAnsi="Segoe UI" w:cs="Segoe UI"/>
                <w:sz w:val="18"/>
                <w:szCs w:val="18"/>
                <w:lang w:eastAsia="pt-BR"/>
              </w:rPr>
              <w:t xml:space="preserve"> Participação dos não controladores </w:t>
            </w:r>
          </w:p>
        </w:tc>
        <w:tc>
          <w:tcPr>
            <w:tcW w:w="212" w:type="pct"/>
            <w:tcBorders>
              <w:top w:val="nil"/>
              <w:left w:val="nil"/>
              <w:bottom w:val="nil"/>
              <w:right w:val="nil"/>
            </w:tcBorders>
            <w:shd w:val="clear" w:color="auto" w:fill="auto"/>
            <w:noWrap/>
            <w:vAlign w:val="bottom"/>
            <w:hideMark/>
          </w:tcPr>
          <w:p w14:paraId="1878897A" w14:textId="77777777" w:rsidR="005A73DC" w:rsidRPr="005A73DC" w:rsidRDefault="005A73DC" w:rsidP="005A73DC">
            <w:pPr>
              <w:spacing w:after="0" w:line="240" w:lineRule="auto"/>
              <w:ind w:firstLineChars="100" w:firstLine="180"/>
              <w:outlineLvl w:val="0"/>
              <w:rPr>
                <w:rFonts w:ascii="Segoe UI" w:eastAsia="Times New Roman" w:hAnsi="Segoe UI" w:cs="Segoe UI"/>
                <w:sz w:val="18"/>
                <w:szCs w:val="18"/>
                <w:lang w:eastAsia="pt-BR"/>
              </w:rPr>
            </w:pPr>
          </w:p>
        </w:tc>
        <w:tc>
          <w:tcPr>
            <w:tcW w:w="807" w:type="pct"/>
            <w:tcBorders>
              <w:top w:val="nil"/>
              <w:left w:val="nil"/>
              <w:bottom w:val="nil"/>
              <w:right w:val="nil"/>
            </w:tcBorders>
            <w:shd w:val="clear" w:color="auto" w:fill="auto"/>
            <w:noWrap/>
            <w:vAlign w:val="bottom"/>
            <w:hideMark/>
          </w:tcPr>
          <w:p w14:paraId="633EC8BD" w14:textId="4425D9B1" w:rsidR="005A73DC" w:rsidRPr="005A73DC" w:rsidRDefault="005A73DC" w:rsidP="005A73DC">
            <w:pPr>
              <w:spacing w:after="0" w:line="240" w:lineRule="auto"/>
              <w:outlineLvl w:val="0"/>
              <w:rPr>
                <w:rFonts w:ascii="Segoe UI" w:eastAsia="Times New Roman" w:hAnsi="Segoe UI" w:cs="Segoe UI"/>
                <w:color w:val="FFFFFF"/>
                <w:sz w:val="18"/>
                <w:szCs w:val="18"/>
                <w:lang w:eastAsia="pt-BR"/>
              </w:rPr>
            </w:pPr>
            <w:r w:rsidRPr="005A73DC">
              <w:rPr>
                <w:rFonts w:ascii="Segoe UI" w:eastAsia="Times New Roman" w:hAnsi="Segoe UI" w:cs="Segoe UI"/>
                <w:color w:val="FFFFFF"/>
                <w:sz w:val="18"/>
                <w:szCs w:val="18"/>
                <w:lang w:eastAsia="pt-BR"/>
              </w:rPr>
              <w:t>-</w:t>
            </w:r>
          </w:p>
        </w:tc>
        <w:tc>
          <w:tcPr>
            <w:tcW w:w="153" w:type="pct"/>
            <w:tcBorders>
              <w:top w:val="nil"/>
              <w:left w:val="nil"/>
              <w:bottom w:val="nil"/>
              <w:right w:val="nil"/>
            </w:tcBorders>
            <w:shd w:val="clear" w:color="auto" w:fill="auto"/>
            <w:noWrap/>
            <w:vAlign w:val="bottom"/>
            <w:hideMark/>
          </w:tcPr>
          <w:p w14:paraId="7AA7D612" w14:textId="77777777" w:rsidR="005A73DC" w:rsidRPr="005A73DC" w:rsidRDefault="005A73DC" w:rsidP="005A73DC">
            <w:pPr>
              <w:spacing w:after="0" w:line="240" w:lineRule="auto"/>
              <w:outlineLvl w:val="0"/>
              <w:rPr>
                <w:rFonts w:ascii="Segoe UI" w:eastAsia="Times New Roman" w:hAnsi="Segoe UI" w:cs="Segoe UI"/>
                <w:color w:val="FFFFFF"/>
                <w:sz w:val="18"/>
                <w:szCs w:val="18"/>
                <w:lang w:eastAsia="pt-BR"/>
              </w:rPr>
            </w:pPr>
          </w:p>
        </w:tc>
        <w:tc>
          <w:tcPr>
            <w:tcW w:w="765" w:type="pct"/>
            <w:tcBorders>
              <w:top w:val="nil"/>
              <w:left w:val="nil"/>
              <w:bottom w:val="single" w:sz="4" w:space="0" w:color="1B80C4"/>
              <w:right w:val="nil"/>
            </w:tcBorders>
            <w:shd w:val="clear" w:color="auto" w:fill="auto"/>
            <w:noWrap/>
            <w:vAlign w:val="bottom"/>
            <w:hideMark/>
          </w:tcPr>
          <w:p w14:paraId="13CC6176" w14:textId="566443DF" w:rsidR="005A73DC" w:rsidRPr="005A73DC" w:rsidRDefault="005A73DC" w:rsidP="005A73DC">
            <w:pPr>
              <w:spacing w:after="0" w:line="240" w:lineRule="auto"/>
              <w:jc w:val="right"/>
              <w:outlineLvl w:val="0"/>
              <w:rPr>
                <w:rFonts w:ascii="Segoe UI" w:eastAsia="Times New Roman" w:hAnsi="Segoe UI" w:cs="Segoe UI"/>
                <w:color w:val="000000"/>
                <w:sz w:val="18"/>
                <w:szCs w:val="18"/>
                <w:lang w:eastAsia="pt-BR"/>
              </w:rPr>
            </w:pPr>
            <w:r w:rsidRPr="005A73DC">
              <w:rPr>
                <w:rFonts w:ascii="Segoe UI" w:eastAsia="Times New Roman" w:hAnsi="Segoe UI" w:cs="Segoe UI"/>
                <w:color w:val="000000"/>
                <w:sz w:val="18"/>
                <w:szCs w:val="18"/>
                <w:lang w:eastAsia="pt-BR"/>
              </w:rPr>
              <w:t>(64.676)</w:t>
            </w:r>
          </w:p>
        </w:tc>
      </w:tr>
      <w:tr w:rsidR="005A73DC" w:rsidRPr="005A73DC" w14:paraId="081702D6" w14:textId="77777777" w:rsidTr="00F456C5">
        <w:trPr>
          <w:trHeight w:val="240"/>
        </w:trPr>
        <w:tc>
          <w:tcPr>
            <w:tcW w:w="3062" w:type="pct"/>
            <w:tcBorders>
              <w:top w:val="nil"/>
              <w:left w:val="nil"/>
              <w:bottom w:val="nil"/>
              <w:right w:val="nil"/>
            </w:tcBorders>
            <w:shd w:val="clear" w:color="auto" w:fill="auto"/>
            <w:noWrap/>
            <w:vAlign w:val="center"/>
            <w:hideMark/>
          </w:tcPr>
          <w:p w14:paraId="443DD63B" w14:textId="77777777" w:rsidR="005A73DC" w:rsidRPr="005A73DC" w:rsidRDefault="005A73DC" w:rsidP="005A73DC">
            <w:pPr>
              <w:spacing w:after="0" w:line="240" w:lineRule="auto"/>
              <w:outlineLvl w:val="0"/>
              <w:rPr>
                <w:rFonts w:ascii="Segoe UI" w:eastAsia="Times New Roman" w:hAnsi="Segoe UI" w:cs="Segoe UI"/>
                <w:color w:val="000000"/>
                <w:sz w:val="18"/>
                <w:szCs w:val="18"/>
                <w:lang w:eastAsia="pt-BR"/>
              </w:rPr>
            </w:pPr>
          </w:p>
        </w:tc>
        <w:tc>
          <w:tcPr>
            <w:tcW w:w="212" w:type="pct"/>
            <w:tcBorders>
              <w:top w:val="nil"/>
              <w:left w:val="nil"/>
              <w:bottom w:val="nil"/>
              <w:right w:val="nil"/>
            </w:tcBorders>
            <w:shd w:val="clear" w:color="auto" w:fill="auto"/>
            <w:noWrap/>
            <w:vAlign w:val="bottom"/>
            <w:hideMark/>
          </w:tcPr>
          <w:p w14:paraId="13505FD7" w14:textId="77777777" w:rsidR="005A73DC" w:rsidRPr="005A73DC" w:rsidRDefault="005A73DC" w:rsidP="005A73DC">
            <w:pPr>
              <w:spacing w:after="0" w:line="240" w:lineRule="auto"/>
              <w:outlineLvl w:val="0"/>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bottom"/>
            <w:hideMark/>
          </w:tcPr>
          <w:p w14:paraId="0D797CBF" w14:textId="1590E20C" w:rsidR="005A73DC" w:rsidRPr="005A73DC" w:rsidRDefault="005A73DC" w:rsidP="005A73DC">
            <w:pPr>
              <w:spacing w:after="0" w:line="240" w:lineRule="auto"/>
              <w:outlineLvl w:val="0"/>
              <w:rPr>
                <w:rFonts w:ascii="Segoe UI" w:eastAsia="Times New Roman" w:hAnsi="Segoe UI" w:cs="Segoe UI"/>
                <w:b/>
                <w:bCs/>
                <w:color w:val="FFFFFF"/>
                <w:sz w:val="18"/>
                <w:szCs w:val="18"/>
                <w:lang w:eastAsia="pt-BR"/>
              </w:rPr>
            </w:pPr>
            <w:r w:rsidRPr="005A73DC">
              <w:rPr>
                <w:rFonts w:ascii="Segoe UI" w:eastAsia="Times New Roman" w:hAnsi="Segoe UI" w:cs="Segoe UI"/>
                <w:b/>
                <w:bCs/>
                <w:color w:val="FFFFFF"/>
                <w:sz w:val="18"/>
                <w:szCs w:val="18"/>
                <w:lang w:eastAsia="pt-BR"/>
              </w:rPr>
              <w:t>105.895</w:t>
            </w:r>
          </w:p>
        </w:tc>
        <w:tc>
          <w:tcPr>
            <w:tcW w:w="153" w:type="pct"/>
            <w:tcBorders>
              <w:top w:val="nil"/>
              <w:left w:val="nil"/>
              <w:bottom w:val="nil"/>
              <w:right w:val="nil"/>
            </w:tcBorders>
            <w:shd w:val="clear" w:color="auto" w:fill="auto"/>
            <w:noWrap/>
            <w:vAlign w:val="bottom"/>
            <w:hideMark/>
          </w:tcPr>
          <w:p w14:paraId="08B3635D" w14:textId="77777777" w:rsidR="005A73DC" w:rsidRPr="005A73DC" w:rsidRDefault="005A73DC" w:rsidP="005A73DC">
            <w:pPr>
              <w:spacing w:after="0" w:line="240" w:lineRule="auto"/>
              <w:outlineLvl w:val="0"/>
              <w:rPr>
                <w:rFonts w:ascii="Segoe UI" w:eastAsia="Times New Roman" w:hAnsi="Segoe UI" w:cs="Segoe UI"/>
                <w:b/>
                <w:bCs/>
                <w:color w:val="FFFFFF"/>
                <w:sz w:val="18"/>
                <w:szCs w:val="18"/>
                <w:lang w:eastAsia="pt-BR"/>
              </w:rPr>
            </w:pPr>
          </w:p>
        </w:tc>
        <w:tc>
          <w:tcPr>
            <w:tcW w:w="765" w:type="pct"/>
            <w:tcBorders>
              <w:top w:val="nil"/>
              <w:left w:val="nil"/>
              <w:bottom w:val="nil"/>
              <w:right w:val="nil"/>
            </w:tcBorders>
            <w:shd w:val="clear" w:color="auto" w:fill="auto"/>
            <w:noWrap/>
            <w:vAlign w:val="bottom"/>
            <w:hideMark/>
          </w:tcPr>
          <w:p w14:paraId="64F78E32" w14:textId="2C06B9BB" w:rsidR="005A73DC" w:rsidRPr="005A73DC" w:rsidRDefault="005A73DC" w:rsidP="005A73DC">
            <w:pPr>
              <w:spacing w:after="0" w:line="240" w:lineRule="auto"/>
              <w:jc w:val="right"/>
              <w:outlineLvl w:val="0"/>
              <w:rPr>
                <w:rFonts w:ascii="Segoe UI" w:eastAsia="Times New Roman" w:hAnsi="Segoe UI" w:cs="Segoe UI"/>
                <w:b/>
                <w:bCs/>
                <w:color w:val="000000"/>
                <w:sz w:val="18"/>
                <w:szCs w:val="18"/>
                <w:lang w:eastAsia="pt-BR"/>
              </w:rPr>
            </w:pPr>
            <w:r w:rsidRPr="005A73DC">
              <w:rPr>
                <w:rFonts w:ascii="Segoe UI" w:eastAsia="Times New Roman" w:hAnsi="Segoe UI" w:cs="Segoe UI"/>
                <w:b/>
                <w:bCs/>
                <w:color w:val="000000"/>
                <w:sz w:val="18"/>
                <w:szCs w:val="18"/>
                <w:lang w:eastAsia="pt-BR"/>
              </w:rPr>
              <w:t>41.219</w:t>
            </w:r>
          </w:p>
        </w:tc>
      </w:tr>
      <w:tr w:rsidR="005A73DC" w:rsidRPr="005A73DC" w14:paraId="6DC249DE" w14:textId="77777777" w:rsidTr="00F456C5">
        <w:trPr>
          <w:trHeight w:val="240"/>
        </w:trPr>
        <w:tc>
          <w:tcPr>
            <w:tcW w:w="3062" w:type="pct"/>
            <w:tcBorders>
              <w:top w:val="nil"/>
              <w:left w:val="nil"/>
              <w:bottom w:val="nil"/>
              <w:right w:val="nil"/>
            </w:tcBorders>
            <w:shd w:val="clear" w:color="auto" w:fill="auto"/>
            <w:noWrap/>
            <w:vAlign w:val="bottom"/>
            <w:hideMark/>
          </w:tcPr>
          <w:p w14:paraId="4DB70111" w14:textId="77777777" w:rsidR="005A73DC" w:rsidRPr="005A73DC" w:rsidRDefault="005A73DC" w:rsidP="005A73DC">
            <w:pPr>
              <w:spacing w:after="0" w:line="240" w:lineRule="auto"/>
              <w:outlineLvl w:val="0"/>
              <w:rPr>
                <w:rFonts w:ascii="Segoe UI" w:eastAsia="Times New Roman" w:hAnsi="Segoe UI" w:cs="Segoe UI"/>
                <w:b/>
                <w:bCs/>
                <w:color w:val="000000"/>
                <w:sz w:val="16"/>
                <w:szCs w:val="16"/>
                <w:lang w:eastAsia="pt-BR"/>
              </w:rPr>
            </w:pPr>
            <w:r w:rsidRPr="005A73DC">
              <w:rPr>
                <w:rFonts w:ascii="Segoe UI" w:eastAsia="Times New Roman" w:hAnsi="Segoe UI" w:cs="Segoe UI"/>
                <w:b/>
                <w:bCs/>
                <w:color w:val="000000"/>
                <w:sz w:val="16"/>
                <w:szCs w:val="16"/>
                <w:lang w:eastAsia="pt-BR"/>
              </w:rPr>
              <w:t>Lucro básico e diluído por ação em (R$)</w:t>
            </w:r>
          </w:p>
        </w:tc>
        <w:tc>
          <w:tcPr>
            <w:tcW w:w="212" w:type="pct"/>
            <w:tcBorders>
              <w:top w:val="nil"/>
              <w:left w:val="nil"/>
              <w:bottom w:val="nil"/>
              <w:right w:val="nil"/>
            </w:tcBorders>
            <w:shd w:val="clear" w:color="auto" w:fill="auto"/>
            <w:noWrap/>
            <w:vAlign w:val="bottom"/>
            <w:hideMark/>
          </w:tcPr>
          <w:p w14:paraId="00B0D84C" w14:textId="77777777" w:rsidR="005A73DC" w:rsidRPr="005A73DC" w:rsidRDefault="005A73DC" w:rsidP="005A73DC">
            <w:pPr>
              <w:spacing w:after="0" w:line="240" w:lineRule="auto"/>
              <w:jc w:val="right"/>
              <w:outlineLvl w:val="0"/>
              <w:rPr>
                <w:rFonts w:ascii="Segoe UI" w:eastAsia="Times New Roman" w:hAnsi="Segoe UI" w:cs="Segoe UI"/>
                <w:b/>
                <w:bCs/>
                <w:color w:val="000000"/>
                <w:sz w:val="16"/>
                <w:szCs w:val="16"/>
                <w:lang w:eastAsia="pt-BR"/>
              </w:rPr>
            </w:pPr>
            <w:r w:rsidRPr="005A73DC">
              <w:rPr>
                <w:rFonts w:ascii="Segoe UI" w:eastAsia="Times New Roman" w:hAnsi="Segoe UI" w:cs="Segoe UI"/>
                <w:b/>
                <w:bCs/>
                <w:color w:val="000000"/>
                <w:sz w:val="16"/>
                <w:szCs w:val="16"/>
                <w:lang w:eastAsia="pt-BR"/>
              </w:rPr>
              <w:t>29</w:t>
            </w:r>
          </w:p>
        </w:tc>
        <w:tc>
          <w:tcPr>
            <w:tcW w:w="807" w:type="pct"/>
            <w:tcBorders>
              <w:top w:val="nil"/>
              <w:left w:val="nil"/>
              <w:bottom w:val="nil"/>
              <w:right w:val="nil"/>
            </w:tcBorders>
            <w:shd w:val="clear" w:color="auto" w:fill="auto"/>
            <w:noWrap/>
            <w:vAlign w:val="bottom"/>
            <w:hideMark/>
          </w:tcPr>
          <w:p w14:paraId="1B669D66" w14:textId="77777777" w:rsidR="005A73DC" w:rsidRPr="005A73DC" w:rsidRDefault="005A73DC" w:rsidP="005A73DC">
            <w:pPr>
              <w:spacing w:after="0" w:line="240" w:lineRule="auto"/>
              <w:jc w:val="right"/>
              <w:outlineLvl w:val="0"/>
              <w:rPr>
                <w:rFonts w:ascii="Segoe UI" w:eastAsia="Times New Roman" w:hAnsi="Segoe UI" w:cs="Segoe UI"/>
                <w:b/>
                <w:bCs/>
                <w:color w:val="000000"/>
                <w:sz w:val="16"/>
                <w:szCs w:val="16"/>
                <w:lang w:eastAsia="pt-BR"/>
              </w:rPr>
            </w:pPr>
            <w:bookmarkStart w:id="0" w:name="OLE_LINK28"/>
            <w:r w:rsidRPr="005A73DC">
              <w:rPr>
                <w:rFonts w:ascii="Segoe UI" w:eastAsia="Times New Roman" w:hAnsi="Segoe UI" w:cs="Segoe UI"/>
                <w:b/>
                <w:bCs/>
                <w:color w:val="000000"/>
                <w:sz w:val="16"/>
                <w:szCs w:val="16"/>
                <w:lang w:eastAsia="pt-BR"/>
              </w:rPr>
              <w:t>0,02647375</w:t>
            </w:r>
            <w:bookmarkEnd w:id="0"/>
          </w:p>
        </w:tc>
        <w:tc>
          <w:tcPr>
            <w:tcW w:w="153" w:type="pct"/>
            <w:tcBorders>
              <w:top w:val="nil"/>
              <w:left w:val="nil"/>
              <w:bottom w:val="nil"/>
              <w:right w:val="nil"/>
            </w:tcBorders>
            <w:shd w:val="clear" w:color="auto" w:fill="auto"/>
            <w:noWrap/>
            <w:vAlign w:val="bottom"/>
            <w:hideMark/>
          </w:tcPr>
          <w:p w14:paraId="4AB117F7" w14:textId="77777777" w:rsidR="005A73DC" w:rsidRPr="005A73DC" w:rsidRDefault="005A73DC" w:rsidP="005A73DC">
            <w:pPr>
              <w:spacing w:after="0" w:line="240" w:lineRule="auto"/>
              <w:jc w:val="right"/>
              <w:outlineLvl w:val="0"/>
              <w:rPr>
                <w:rFonts w:ascii="Segoe UI" w:eastAsia="Times New Roman" w:hAnsi="Segoe UI" w:cs="Segoe UI"/>
                <w:b/>
                <w:bCs/>
                <w:color w:val="000000"/>
                <w:sz w:val="16"/>
                <w:szCs w:val="16"/>
                <w:lang w:eastAsia="pt-BR"/>
              </w:rPr>
            </w:pPr>
          </w:p>
        </w:tc>
        <w:tc>
          <w:tcPr>
            <w:tcW w:w="765" w:type="pct"/>
            <w:tcBorders>
              <w:top w:val="nil"/>
              <w:left w:val="nil"/>
              <w:bottom w:val="nil"/>
              <w:right w:val="nil"/>
            </w:tcBorders>
            <w:shd w:val="clear" w:color="auto" w:fill="auto"/>
            <w:noWrap/>
            <w:vAlign w:val="bottom"/>
            <w:hideMark/>
          </w:tcPr>
          <w:p w14:paraId="06F12FC5" w14:textId="77777777" w:rsidR="005A73DC" w:rsidRPr="005A73DC" w:rsidRDefault="005A73DC" w:rsidP="005A73DC">
            <w:pPr>
              <w:spacing w:after="0" w:line="240" w:lineRule="auto"/>
              <w:outlineLvl w:val="0"/>
              <w:rPr>
                <w:rFonts w:ascii="Times New Roman" w:eastAsia="Times New Roman" w:hAnsi="Times New Roman" w:cs="Times New Roman"/>
                <w:sz w:val="20"/>
                <w:szCs w:val="20"/>
                <w:lang w:eastAsia="pt-BR"/>
              </w:rPr>
            </w:pPr>
          </w:p>
        </w:tc>
      </w:tr>
    </w:tbl>
    <w:p w14:paraId="3E54CBFE" w14:textId="77777777" w:rsidR="00CE5D18" w:rsidRPr="000A114A" w:rsidRDefault="00CE5D18" w:rsidP="004C2078">
      <w:pPr>
        <w:widowControl w:val="0"/>
        <w:rPr>
          <w:rFonts w:ascii="Segoe UI" w:hAnsi="Segoe UI" w:cs="Segoe UI"/>
          <w:bCs/>
          <w:vanish/>
          <w:sz w:val="20"/>
          <w:szCs w:val="20"/>
          <w:specVanish/>
        </w:rPr>
      </w:pPr>
    </w:p>
    <w:p w14:paraId="21BF0E9D" w14:textId="77777777" w:rsidR="00640B0C" w:rsidRDefault="00F469C2" w:rsidP="004C2078">
      <w:pPr>
        <w:widowControl w:val="0"/>
        <w:rPr>
          <w:rFonts w:ascii="Segoe UI" w:hAnsi="Segoe UI" w:cs="Segoe UI"/>
          <w:bCs/>
          <w:sz w:val="20"/>
          <w:szCs w:val="20"/>
        </w:rPr>
      </w:pPr>
      <w:r w:rsidRPr="000A114A">
        <w:rPr>
          <w:rFonts w:ascii="Segoe UI" w:hAnsi="Segoe UI" w:cs="Segoe UI"/>
          <w:bCs/>
          <w:sz w:val="20"/>
          <w:szCs w:val="20"/>
        </w:rPr>
        <w:t xml:space="preserve"> </w:t>
      </w:r>
    </w:p>
    <w:p w14:paraId="0F506D81" w14:textId="73BD0F04" w:rsidR="00757563" w:rsidRPr="009239D0" w:rsidRDefault="004C2078" w:rsidP="004C2078">
      <w:pPr>
        <w:widowControl w:val="0"/>
        <w:rPr>
          <w:rFonts w:ascii="Segoe UI" w:hAnsi="Segoe UI" w:cs="Segoe UI"/>
          <w:bCs/>
          <w:sz w:val="19"/>
          <w:szCs w:val="19"/>
        </w:rPr>
        <w:sectPr w:rsidR="00757563" w:rsidRPr="009239D0" w:rsidSect="00757563">
          <w:headerReference w:type="default" r:id="rId18"/>
          <w:footerReference w:type="default" r:id="rId19"/>
          <w:pgSz w:w="16838" w:h="11906" w:orient="landscape"/>
          <w:pgMar w:top="1701" w:right="1418" w:bottom="1276" w:left="1418" w:header="709" w:footer="709" w:gutter="0"/>
          <w:cols w:space="708"/>
          <w:docGrid w:linePitch="360"/>
        </w:sectPr>
      </w:pPr>
      <w:r w:rsidRPr="009239D0">
        <w:rPr>
          <w:rFonts w:ascii="Segoe UI" w:hAnsi="Segoe UI" w:cs="Segoe UI"/>
          <w:bCs/>
          <w:sz w:val="19"/>
          <w:szCs w:val="19"/>
        </w:rPr>
        <w:t>A</w:t>
      </w:r>
      <w:r w:rsidR="007835BD" w:rsidRPr="009239D0">
        <w:rPr>
          <w:rFonts w:ascii="Segoe UI" w:hAnsi="Segoe UI" w:cs="Segoe UI"/>
          <w:bCs/>
          <w:sz w:val="19"/>
          <w:szCs w:val="19"/>
        </w:rPr>
        <w:t xml:space="preserve">s notas explicativas são parte integrante das demonstrações </w:t>
      </w:r>
      <w:r w:rsidR="000A114A" w:rsidRPr="009239D0">
        <w:rPr>
          <w:rFonts w:ascii="Segoe UI" w:hAnsi="Segoe UI" w:cs="Segoe UI"/>
          <w:bCs/>
          <w:sz w:val="19"/>
          <w:szCs w:val="19"/>
        </w:rPr>
        <w:t>financeiras</w:t>
      </w:r>
      <w:r w:rsidR="009239D0" w:rsidRPr="009239D0">
        <w:rPr>
          <w:rFonts w:ascii="Segoe UI" w:hAnsi="Segoe UI" w:cs="Segoe UI"/>
          <w:bCs/>
          <w:sz w:val="19"/>
          <w:szCs w:val="19"/>
        </w:rPr>
        <w:t xml:space="preserve"> individuais e consolidadas.</w:t>
      </w:r>
    </w:p>
    <w:p w14:paraId="44E06498" w14:textId="77777777" w:rsidR="007835BD" w:rsidRPr="000757BC" w:rsidRDefault="007835BD" w:rsidP="007835BD">
      <w:pPr>
        <w:spacing w:after="0" w:line="240" w:lineRule="auto"/>
        <w:jc w:val="both"/>
        <w:rPr>
          <w:rFonts w:ascii="Segoe UI" w:hAnsi="Segoe UI" w:cs="Segoe UI"/>
          <w:b/>
          <w:color w:val="767171" w:themeColor="background2" w:themeShade="80"/>
        </w:rPr>
      </w:pPr>
    </w:p>
    <w:tbl>
      <w:tblPr>
        <w:tblW w:w="5000" w:type="pct"/>
        <w:tblCellMar>
          <w:left w:w="70" w:type="dxa"/>
          <w:right w:w="70" w:type="dxa"/>
        </w:tblCellMar>
        <w:tblLook w:val="04A0" w:firstRow="1" w:lastRow="0" w:firstColumn="1" w:lastColumn="0" w:noHBand="0" w:noVBand="1"/>
      </w:tblPr>
      <w:tblGrid>
        <w:gridCol w:w="9964"/>
        <w:gridCol w:w="1882"/>
        <w:gridCol w:w="283"/>
        <w:gridCol w:w="1873"/>
      </w:tblGrid>
      <w:tr w:rsidR="003475F2" w:rsidRPr="003475F2" w14:paraId="76606F92" w14:textId="77777777" w:rsidTr="003475F2">
        <w:trPr>
          <w:trHeight w:val="240"/>
        </w:trPr>
        <w:tc>
          <w:tcPr>
            <w:tcW w:w="3557" w:type="pct"/>
            <w:tcBorders>
              <w:top w:val="nil"/>
              <w:left w:val="nil"/>
              <w:bottom w:val="nil"/>
              <w:right w:val="nil"/>
            </w:tcBorders>
            <w:shd w:val="clear" w:color="000000" w:fill="1B80C4"/>
            <w:noWrap/>
            <w:vAlign w:val="center"/>
            <w:hideMark/>
          </w:tcPr>
          <w:p w14:paraId="6918EDE4" w14:textId="77777777" w:rsidR="003475F2" w:rsidRPr="003475F2" w:rsidRDefault="003475F2" w:rsidP="003475F2">
            <w:pPr>
              <w:spacing w:after="0" w:line="240" w:lineRule="auto"/>
              <w:jc w:val="center"/>
              <w:rPr>
                <w:rFonts w:ascii="Segoe UI" w:eastAsia="Times New Roman" w:hAnsi="Segoe UI" w:cs="Segoe UI"/>
                <w:color w:val="FFFFFF"/>
                <w:sz w:val="18"/>
                <w:szCs w:val="18"/>
                <w:lang w:eastAsia="pt-BR"/>
              </w:rPr>
            </w:pPr>
            <w:r w:rsidRPr="003475F2">
              <w:rPr>
                <w:rFonts w:ascii="Segoe UI" w:eastAsia="Times New Roman" w:hAnsi="Segoe UI" w:cs="Segoe UI"/>
                <w:color w:val="FFFFFF"/>
                <w:sz w:val="18"/>
                <w:szCs w:val="18"/>
                <w:lang w:eastAsia="pt-BR"/>
              </w:rPr>
              <w:t> </w:t>
            </w:r>
          </w:p>
        </w:tc>
        <w:tc>
          <w:tcPr>
            <w:tcW w:w="672" w:type="pct"/>
            <w:tcBorders>
              <w:top w:val="nil"/>
              <w:left w:val="nil"/>
              <w:bottom w:val="nil"/>
              <w:right w:val="nil"/>
            </w:tcBorders>
            <w:shd w:val="clear" w:color="000000" w:fill="1B80C4"/>
            <w:noWrap/>
            <w:vAlign w:val="bottom"/>
            <w:hideMark/>
          </w:tcPr>
          <w:p w14:paraId="7C6B3245" w14:textId="3C0599EA" w:rsidR="003475F2" w:rsidRPr="003475F2" w:rsidRDefault="003475F2" w:rsidP="005331BC">
            <w:pPr>
              <w:spacing w:after="0" w:line="240" w:lineRule="auto"/>
              <w:jc w:val="center"/>
              <w:rPr>
                <w:rFonts w:ascii="Segoe UI" w:eastAsia="Times New Roman" w:hAnsi="Segoe UI" w:cs="Segoe UI"/>
                <w:b/>
                <w:bCs/>
                <w:color w:val="FFFFFF"/>
                <w:sz w:val="18"/>
                <w:szCs w:val="18"/>
                <w:lang w:eastAsia="pt-BR"/>
              </w:rPr>
            </w:pPr>
            <w:r w:rsidRPr="003475F2">
              <w:rPr>
                <w:rFonts w:ascii="Segoe UI" w:eastAsia="Times New Roman" w:hAnsi="Segoe UI" w:cs="Segoe UI"/>
                <w:b/>
                <w:bCs/>
                <w:color w:val="FFFFFF"/>
                <w:sz w:val="18"/>
                <w:szCs w:val="18"/>
                <w:lang w:eastAsia="pt-BR"/>
              </w:rPr>
              <w:t>Controladora</w:t>
            </w:r>
          </w:p>
        </w:tc>
        <w:tc>
          <w:tcPr>
            <w:tcW w:w="101" w:type="pct"/>
            <w:tcBorders>
              <w:top w:val="nil"/>
              <w:left w:val="nil"/>
              <w:bottom w:val="nil"/>
              <w:right w:val="nil"/>
            </w:tcBorders>
            <w:shd w:val="clear" w:color="000000" w:fill="1B80C4"/>
            <w:noWrap/>
            <w:vAlign w:val="bottom"/>
            <w:hideMark/>
          </w:tcPr>
          <w:p w14:paraId="3774773B" w14:textId="3DEE86E4" w:rsidR="003475F2" w:rsidRPr="003475F2" w:rsidRDefault="003475F2" w:rsidP="005331BC">
            <w:pPr>
              <w:spacing w:after="0" w:line="240" w:lineRule="auto"/>
              <w:jc w:val="center"/>
              <w:rPr>
                <w:rFonts w:ascii="Segoe UI" w:eastAsia="Times New Roman" w:hAnsi="Segoe UI" w:cs="Segoe UI"/>
                <w:b/>
                <w:bCs/>
                <w:color w:val="FFFFFF"/>
                <w:sz w:val="18"/>
                <w:szCs w:val="18"/>
                <w:lang w:eastAsia="pt-BR"/>
              </w:rPr>
            </w:pPr>
          </w:p>
        </w:tc>
        <w:tc>
          <w:tcPr>
            <w:tcW w:w="669" w:type="pct"/>
            <w:tcBorders>
              <w:top w:val="nil"/>
              <w:left w:val="nil"/>
              <w:bottom w:val="nil"/>
              <w:right w:val="nil"/>
            </w:tcBorders>
            <w:shd w:val="clear" w:color="000000" w:fill="1B80C4"/>
            <w:noWrap/>
            <w:vAlign w:val="center"/>
            <w:hideMark/>
          </w:tcPr>
          <w:p w14:paraId="0A0ED725" w14:textId="283C04FA" w:rsidR="003475F2" w:rsidRPr="003475F2" w:rsidRDefault="003475F2" w:rsidP="005331BC">
            <w:pPr>
              <w:spacing w:after="0" w:line="240" w:lineRule="auto"/>
              <w:jc w:val="center"/>
              <w:rPr>
                <w:rFonts w:ascii="Segoe UI" w:eastAsia="Times New Roman" w:hAnsi="Segoe UI" w:cs="Segoe UI"/>
                <w:b/>
                <w:bCs/>
                <w:color w:val="FFFFFF"/>
                <w:sz w:val="18"/>
                <w:szCs w:val="18"/>
                <w:lang w:eastAsia="pt-BR"/>
              </w:rPr>
            </w:pPr>
            <w:r w:rsidRPr="003475F2">
              <w:rPr>
                <w:rFonts w:ascii="Segoe UI" w:eastAsia="Times New Roman" w:hAnsi="Segoe UI" w:cs="Segoe UI"/>
                <w:b/>
                <w:bCs/>
                <w:color w:val="FFFFFF"/>
                <w:sz w:val="18"/>
                <w:szCs w:val="18"/>
                <w:lang w:eastAsia="pt-BR"/>
              </w:rPr>
              <w:t>Consolidado</w:t>
            </w:r>
          </w:p>
        </w:tc>
      </w:tr>
      <w:tr w:rsidR="005212B3" w:rsidRPr="003475F2" w14:paraId="2C56099F" w14:textId="77777777" w:rsidTr="003A6C4B">
        <w:trPr>
          <w:trHeight w:val="138"/>
        </w:trPr>
        <w:tc>
          <w:tcPr>
            <w:tcW w:w="3557" w:type="pct"/>
            <w:tcBorders>
              <w:top w:val="nil"/>
              <w:left w:val="nil"/>
              <w:bottom w:val="nil"/>
              <w:right w:val="nil"/>
            </w:tcBorders>
            <w:shd w:val="clear" w:color="000000" w:fill="1B80C4"/>
            <w:noWrap/>
            <w:vAlign w:val="center"/>
            <w:hideMark/>
          </w:tcPr>
          <w:p w14:paraId="6CA518AA" w14:textId="77777777" w:rsidR="003475F2" w:rsidRPr="003475F2" w:rsidRDefault="003475F2" w:rsidP="003475F2">
            <w:pPr>
              <w:spacing w:after="0" w:line="240" w:lineRule="auto"/>
              <w:rPr>
                <w:rFonts w:ascii="Segoe UI" w:eastAsia="Times New Roman" w:hAnsi="Segoe UI" w:cs="Segoe UI"/>
                <w:color w:val="FFFFFF"/>
                <w:sz w:val="18"/>
                <w:szCs w:val="18"/>
                <w:lang w:eastAsia="pt-BR"/>
              </w:rPr>
            </w:pPr>
            <w:r w:rsidRPr="003475F2">
              <w:rPr>
                <w:rFonts w:ascii="Segoe UI" w:eastAsia="Times New Roman" w:hAnsi="Segoe UI" w:cs="Segoe UI"/>
                <w:color w:val="FFFFFF"/>
                <w:sz w:val="18"/>
                <w:szCs w:val="18"/>
                <w:lang w:eastAsia="pt-BR"/>
              </w:rPr>
              <w:t> </w:t>
            </w:r>
          </w:p>
        </w:tc>
        <w:tc>
          <w:tcPr>
            <w:tcW w:w="672" w:type="pct"/>
            <w:tcBorders>
              <w:top w:val="single" w:sz="4" w:space="0" w:color="FFFFFF"/>
              <w:left w:val="nil"/>
              <w:bottom w:val="single" w:sz="4" w:space="0" w:color="FFFFFF"/>
              <w:right w:val="nil"/>
            </w:tcBorders>
            <w:shd w:val="clear" w:color="000000" w:fill="1B80C4"/>
            <w:vAlign w:val="center"/>
            <w:hideMark/>
          </w:tcPr>
          <w:p w14:paraId="14B02FDD" w14:textId="77777777" w:rsidR="003475F2" w:rsidRPr="003475F2" w:rsidRDefault="003475F2" w:rsidP="005331BC">
            <w:pPr>
              <w:spacing w:after="0" w:line="240" w:lineRule="auto"/>
              <w:jc w:val="center"/>
              <w:rPr>
                <w:rFonts w:ascii="Segoe UI" w:eastAsia="Times New Roman" w:hAnsi="Segoe UI" w:cs="Segoe UI"/>
                <w:b/>
                <w:bCs/>
                <w:color w:val="FFFFFF"/>
                <w:sz w:val="18"/>
                <w:szCs w:val="18"/>
                <w:lang w:eastAsia="pt-BR"/>
              </w:rPr>
            </w:pPr>
            <w:r w:rsidRPr="003475F2">
              <w:rPr>
                <w:rFonts w:ascii="Segoe UI" w:eastAsia="Times New Roman" w:hAnsi="Segoe UI" w:cs="Segoe UI"/>
                <w:b/>
                <w:bCs/>
                <w:color w:val="FFFFFF"/>
                <w:sz w:val="18"/>
                <w:szCs w:val="18"/>
                <w:lang w:eastAsia="pt-BR"/>
              </w:rPr>
              <w:t>31/12/2022</w:t>
            </w:r>
          </w:p>
        </w:tc>
        <w:tc>
          <w:tcPr>
            <w:tcW w:w="101" w:type="pct"/>
            <w:tcBorders>
              <w:top w:val="nil"/>
              <w:left w:val="nil"/>
              <w:bottom w:val="nil"/>
              <w:right w:val="nil"/>
            </w:tcBorders>
            <w:shd w:val="clear" w:color="000000" w:fill="1B80C4"/>
            <w:vAlign w:val="center"/>
            <w:hideMark/>
          </w:tcPr>
          <w:p w14:paraId="4628FFBC" w14:textId="2197B5E7" w:rsidR="003475F2" w:rsidRPr="003475F2" w:rsidRDefault="003475F2" w:rsidP="005331BC">
            <w:pPr>
              <w:spacing w:after="0" w:line="240" w:lineRule="auto"/>
              <w:jc w:val="center"/>
              <w:rPr>
                <w:rFonts w:ascii="Segoe UI" w:eastAsia="Times New Roman" w:hAnsi="Segoe UI" w:cs="Segoe UI"/>
                <w:b/>
                <w:bCs/>
                <w:color w:val="FFFFFF"/>
                <w:sz w:val="18"/>
                <w:szCs w:val="18"/>
                <w:lang w:eastAsia="pt-BR"/>
              </w:rPr>
            </w:pPr>
          </w:p>
        </w:tc>
        <w:tc>
          <w:tcPr>
            <w:tcW w:w="669" w:type="pct"/>
            <w:tcBorders>
              <w:top w:val="single" w:sz="4" w:space="0" w:color="FFFFFF"/>
              <w:left w:val="nil"/>
              <w:bottom w:val="single" w:sz="4" w:space="0" w:color="FFFFFF"/>
              <w:right w:val="nil"/>
            </w:tcBorders>
            <w:shd w:val="clear" w:color="000000" w:fill="1B80C4"/>
            <w:vAlign w:val="center"/>
            <w:hideMark/>
          </w:tcPr>
          <w:p w14:paraId="2DE7AFF5" w14:textId="77777777" w:rsidR="003475F2" w:rsidRPr="003475F2" w:rsidRDefault="003475F2" w:rsidP="005331BC">
            <w:pPr>
              <w:spacing w:after="0" w:line="240" w:lineRule="auto"/>
              <w:jc w:val="center"/>
              <w:rPr>
                <w:rFonts w:ascii="Segoe UI" w:eastAsia="Times New Roman" w:hAnsi="Segoe UI" w:cs="Segoe UI"/>
                <w:b/>
                <w:bCs/>
                <w:color w:val="FFFFFF"/>
                <w:sz w:val="18"/>
                <w:szCs w:val="18"/>
                <w:lang w:eastAsia="pt-BR"/>
              </w:rPr>
            </w:pPr>
            <w:r w:rsidRPr="003475F2">
              <w:rPr>
                <w:rFonts w:ascii="Segoe UI" w:eastAsia="Times New Roman" w:hAnsi="Segoe UI" w:cs="Segoe UI"/>
                <w:b/>
                <w:bCs/>
                <w:color w:val="FFFFFF"/>
                <w:sz w:val="18"/>
                <w:szCs w:val="18"/>
                <w:lang w:eastAsia="pt-BR"/>
              </w:rPr>
              <w:t>31/12/2022</w:t>
            </w:r>
          </w:p>
        </w:tc>
      </w:tr>
      <w:tr w:rsidR="003475F2" w:rsidRPr="003475F2" w14:paraId="52B7947B" w14:textId="77777777" w:rsidTr="003475F2">
        <w:trPr>
          <w:trHeight w:val="240"/>
        </w:trPr>
        <w:tc>
          <w:tcPr>
            <w:tcW w:w="3557" w:type="pct"/>
            <w:tcBorders>
              <w:top w:val="nil"/>
              <w:left w:val="nil"/>
              <w:bottom w:val="nil"/>
              <w:right w:val="nil"/>
            </w:tcBorders>
            <w:shd w:val="clear" w:color="auto" w:fill="auto"/>
            <w:noWrap/>
            <w:vAlign w:val="center"/>
            <w:hideMark/>
          </w:tcPr>
          <w:p w14:paraId="7BBBD467" w14:textId="77777777" w:rsidR="003475F2" w:rsidRPr="003475F2" w:rsidRDefault="003475F2" w:rsidP="003475F2">
            <w:pPr>
              <w:spacing w:after="0" w:line="240" w:lineRule="auto"/>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 xml:space="preserve"> LUCRO DO EXERCÍCIO </w:t>
            </w:r>
          </w:p>
        </w:tc>
        <w:tc>
          <w:tcPr>
            <w:tcW w:w="672" w:type="pct"/>
            <w:tcBorders>
              <w:top w:val="nil"/>
              <w:left w:val="nil"/>
              <w:bottom w:val="single" w:sz="4" w:space="0" w:color="1B80C4"/>
              <w:right w:val="nil"/>
            </w:tcBorders>
            <w:shd w:val="clear" w:color="auto" w:fill="auto"/>
            <w:vAlign w:val="center"/>
            <w:hideMark/>
          </w:tcPr>
          <w:p w14:paraId="6FD063BC" w14:textId="3248E5AC"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105.895</w:t>
            </w:r>
          </w:p>
        </w:tc>
        <w:tc>
          <w:tcPr>
            <w:tcW w:w="101" w:type="pct"/>
            <w:tcBorders>
              <w:top w:val="nil"/>
              <w:left w:val="nil"/>
              <w:bottom w:val="nil"/>
              <w:right w:val="nil"/>
            </w:tcBorders>
            <w:shd w:val="clear" w:color="auto" w:fill="auto"/>
            <w:vAlign w:val="center"/>
            <w:hideMark/>
          </w:tcPr>
          <w:p w14:paraId="288F07ED" w14:textId="77777777"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p>
        </w:tc>
        <w:tc>
          <w:tcPr>
            <w:tcW w:w="669" w:type="pct"/>
            <w:tcBorders>
              <w:top w:val="nil"/>
              <w:left w:val="nil"/>
              <w:bottom w:val="single" w:sz="4" w:space="0" w:color="1B80C4"/>
              <w:right w:val="nil"/>
            </w:tcBorders>
            <w:shd w:val="clear" w:color="auto" w:fill="auto"/>
            <w:vAlign w:val="center"/>
            <w:hideMark/>
          </w:tcPr>
          <w:p w14:paraId="122FE6D8" w14:textId="210E6B33"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41.219</w:t>
            </w:r>
          </w:p>
        </w:tc>
      </w:tr>
      <w:tr w:rsidR="003475F2" w:rsidRPr="003475F2" w14:paraId="2E2ECEDC" w14:textId="77777777" w:rsidTr="003475F2">
        <w:trPr>
          <w:trHeight w:val="240"/>
        </w:trPr>
        <w:tc>
          <w:tcPr>
            <w:tcW w:w="3557" w:type="pct"/>
            <w:tcBorders>
              <w:top w:val="nil"/>
              <w:left w:val="nil"/>
              <w:bottom w:val="nil"/>
              <w:right w:val="nil"/>
            </w:tcBorders>
            <w:shd w:val="clear" w:color="auto" w:fill="auto"/>
            <w:noWrap/>
            <w:vAlign w:val="center"/>
            <w:hideMark/>
          </w:tcPr>
          <w:p w14:paraId="67C80C5F" w14:textId="77777777" w:rsidR="003475F2" w:rsidRPr="003475F2" w:rsidRDefault="003475F2" w:rsidP="003475F2">
            <w:pPr>
              <w:spacing w:after="0" w:line="240" w:lineRule="auto"/>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 xml:space="preserve"> Itens que não serão reclassificados para o resultado </w:t>
            </w:r>
          </w:p>
        </w:tc>
        <w:tc>
          <w:tcPr>
            <w:tcW w:w="672" w:type="pct"/>
            <w:tcBorders>
              <w:top w:val="nil"/>
              <w:left w:val="nil"/>
              <w:bottom w:val="nil"/>
              <w:right w:val="nil"/>
            </w:tcBorders>
            <w:shd w:val="clear" w:color="auto" w:fill="auto"/>
            <w:vAlign w:val="center"/>
            <w:hideMark/>
          </w:tcPr>
          <w:p w14:paraId="008F829D" w14:textId="77777777"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vAlign w:val="center"/>
            <w:hideMark/>
          </w:tcPr>
          <w:p w14:paraId="1C927C4E"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nil"/>
              <w:right w:val="nil"/>
            </w:tcBorders>
            <w:shd w:val="clear" w:color="auto" w:fill="auto"/>
            <w:vAlign w:val="center"/>
            <w:hideMark/>
          </w:tcPr>
          <w:p w14:paraId="3AB789D0"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r>
      <w:tr w:rsidR="003475F2" w:rsidRPr="003475F2" w14:paraId="0B67F2FB" w14:textId="77777777" w:rsidTr="003475F2">
        <w:trPr>
          <w:trHeight w:val="285"/>
        </w:trPr>
        <w:tc>
          <w:tcPr>
            <w:tcW w:w="3557" w:type="pct"/>
            <w:tcBorders>
              <w:top w:val="nil"/>
              <w:left w:val="nil"/>
              <w:bottom w:val="nil"/>
              <w:right w:val="nil"/>
            </w:tcBorders>
            <w:shd w:val="clear" w:color="auto" w:fill="auto"/>
            <w:noWrap/>
            <w:vAlign w:val="center"/>
            <w:hideMark/>
          </w:tcPr>
          <w:p w14:paraId="54C2AB6E" w14:textId="77777777" w:rsidR="003475F2" w:rsidRPr="003475F2" w:rsidRDefault="003475F2" w:rsidP="003475F2">
            <w:pPr>
              <w:spacing w:after="0" w:line="240" w:lineRule="auto"/>
              <w:ind w:firstLineChars="100" w:firstLine="200"/>
              <w:rPr>
                <w:rFonts w:ascii="Segoe UI" w:eastAsia="Times New Roman" w:hAnsi="Segoe UI" w:cs="Segoe UI"/>
                <w:sz w:val="20"/>
                <w:szCs w:val="20"/>
                <w:lang w:eastAsia="pt-BR"/>
              </w:rPr>
            </w:pPr>
            <w:r w:rsidRPr="003475F2">
              <w:rPr>
                <w:rFonts w:ascii="Segoe UI" w:eastAsia="Times New Roman" w:hAnsi="Segoe UI" w:cs="Segoe UI"/>
                <w:sz w:val="20"/>
                <w:szCs w:val="20"/>
                <w:lang w:eastAsia="pt-BR"/>
              </w:rPr>
              <w:t xml:space="preserve"> Reserva de reavaliação líquida dos impostos </w:t>
            </w:r>
          </w:p>
        </w:tc>
        <w:tc>
          <w:tcPr>
            <w:tcW w:w="672" w:type="pct"/>
            <w:tcBorders>
              <w:top w:val="nil"/>
              <w:left w:val="nil"/>
              <w:bottom w:val="nil"/>
              <w:right w:val="nil"/>
            </w:tcBorders>
            <w:shd w:val="clear" w:color="auto" w:fill="auto"/>
            <w:vAlign w:val="center"/>
            <w:hideMark/>
          </w:tcPr>
          <w:p w14:paraId="4B378F2D" w14:textId="203E5B3F" w:rsidR="003475F2" w:rsidRPr="003475F2" w:rsidRDefault="003475F2" w:rsidP="003475F2">
            <w:pPr>
              <w:spacing w:after="0" w:line="240" w:lineRule="auto"/>
              <w:jc w:val="right"/>
              <w:rPr>
                <w:rFonts w:ascii="Segoe UI" w:eastAsia="Times New Roman" w:hAnsi="Segoe UI" w:cs="Segoe UI"/>
                <w:sz w:val="18"/>
                <w:szCs w:val="18"/>
                <w:lang w:eastAsia="pt-BR"/>
              </w:rPr>
            </w:pPr>
            <w:r w:rsidRPr="003475F2">
              <w:rPr>
                <w:rFonts w:ascii="Segoe UI" w:eastAsia="Times New Roman" w:hAnsi="Segoe UI" w:cs="Segoe UI"/>
                <w:sz w:val="18"/>
                <w:szCs w:val="18"/>
                <w:lang w:eastAsia="pt-BR"/>
              </w:rPr>
              <w:t>75</w:t>
            </w:r>
          </w:p>
        </w:tc>
        <w:tc>
          <w:tcPr>
            <w:tcW w:w="101" w:type="pct"/>
            <w:tcBorders>
              <w:top w:val="nil"/>
              <w:left w:val="nil"/>
              <w:bottom w:val="nil"/>
              <w:right w:val="nil"/>
            </w:tcBorders>
            <w:shd w:val="clear" w:color="auto" w:fill="auto"/>
            <w:vAlign w:val="center"/>
            <w:hideMark/>
          </w:tcPr>
          <w:p w14:paraId="2D7C80A0" w14:textId="77777777" w:rsidR="003475F2" w:rsidRPr="003475F2" w:rsidRDefault="003475F2" w:rsidP="003475F2">
            <w:pPr>
              <w:spacing w:after="0" w:line="240" w:lineRule="auto"/>
              <w:jc w:val="right"/>
              <w:rPr>
                <w:rFonts w:ascii="Segoe UI" w:eastAsia="Times New Roman" w:hAnsi="Segoe UI" w:cs="Segoe UI"/>
                <w:sz w:val="18"/>
                <w:szCs w:val="18"/>
                <w:lang w:eastAsia="pt-BR"/>
              </w:rPr>
            </w:pPr>
          </w:p>
        </w:tc>
        <w:tc>
          <w:tcPr>
            <w:tcW w:w="669" w:type="pct"/>
            <w:tcBorders>
              <w:top w:val="nil"/>
              <w:left w:val="nil"/>
              <w:bottom w:val="nil"/>
              <w:right w:val="nil"/>
            </w:tcBorders>
            <w:shd w:val="clear" w:color="auto" w:fill="auto"/>
            <w:vAlign w:val="center"/>
            <w:hideMark/>
          </w:tcPr>
          <w:p w14:paraId="1C5F3459" w14:textId="1FF78958" w:rsidR="003475F2" w:rsidRPr="003475F2" w:rsidRDefault="003475F2" w:rsidP="003475F2">
            <w:pPr>
              <w:spacing w:after="0" w:line="240" w:lineRule="auto"/>
              <w:jc w:val="right"/>
              <w:rPr>
                <w:rFonts w:ascii="Segoe UI" w:eastAsia="Times New Roman" w:hAnsi="Segoe UI" w:cs="Segoe UI"/>
                <w:sz w:val="18"/>
                <w:szCs w:val="18"/>
                <w:lang w:eastAsia="pt-BR"/>
              </w:rPr>
            </w:pPr>
            <w:r w:rsidRPr="003475F2">
              <w:rPr>
                <w:rFonts w:ascii="Segoe UI" w:eastAsia="Times New Roman" w:hAnsi="Segoe UI" w:cs="Segoe UI"/>
                <w:sz w:val="18"/>
                <w:szCs w:val="18"/>
                <w:lang w:eastAsia="pt-BR"/>
              </w:rPr>
              <w:t>75</w:t>
            </w:r>
          </w:p>
        </w:tc>
      </w:tr>
      <w:tr w:rsidR="003475F2" w:rsidRPr="003475F2" w14:paraId="74792A2F" w14:textId="77777777" w:rsidTr="003475F2">
        <w:trPr>
          <w:trHeight w:val="285"/>
        </w:trPr>
        <w:tc>
          <w:tcPr>
            <w:tcW w:w="3557" w:type="pct"/>
            <w:tcBorders>
              <w:top w:val="nil"/>
              <w:left w:val="nil"/>
              <w:bottom w:val="nil"/>
              <w:right w:val="nil"/>
            </w:tcBorders>
            <w:shd w:val="clear" w:color="auto" w:fill="auto"/>
            <w:noWrap/>
            <w:vAlign w:val="center"/>
            <w:hideMark/>
          </w:tcPr>
          <w:p w14:paraId="2DE146F3" w14:textId="77777777" w:rsidR="003475F2" w:rsidRPr="003475F2" w:rsidRDefault="003475F2" w:rsidP="003475F2">
            <w:pPr>
              <w:spacing w:after="0" w:line="240" w:lineRule="auto"/>
              <w:ind w:firstLineChars="100" w:firstLine="200"/>
              <w:rPr>
                <w:rFonts w:ascii="Segoe UI" w:eastAsia="Times New Roman" w:hAnsi="Segoe UI" w:cs="Segoe UI"/>
                <w:sz w:val="20"/>
                <w:szCs w:val="20"/>
                <w:lang w:eastAsia="pt-BR"/>
              </w:rPr>
            </w:pPr>
            <w:r w:rsidRPr="003475F2">
              <w:rPr>
                <w:rFonts w:ascii="Segoe UI" w:eastAsia="Times New Roman" w:hAnsi="Segoe UI" w:cs="Segoe UI"/>
                <w:sz w:val="20"/>
                <w:szCs w:val="20"/>
                <w:lang w:eastAsia="pt-BR"/>
              </w:rPr>
              <w:t xml:space="preserve"> Ganhos atuariais com planos de benefícios definidos  </w:t>
            </w:r>
          </w:p>
        </w:tc>
        <w:tc>
          <w:tcPr>
            <w:tcW w:w="672" w:type="pct"/>
            <w:tcBorders>
              <w:top w:val="nil"/>
              <w:left w:val="nil"/>
              <w:bottom w:val="single" w:sz="4" w:space="0" w:color="1B80C4"/>
              <w:right w:val="nil"/>
            </w:tcBorders>
            <w:shd w:val="clear" w:color="auto" w:fill="auto"/>
            <w:vAlign w:val="center"/>
            <w:hideMark/>
          </w:tcPr>
          <w:p w14:paraId="366BA1DC" w14:textId="4F7A3BC4" w:rsidR="003475F2" w:rsidRPr="003475F2" w:rsidRDefault="003475F2" w:rsidP="003475F2">
            <w:pPr>
              <w:spacing w:after="0" w:line="240" w:lineRule="auto"/>
              <w:jc w:val="right"/>
              <w:rPr>
                <w:rFonts w:ascii="Segoe UI" w:eastAsia="Times New Roman" w:hAnsi="Segoe UI" w:cs="Segoe UI"/>
                <w:sz w:val="18"/>
                <w:szCs w:val="18"/>
                <w:lang w:eastAsia="pt-BR"/>
              </w:rPr>
            </w:pPr>
            <w:r w:rsidRPr="003475F2">
              <w:rPr>
                <w:rFonts w:ascii="Segoe UI" w:eastAsia="Times New Roman" w:hAnsi="Segoe UI" w:cs="Segoe UI"/>
                <w:sz w:val="18"/>
                <w:szCs w:val="18"/>
                <w:lang w:eastAsia="pt-BR"/>
              </w:rPr>
              <w:t>310.527</w:t>
            </w:r>
          </w:p>
        </w:tc>
        <w:tc>
          <w:tcPr>
            <w:tcW w:w="101" w:type="pct"/>
            <w:tcBorders>
              <w:top w:val="nil"/>
              <w:left w:val="nil"/>
              <w:bottom w:val="nil"/>
              <w:right w:val="nil"/>
            </w:tcBorders>
            <w:shd w:val="clear" w:color="auto" w:fill="auto"/>
            <w:vAlign w:val="center"/>
            <w:hideMark/>
          </w:tcPr>
          <w:p w14:paraId="5A2D36A2" w14:textId="77777777" w:rsidR="003475F2" w:rsidRPr="003475F2" w:rsidRDefault="003475F2" w:rsidP="003475F2">
            <w:pPr>
              <w:spacing w:after="0" w:line="240" w:lineRule="auto"/>
              <w:jc w:val="right"/>
              <w:rPr>
                <w:rFonts w:ascii="Segoe UI" w:eastAsia="Times New Roman" w:hAnsi="Segoe UI" w:cs="Segoe UI"/>
                <w:sz w:val="18"/>
                <w:szCs w:val="18"/>
                <w:lang w:eastAsia="pt-BR"/>
              </w:rPr>
            </w:pPr>
          </w:p>
        </w:tc>
        <w:tc>
          <w:tcPr>
            <w:tcW w:w="669" w:type="pct"/>
            <w:tcBorders>
              <w:top w:val="nil"/>
              <w:left w:val="nil"/>
              <w:bottom w:val="single" w:sz="4" w:space="0" w:color="1B80C4"/>
              <w:right w:val="nil"/>
            </w:tcBorders>
            <w:shd w:val="clear" w:color="auto" w:fill="auto"/>
            <w:vAlign w:val="center"/>
            <w:hideMark/>
          </w:tcPr>
          <w:p w14:paraId="1395CA28" w14:textId="7D0F6501" w:rsidR="003475F2" w:rsidRPr="003475F2" w:rsidRDefault="003475F2" w:rsidP="003475F2">
            <w:pPr>
              <w:spacing w:after="0" w:line="240" w:lineRule="auto"/>
              <w:jc w:val="right"/>
              <w:rPr>
                <w:rFonts w:ascii="Segoe UI" w:eastAsia="Times New Roman" w:hAnsi="Segoe UI" w:cs="Segoe UI"/>
                <w:sz w:val="18"/>
                <w:szCs w:val="18"/>
                <w:lang w:eastAsia="pt-BR"/>
              </w:rPr>
            </w:pPr>
            <w:r w:rsidRPr="003475F2">
              <w:rPr>
                <w:rFonts w:ascii="Segoe UI" w:eastAsia="Times New Roman" w:hAnsi="Segoe UI" w:cs="Segoe UI"/>
                <w:sz w:val="18"/>
                <w:szCs w:val="18"/>
                <w:lang w:eastAsia="pt-BR"/>
              </w:rPr>
              <w:t>310.527</w:t>
            </w:r>
          </w:p>
        </w:tc>
      </w:tr>
      <w:tr w:rsidR="003475F2" w:rsidRPr="003475F2" w14:paraId="7456EF91" w14:textId="77777777" w:rsidTr="003475F2">
        <w:trPr>
          <w:trHeight w:val="285"/>
        </w:trPr>
        <w:tc>
          <w:tcPr>
            <w:tcW w:w="3557" w:type="pct"/>
            <w:tcBorders>
              <w:top w:val="nil"/>
              <w:left w:val="nil"/>
              <w:bottom w:val="nil"/>
              <w:right w:val="nil"/>
            </w:tcBorders>
            <w:shd w:val="clear" w:color="auto" w:fill="auto"/>
            <w:noWrap/>
            <w:vAlign w:val="center"/>
            <w:hideMark/>
          </w:tcPr>
          <w:p w14:paraId="67543C1E" w14:textId="77777777" w:rsidR="003475F2" w:rsidRPr="003475F2" w:rsidRDefault="003475F2" w:rsidP="003475F2">
            <w:pPr>
              <w:spacing w:after="0" w:line="240" w:lineRule="auto"/>
              <w:jc w:val="right"/>
              <w:rPr>
                <w:rFonts w:ascii="Segoe UI" w:eastAsia="Times New Roman" w:hAnsi="Segoe UI" w:cs="Segoe UI"/>
                <w:sz w:val="18"/>
                <w:szCs w:val="18"/>
                <w:lang w:eastAsia="pt-BR"/>
              </w:rPr>
            </w:pPr>
          </w:p>
        </w:tc>
        <w:tc>
          <w:tcPr>
            <w:tcW w:w="672" w:type="pct"/>
            <w:tcBorders>
              <w:top w:val="nil"/>
              <w:left w:val="nil"/>
              <w:bottom w:val="nil"/>
              <w:right w:val="nil"/>
            </w:tcBorders>
            <w:shd w:val="clear" w:color="auto" w:fill="auto"/>
            <w:vAlign w:val="center"/>
            <w:hideMark/>
          </w:tcPr>
          <w:p w14:paraId="25932C3B" w14:textId="29B1D79F" w:rsidR="003475F2" w:rsidRPr="003475F2" w:rsidRDefault="003475F2" w:rsidP="003475F2">
            <w:pPr>
              <w:spacing w:after="0" w:line="240" w:lineRule="auto"/>
              <w:jc w:val="right"/>
              <w:rPr>
                <w:rFonts w:ascii="Segoe UI" w:eastAsia="Times New Roman" w:hAnsi="Segoe UI" w:cs="Segoe UI"/>
                <w:b/>
                <w:bCs/>
                <w:sz w:val="18"/>
                <w:szCs w:val="18"/>
                <w:lang w:eastAsia="pt-BR"/>
              </w:rPr>
            </w:pPr>
            <w:r w:rsidRPr="003475F2">
              <w:rPr>
                <w:rFonts w:ascii="Segoe UI" w:eastAsia="Times New Roman" w:hAnsi="Segoe UI" w:cs="Segoe UI"/>
                <w:b/>
                <w:bCs/>
                <w:sz w:val="18"/>
                <w:szCs w:val="18"/>
                <w:lang w:eastAsia="pt-BR"/>
              </w:rPr>
              <w:t>310.602</w:t>
            </w:r>
          </w:p>
        </w:tc>
        <w:tc>
          <w:tcPr>
            <w:tcW w:w="101" w:type="pct"/>
            <w:tcBorders>
              <w:top w:val="nil"/>
              <w:left w:val="nil"/>
              <w:bottom w:val="nil"/>
              <w:right w:val="nil"/>
            </w:tcBorders>
            <w:shd w:val="clear" w:color="auto" w:fill="auto"/>
            <w:vAlign w:val="center"/>
            <w:hideMark/>
          </w:tcPr>
          <w:p w14:paraId="1A14AB67" w14:textId="77777777" w:rsidR="003475F2" w:rsidRPr="003475F2" w:rsidRDefault="003475F2" w:rsidP="003475F2">
            <w:pPr>
              <w:spacing w:after="0" w:line="240" w:lineRule="auto"/>
              <w:jc w:val="right"/>
              <w:rPr>
                <w:rFonts w:ascii="Segoe UI" w:eastAsia="Times New Roman" w:hAnsi="Segoe UI" w:cs="Segoe UI"/>
                <w:b/>
                <w:bCs/>
                <w:sz w:val="18"/>
                <w:szCs w:val="18"/>
                <w:lang w:eastAsia="pt-BR"/>
              </w:rPr>
            </w:pPr>
          </w:p>
        </w:tc>
        <w:tc>
          <w:tcPr>
            <w:tcW w:w="669" w:type="pct"/>
            <w:tcBorders>
              <w:top w:val="nil"/>
              <w:left w:val="nil"/>
              <w:bottom w:val="nil"/>
              <w:right w:val="nil"/>
            </w:tcBorders>
            <w:shd w:val="clear" w:color="auto" w:fill="auto"/>
            <w:vAlign w:val="center"/>
            <w:hideMark/>
          </w:tcPr>
          <w:p w14:paraId="26004B56" w14:textId="71F0E8F7" w:rsidR="003475F2" w:rsidRPr="003475F2" w:rsidRDefault="003475F2" w:rsidP="003475F2">
            <w:pPr>
              <w:spacing w:after="0" w:line="240" w:lineRule="auto"/>
              <w:jc w:val="right"/>
              <w:rPr>
                <w:rFonts w:ascii="Segoe UI" w:eastAsia="Times New Roman" w:hAnsi="Segoe UI" w:cs="Segoe UI"/>
                <w:b/>
                <w:bCs/>
                <w:sz w:val="18"/>
                <w:szCs w:val="18"/>
                <w:lang w:eastAsia="pt-BR"/>
              </w:rPr>
            </w:pPr>
            <w:r w:rsidRPr="003475F2">
              <w:rPr>
                <w:rFonts w:ascii="Segoe UI" w:eastAsia="Times New Roman" w:hAnsi="Segoe UI" w:cs="Segoe UI"/>
                <w:b/>
                <w:bCs/>
                <w:sz w:val="18"/>
                <w:szCs w:val="18"/>
                <w:lang w:eastAsia="pt-BR"/>
              </w:rPr>
              <w:t>310.602</w:t>
            </w:r>
          </w:p>
        </w:tc>
      </w:tr>
      <w:tr w:rsidR="003475F2" w:rsidRPr="003475F2" w14:paraId="66E52B03" w14:textId="77777777" w:rsidTr="003475F2">
        <w:trPr>
          <w:trHeight w:val="240"/>
        </w:trPr>
        <w:tc>
          <w:tcPr>
            <w:tcW w:w="3557" w:type="pct"/>
            <w:tcBorders>
              <w:top w:val="nil"/>
              <w:left w:val="nil"/>
              <w:bottom w:val="nil"/>
              <w:right w:val="nil"/>
            </w:tcBorders>
            <w:shd w:val="clear" w:color="auto" w:fill="auto"/>
            <w:noWrap/>
            <w:vAlign w:val="center"/>
            <w:hideMark/>
          </w:tcPr>
          <w:p w14:paraId="463178E6" w14:textId="77777777" w:rsidR="003475F2" w:rsidRPr="003475F2" w:rsidRDefault="003475F2" w:rsidP="003475F2">
            <w:pPr>
              <w:spacing w:after="0" w:line="240" w:lineRule="auto"/>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 xml:space="preserve"> Itens a serem posteriormente reclassificados para o resultado </w:t>
            </w:r>
          </w:p>
        </w:tc>
        <w:tc>
          <w:tcPr>
            <w:tcW w:w="672" w:type="pct"/>
            <w:tcBorders>
              <w:top w:val="nil"/>
              <w:left w:val="nil"/>
              <w:bottom w:val="nil"/>
              <w:right w:val="nil"/>
            </w:tcBorders>
            <w:shd w:val="clear" w:color="auto" w:fill="auto"/>
            <w:vAlign w:val="center"/>
            <w:hideMark/>
          </w:tcPr>
          <w:p w14:paraId="72F7E6B2" w14:textId="77777777"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vAlign w:val="center"/>
            <w:hideMark/>
          </w:tcPr>
          <w:p w14:paraId="2B5A1E05"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nil"/>
              <w:right w:val="nil"/>
            </w:tcBorders>
            <w:shd w:val="clear" w:color="auto" w:fill="auto"/>
            <w:vAlign w:val="center"/>
            <w:hideMark/>
          </w:tcPr>
          <w:p w14:paraId="3B3E7A43"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r>
      <w:tr w:rsidR="003475F2" w:rsidRPr="003475F2" w14:paraId="52D5807C" w14:textId="77777777" w:rsidTr="003475F2">
        <w:trPr>
          <w:trHeight w:val="240"/>
        </w:trPr>
        <w:tc>
          <w:tcPr>
            <w:tcW w:w="3557" w:type="pct"/>
            <w:tcBorders>
              <w:top w:val="nil"/>
              <w:left w:val="nil"/>
              <w:bottom w:val="nil"/>
              <w:right w:val="nil"/>
            </w:tcBorders>
            <w:shd w:val="clear" w:color="auto" w:fill="auto"/>
            <w:noWrap/>
            <w:vAlign w:val="center"/>
            <w:hideMark/>
          </w:tcPr>
          <w:p w14:paraId="00B007A8" w14:textId="77777777" w:rsidR="003475F2" w:rsidRPr="003475F2" w:rsidRDefault="003475F2" w:rsidP="003475F2">
            <w:pPr>
              <w:spacing w:after="0" w:line="240" w:lineRule="auto"/>
              <w:ind w:firstLineChars="100" w:firstLine="180"/>
              <w:rPr>
                <w:rFonts w:ascii="Segoe UI" w:eastAsia="Times New Roman" w:hAnsi="Segoe UI" w:cs="Segoe UI"/>
                <w:color w:val="000000"/>
                <w:sz w:val="18"/>
                <w:szCs w:val="18"/>
                <w:lang w:eastAsia="pt-BR"/>
              </w:rPr>
            </w:pPr>
            <w:r w:rsidRPr="003475F2">
              <w:rPr>
                <w:rFonts w:ascii="Segoe UI" w:eastAsia="Times New Roman" w:hAnsi="Segoe UI" w:cs="Segoe UI"/>
                <w:color w:val="000000"/>
                <w:sz w:val="18"/>
                <w:szCs w:val="18"/>
                <w:lang w:eastAsia="pt-BR"/>
              </w:rPr>
              <w:t xml:space="preserve"> Variação cambial de investidas localizadas no exterior </w:t>
            </w:r>
          </w:p>
        </w:tc>
        <w:tc>
          <w:tcPr>
            <w:tcW w:w="672" w:type="pct"/>
            <w:tcBorders>
              <w:top w:val="nil"/>
              <w:left w:val="nil"/>
              <w:bottom w:val="single" w:sz="4" w:space="0" w:color="1B80C4"/>
              <w:right w:val="nil"/>
            </w:tcBorders>
            <w:shd w:val="clear" w:color="auto" w:fill="auto"/>
            <w:vAlign w:val="center"/>
            <w:hideMark/>
          </w:tcPr>
          <w:p w14:paraId="7C226B47" w14:textId="1046C95F" w:rsidR="003475F2" w:rsidRPr="003475F2" w:rsidRDefault="003475F2" w:rsidP="003475F2">
            <w:pPr>
              <w:spacing w:after="0" w:line="240" w:lineRule="auto"/>
              <w:jc w:val="right"/>
              <w:rPr>
                <w:rFonts w:ascii="Segoe UI" w:eastAsia="Times New Roman" w:hAnsi="Segoe UI" w:cs="Segoe UI"/>
                <w:color w:val="000000"/>
                <w:sz w:val="18"/>
                <w:szCs w:val="18"/>
                <w:lang w:eastAsia="pt-BR"/>
              </w:rPr>
            </w:pPr>
            <w:r w:rsidRPr="003475F2">
              <w:rPr>
                <w:rFonts w:ascii="Segoe UI" w:eastAsia="Times New Roman" w:hAnsi="Segoe UI" w:cs="Segoe UI"/>
                <w:color w:val="000000"/>
                <w:sz w:val="18"/>
                <w:szCs w:val="18"/>
                <w:lang w:eastAsia="pt-BR"/>
              </w:rPr>
              <w:t>5.290</w:t>
            </w:r>
          </w:p>
        </w:tc>
        <w:tc>
          <w:tcPr>
            <w:tcW w:w="101" w:type="pct"/>
            <w:tcBorders>
              <w:top w:val="nil"/>
              <w:left w:val="nil"/>
              <w:bottom w:val="nil"/>
              <w:right w:val="nil"/>
            </w:tcBorders>
            <w:shd w:val="clear" w:color="auto" w:fill="auto"/>
            <w:vAlign w:val="center"/>
            <w:hideMark/>
          </w:tcPr>
          <w:p w14:paraId="4F7A8C49" w14:textId="77777777" w:rsidR="003475F2" w:rsidRPr="003475F2" w:rsidRDefault="003475F2" w:rsidP="003475F2">
            <w:pPr>
              <w:spacing w:after="0" w:line="240" w:lineRule="auto"/>
              <w:jc w:val="right"/>
              <w:rPr>
                <w:rFonts w:ascii="Segoe UI" w:eastAsia="Times New Roman" w:hAnsi="Segoe UI" w:cs="Segoe UI"/>
                <w:color w:val="000000"/>
                <w:sz w:val="18"/>
                <w:szCs w:val="18"/>
                <w:lang w:eastAsia="pt-BR"/>
              </w:rPr>
            </w:pPr>
          </w:p>
        </w:tc>
        <w:tc>
          <w:tcPr>
            <w:tcW w:w="669" w:type="pct"/>
            <w:tcBorders>
              <w:top w:val="nil"/>
              <w:left w:val="nil"/>
              <w:bottom w:val="single" w:sz="4" w:space="0" w:color="1B80C4"/>
              <w:right w:val="nil"/>
            </w:tcBorders>
            <w:shd w:val="clear" w:color="auto" w:fill="auto"/>
            <w:vAlign w:val="center"/>
            <w:hideMark/>
          </w:tcPr>
          <w:p w14:paraId="2B64BDE3" w14:textId="008F44B2" w:rsidR="003475F2" w:rsidRPr="003475F2" w:rsidRDefault="003475F2" w:rsidP="003475F2">
            <w:pPr>
              <w:spacing w:after="0" w:line="240" w:lineRule="auto"/>
              <w:jc w:val="right"/>
              <w:rPr>
                <w:rFonts w:ascii="Segoe UI" w:eastAsia="Times New Roman" w:hAnsi="Segoe UI" w:cs="Segoe UI"/>
                <w:color w:val="000000"/>
                <w:sz w:val="18"/>
                <w:szCs w:val="18"/>
                <w:lang w:eastAsia="pt-BR"/>
              </w:rPr>
            </w:pPr>
            <w:r w:rsidRPr="003475F2">
              <w:rPr>
                <w:rFonts w:ascii="Segoe UI" w:eastAsia="Times New Roman" w:hAnsi="Segoe UI" w:cs="Segoe UI"/>
                <w:color w:val="000000"/>
                <w:sz w:val="18"/>
                <w:szCs w:val="18"/>
                <w:lang w:eastAsia="pt-BR"/>
              </w:rPr>
              <w:t>5.290</w:t>
            </w:r>
          </w:p>
        </w:tc>
      </w:tr>
      <w:tr w:rsidR="003475F2" w:rsidRPr="003475F2" w14:paraId="6511B7BA" w14:textId="77777777" w:rsidTr="003475F2">
        <w:trPr>
          <w:trHeight w:val="285"/>
        </w:trPr>
        <w:tc>
          <w:tcPr>
            <w:tcW w:w="3557" w:type="pct"/>
            <w:tcBorders>
              <w:top w:val="nil"/>
              <w:left w:val="nil"/>
              <w:bottom w:val="nil"/>
              <w:right w:val="nil"/>
            </w:tcBorders>
            <w:shd w:val="clear" w:color="auto" w:fill="auto"/>
            <w:noWrap/>
            <w:vAlign w:val="center"/>
            <w:hideMark/>
          </w:tcPr>
          <w:p w14:paraId="63AEF8C6" w14:textId="77777777" w:rsidR="003475F2" w:rsidRPr="003475F2" w:rsidRDefault="003475F2" w:rsidP="003475F2">
            <w:pPr>
              <w:spacing w:after="0" w:line="240" w:lineRule="auto"/>
              <w:jc w:val="right"/>
              <w:rPr>
                <w:rFonts w:ascii="Segoe UI" w:eastAsia="Times New Roman" w:hAnsi="Segoe UI" w:cs="Segoe UI"/>
                <w:color w:val="000000"/>
                <w:sz w:val="18"/>
                <w:szCs w:val="18"/>
                <w:lang w:eastAsia="pt-BR"/>
              </w:rPr>
            </w:pPr>
          </w:p>
        </w:tc>
        <w:tc>
          <w:tcPr>
            <w:tcW w:w="672" w:type="pct"/>
            <w:tcBorders>
              <w:top w:val="nil"/>
              <w:left w:val="nil"/>
              <w:bottom w:val="nil"/>
              <w:right w:val="nil"/>
            </w:tcBorders>
            <w:shd w:val="clear" w:color="auto" w:fill="auto"/>
            <w:vAlign w:val="center"/>
            <w:hideMark/>
          </w:tcPr>
          <w:p w14:paraId="4A8ABB11" w14:textId="3772B068"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5.290</w:t>
            </w:r>
          </w:p>
        </w:tc>
        <w:tc>
          <w:tcPr>
            <w:tcW w:w="101" w:type="pct"/>
            <w:tcBorders>
              <w:top w:val="nil"/>
              <w:left w:val="nil"/>
              <w:bottom w:val="nil"/>
              <w:right w:val="nil"/>
            </w:tcBorders>
            <w:shd w:val="clear" w:color="auto" w:fill="auto"/>
            <w:vAlign w:val="center"/>
            <w:hideMark/>
          </w:tcPr>
          <w:p w14:paraId="47374DAC" w14:textId="77777777"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p>
        </w:tc>
        <w:tc>
          <w:tcPr>
            <w:tcW w:w="669" w:type="pct"/>
            <w:tcBorders>
              <w:top w:val="nil"/>
              <w:left w:val="nil"/>
              <w:bottom w:val="nil"/>
              <w:right w:val="nil"/>
            </w:tcBorders>
            <w:shd w:val="clear" w:color="auto" w:fill="auto"/>
            <w:vAlign w:val="center"/>
            <w:hideMark/>
          </w:tcPr>
          <w:p w14:paraId="2FAB98CD" w14:textId="332BD112"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5.290</w:t>
            </w:r>
          </w:p>
        </w:tc>
      </w:tr>
      <w:tr w:rsidR="003475F2" w:rsidRPr="003475F2" w14:paraId="1CFCA5A9" w14:textId="77777777" w:rsidTr="003475F2">
        <w:trPr>
          <w:trHeight w:val="285"/>
        </w:trPr>
        <w:tc>
          <w:tcPr>
            <w:tcW w:w="3557" w:type="pct"/>
            <w:tcBorders>
              <w:top w:val="nil"/>
              <w:left w:val="nil"/>
              <w:bottom w:val="nil"/>
              <w:right w:val="nil"/>
            </w:tcBorders>
            <w:shd w:val="clear" w:color="auto" w:fill="auto"/>
            <w:noWrap/>
            <w:vAlign w:val="center"/>
            <w:hideMark/>
          </w:tcPr>
          <w:p w14:paraId="73C250CE" w14:textId="77777777"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p>
        </w:tc>
        <w:tc>
          <w:tcPr>
            <w:tcW w:w="672" w:type="pct"/>
            <w:tcBorders>
              <w:top w:val="nil"/>
              <w:left w:val="nil"/>
              <w:bottom w:val="nil"/>
              <w:right w:val="nil"/>
            </w:tcBorders>
            <w:shd w:val="clear" w:color="auto" w:fill="auto"/>
            <w:vAlign w:val="center"/>
            <w:hideMark/>
          </w:tcPr>
          <w:p w14:paraId="00A2E0CE" w14:textId="77777777" w:rsidR="003475F2" w:rsidRPr="003475F2" w:rsidRDefault="003475F2" w:rsidP="003475F2">
            <w:pPr>
              <w:spacing w:after="0" w:line="240" w:lineRule="auto"/>
              <w:ind w:firstLineChars="100" w:firstLine="200"/>
              <w:jc w:val="right"/>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vAlign w:val="center"/>
            <w:hideMark/>
          </w:tcPr>
          <w:p w14:paraId="0396FCF5"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nil"/>
              <w:right w:val="nil"/>
            </w:tcBorders>
            <w:shd w:val="clear" w:color="auto" w:fill="auto"/>
            <w:vAlign w:val="center"/>
            <w:hideMark/>
          </w:tcPr>
          <w:p w14:paraId="5272E65F"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r>
      <w:tr w:rsidR="003475F2" w:rsidRPr="003475F2" w14:paraId="5BA7B1CF" w14:textId="77777777" w:rsidTr="003475F2">
        <w:trPr>
          <w:trHeight w:val="255"/>
        </w:trPr>
        <w:tc>
          <w:tcPr>
            <w:tcW w:w="3557" w:type="pct"/>
            <w:tcBorders>
              <w:top w:val="nil"/>
              <w:left w:val="nil"/>
              <w:bottom w:val="nil"/>
              <w:right w:val="nil"/>
            </w:tcBorders>
            <w:shd w:val="clear" w:color="auto" w:fill="auto"/>
            <w:noWrap/>
            <w:vAlign w:val="center"/>
            <w:hideMark/>
          </w:tcPr>
          <w:p w14:paraId="236C0223" w14:textId="77777777" w:rsidR="003475F2" w:rsidRPr="003475F2" w:rsidRDefault="003475F2" w:rsidP="003475F2">
            <w:pPr>
              <w:spacing w:after="0" w:line="240" w:lineRule="auto"/>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 xml:space="preserve"> Total do resultado abrangente do exercício </w:t>
            </w:r>
          </w:p>
        </w:tc>
        <w:tc>
          <w:tcPr>
            <w:tcW w:w="672" w:type="pct"/>
            <w:tcBorders>
              <w:top w:val="single" w:sz="4" w:space="0" w:color="1B80C4"/>
              <w:left w:val="nil"/>
              <w:bottom w:val="double" w:sz="6" w:space="0" w:color="1B80C4"/>
              <w:right w:val="nil"/>
            </w:tcBorders>
            <w:shd w:val="clear" w:color="auto" w:fill="auto"/>
            <w:vAlign w:val="center"/>
            <w:hideMark/>
          </w:tcPr>
          <w:p w14:paraId="019AC5F8" w14:textId="31CFC041"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421.787</w:t>
            </w:r>
          </w:p>
        </w:tc>
        <w:tc>
          <w:tcPr>
            <w:tcW w:w="101" w:type="pct"/>
            <w:tcBorders>
              <w:top w:val="nil"/>
              <w:left w:val="nil"/>
              <w:bottom w:val="nil"/>
              <w:right w:val="nil"/>
            </w:tcBorders>
            <w:shd w:val="clear" w:color="auto" w:fill="auto"/>
            <w:vAlign w:val="center"/>
            <w:hideMark/>
          </w:tcPr>
          <w:p w14:paraId="29A978FC" w14:textId="77777777"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p>
        </w:tc>
        <w:tc>
          <w:tcPr>
            <w:tcW w:w="669" w:type="pct"/>
            <w:tcBorders>
              <w:top w:val="single" w:sz="4" w:space="0" w:color="1B80C4"/>
              <w:left w:val="nil"/>
              <w:bottom w:val="double" w:sz="6" w:space="0" w:color="1B80C4"/>
              <w:right w:val="nil"/>
            </w:tcBorders>
            <w:shd w:val="clear" w:color="auto" w:fill="auto"/>
            <w:vAlign w:val="center"/>
            <w:hideMark/>
          </w:tcPr>
          <w:p w14:paraId="659336BC" w14:textId="58B61C96"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357.111</w:t>
            </w:r>
          </w:p>
        </w:tc>
      </w:tr>
      <w:tr w:rsidR="003475F2" w:rsidRPr="003475F2" w14:paraId="6078E425" w14:textId="77777777" w:rsidTr="003475F2">
        <w:trPr>
          <w:trHeight w:val="255"/>
        </w:trPr>
        <w:tc>
          <w:tcPr>
            <w:tcW w:w="3557" w:type="pct"/>
            <w:tcBorders>
              <w:top w:val="nil"/>
              <w:left w:val="nil"/>
              <w:bottom w:val="nil"/>
              <w:right w:val="nil"/>
            </w:tcBorders>
            <w:shd w:val="clear" w:color="auto" w:fill="auto"/>
            <w:noWrap/>
            <w:vAlign w:val="center"/>
            <w:hideMark/>
          </w:tcPr>
          <w:p w14:paraId="4B5D3CBF" w14:textId="77777777"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p>
        </w:tc>
        <w:tc>
          <w:tcPr>
            <w:tcW w:w="672" w:type="pct"/>
            <w:tcBorders>
              <w:top w:val="nil"/>
              <w:left w:val="nil"/>
              <w:bottom w:val="nil"/>
              <w:right w:val="nil"/>
            </w:tcBorders>
            <w:shd w:val="clear" w:color="auto" w:fill="auto"/>
            <w:vAlign w:val="center"/>
            <w:hideMark/>
          </w:tcPr>
          <w:p w14:paraId="52F05077"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vAlign w:val="center"/>
            <w:hideMark/>
          </w:tcPr>
          <w:p w14:paraId="684BC057"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nil"/>
              <w:right w:val="nil"/>
            </w:tcBorders>
            <w:shd w:val="clear" w:color="auto" w:fill="auto"/>
            <w:vAlign w:val="center"/>
            <w:hideMark/>
          </w:tcPr>
          <w:p w14:paraId="3D1EC503"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r>
      <w:tr w:rsidR="003475F2" w:rsidRPr="003475F2" w14:paraId="2F27E394" w14:textId="77777777" w:rsidTr="003475F2">
        <w:trPr>
          <w:trHeight w:val="240"/>
        </w:trPr>
        <w:tc>
          <w:tcPr>
            <w:tcW w:w="3557" w:type="pct"/>
            <w:tcBorders>
              <w:top w:val="nil"/>
              <w:left w:val="nil"/>
              <w:bottom w:val="nil"/>
              <w:right w:val="nil"/>
            </w:tcBorders>
            <w:shd w:val="clear" w:color="auto" w:fill="auto"/>
            <w:noWrap/>
            <w:vAlign w:val="center"/>
            <w:hideMark/>
          </w:tcPr>
          <w:p w14:paraId="18D55A67" w14:textId="77777777" w:rsidR="003475F2" w:rsidRPr="003475F2" w:rsidRDefault="003475F2" w:rsidP="003475F2">
            <w:pPr>
              <w:spacing w:after="0" w:line="240" w:lineRule="auto"/>
              <w:rPr>
                <w:rFonts w:ascii="Segoe UI" w:eastAsia="Times New Roman" w:hAnsi="Segoe UI" w:cs="Segoe UI"/>
                <w:sz w:val="18"/>
                <w:szCs w:val="18"/>
                <w:lang w:eastAsia="pt-BR"/>
              </w:rPr>
            </w:pPr>
            <w:r w:rsidRPr="003475F2">
              <w:rPr>
                <w:rFonts w:ascii="Segoe UI" w:eastAsia="Times New Roman" w:hAnsi="Segoe UI" w:cs="Segoe UI"/>
                <w:sz w:val="18"/>
                <w:szCs w:val="18"/>
                <w:lang w:eastAsia="pt-BR"/>
              </w:rPr>
              <w:t xml:space="preserve"> Atribuível a: </w:t>
            </w:r>
          </w:p>
        </w:tc>
        <w:tc>
          <w:tcPr>
            <w:tcW w:w="672" w:type="pct"/>
            <w:tcBorders>
              <w:top w:val="nil"/>
              <w:left w:val="nil"/>
              <w:bottom w:val="nil"/>
              <w:right w:val="nil"/>
            </w:tcBorders>
            <w:shd w:val="clear" w:color="auto" w:fill="auto"/>
            <w:vAlign w:val="center"/>
            <w:hideMark/>
          </w:tcPr>
          <w:p w14:paraId="4BF9D7AA" w14:textId="77777777" w:rsidR="003475F2" w:rsidRPr="003475F2" w:rsidRDefault="003475F2" w:rsidP="003475F2">
            <w:pPr>
              <w:spacing w:after="0" w:line="240" w:lineRule="auto"/>
              <w:jc w:val="right"/>
              <w:rPr>
                <w:rFonts w:ascii="Segoe UI" w:eastAsia="Times New Roman" w:hAnsi="Segoe UI" w:cs="Segoe UI"/>
                <w:sz w:val="18"/>
                <w:szCs w:val="18"/>
                <w:lang w:eastAsia="pt-BR"/>
              </w:rPr>
            </w:pPr>
          </w:p>
        </w:tc>
        <w:tc>
          <w:tcPr>
            <w:tcW w:w="101" w:type="pct"/>
            <w:tcBorders>
              <w:top w:val="nil"/>
              <w:left w:val="nil"/>
              <w:bottom w:val="nil"/>
              <w:right w:val="nil"/>
            </w:tcBorders>
            <w:shd w:val="clear" w:color="auto" w:fill="auto"/>
            <w:vAlign w:val="center"/>
            <w:hideMark/>
          </w:tcPr>
          <w:p w14:paraId="4AD38214"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nil"/>
              <w:right w:val="nil"/>
            </w:tcBorders>
            <w:shd w:val="clear" w:color="auto" w:fill="auto"/>
            <w:vAlign w:val="center"/>
            <w:hideMark/>
          </w:tcPr>
          <w:p w14:paraId="2F3213A1"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r>
      <w:tr w:rsidR="003475F2" w:rsidRPr="003475F2" w14:paraId="45DAD6C8" w14:textId="77777777" w:rsidTr="003475F2">
        <w:trPr>
          <w:trHeight w:val="240"/>
        </w:trPr>
        <w:tc>
          <w:tcPr>
            <w:tcW w:w="3557" w:type="pct"/>
            <w:tcBorders>
              <w:top w:val="nil"/>
              <w:left w:val="nil"/>
              <w:bottom w:val="nil"/>
              <w:right w:val="nil"/>
            </w:tcBorders>
            <w:shd w:val="clear" w:color="auto" w:fill="auto"/>
            <w:noWrap/>
            <w:vAlign w:val="center"/>
            <w:hideMark/>
          </w:tcPr>
          <w:p w14:paraId="2852614F" w14:textId="77777777" w:rsidR="003475F2" w:rsidRPr="003475F2" w:rsidRDefault="003475F2" w:rsidP="003475F2">
            <w:pPr>
              <w:spacing w:after="0" w:line="240" w:lineRule="auto"/>
              <w:ind w:firstLineChars="100" w:firstLine="180"/>
              <w:rPr>
                <w:rFonts w:ascii="Segoe UI" w:eastAsia="Times New Roman" w:hAnsi="Segoe UI" w:cs="Segoe UI"/>
                <w:sz w:val="18"/>
                <w:szCs w:val="18"/>
                <w:lang w:eastAsia="pt-BR"/>
              </w:rPr>
            </w:pPr>
            <w:r w:rsidRPr="003475F2">
              <w:rPr>
                <w:rFonts w:ascii="Segoe UI" w:eastAsia="Times New Roman" w:hAnsi="Segoe UI" w:cs="Segoe UI"/>
                <w:sz w:val="18"/>
                <w:szCs w:val="18"/>
                <w:lang w:eastAsia="pt-BR"/>
              </w:rPr>
              <w:t xml:space="preserve"> Participação dos não controladores </w:t>
            </w:r>
          </w:p>
        </w:tc>
        <w:tc>
          <w:tcPr>
            <w:tcW w:w="672" w:type="pct"/>
            <w:tcBorders>
              <w:top w:val="nil"/>
              <w:left w:val="nil"/>
              <w:bottom w:val="nil"/>
              <w:right w:val="nil"/>
            </w:tcBorders>
            <w:shd w:val="clear" w:color="auto" w:fill="auto"/>
            <w:vAlign w:val="center"/>
            <w:hideMark/>
          </w:tcPr>
          <w:p w14:paraId="7B6BE48B" w14:textId="77777777" w:rsidR="003475F2" w:rsidRPr="003475F2" w:rsidRDefault="003475F2" w:rsidP="003475F2">
            <w:pPr>
              <w:spacing w:after="0" w:line="240" w:lineRule="auto"/>
              <w:ind w:firstLineChars="100" w:firstLine="180"/>
              <w:jc w:val="right"/>
              <w:rPr>
                <w:rFonts w:ascii="Segoe UI" w:eastAsia="Times New Roman" w:hAnsi="Segoe UI" w:cs="Segoe UI"/>
                <w:sz w:val="18"/>
                <w:szCs w:val="18"/>
                <w:lang w:eastAsia="pt-BR"/>
              </w:rPr>
            </w:pPr>
          </w:p>
        </w:tc>
        <w:tc>
          <w:tcPr>
            <w:tcW w:w="101" w:type="pct"/>
            <w:tcBorders>
              <w:top w:val="nil"/>
              <w:left w:val="nil"/>
              <w:bottom w:val="nil"/>
              <w:right w:val="nil"/>
            </w:tcBorders>
            <w:shd w:val="clear" w:color="auto" w:fill="auto"/>
            <w:vAlign w:val="center"/>
            <w:hideMark/>
          </w:tcPr>
          <w:p w14:paraId="752BA852"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nil"/>
              <w:right w:val="nil"/>
            </w:tcBorders>
            <w:shd w:val="clear" w:color="auto" w:fill="auto"/>
            <w:vAlign w:val="center"/>
            <w:hideMark/>
          </w:tcPr>
          <w:p w14:paraId="26E54D7F" w14:textId="16510212" w:rsidR="003475F2" w:rsidRPr="003475F2" w:rsidRDefault="003475F2" w:rsidP="003475F2">
            <w:pPr>
              <w:spacing w:after="0" w:line="240" w:lineRule="auto"/>
              <w:jc w:val="right"/>
              <w:rPr>
                <w:rFonts w:ascii="Segoe UI" w:eastAsia="Times New Roman" w:hAnsi="Segoe UI" w:cs="Segoe UI"/>
                <w:color w:val="000000"/>
                <w:sz w:val="18"/>
                <w:szCs w:val="18"/>
                <w:lang w:eastAsia="pt-BR"/>
              </w:rPr>
            </w:pPr>
            <w:r w:rsidRPr="003475F2">
              <w:rPr>
                <w:rFonts w:ascii="Segoe UI" w:eastAsia="Times New Roman" w:hAnsi="Segoe UI" w:cs="Segoe UI"/>
                <w:color w:val="000000"/>
                <w:sz w:val="18"/>
                <w:szCs w:val="18"/>
                <w:lang w:eastAsia="pt-BR"/>
              </w:rPr>
              <w:t>(64.676)</w:t>
            </w:r>
          </w:p>
        </w:tc>
      </w:tr>
      <w:tr w:rsidR="003475F2" w:rsidRPr="003475F2" w14:paraId="299C0D95" w14:textId="77777777" w:rsidTr="003475F2">
        <w:trPr>
          <w:trHeight w:val="240"/>
        </w:trPr>
        <w:tc>
          <w:tcPr>
            <w:tcW w:w="3557" w:type="pct"/>
            <w:tcBorders>
              <w:top w:val="nil"/>
              <w:left w:val="nil"/>
              <w:bottom w:val="nil"/>
              <w:right w:val="nil"/>
            </w:tcBorders>
            <w:shd w:val="clear" w:color="auto" w:fill="auto"/>
            <w:noWrap/>
            <w:vAlign w:val="center"/>
            <w:hideMark/>
          </w:tcPr>
          <w:p w14:paraId="776E81BB" w14:textId="77777777" w:rsidR="003475F2" w:rsidRPr="003475F2" w:rsidRDefault="003475F2" w:rsidP="003475F2">
            <w:pPr>
              <w:spacing w:after="0" w:line="240" w:lineRule="auto"/>
              <w:ind w:firstLineChars="100" w:firstLine="180"/>
              <w:rPr>
                <w:rFonts w:ascii="Segoe UI" w:eastAsia="Times New Roman" w:hAnsi="Segoe UI" w:cs="Segoe UI"/>
                <w:sz w:val="18"/>
                <w:szCs w:val="18"/>
                <w:lang w:eastAsia="pt-BR"/>
              </w:rPr>
            </w:pPr>
            <w:r w:rsidRPr="003475F2">
              <w:rPr>
                <w:rFonts w:ascii="Segoe UI" w:eastAsia="Times New Roman" w:hAnsi="Segoe UI" w:cs="Segoe UI"/>
                <w:sz w:val="18"/>
                <w:szCs w:val="18"/>
                <w:lang w:eastAsia="pt-BR"/>
              </w:rPr>
              <w:t xml:space="preserve"> Acionistas controladores </w:t>
            </w:r>
          </w:p>
        </w:tc>
        <w:tc>
          <w:tcPr>
            <w:tcW w:w="672" w:type="pct"/>
            <w:tcBorders>
              <w:top w:val="nil"/>
              <w:left w:val="nil"/>
              <w:bottom w:val="nil"/>
              <w:right w:val="nil"/>
            </w:tcBorders>
            <w:shd w:val="clear" w:color="auto" w:fill="auto"/>
            <w:vAlign w:val="center"/>
            <w:hideMark/>
          </w:tcPr>
          <w:p w14:paraId="6573E349" w14:textId="77777777" w:rsidR="003475F2" w:rsidRPr="003475F2" w:rsidRDefault="003475F2" w:rsidP="003475F2">
            <w:pPr>
              <w:spacing w:after="0" w:line="240" w:lineRule="auto"/>
              <w:ind w:firstLineChars="100" w:firstLine="180"/>
              <w:jc w:val="right"/>
              <w:rPr>
                <w:rFonts w:ascii="Segoe UI" w:eastAsia="Times New Roman" w:hAnsi="Segoe UI" w:cs="Segoe UI"/>
                <w:sz w:val="18"/>
                <w:szCs w:val="18"/>
                <w:lang w:eastAsia="pt-BR"/>
              </w:rPr>
            </w:pPr>
          </w:p>
        </w:tc>
        <w:tc>
          <w:tcPr>
            <w:tcW w:w="101" w:type="pct"/>
            <w:tcBorders>
              <w:top w:val="nil"/>
              <w:left w:val="nil"/>
              <w:bottom w:val="nil"/>
              <w:right w:val="nil"/>
            </w:tcBorders>
            <w:shd w:val="clear" w:color="auto" w:fill="auto"/>
            <w:vAlign w:val="center"/>
            <w:hideMark/>
          </w:tcPr>
          <w:p w14:paraId="29E34734"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single" w:sz="4" w:space="0" w:color="1B80C4"/>
              <w:right w:val="nil"/>
            </w:tcBorders>
            <w:shd w:val="clear" w:color="auto" w:fill="auto"/>
            <w:vAlign w:val="center"/>
            <w:hideMark/>
          </w:tcPr>
          <w:p w14:paraId="0F2F6E02" w14:textId="5BD9F79B" w:rsidR="003475F2" w:rsidRPr="003475F2" w:rsidRDefault="003475F2" w:rsidP="003475F2">
            <w:pPr>
              <w:spacing w:after="0" w:line="240" w:lineRule="auto"/>
              <w:jc w:val="right"/>
              <w:rPr>
                <w:rFonts w:ascii="Segoe UI" w:eastAsia="Times New Roman" w:hAnsi="Segoe UI" w:cs="Segoe UI"/>
                <w:color w:val="000000"/>
                <w:sz w:val="18"/>
                <w:szCs w:val="18"/>
                <w:lang w:eastAsia="pt-BR"/>
              </w:rPr>
            </w:pPr>
            <w:r w:rsidRPr="003475F2">
              <w:rPr>
                <w:rFonts w:ascii="Segoe UI" w:eastAsia="Times New Roman" w:hAnsi="Segoe UI" w:cs="Segoe UI"/>
                <w:color w:val="000000"/>
                <w:sz w:val="18"/>
                <w:szCs w:val="18"/>
                <w:lang w:eastAsia="pt-BR"/>
              </w:rPr>
              <w:t>421.787</w:t>
            </w:r>
          </w:p>
        </w:tc>
      </w:tr>
      <w:tr w:rsidR="003475F2" w:rsidRPr="003475F2" w14:paraId="33869DF5" w14:textId="77777777" w:rsidTr="003475F2">
        <w:trPr>
          <w:trHeight w:val="240"/>
        </w:trPr>
        <w:tc>
          <w:tcPr>
            <w:tcW w:w="3557" w:type="pct"/>
            <w:tcBorders>
              <w:top w:val="nil"/>
              <w:left w:val="nil"/>
              <w:bottom w:val="nil"/>
              <w:right w:val="nil"/>
            </w:tcBorders>
            <w:shd w:val="clear" w:color="auto" w:fill="auto"/>
            <w:noWrap/>
            <w:vAlign w:val="bottom"/>
            <w:hideMark/>
          </w:tcPr>
          <w:p w14:paraId="62C1D236" w14:textId="77777777" w:rsidR="003475F2" w:rsidRPr="003475F2" w:rsidRDefault="003475F2" w:rsidP="003475F2">
            <w:pPr>
              <w:spacing w:after="0" w:line="240" w:lineRule="auto"/>
              <w:jc w:val="right"/>
              <w:rPr>
                <w:rFonts w:ascii="Segoe UI" w:eastAsia="Times New Roman" w:hAnsi="Segoe UI" w:cs="Segoe UI"/>
                <w:color w:val="000000"/>
                <w:sz w:val="18"/>
                <w:szCs w:val="18"/>
                <w:lang w:eastAsia="pt-BR"/>
              </w:rPr>
            </w:pPr>
          </w:p>
        </w:tc>
        <w:tc>
          <w:tcPr>
            <w:tcW w:w="672" w:type="pct"/>
            <w:tcBorders>
              <w:top w:val="nil"/>
              <w:left w:val="nil"/>
              <w:bottom w:val="nil"/>
              <w:right w:val="nil"/>
            </w:tcBorders>
            <w:shd w:val="clear" w:color="auto" w:fill="auto"/>
            <w:noWrap/>
            <w:vAlign w:val="bottom"/>
            <w:hideMark/>
          </w:tcPr>
          <w:p w14:paraId="40AA4D97"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606F69E1" w14:textId="77777777" w:rsidR="003475F2" w:rsidRPr="003475F2" w:rsidRDefault="003475F2" w:rsidP="003475F2">
            <w:pPr>
              <w:spacing w:after="0" w:line="240" w:lineRule="auto"/>
              <w:jc w:val="right"/>
              <w:rPr>
                <w:rFonts w:ascii="Times New Roman" w:eastAsia="Times New Roman" w:hAnsi="Times New Roman" w:cs="Times New Roman"/>
                <w:sz w:val="20"/>
                <w:szCs w:val="20"/>
                <w:lang w:eastAsia="pt-BR"/>
              </w:rPr>
            </w:pPr>
          </w:p>
        </w:tc>
        <w:tc>
          <w:tcPr>
            <w:tcW w:w="669" w:type="pct"/>
            <w:tcBorders>
              <w:top w:val="nil"/>
              <w:left w:val="nil"/>
              <w:bottom w:val="nil"/>
              <w:right w:val="nil"/>
            </w:tcBorders>
            <w:shd w:val="clear" w:color="auto" w:fill="auto"/>
            <w:noWrap/>
            <w:vAlign w:val="bottom"/>
            <w:hideMark/>
          </w:tcPr>
          <w:p w14:paraId="2D3DB647" w14:textId="4C0FE95D" w:rsidR="003475F2" w:rsidRPr="003475F2" w:rsidRDefault="003475F2" w:rsidP="003475F2">
            <w:pPr>
              <w:spacing w:after="0" w:line="240" w:lineRule="auto"/>
              <w:jc w:val="right"/>
              <w:rPr>
                <w:rFonts w:ascii="Segoe UI" w:eastAsia="Times New Roman" w:hAnsi="Segoe UI" w:cs="Segoe UI"/>
                <w:b/>
                <w:bCs/>
                <w:color w:val="000000"/>
                <w:sz w:val="18"/>
                <w:szCs w:val="18"/>
                <w:lang w:eastAsia="pt-BR"/>
              </w:rPr>
            </w:pPr>
            <w:r w:rsidRPr="003475F2">
              <w:rPr>
                <w:rFonts w:ascii="Segoe UI" w:eastAsia="Times New Roman" w:hAnsi="Segoe UI" w:cs="Segoe UI"/>
                <w:b/>
                <w:bCs/>
                <w:color w:val="000000"/>
                <w:sz w:val="18"/>
                <w:szCs w:val="18"/>
                <w:lang w:eastAsia="pt-BR"/>
              </w:rPr>
              <w:t>357.111</w:t>
            </w:r>
          </w:p>
        </w:tc>
      </w:tr>
    </w:tbl>
    <w:p w14:paraId="6F7FFD26" w14:textId="77777777" w:rsidR="00FE7BC2" w:rsidRPr="00515246" w:rsidRDefault="00FE7BC2" w:rsidP="007835BD">
      <w:pPr>
        <w:spacing w:after="0" w:line="240" w:lineRule="auto"/>
        <w:jc w:val="both"/>
        <w:rPr>
          <w:rFonts w:ascii="Segoe UI" w:hAnsi="Segoe UI" w:cs="Segoe UI"/>
          <w:b/>
          <w:color w:val="767171" w:themeColor="background2" w:themeShade="80"/>
          <w:sz w:val="18"/>
          <w:szCs w:val="18"/>
        </w:rPr>
      </w:pPr>
    </w:p>
    <w:p w14:paraId="1C1F8428" w14:textId="77777777" w:rsidR="007835BD" w:rsidRPr="00515246" w:rsidRDefault="007835BD" w:rsidP="007835BD">
      <w:pPr>
        <w:spacing w:after="0" w:line="240" w:lineRule="auto"/>
        <w:jc w:val="both"/>
        <w:rPr>
          <w:rFonts w:ascii="Segoe UI" w:hAnsi="Segoe UI" w:cs="Segoe UI"/>
          <w:b/>
          <w:color w:val="767171" w:themeColor="background2" w:themeShade="80"/>
          <w:sz w:val="18"/>
          <w:szCs w:val="18"/>
        </w:rPr>
      </w:pPr>
    </w:p>
    <w:p w14:paraId="001DB4FF" w14:textId="77777777" w:rsidR="007835BD" w:rsidRPr="00515246" w:rsidRDefault="007835BD" w:rsidP="007835BD">
      <w:pPr>
        <w:spacing w:after="0" w:line="240" w:lineRule="auto"/>
        <w:jc w:val="both"/>
        <w:rPr>
          <w:rFonts w:ascii="Segoe UI" w:hAnsi="Segoe UI" w:cs="Segoe UI"/>
          <w:b/>
          <w:color w:val="767171" w:themeColor="background2" w:themeShade="80"/>
          <w:sz w:val="18"/>
          <w:szCs w:val="18"/>
        </w:rPr>
      </w:pPr>
    </w:p>
    <w:p w14:paraId="4763155A" w14:textId="42B22CFC" w:rsidR="007835BD" w:rsidRDefault="007835BD" w:rsidP="007835BD">
      <w:pPr>
        <w:spacing w:after="0" w:line="240" w:lineRule="auto"/>
        <w:jc w:val="both"/>
        <w:rPr>
          <w:rFonts w:ascii="Segoe UI" w:hAnsi="Segoe UI" w:cs="Segoe UI"/>
          <w:b/>
          <w:color w:val="767171" w:themeColor="background2" w:themeShade="80"/>
        </w:rPr>
      </w:pPr>
    </w:p>
    <w:p w14:paraId="48748DFF" w14:textId="3A78504B" w:rsidR="009C1BED" w:rsidRDefault="009C1BED" w:rsidP="007835BD">
      <w:pPr>
        <w:spacing w:after="0" w:line="240" w:lineRule="auto"/>
        <w:jc w:val="both"/>
        <w:rPr>
          <w:rFonts w:ascii="Segoe UI" w:hAnsi="Segoe UI" w:cs="Segoe UI"/>
          <w:b/>
          <w:color w:val="767171" w:themeColor="background2" w:themeShade="80"/>
        </w:rPr>
      </w:pPr>
    </w:p>
    <w:p w14:paraId="34AD3339" w14:textId="7392F3B6" w:rsidR="009C1BED" w:rsidRDefault="009C1BED" w:rsidP="007835BD">
      <w:pPr>
        <w:spacing w:after="0" w:line="240" w:lineRule="auto"/>
        <w:jc w:val="both"/>
        <w:rPr>
          <w:rFonts w:ascii="Segoe UI" w:hAnsi="Segoe UI" w:cs="Segoe UI"/>
          <w:b/>
          <w:color w:val="767171" w:themeColor="background2" w:themeShade="80"/>
        </w:rPr>
      </w:pPr>
    </w:p>
    <w:p w14:paraId="679C7D6F" w14:textId="7984EFF3" w:rsidR="009C1BED" w:rsidRDefault="009C1BED" w:rsidP="007835BD">
      <w:pPr>
        <w:spacing w:after="0" w:line="240" w:lineRule="auto"/>
        <w:jc w:val="both"/>
        <w:rPr>
          <w:rFonts w:ascii="Segoe UI" w:hAnsi="Segoe UI" w:cs="Segoe UI"/>
          <w:b/>
          <w:color w:val="767171" w:themeColor="background2" w:themeShade="80"/>
        </w:rPr>
      </w:pPr>
    </w:p>
    <w:p w14:paraId="7BF63B4E" w14:textId="304E0D42" w:rsidR="009C1BED" w:rsidRDefault="009C1BED" w:rsidP="007835BD">
      <w:pPr>
        <w:spacing w:after="0" w:line="240" w:lineRule="auto"/>
        <w:jc w:val="both"/>
        <w:rPr>
          <w:rFonts w:ascii="Segoe UI" w:hAnsi="Segoe UI" w:cs="Segoe UI"/>
          <w:b/>
          <w:color w:val="767171" w:themeColor="background2" w:themeShade="80"/>
        </w:rPr>
      </w:pPr>
    </w:p>
    <w:p w14:paraId="3D5F6270" w14:textId="30D39336" w:rsidR="009C1BED" w:rsidRDefault="009C1BED" w:rsidP="007835BD">
      <w:pPr>
        <w:spacing w:after="0" w:line="240" w:lineRule="auto"/>
        <w:jc w:val="both"/>
        <w:rPr>
          <w:rFonts w:ascii="Segoe UI" w:hAnsi="Segoe UI" w:cs="Segoe UI"/>
          <w:b/>
          <w:color w:val="767171" w:themeColor="background2" w:themeShade="80"/>
        </w:rPr>
      </w:pPr>
    </w:p>
    <w:p w14:paraId="3FC35A2E" w14:textId="77777777" w:rsidR="00604EEA" w:rsidRPr="000757BC" w:rsidRDefault="00604EEA" w:rsidP="007835BD">
      <w:pPr>
        <w:spacing w:after="0" w:line="240" w:lineRule="auto"/>
        <w:jc w:val="both"/>
        <w:rPr>
          <w:rFonts w:ascii="Segoe UI" w:hAnsi="Segoe UI" w:cs="Segoe UI"/>
          <w:b/>
          <w:color w:val="767171" w:themeColor="background2" w:themeShade="80"/>
        </w:rPr>
      </w:pPr>
    </w:p>
    <w:p w14:paraId="3E483667" w14:textId="77777777" w:rsidR="007835BD" w:rsidRPr="000757BC" w:rsidRDefault="007835BD" w:rsidP="007835BD">
      <w:pPr>
        <w:spacing w:after="0" w:line="240" w:lineRule="auto"/>
        <w:jc w:val="both"/>
        <w:rPr>
          <w:rFonts w:ascii="Segoe UI" w:hAnsi="Segoe UI" w:cs="Segoe UI"/>
          <w:b/>
          <w:color w:val="767171" w:themeColor="background2" w:themeShade="80"/>
        </w:rPr>
      </w:pPr>
    </w:p>
    <w:p w14:paraId="735BD113" w14:textId="7F81E704" w:rsidR="009D022E" w:rsidRPr="009239D0" w:rsidRDefault="007835BD" w:rsidP="007835BD">
      <w:pPr>
        <w:widowControl w:val="0"/>
        <w:rPr>
          <w:rFonts w:ascii="Segoe UI" w:hAnsi="Segoe UI" w:cs="Segoe UI"/>
          <w:bCs/>
          <w:sz w:val="19"/>
          <w:szCs w:val="19"/>
        </w:rPr>
        <w:sectPr w:rsidR="009D022E" w:rsidRPr="009239D0" w:rsidSect="009D022E">
          <w:headerReference w:type="default" r:id="rId20"/>
          <w:pgSz w:w="16838" w:h="11906" w:orient="landscape"/>
          <w:pgMar w:top="1701" w:right="1418" w:bottom="1276" w:left="1418" w:header="709" w:footer="709" w:gutter="0"/>
          <w:cols w:space="708"/>
          <w:docGrid w:linePitch="360"/>
        </w:sectPr>
      </w:pPr>
      <w:r w:rsidRPr="009239D0">
        <w:rPr>
          <w:rFonts w:ascii="Segoe UI" w:hAnsi="Segoe UI" w:cs="Segoe UI"/>
          <w:bCs/>
          <w:sz w:val="19"/>
          <w:szCs w:val="19"/>
        </w:rPr>
        <w:t xml:space="preserve">As notas explicativas são parte integrante das demonstrações </w:t>
      </w:r>
      <w:r w:rsidR="000A114A" w:rsidRPr="009239D0">
        <w:rPr>
          <w:rFonts w:ascii="Segoe UI" w:hAnsi="Segoe UI" w:cs="Segoe UI"/>
          <w:bCs/>
          <w:sz w:val="19"/>
          <w:szCs w:val="19"/>
        </w:rPr>
        <w:t>financeiras</w:t>
      </w:r>
      <w:r w:rsidR="009239D0" w:rsidRPr="009239D0">
        <w:rPr>
          <w:rFonts w:ascii="Segoe UI" w:hAnsi="Segoe UI" w:cs="Segoe UI"/>
          <w:bCs/>
          <w:sz w:val="19"/>
          <w:szCs w:val="19"/>
        </w:rPr>
        <w:t xml:space="preserve"> individuais e consolidadas.</w:t>
      </w:r>
    </w:p>
    <w:p w14:paraId="163FBEB6" w14:textId="77777777" w:rsidR="00A33758" w:rsidRPr="000757BC" w:rsidRDefault="00A33758" w:rsidP="007835BD">
      <w:pPr>
        <w:spacing w:after="0" w:line="240" w:lineRule="auto"/>
        <w:jc w:val="both"/>
        <w:rPr>
          <w:rFonts w:ascii="Segoe UI" w:hAnsi="Segoe UI" w:cs="Segoe UI"/>
          <w:b/>
          <w:color w:val="767171" w:themeColor="background2" w:themeShade="80"/>
        </w:rPr>
      </w:pPr>
    </w:p>
    <w:tbl>
      <w:tblPr>
        <w:tblW w:w="5051" w:type="pct"/>
        <w:tblCellMar>
          <w:left w:w="70" w:type="dxa"/>
          <w:right w:w="70" w:type="dxa"/>
        </w:tblCellMar>
        <w:tblLook w:val="04A0" w:firstRow="1" w:lastRow="0" w:firstColumn="1" w:lastColumn="0" w:noHBand="0" w:noVBand="1"/>
      </w:tblPr>
      <w:tblGrid>
        <w:gridCol w:w="4907"/>
        <w:gridCol w:w="963"/>
        <w:gridCol w:w="963"/>
        <w:gridCol w:w="1125"/>
        <w:gridCol w:w="603"/>
        <w:gridCol w:w="731"/>
        <w:gridCol w:w="1155"/>
        <w:gridCol w:w="1261"/>
        <w:gridCol w:w="1315"/>
        <w:gridCol w:w="1193"/>
      </w:tblGrid>
      <w:tr w:rsidR="00534A74" w:rsidRPr="00534A74" w14:paraId="2CEDE6DE" w14:textId="77777777" w:rsidTr="00534A74">
        <w:trPr>
          <w:trHeight w:val="240"/>
        </w:trPr>
        <w:tc>
          <w:tcPr>
            <w:tcW w:w="1753" w:type="pct"/>
            <w:tcBorders>
              <w:top w:val="nil"/>
              <w:left w:val="nil"/>
              <w:bottom w:val="nil"/>
              <w:right w:val="nil"/>
            </w:tcBorders>
            <w:shd w:val="clear" w:color="000000" w:fill="1B80C4"/>
            <w:noWrap/>
            <w:vAlign w:val="bottom"/>
            <w:hideMark/>
          </w:tcPr>
          <w:p w14:paraId="512302BD" w14:textId="77777777" w:rsidR="00534A74" w:rsidRPr="00534A74" w:rsidRDefault="00534A74" w:rsidP="00534A74">
            <w:pPr>
              <w:spacing w:after="0" w:line="240" w:lineRule="auto"/>
              <w:rPr>
                <w:rFonts w:ascii="Segoe UI" w:eastAsia="Times New Roman" w:hAnsi="Segoe UI" w:cs="Segoe UI"/>
                <w:color w:val="FFFFFF"/>
                <w:sz w:val="18"/>
                <w:szCs w:val="18"/>
                <w:lang w:eastAsia="pt-BR"/>
              </w:rPr>
            </w:pPr>
            <w:r w:rsidRPr="00534A74">
              <w:rPr>
                <w:rFonts w:ascii="Segoe UI" w:eastAsia="Times New Roman" w:hAnsi="Segoe UI" w:cs="Segoe UI"/>
                <w:color w:val="FFFFFF"/>
                <w:sz w:val="18"/>
                <w:szCs w:val="18"/>
                <w:lang w:eastAsia="pt-BR"/>
              </w:rPr>
              <w:t> </w:t>
            </w:r>
          </w:p>
        </w:tc>
        <w:tc>
          <w:tcPr>
            <w:tcW w:w="336" w:type="pct"/>
            <w:vMerge w:val="restart"/>
            <w:tcBorders>
              <w:top w:val="nil"/>
              <w:left w:val="nil"/>
              <w:bottom w:val="nil"/>
              <w:right w:val="nil"/>
            </w:tcBorders>
            <w:shd w:val="clear" w:color="000000" w:fill="1B80C4"/>
            <w:vAlign w:val="center"/>
            <w:hideMark/>
          </w:tcPr>
          <w:p w14:paraId="472CDAA9"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Capital social </w:t>
            </w:r>
          </w:p>
        </w:tc>
        <w:tc>
          <w:tcPr>
            <w:tcW w:w="336" w:type="pct"/>
            <w:vMerge w:val="restart"/>
            <w:tcBorders>
              <w:top w:val="nil"/>
              <w:left w:val="nil"/>
              <w:bottom w:val="nil"/>
              <w:right w:val="nil"/>
            </w:tcBorders>
            <w:shd w:val="clear" w:color="000000" w:fill="1B80C4"/>
            <w:vAlign w:val="center"/>
            <w:hideMark/>
          </w:tcPr>
          <w:p w14:paraId="1ECD629C"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AFAC </w:t>
            </w:r>
          </w:p>
        </w:tc>
        <w:tc>
          <w:tcPr>
            <w:tcW w:w="392" w:type="pct"/>
            <w:vMerge w:val="restart"/>
            <w:tcBorders>
              <w:top w:val="nil"/>
              <w:left w:val="nil"/>
              <w:bottom w:val="nil"/>
              <w:right w:val="nil"/>
            </w:tcBorders>
            <w:shd w:val="clear" w:color="000000" w:fill="1B80C4"/>
            <w:vAlign w:val="center"/>
            <w:hideMark/>
          </w:tcPr>
          <w:p w14:paraId="484CACA6"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Ajustes de avaliação patrimonial </w:t>
            </w:r>
          </w:p>
        </w:tc>
        <w:tc>
          <w:tcPr>
            <w:tcW w:w="467" w:type="pct"/>
            <w:gridSpan w:val="2"/>
            <w:tcBorders>
              <w:top w:val="nil"/>
              <w:left w:val="nil"/>
              <w:bottom w:val="single" w:sz="4" w:space="0" w:color="FFFFFF"/>
              <w:right w:val="nil"/>
            </w:tcBorders>
            <w:shd w:val="clear" w:color="000000" w:fill="1B80C4"/>
            <w:noWrap/>
            <w:vAlign w:val="bottom"/>
            <w:hideMark/>
          </w:tcPr>
          <w:p w14:paraId="40883C10"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Reservas </w:t>
            </w:r>
          </w:p>
        </w:tc>
        <w:tc>
          <w:tcPr>
            <w:tcW w:w="403" w:type="pct"/>
            <w:vMerge w:val="restart"/>
            <w:tcBorders>
              <w:top w:val="nil"/>
              <w:left w:val="nil"/>
              <w:bottom w:val="nil"/>
              <w:right w:val="nil"/>
            </w:tcBorders>
            <w:shd w:val="clear" w:color="000000" w:fill="1B80C4"/>
            <w:vAlign w:val="center"/>
            <w:hideMark/>
          </w:tcPr>
          <w:p w14:paraId="457510E6"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Lucros acumulados </w:t>
            </w:r>
          </w:p>
        </w:tc>
        <w:tc>
          <w:tcPr>
            <w:tcW w:w="439" w:type="pct"/>
            <w:vMerge w:val="restart"/>
            <w:tcBorders>
              <w:top w:val="nil"/>
              <w:left w:val="nil"/>
              <w:bottom w:val="nil"/>
              <w:right w:val="nil"/>
            </w:tcBorders>
            <w:shd w:val="clear" w:color="000000" w:fill="1B80C4"/>
            <w:vAlign w:val="center"/>
            <w:hideMark/>
          </w:tcPr>
          <w:p w14:paraId="37160E4A"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Total Controladora </w:t>
            </w:r>
          </w:p>
        </w:tc>
        <w:tc>
          <w:tcPr>
            <w:tcW w:w="458" w:type="pct"/>
            <w:vMerge w:val="restart"/>
            <w:tcBorders>
              <w:top w:val="nil"/>
              <w:left w:val="nil"/>
              <w:bottom w:val="nil"/>
              <w:right w:val="nil"/>
            </w:tcBorders>
            <w:shd w:val="clear" w:color="000000" w:fill="1B80C4"/>
            <w:vAlign w:val="center"/>
            <w:hideMark/>
          </w:tcPr>
          <w:p w14:paraId="642EF257"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Participação não controladores </w:t>
            </w:r>
          </w:p>
        </w:tc>
        <w:tc>
          <w:tcPr>
            <w:tcW w:w="416" w:type="pct"/>
            <w:vMerge w:val="restart"/>
            <w:tcBorders>
              <w:top w:val="nil"/>
              <w:left w:val="nil"/>
              <w:bottom w:val="nil"/>
              <w:right w:val="nil"/>
            </w:tcBorders>
            <w:shd w:val="clear" w:color="000000" w:fill="1B80C4"/>
            <w:vAlign w:val="center"/>
            <w:hideMark/>
          </w:tcPr>
          <w:p w14:paraId="7813DC0D" w14:textId="77777777"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 xml:space="preserve"> Total Consolidado </w:t>
            </w:r>
          </w:p>
        </w:tc>
      </w:tr>
      <w:tr w:rsidR="00534A74" w:rsidRPr="00534A74" w14:paraId="2DC40AE5" w14:textId="77777777" w:rsidTr="00534A74">
        <w:trPr>
          <w:trHeight w:val="420"/>
        </w:trPr>
        <w:tc>
          <w:tcPr>
            <w:tcW w:w="1753" w:type="pct"/>
            <w:tcBorders>
              <w:top w:val="nil"/>
              <w:left w:val="nil"/>
              <w:bottom w:val="nil"/>
              <w:right w:val="nil"/>
            </w:tcBorders>
            <w:shd w:val="clear" w:color="000000" w:fill="1B80C4"/>
            <w:noWrap/>
            <w:vAlign w:val="center"/>
            <w:hideMark/>
          </w:tcPr>
          <w:p w14:paraId="3DBEAE23" w14:textId="77777777" w:rsidR="00534A74" w:rsidRPr="00534A74" w:rsidRDefault="00534A74" w:rsidP="00534A74">
            <w:pPr>
              <w:spacing w:after="0" w:line="240" w:lineRule="auto"/>
              <w:rPr>
                <w:rFonts w:ascii="Segoe UI" w:eastAsia="Times New Roman" w:hAnsi="Segoe UI" w:cs="Segoe UI"/>
                <w:color w:val="FFFFFF"/>
                <w:sz w:val="18"/>
                <w:szCs w:val="18"/>
                <w:lang w:eastAsia="pt-BR"/>
              </w:rPr>
            </w:pPr>
            <w:r w:rsidRPr="00534A74">
              <w:rPr>
                <w:rFonts w:ascii="Segoe UI" w:eastAsia="Times New Roman" w:hAnsi="Segoe UI" w:cs="Segoe UI"/>
                <w:color w:val="FFFFFF"/>
                <w:sz w:val="18"/>
                <w:szCs w:val="18"/>
                <w:lang w:eastAsia="pt-BR"/>
              </w:rPr>
              <w:t> </w:t>
            </w:r>
          </w:p>
        </w:tc>
        <w:tc>
          <w:tcPr>
            <w:tcW w:w="336" w:type="pct"/>
            <w:vMerge/>
            <w:tcBorders>
              <w:top w:val="nil"/>
              <w:left w:val="nil"/>
              <w:bottom w:val="nil"/>
              <w:right w:val="nil"/>
            </w:tcBorders>
            <w:vAlign w:val="center"/>
            <w:hideMark/>
          </w:tcPr>
          <w:p w14:paraId="572B463C"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c>
          <w:tcPr>
            <w:tcW w:w="336" w:type="pct"/>
            <w:vMerge/>
            <w:tcBorders>
              <w:top w:val="nil"/>
              <w:left w:val="nil"/>
              <w:bottom w:val="nil"/>
              <w:right w:val="nil"/>
            </w:tcBorders>
            <w:vAlign w:val="center"/>
            <w:hideMark/>
          </w:tcPr>
          <w:p w14:paraId="32325D9D"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c>
          <w:tcPr>
            <w:tcW w:w="392" w:type="pct"/>
            <w:vMerge/>
            <w:tcBorders>
              <w:top w:val="nil"/>
              <w:left w:val="nil"/>
              <w:bottom w:val="nil"/>
              <w:right w:val="nil"/>
            </w:tcBorders>
            <w:vAlign w:val="center"/>
            <w:hideMark/>
          </w:tcPr>
          <w:p w14:paraId="513E2680"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c>
          <w:tcPr>
            <w:tcW w:w="211" w:type="pct"/>
            <w:tcBorders>
              <w:top w:val="nil"/>
              <w:left w:val="nil"/>
              <w:bottom w:val="nil"/>
              <w:right w:val="nil"/>
            </w:tcBorders>
            <w:shd w:val="clear" w:color="000000" w:fill="1B80C4"/>
            <w:vAlign w:val="center"/>
            <w:hideMark/>
          </w:tcPr>
          <w:p w14:paraId="5857EDDE" w14:textId="3B5DDEBF"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Legal</w:t>
            </w:r>
          </w:p>
        </w:tc>
        <w:tc>
          <w:tcPr>
            <w:tcW w:w="256" w:type="pct"/>
            <w:tcBorders>
              <w:top w:val="nil"/>
              <w:left w:val="nil"/>
              <w:bottom w:val="nil"/>
              <w:right w:val="nil"/>
            </w:tcBorders>
            <w:shd w:val="clear" w:color="000000" w:fill="1B80C4"/>
            <w:vAlign w:val="center"/>
            <w:hideMark/>
          </w:tcPr>
          <w:p w14:paraId="404D30AB" w14:textId="2B629501" w:rsidR="00534A74" w:rsidRPr="00534A74" w:rsidRDefault="00534A74" w:rsidP="00534A74">
            <w:pPr>
              <w:spacing w:after="0" w:line="240" w:lineRule="auto"/>
              <w:jc w:val="center"/>
              <w:rPr>
                <w:rFonts w:ascii="Segoe UI" w:eastAsia="Times New Roman" w:hAnsi="Segoe UI" w:cs="Segoe UI"/>
                <w:b/>
                <w:bCs/>
                <w:color w:val="FFFFFF"/>
                <w:sz w:val="18"/>
                <w:szCs w:val="18"/>
                <w:lang w:eastAsia="pt-BR"/>
              </w:rPr>
            </w:pPr>
            <w:r w:rsidRPr="00534A74">
              <w:rPr>
                <w:rFonts w:ascii="Segoe UI" w:eastAsia="Times New Roman" w:hAnsi="Segoe UI" w:cs="Segoe UI"/>
                <w:b/>
                <w:bCs/>
                <w:color w:val="FFFFFF"/>
                <w:sz w:val="18"/>
                <w:szCs w:val="18"/>
                <w:lang w:eastAsia="pt-BR"/>
              </w:rPr>
              <w:t>Capital</w:t>
            </w:r>
          </w:p>
        </w:tc>
        <w:tc>
          <w:tcPr>
            <w:tcW w:w="403" w:type="pct"/>
            <w:vMerge/>
            <w:tcBorders>
              <w:top w:val="nil"/>
              <w:left w:val="nil"/>
              <w:bottom w:val="nil"/>
              <w:right w:val="nil"/>
            </w:tcBorders>
            <w:vAlign w:val="center"/>
            <w:hideMark/>
          </w:tcPr>
          <w:p w14:paraId="6C50F3D9"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c>
          <w:tcPr>
            <w:tcW w:w="439" w:type="pct"/>
            <w:vMerge/>
            <w:tcBorders>
              <w:top w:val="nil"/>
              <w:left w:val="nil"/>
              <w:bottom w:val="nil"/>
              <w:right w:val="nil"/>
            </w:tcBorders>
            <w:vAlign w:val="center"/>
            <w:hideMark/>
          </w:tcPr>
          <w:p w14:paraId="78A7C2F7"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c>
          <w:tcPr>
            <w:tcW w:w="458" w:type="pct"/>
            <w:vMerge/>
            <w:tcBorders>
              <w:top w:val="nil"/>
              <w:left w:val="nil"/>
              <w:bottom w:val="nil"/>
              <w:right w:val="nil"/>
            </w:tcBorders>
            <w:vAlign w:val="center"/>
            <w:hideMark/>
          </w:tcPr>
          <w:p w14:paraId="56EF76BD"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c>
          <w:tcPr>
            <w:tcW w:w="416" w:type="pct"/>
            <w:vMerge/>
            <w:tcBorders>
              <w:top w:val="nil"/>
              <w:left w:val="nil"/>
              <w:bottom w:val="nil"/>
              <w:right w:val="nil"/>
            </w:tcBorders>
            <w:vAlign w:val="center"/>
            <w:hideMark/>
          </w:tcPr>
          <w:p w14:paraId="3BAB17FD" w14:textId="77777777" w:rsidR="00534A74" w:rsidRPr="00534A74" w:rsidRDefault="00534A74" w:rsidP="00534A74">
            <w:pPr>
              <w:spacing w:after="0" w:line="240" w:lineRule="auto"/>
              <w:rPr>
                <w:rFonts w:ascii="Segoe UI" w:eastAsia="Times New Roman" w:hAnsi="Segoe UI" w:cs="Segoe UI"/>
                <w:b/>
                <w:bCs/>
                <w:color w:val="FFFFFF"/>
                <w:sz w:val="18"/>
                <w:szCs w:val="18"/>
                <w:lang w:eastAsia="pt-BR"/>
              </w:rPr>
            </w:pPr>
          </w:p>
        </w:tc>
      </w:tr>
      <w:tr w:rsidR="00534A74" w:rsidRPr="00534A74" w14:paraId="29541807" w14:textId="77777777" w:rsidTr="00534A74">
        <w:trPr>
          <w:trHeight w:val="240"/>
        </w:trPr>
        <w:tc>
          <w:tcPr>
            <w:tcW w:w="1753" w:type="pct"/>
            <w:tcBorders>
              <w:top w:val="nil"/>
              <w:left w:val="nil"/>
              <w:bottom w:val="nil"/>
              <w:right w:val="nil"/>
            </w:tcBorders>
            <w:shd w:val="clear" w:color="auto" w:fill="auto"/>
            <w:noWrap/>
            <w:vAlign w:val="center"/>
            <w:hideMark/>
          </w:tcPr>
          <w:p w14:paraId="54E2BFB1" w14:textId="77777777" w:rsidR="00534A74" w:rsidRPr="00534A74" w:rsidRDefault="00534A74" w:rsidP="00534A74">
            <w:pPr>
              <w:spacing w:after="0" w:line="240" w:lineRule="auto"/>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 xml:space="preserve"> Em 04 de janeiro de 2022 </w:t>
            </w:r>
          </w:p>
        </w:tc>
        <w:tc>
          <w:tcPr>
            <w:tcW w:w="336" w:type="pct"/>
            <w:tcBorders>
              <w:top w:val="nil"/>
              <w:left w:val="nil"/>
              <w:bottom w:val="nil"/>
              <w:right w:val="nil"/>
            </w:tcBorders>
            <w:shd w:val="clear" w:color="auto" w:fill="auto"/>
            <w:noWrap/>
            <w:vAlign w:val="center"/>
            <w:hideMark/>
          </w:tcPr>
          <w:p w14:paraId="19E0D49A" w14:textId="59503F3C"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336" w:type="pct"/>
            <w:tcBorders>
              <w:top w:val="nil"/>
              <w:left w:val="nil"/>
              <w:bottom w:val="nil"/>
              <w:right w:val="nil"/>
            </w:tcBorders>
            <w:shd w:val="clear" w:color="auto" w:fill="auto"/>
            <w:noWrap/>
            <w:vAlign w:val="center"/>
            <w:hideMark/>
          </w:tcPr>
          <w:p w14:paraId="6148CF9E" w14:textId="0BDA73FB" w:rsidR="00534A74" w:rsidRPr="00534A74" w:rsidRDefault="002C5DD7" w:rsidP="00534A74">
            <w:pPr>
              <w:spacing w:after="0" w:line="240" w:lineRule="auto"/>
              <w:jc w:val="right"/>
              <w:rPr>
                <w:rFonts w:ascii="Segoe UI" w:eastAsia="Times New Roman" w:hAnsi="Segoe UI" w:cs="Segoe UI"/>
                <w:b/>
                <w:bCs/>
                <w:sz w:val="18"/>
                <w:szCs w:val="18"/>
                <w:lang w:eastAsia="pt-BR"/>
              </w:rPr>
            </w:pPr>
            <w:r>
              <w:rPr>
                <w:rFonts w:ascii="Segoe UI" w:eastAsia="Times New Roman" w:hAnsi="Segoe UI" w:cs="Segoe UI"/>
                <w:b/>
                <w:bCs/>
                <w:sz w:val="18"/>
                <w:szCs w:val="18"/>
                <w:lang w:eastAsia="pt-BR"/>
              </w:rPr>
              <w:t>-</w:t>
            </w:r>
          </w:p>
        </w:tc>
        <w:tc>
          <w:tcPr>
            <w:tcW w:w="392" w:type="pct"/>
            <w:tcBorders>
              <w:top w:val="nil"/>
              <w:left w:val="nil"/>
              <w:bottom w:val="nil"/>
              <w:right w:val="nil"/>
            </w:tcBorders>
            <w:shd w:val="clear" w:color="auto" w:fill="auto"/>
            <w:noWrap/>
            <w:vAlign w:val="center"/>
            <w:hideMark/>
          </w:tcPr>
          <w:p w14:paraId="4151B8AA" w14:textId="37F84D83"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211" w:type="pct"/>
            <w:tcBorders>
              <w:top w:val="nil"/>
              <w:left w:val="nil"/>
              <w:bottom w:val="nil"/>
              <w:right w:val="nil"/>
            </w:tcBorders>
            <w:shd w:val="clear" w:color="auto" w:fill="auto"/>
            <w:noWrap/>
            <w:vAlign w:val="center"/>
            <w:hideMark/>
          </w:tcPr>
          <w:p w14:paraId="77262A8B" w14:textId="690AD4E3"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256" w:type="pct"/>
            <w:tcBorders>
              <w:top w:val="nil"/>
              <w:left w:val="nil"/>
              <w:bottom w:val="nil"/>
              <w:right w:val="nil"/>
            </w:tcBorders>
            <w:shd w:val="clear" w:color="auto" w:fill="auto"/>
            <w:noWrap/>
            <w:vAlign w:val="center"/>
            <w:hideMark/>
          </w:tcPr>
          <w:p w14:paraId="0E3B2011" w14:textId="78353147"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403" w:type="pct"/>
            <w:tcBorders>
              <w:top w:val="nil"/>
              <w:left w:val="nil"/>
              <w:bottom w:val="nil"/>
              <w:right w:val="nil"/>
            </w:tcBorders>
            <w:shd w:val="clear" w:color="auto" w:fill="auto"/>
            <w:noWrap/>
            <w:vAlign w:val="center"/>
            <w:hideMark/>
          </w:tcPr>
          <w:p w14:paraId="0D49F289" w14:textId="6242FE9B"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439" w:type="pct"/>
            <w:tcBorders>
              <w:top w:val="nil"/>
              <w:left w:val="nil"/>
              <w:bottom w:val="nil"/>
              <w:right w:val="nil"/>
            </w:tcBorders>
            <w:shd w:val="clear" w:color="auto" w:fill="auto"/>
            <w:noWrap/>
            <w:vAlign w:val="center"/>
            <w:hideMark/>
          </w:tcPr>
          <w:p w14:paraId="68EA3ABF" w14:textId="42CCE7F7"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458" w:type="pct"/>
            <w:tcBorders>
              <w:top w:val="nil"/>
              <w:left w:val="nil"/>
              <w:bottom w:val="nil"/>
              <w:right w:val="nil"/>
            </w:tcBorders>
            <w:shd w:val="clear" w:color="auto" w:fill="auto"/>
            <w:noWrap/>
            <w:vAlign w:val="center"/>
            <w:hideMark/>
          </w:tcPr>
          <w:p w14:paraId="7CDCAE70" w14:textId="5CA5931B"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416" w:type="pct"/>
            <w:tcBorders>
              <w:top w:val="nil"/>
              <w:left w:val="nil"/>
              <w:bottom w:val="nil"/>
              <w:right w:val="nil"/>
            </w:tcBorders>
            <w:shd w:val="clear" w:color="auto" w:fill="auto"/>
            <w:noWrap/>
            <w:vAlign w:val="center"/>
            <w:hideMark/>
          </w:tcPr>
          <w:p w14:paraId="391D04F6" w14:textId="176581C9"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r>
      <w:tr w:rsidR="00534A74" w:rsidRPr="00534A74" w14:paraId="406F5FCA" w14:textId="77777777" w:rsidTr="00534A74">
        <w:trPr>
          <w:trHeight w:val="240"/>
        </w:trPr>
        <w:tc>
          <w:tcPr>
            <w:tcW w:w="1753" w:type="pct"/>
            <w:tcBorders>
              <w:top w:val="nil"/>
              <w:left w:val="nil"/>
              <w:bottom w:val="nil"/>
              <w:right w:val="nil"/>
            </w:tcBorders>
            <w:shd w:val="clear" w:color="auto" w:fill="auto"/>
            <w:noWrap/>
            <w:vAlign w:val="bottom"/>
            <w:hideMark/>
          </w:tcPr>
          <w:p w14:paraId="1A2A8309" w14:textId="77777777" w:rsidR="00534A74" w:rsidRPr="00534A74" w:rsidRDefault="00534A74" w:rsidP="00534A74">
            <w:pPr>
              <w:spacing w:after="0" w:line="240" w:lineRule="auto"/>
              <w:rPr>
                <w:rFonts w:ascii="Segoe UI" w:eastAsia="Times New Roman" w:hAnsi="Segoe UI" w:cs="Segoe UI"/>
                <w:color w:val="000000"/>
                <w:sz w:val="18"/>
                <w:szCs w:val="18"/>
                <w:lang w:eastAsia="pt-BR"/>
              </w:rPr>
            </w:pPr>
            <w:r w:rsidRPr="00534A74">
              <w:rPr>
                <w:rFonts w:ascii="Segoe UI" w:eastAsia="Times New Roman" w:hAnsi="Segoe UI" w:cs="Segoe UI"/>
                <w:color w:val="000000"/>
                <w:sz w:val="18"/>
                <w:szCs w:val="18"/>
                <w:lang w:eastAsia="pt-BR"/>
              </w:rPr>
              <w:t>Lucro do exercício</w:t>
            </w:r>
          </w:p>
        </w:tc>
        <w:tc>
          <w:tcPr>
            <w:tcW w:w="336" w:type="pct"/>
            <w:tcBorders>
              <w:top w:val="nil"/>
              <w:left w:val="nil"/>
              <w:bottom w:val="nil"/>
              <w:right w:val="nil"/>
            </w:tcBorders>
            <w:shd w:val="clear" w:color="auto" w:fill="auto"/>
            <w:noWrap/>
            <w:vAlign w:val="center"/>
            <w:hideMark/>
          </w:tcPr>
          <w:p w14:paraId="6BF1B67A" w14:textId="649D61A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nil"/>
              <w:right w:val="nil"/>
            </w:tcBorders>
            <w:shd w:val="clear" w:color="auto" w:fill="auto"/>
            <w:noWrap/>
            <w:vAlign w:val="center"/>
            <w:hideMark/>
          </w:tcPr>
          <w:p w14:paraId="32F247BA" w14:textId="56A017F5" w:rsidR="00534A74" w:rsidRPr="00534A74" w:rsidRDefault="002C5DD7" w:rsidP="00534A74">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13B68982" w14:textId="54F7EF2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11" w:type="pct"/>
            <w:tcBorders>
              <w:top w:val="nil"/>
              <w:left w:val="nil"/>
              <w:bottom w:val="nil"/>
              <w:right w:val="nil"/>
            </w:tcBorders>
            <w:shd w:val="clear" w:color="auto" w:fill="auto"/>
            <w:noWrap/>
            <w:vAlign w:val="center"/>
            <w:hideMark/>
          </w:tcPr>
          <w:p w14:paraId="5CC5F905" w14:textId="10556DD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nil"/>
              <w:right w:val="nil"/>
            </w:tcBorders>
            <w:shd w:val="clear" w:color="auto" w:fill="auto"/>
            <w:noWrap/>
            <w:vAlign w:val="center"/>
            <w:hideMark/>
          </w:tcPr>
          <w:p w14:paraId="31EF28E2" w14:textId="2EA28BC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3F002770" w14:textId="260D708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105.895</w:t>
            </w:r>
          </w:p>
        </w:tc>
        <w:tc>
          <w:tcPr>
            <w:tcW w:w="439" w:type="pct"/>
            <w:tcBorders>
              <w:top w:val="nil"/>
              <w:left w:val="nil"/>
              <w:bottom w:val="nil"/>
              <w:right w:val="nil"/>
            </w:tcBorders>
            <w:shd w:val="clear" w:color="auto" w:fill="auto"/>
            <w:noWrap/>
            <w:vAlign w:val="center"/>
            <w:hideMark/>
          </w:tcPr>
          <w:p w14:paraId="03F5DC84" w14:textId="5E878C6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105.895</w:t>
            </w:r>
          </w:p>
        </w:tc>
        <w:tc>
          <w:tcPr>
            <w:tcW w:w="458" w:type="pct"/>
            <w:tcBorders>
              <w:top w:val="nil"/>
              <w:left w:val="nil"/>
              <w:bottom w:val="nil"/>
              <w:right w:val="nil"/>
            </w:tcBorders>
            <w:shd w:val="clear" w:color="auto" w:fill="auto"/>
            <w:noWrap/>
            <w:vAlign w:val="center"/>
            <w:hideMark/>
          </w:tcPr>
          <w:p w14:paraId="0A196BDA" w14:textId="2E6E85E1"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(64.676)</w:t>
            </w:r>
          </w:p>
        </w:tc>
        <w:tc>
          <w:tcPr>
            <w:tcW w:w="416" w:type="pct"/>
            <w:tcBorders>
              <w:top w:val="nil"/>
              <w:left w:val="nil"/>
              <w:bottom w:val="nil"/>
              <w:right w:val="nil"/>
            </w:tcBorders>
            <w:shd w:val="clear" w:color="auto" w:fill="auto"/>
            <w:noWrap/>
            <w:vAlign w:val="center"/>
            <w:hideMark/>
          </w:tcPr>
          <w:p w14:paraId="0C4B5102" w14:textId="62378A94"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41.219</w:t>
            </w:r>
          </w:p>
        </w:tc>
      </w:tr>
      <w:tr w:rsidR="00534A74" w:rsidRPr="00534A74" w14:paraId="55189C13" w14:textId="77777777" w:rsidTr="00534A74">
        <w:trPr>
          <w:trHeight w:val="240"/>
        </w:trPr>
        <w:tc>
          <w:tcPr>
            <w:tcW w:w="1753" w:type="pct"/>
            <w:tcBorders>
              <w:top w:val="nil"/>
              <w:left w:val="nil"/>
              <w:bottom w:val="nil"/>
              <w:right w:val="nil"/>
            </w:tcBorders>
            <w:shd w:val="clear" w:color="auto" w:fill="auto"/>
            <w:noWrap/>
            <w:vAlign w:val="bottom"/>
            <w:hideMark/>
          </w:tcPr>
          <w:p w14:paraId="0BBAACB7" w14:textId="77777777" w:rsidR="00534A74" w:rsidRPr="00534A74" w:rsidRDefault="00534A74" w:rsidP="00534A74">
            <w:pPr>
              <w:spacing w:after="0" w:line="240" w:lineRule="auto"/>
              <w:rPr>
                <w:rFonts w:ascii="Segoe UI" w:eastAsia="Times New Roman" w:hAnsi="Segoe UI" w:cs="Segoe UI"/>
                <w:i/>
                <w:iCs/>
                <w:color w:val="000000"/>
                <w:sz w:val="18"/>
                <w:szCs w:val="18"/>
                <w:lang w:eastAsia="pt-BR"/>
              </w:rPr>
            </w:pPr>
            <w:r w:rsidRPr="00534A74">
              <w:rPr>
                <w:rFonts w:ascii="Segoe UI" w:eastAsia="Times New Roman" w:hAnsi="Segoe UI" w:cs="Segoe UI"/>
                <w:i/>
                <w:iCs/>
                <w:color w:val="000000"/>
                <w:sz w:val="18"/>
                <w:szCs w:val="18"/>
                <w:lang w:eastAsia="pt-BR"/>
              </w:rPr>
              <w:t>Outros resultados abrangentes</w:t>
            </w:r>
          </w:p>
        </w:tc>
        <w:tc>
          <w:tcPr>
            <w:tcW w:w="336" w:type="pct"/>
            <w:tcBorders>
              <w:top w:val="nil"/>
              <w:left w:val="nil"/>
              <w:bottom w:val="nil"/>
              <w:right w:val="nil"/>
            </w:tcBorders>
            <w:shd w:val="clear" w:color="auto" w:fill="auto"/>
            <w:noWrap/>
            <w:vAlign w:val="center"/>
            <w:hideMark/>
          </w:tcPr>
          <w:p w14:paraId="1380A447" w14:textId="77777777" w:rsidR="00534A74" w:rsidRPr="00534A74" w:rsidRDefault="00534A74" w:rsidP="00534A74">
            <w:pPr>
              <w:spacing w:after="0" w:line="240" w:lineRule="auto"/>
              <w:jc w:val="right"/>
              <w:rPr>
                <w:rFonts w:ascii="Segoe UI" w:eastAsia="Times New Roman" w:hAnsi="Segoe UI" w:cs="Segoe UI"/>
                <w:i/>
                <w:iCs/>
                <w:color w:val="000000"/>
                <w:sz w:val="18"/>
                <w:szCs w:val="18"/>
                <w:lang w:eastAsia="pt-BR"/>
              </w:rPr>
            </w:pPr>
          </w:p>
        </w:tc>
        <w:tc>
          <w:tcPr>
            <w:tcW w:w="336" w:type="pct"/>
            <w:tcBorders>
              <w:top w:val="nil"/>
              <w:left w:val="nil"/>
              <w:bottom w:val="nil"/>
              <w:right w:val="nil"/>
            </w:tcBorders>
            <w:shd w:val="clear" w:color="auto" w:fill="auto"/>
            <w:noWrap/>
            <w:vAlign w:val="center"/>
            <w:hideMark/>
          </w:tcPr>
          <w:p w14:paraId="492AE952"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392" w:type="pct"/>
            <w:tcBorders>
              <w:top w:val="nil"/>
              <w:left w:val="nil"/>
              <w:bottom w:val="nil"/>
              <w:right w:val="nil"/>
            </w:tcBorders>
            <w:shd w:val="clear" w:color="auto" w:fill="auto"/>
            <w:noWrap/>
            <w:vAlign w:val="center"/>
            <w:hideMark/>
          </w:tcPr>
          <w:p w14:paraId="0E45CB1B"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211" w:type="pct"/>
            <w:tcBorders>
              <w:top w:val="nil"/>
              <w:left w:val="nil"/>
              <w:bottom w:val="nil"/>
              <w:right w:val="nil"/>
            </w:tcBorders>
            <w:shd w:val="clear" w:color="auto" w:fill="auto"/>
            <w:noWrap/>
            <w:vAlign w:val="center"/>
            <w:hideMark/>
          </w:tcPr>
          <w:p w14:paraId="268D75E5"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256" w:type="pct"/>
            <w:tcBorders>
              <w:top w:val="nil"/>
              <w:left w:val="nil"/>
              <w:bottom w:val="nil"/>
              <w:right w:val="nil"/>
            </w:tcBorders>
            <w:shd w:val="clear" w:color="auto" w:fill="auto"/>
            <w:noWrap/>
            <w:vAlign w:val="center"/>
            <w:hideMark/>
          </w:tcPr>
          <w:p w14:paraId="1BF096AE"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center"/>
            <w:hideMark/>
          </w:tcPr>
          <w:p w14:paraId="77D1456F"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39" w:type="pct"/>
            <w:tcBorders>
              <w:top w:val="nil"/>
              <w:left w:val="nil"/>
              <w:bottom w:val="nil"/>
              <w:right w:val="nil"/>
            </w:tcBorders>
            <w:shd w:val="clear" w:color="auto" w:fill="auto"/>
            <w:noWrap/>
            <w:vAlign w:val="center"/>
            <w:hideMark/>
          </w:tcPr>
          <w:p w14:paraId="3261A451"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58" w:type="pct"/>
            <w:tcBorders>
              <w:top w:val="nil"/>
              <w:left w:val="nil"/>
              <w:bottom w:val="nil"/>
              <w:right w:val="nil"/>
            </w:tcBorders>
            <w:shd w:val="clear" w:color="auto" w:fill="auto"/>
            <w:noWrap/>
            <w:vAlign w:val="center"/>
            <w:hideMark/>
          </w:tcPr>
          <w:p w14:paraId="66E98DF7"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16" w:type="pct"/>
            <w:tcBorders>
              <w:top w:val="nil"/>
              <w:left w:val="nil"/>
              <w:bottom w:val="nil"/>
              <w:right w:val="nil"/>
            </w:tcBorders>
            <w:shd w:val="clear" w:color="auto" w:fill="auto"/>
            <w:noWrap/>
            <w:vAlign w:val="center"/>
            <w:hideMark/>
          </w:tcPr>
          <w:p w14:paraId="28F83511"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r>
      <w:tr w:rsidR="00534A74" w:rsidRPr="00534A74" w14:paraId="5F0BF9FA" w14:textId="77777777" w:rsidTr="00534A74">
        <w:trPr>
          <w:trHeight w:val="240"/>
        </w:trPr>
        <w:tc>
          <w:tcPr>
            <w:tcW w:w="1753" w:type="pct"/>
            <w:tcBorders>
              <w:top w:val="nil"/>
              <w:left w:val="nil"/>
              <w:bottom w:val="nil"/>
              <w:right w:val="nil"/>
            </w:tcBorders>
            <w:shd w:val="clear" w:color="auto" w:fill="auto"/>
            <w:noWrap/>
            <w:vAlign w:val="center"/>
            <w:hideMark/>
          </w:tcPr>
          <w:p w14:paraId="2C286902" w14:textId="77777777" w:rsidR="00534A74" w:rsidRPr="00534A74" w:rsidRDefault="00534A74" w:rsidP="00534A74">
            <w:pPr>
              <w:spacing w:after="0" w:line="240" w:lineRule="auto"/>
              <w:ind w:firstLineChars="200" w:firstLine="36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Variação cambial de investidas localizadas no exterior </w:t>
            </w:r>
          </w:p>
        </w:tc>
        <w:tc>
          <w:tcPr>
            <w:tcW w:w="336" w:type="pct"/>
            <w:tcBorders>
              <w:top w:val="nil"/>
              <w:left w:val="nil"/>
              <w:bottom w:val="nil"/>
              <w:right w:val="nil"/>
            </w:tcBorders>
            <w:shd w:val="clear" w:color="auto" w:fill="auto"/>
            <w:noWrap/>
            <w:vAlign w:val="center"/>
            <w:hideMark/>
          </w:tcPr>
          <w:p w14:paraId="25513EFB" w14:textId="4695626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nil"/>
              <w:right w:val="nil"/>
            </w:tcBorders>
            <w:shd w:val="clear" w:color="auto" w:fill="auto"/>
            <w:noWrap/>
            <w:vAlign w:val="center"/>
            <w:hideMark/>
          </w:tcPr>
          <w:p w14:paraId="38E9E113" w14:textId="56C3FF8C" w:rsidR="00534A74" w:rsidRPr="00534A74" w:rsidRDefault="002C5DD7" w:rsidP="00534A74">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7F6C7116" w14:textId="2272D23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5.290</w:t>
            </w:r>
          </w:p>
        </w:tc>
        <w:tc>
          <w:tcPr>
            <w:tcW w:w="211" w:type="pct"/>
            <w:tcBorders>
              <w:top w:val="nil"/>
              <w:left w:val="nil"/>
              <w:bottom w:val="nil"/>
              <w:right w:val="nil"/>
            </w:tcBorders>
            <w:shd w:val="clear" w:color="auto" w:fill="auto"/>
            <w:noWrap/>
            <w:vAlign w:val="center"/>
            <w:hideMark/>
          </w:tcPr>
          <w:p w14:paraId="7E3B5B5D" w14:textId="10F8935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nil"/>
              <w:right w:val="nil"/>
            </w:tcBorders>
            <w:shd w:val="clear" w:color="auto" w:fill="auto"/>
            <w:noWrap/>
            <w:vAlign w:val="center"/>
            <w:hideMark/>
          </w:tcPr>
          <w:p w14:paraId="462D0116" w14:textId="5993408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478F7E09" w14:textId="15E15D0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39" w:type="pct"/>
            <w:tcBorders>
              <w:top w:val="nil"/>
              <w:left w:val="nil"/>
              <w:bottom w:val="nil"/>
              <w:right w:val="nil"/>
            </w:tcBorders>
            <w:shd w:val="clear" w:color="auto" w:fill="auto"/>
            <w:noWrap/>
            <w:vAlign w:val="center"/>
            <w:hideMark/>
          </w:tcPr>
          <w:p w14:paraId="66E2FF53" w14:textId="1E57FA5A"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5.290</w:t>
            </w:r>
          </w:p>
        </w:tc>
        <w:tc>
          <w:tcPr>
            <w:tcW w:w="458" w:type="pct"/>
            <w:tcBorders>
              <w:top w:val="nil"/>
              <w:left w:val="nil"/>
              <w:bottom w:val="nil"/>
              <w:right w:val="nil"/>
            </w:tcBorders>
            <w:shd w:val="clear" w:color="auto" w:fill="auto"/>
            <w:noWrap/>
            <w:vAlign w:val="center"/>
            <w:hideMark/>
          </w:tcPr>
          <w:p w14:paraId="2D6A0E1C" w14:textId="33101731"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nil"/>
              <w:right w:val="nil"/>
            </w:tcBorders>
            <w:shd w:val="clear" w:color="auto" w:fill="auto"/>
            <w:noWrap/>
            <w:vAlign w:val="center"/>
            <w:hideMark/>
          </w:tcPr>
          <w:p w14:paraId="58AC24C8" w14:textId="4209014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5.290</w:t>
            </w:r>
          </w:p>
        </w:tc>
      </w:tr>
      <w:tr w:rsidR="00534A74" w:rsidRPr="00534A74" w14:paraId="0F3C42B3" w14:textId="77777777" w:rsidTr="00534A74">
        <w:trPr>
          <w:trHeight w:val="240"/>
        </w:trPr>
        <w:tc>
          <w:tcPr>
            <w:tcW w:w="1753" w:type="pct"/>
            <w:tcBorders>
              <w:top w:val="nil"/>
              <w:left w:val="nil"/>
              <w:bottom w:val="nil"/>
              <w:right w:val="nil"/>
            </w:tcBorders>
            <w:shd w:val="clear" w:color="auto" w:fill="auto"/>
            <w:noWrap/>
            <w:vAlign w:val="center"/>
            <w:hideMark/>
          </w:tcPr>
          <w:p w14:paraId="6981C62E" w14:textId="77777777" w:rsidR="00534A74" w:rsidRPr="00534A74" w:rsidRDefault="00534A74" w:rsidP="00534A74">
            <w:pPr>
              <w:spacing w:after="0" w:line="240" w:lineRule="auto"/>
              <w:ind w:firstLineChars="200" w:firstLine="36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Reserva de reavaliação líquida dos impostos </w:t>
            </w:r>
          </w:p>
        </w:tc>
        <w:tc>
          <w:tcPr>
            <w:tcW w:w="336" w:type="pct"/>
            <w:tcBorders>
              <w:top w:val="nil"/>
              <w:left w:val="nil"/>
              <w:bottom w:val="nil"/>
              <w:right w:val="nil"/>
            </w:tcBorders>
            <w:shd w:val="clear" w:color="auto" w:fill="auto"/>
            <w:noWrap/>
            <w:vAlign w:val="center"/>
            <w:hideMark/>
          </w:tcPr>
          <w:p w14:paraId="329CD52A" w14:textId="1428D29F"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nil"/>
              <w:right w:val="nil"/>
            </w:tcBorders>
            <w:shd w:val="clear" w:color="auto" w:fill="auto"/>
            <w:noWrap/>
            <w:vAlign w:val="center"/>
            <w:hideMark/>
          </w:tcPr>
          <w:p w14:paraId="45AA68CD" w14:textId="382F8D21" w:rsidR="00534A74" w:rsidRPr="00534A74" w:rsidRDefault="002C5DD7" w:rsidP="00534A74">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35835152" w14:textId="608FB26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75</w:t>
            </w:r>
          </w:p>
        </w:tc>
        <w:tc>
          <w:tcPr>
            <w:tcW w:w="211" w:type="pct"/>
            <w:tcBorders>
              <w:top w:val="nil"/>
              <w:left w:val="nil"/>
              <w:bottom w:val="nil"/>
              <w:right w:val="nil"/>
            </w:tcBorders>
            <w:shd w:val="clear" w:color="auto" w:fill="auto"/>
            <w:noWrap/>
            <w:vAlign w:val="center"/>
            <w:hideMark/>
          </w:tcPr>
          <w:p w14:paraId="09D39042" w14:textId="189F2FB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nil"/>
              <w:right w:val="nil"/>
            </w:tcBorders>
            <w:shd w:val="clear" w:color="auto" w:fill="auto"/>
            <w:noWrap/>
            <w:vAlign w:val="center"/>
            <w:hideMark/>
          </w:tcPr>
          <w:p w14:paraId="1451E2CF" w14:textId="0E9C95D6"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2476E6D5" w14:textId="5D802E7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39" w:type="pct"/>
            <w:tcBorders>
              <w:top w:val="nil"/>
              <w:left w:val="nil"/>
              <w:bottom w:val="nil"/>
              <w:right w:val="nil"/>
            </w:tcBorders>
            <w:shd w:val="clear" w:color="auto" w:fill="auto"/>
            <w:noWrap/>
            <w:vAlign w:val="center"/>
            <w:hideMark/>
          </w:tcPr>
          <w:p w14:paraId="008245BC" w14:textId="4F6EAF9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75</w:t>
            </w:r>
          </w:p>
        </w:tc>
        <w:tc>
          <w:tcPr>
            <w:tcW w:w="458" w:type="pct"/>
            <w:tcBorders>
              <w:top w:val="nil"/>
              <w:left w:val="nil"/>
              <w:bottom w:val="nil"/>
              <w:right w:val="nil"/>
            </w:tcBorders>
            <w:shd w:val="clear" w:color="auto" w:fill="auto"/>
            <w:noWrap/>
            <w:vAlign w:val="center"/>
            <w:hideMark/>
          </w:tcPr>
          <w:p w14:paraId="20B9F44C" w14:textId="6B46279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nil"/>
              <w:right w:val="nil"/>
            </w:tcBorders>
            <w:shd w:val="clear" w:color="auto" w:fill="auto"/>
            <w:noWrap/>
            <w:vAlign w:val="center"/>
            <w:hideMark/>
          </w:tcPr>
          <w:p w14:paraId="18DDC787" w14:textId="5D9D14C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75</w:t>
            </w:r>
          </w:p>
        </w:tc>
      </w:tr>
      <w:tr w:rsidR="00534A74" w:rsidRPr="00534A74" w14:paraId="388EDD65" w14:textId="77777777" w:rsidTr="00534A74">
        <w:trPr>
          <w:trHeight w:val="240"/>
        </w:trPr>
        <w:tc>
          <w:tcPr>
            <w:tcW w:w="1753" w:type="pct"/>
            <w:tcBorders>
              <w:top w:val="nil"/>
              <w:left w:val="nil"/>
              <w:bottom w:val="nil"/>
              <w:right w:val="nil"/>
            </w:tcBorders>
            <w:shd w:val="clear" w:color="auto" w:fill="auto"/>
            <w:noWrap/>
            <w:vAlign w:val="center"/>
            <w:hideMark/>
          </w:tcPr>
          <w:p w14:paraId="15D79526" w14:textId="77777777" w:rsidR="00534A74" w:rsidRPr="00534A74" w:rsidRDefault="00534A74" w:rsidP="00534A74">
            <w:pPr>
              <w:spacing w:after="0" w:line="240" w:lineRule="auto"/>
              <w:ind w:firstLineChars="200" w:firstLine="36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Ganhos atuariais com planos de benefícios definidos  </w:t>
            </w:r>
          </w:p>
        </w:tc>
        <w:tc>
          <w:tcPr>
            <w:tcW w:w="336" w:type="pct"/>
            <w:tcBorders>
              <w:top w:val="nil"/>
              <w:left w:val="nil"/>
              <w:bottom w:val="single" w:sz="4" w:space="0" w:color="1B80C4"/>
              <w:right w:val="nil"/>
            </w:tcBorders>
            <w:shd w:val="clear" w:color="auto" w:fill="auto"/>
            <w:noWrap/>
            <w:vAlign w:val="center"/>
            <w:hideMark/>
          </w:tcPr>
          <w:p w14:paraId="0A8192E9" w14:textId="07E8D15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single" w:sz="4" w:space="0" w:color="1B80C4"/>
              <w:right w:val="nil"/>
            </w:tcBorders>
            <w:shd w:val="clear" w:color="auto" w:fill="auto"/>
            <w:noWrap/>
            <w:vAlign w:val="center"/>
            <w:hideMark/>
          </w:tcPr>
          <w:p w14:paraId="27EDA40A" w14:textId="1345FAB7" w:rsidR="00534A74" w:rsidRPr="00534A74" w:rsidRDefault="002C5DD7" w:rsidP="00534A74">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w:t>
            </w:r>
          </w:p>
        </w:tc>
        <w:tc>
          <w:tcPr>
            <w:tcW w:w="392" w:type="pct"/>
            <w:tcBorders>
              <w:top w:val="nil"/>
              <w:left w:val="nil"/>
              <w:bottom w:val="single" w:sz="4" w:space="0" w:color="1B80C4"/>
              <w:right w:val="nil"/>
            </w:tcBorders>
            <w:shd w:val="clear" w:color="auto" w:fill="auto"/>
            <w:noWrap/>
            <w:vAlign w:val="center"/>
            <w:hideMark/>
          </w:tcPr>
          <w:p w14:paraId="62BAD5FB" w14:textId="17091E04"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310.527</w:t>
            </w:r>
          </w:p>
        </w:tc>
        <w:tc>
          <w:tcPr>
            <w:tcW w:w="211" w:type="pct"/>
            <w:tcBorders>
              <w:top w:val="nil"/>
              <w:left w:val="nil"/>
              <w:bottom w:val="single" w:sz="4" w:space="0" w:color="1B80C4"/>
              <w:right w:val="nil"/>
            </w:tcBorders>
            <w:shd w:val="clear" w:color="auto" w:fill="auto"/>
            <w:noWrap/>
            <w:vAlign w:val="center"/>
            <w:hideMark/>
          </w:tcPr>
          <w:p w14:paraId="34AFE52C" w14:textId="2D5A1D24"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single" w:sz="4" w:space="0" w:color="1B80C4"/>
              <w:right w:val="nil"/>
            </w:tcBorders>
            <w:shd w:val="clear" w:color="auto" w:fill="auto"/>
            <w:noWrap/>
            <w:vAlign w:val="center"/>
            <w:hideMark/>
          </w:tcPr>
          <w:p w14:paraId="5AF7A931" w14:textId="40256EF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single" w:sz="4" w:space="0" w:color="1B80C4"/>
              <w:right w:val="nil"/>
            </w:tcBorders>
            <w:shd w:val="clear" w:color="auto" w:fill="auto"/>
            <w:noWrap/>
            <w:vAlign w:val="center"/>
            <w:hideMark/>
          </w:tcPr>
          <w:p w14:paraId="6A229F54" w14:textId="32BDF4BF"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39" w:type="pct"/>
            <w:tcBorders>
              <w:top w:val="nil"/>
              <w:left w:val="nil"/>
              <w:bottom w:val="single" w:sz="4" w:space="0" w:color="1B80C4"/>
              <w:right w:val="nil"/>
            </w:tcBorders>
            <w:shd w:val="clear" w:color="auto" w:fill="auto"/>
            <w:noWrap/>
            <w:vAlign w:val="center"/>
            <w:hideMark/>
          </w:tcPr>
          <w:p w14:paraId="4D47543F" w14:textId="3072811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310.527</w:t>
            </w:r>
          </w:p>
        </w:tc>
        <w:tc>
          <w:tcPr>
            <w:tcW w:w="458" w:type="pct"/>
            <w:tcBorders>
              <w:top w:val="nil"/>
              <w:left w:val="nil"/>
              <w:bottom w:val="single" w:sz="4" w:space="0" w:color="1B80C4"/>
              <w:right w:val="nil"/>
            </w:tcBorders>
            <w:shd w:val="clear" w:color="auto" w:fill="auto"/>
            <w:noWrap/>
            <w:vAlign w:val="center"/>
            <w:hideMark/>
          </w:tcPr>
          <w:p w14:paraId="4477E2F5" w14:textId="139B482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single" w:sz="4" w:space="0" w:color="1B80C4"/>
              <w:right w:val="nil"/>
            </w:tcBorders>
            <w:shd w:val="clear" w:color="auto" w:fill="auto"/>
            <w:noWrap/>
            <w:vAlign w:val="center"/>
            <w:hideMark/>
          </w:tcPr>
          <w:p w14:paraId="464AA453" w14:textId="4C499731"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310.527</w:t>
            </w:r>
          </w:p>
        </w:tc>
      </w:tr>
      <w:tr w:rsidR="00534A74" w:rsidRPr="00534A74" w14:paraId="006A5887" w14:textId="77777777" w:rsidTr="00534A74">
        <w:trPr>
          <w:trHeight w:val="240"/>
        </w:trPr>
        <w:tc>
          <w:tcPr>
            <w:tcW w:w="1753" w:type="pct"/>
            <w:tcBorders>
              <w:top w:val="nil"/>
              <w:left w:val="nil"/>
              <w:bottom w:val="nil"/>
              <w:right w:val="nil"/>
            </w:tcBorders>
            <w:shd w:val="clear" w:color="auto" w:fill="auto"/>
            <w:noWrap/>
            <w:vAlign w:val="center"/>
            <w:hideMark/>
          </w:tcPr>
          <w:p w14:paraId="5BD02BFA" w14:textId="77777777" w:rsidR="00534A74" w:rsidRPr="00534A74" w:rsidRDefault="00534A74" w:rsidP="00534A74">
            <w:pPr>
              <w:spacing w:after="0" w:line="240" w:lineRule="auto"/>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Total do resultado abrangente do exercício </w:t>
            </w:r>
          </w:p>
        </w:tc>
        <w:tc>
          <w:tcPr>
            <w:tcW w:w="336" w:type="pct"/>
            <w:tcBorders>
              <w:top w:val="nil"/>
              <w:left w:val="nil"/>
              <w:bottom w:val="nil"/>
              <w:right w:val="nil"/>
            </w:tcBorders>
            <w:shd w:val="clear" w:color="auto" w:fill="auto"/>
            <w:noWrap/>
            <w:vAlign w:val="center"/>
            <w:hideMark/>
          </w:tcPr>
          <w:p w14:paraId="5C34102D" w14:textId="5C5E7EEA"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336" w:type="pct"/>
            <w:tcBorders>
              <w:top w:val="nil"/>
              <w:left w:val="nil"/>
              <w:bottom w:val="nil"/>
              <w:right w:val="nil"/>
            </w:tcBorders>
            <w:shd w:val="clear" w:color="auto" w:fill="auto"/>
            <w:noWrap/>
            <w:vAlign w:val="center"/>
            <w:hideMark/>
          </w:tcPr>
          <w:p w14:paraId="545D7FF0" w14:textId="7EAFFC25" w:rsidR="00534A74" w:rsidRPr="00534A74" w:rsidRDefault="002C5DD7" w:rsidP="00534A74">
            <w:pPr>
              <w:spacing w:after="0" w:line="240" w:lineRule="auto"/>
              <w:jc w:val="right"/>
              <w:rPr>
                <w:rFonts w:ascii="Segoe UI" w:eastAsia="Times New Roman" w:hAnsi="Segoe UI" w:cs="Segoe UI"/>
                <w:b/>
                <w:bCs/>
                <w:sz w:val="18"/>
                <w:szCs w:val="18"/>
                <w:lang w:eastAsia="pt-BR"/>
              </w:rPr>
            </w:pPr>
            <w:r>
              <w:rPr>
                <w:rFonts w:ascii="Segoe UI" w:eastAsia="Times New Roman" w:hAnsi="Segoe UI" w:cs="Segoe UI"/>
                <w:b/>
                <w:bCs/>
                <w:sz w:val="18"/>
                <w:szCs w:val="18"/>
                <w:lang w:eastAsia="pt-BR"/>
              </w:rPr>
              <w:t>-</w:t>
            </w:r>
          </w:p>
        </w:tc>
        <w:tc>
          <w:tcPr>
            <w:tcW w:w="392" w:type="pct"/>
            <w:tcBorders>
              <w:top w:val="nil"/>
              <w:left w:val="nil"/>
              <w:bottom w:val="nil"/>
              <w:right w:val="nil"/>
            </w:tcBorders>
            <w:shd w:val="clear" w:color="auto" w:fill="auto"/>
            <w:noWrap/>
            <w:vAlign w:val="center"/>
            <w:hideMark/>
          </w:tcPr>
          <w:p w14:paraId="2202021D" w14:textId="11A9C9FC"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315.892</w:t>
            </w:r>
          </w:p>
        </w:tc>
        <w:tc>
          <w:tcPr>
            <w:tcW w:w="211" w:type="pct"/>
            <w:tcBorders>
              <w:top w:val="nil"/>
              <w:left w:val="nil"/>
              <w:bottom w:val="nil"/>
              <w:right w:val="nil"/>
            </w:tcBorders>
            <w:shd w:val="clear" w:color="auto" w:fill="auto"/>
            <w:noWrap/>
            <w:vAlign w:val="center"/>
            <w:hideMark/>
          </w:tcPr>
          <w:p w14:paraId="4217E9E7" w14:textId="772E96A2"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256" w:type="pct"/>
            <w:tcBorders>
              <w:top w:val="nil"/>
              <w:left w:val="nil"/>
              <w:bottom w:val="nil"/>
              <w:right w:val="nil"/>
            </w:tcBorders>
            <w:shd w:val="clear" w:color="auto" w:fill="auto"/>
            <w:noWrap/>
            <w:vAlign w:val="center"/>
            <w:hideMark/>
          </w:tcPr>
          <w:p w14:paraId="2A7514D1" w14:textId="318F1F66"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403" w:type="pct"/>
            <w:tcBorders>
              <w:top w:val="nil"/>
              <w:left w:val="nil"/>
              <w:bottom w:val="nil"/>
              <w:right w:val="nil"/>
            </w:tcBorders>
            <w:shd w:val="clear" w:color="auto" w:fill="auto"/>
            <w:noWrap/>
            <w:vAlign w:val="center"/>
            <w:hideMark/>
          </w:tcPr>
          <w:p w14:paraId="68AC5DDB" w14:textId="7AD699DE"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105.895</w:t>
            </w:r>
          </w:p>
        </w:tc>
        <w:tc>
          <w:tcPr>
            <w:tcW w:w="439" w:type="pct"/>
            <w:tcBorders>
              <w:top w:val="nil"/>
              <w:left w:val="nil"/>
              <w:bottom w:val="nil"/>
              <w:right w:val="nil"/>
            </w:tcBorders>
            <w:shd w:val="clear" w:color="auto" w:fill="auto"/>
            <w:noWrap/>
            <w:vAlign w:val="center"/>
            <w:hideMark/>
          </w:tcPr>
          <w:p w14:paraId="379982C9" w14:textId="6B2256CE"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421.787</w:t>
            </w:r>
          </w:p>
        </w:tc>
        <w:tc>
          <w:tcPr>
            <w:tcW w:w="458" w:type="pct"/>
            <w:tcBorders>
              <w:top w:val="nil"/>
              <w:left w:val="nil"/>
              <w:bottom w:val="nil"/>
              <w:right w:val="nil"/>
            </w:tcBorders>
            <w:shd w:val="clear" w:color="auto" w:fill="auto"/>
            <w:noWrap/>
            <w:vAlign w:val="center"/>
            <w:hideMark/>
          </w:tcPr>
          <w:p w14:paraId="173B25E6" w14:textId="66AD3228"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(64.676)</w:t>
            </w:r>
          </w:p>
        </w:tc>
        <w:tc>
          <w:tcPr>
            <w:tcW w:w="416" w:type="pct"/>
            <w:tcBorders>
              <w:top w:val="nil"/>
              <w:left w:val="nil"/>
              <w:bottom w:val="nil"/>
              <w:right w:val="nil"/>
            </w:tcBorders>
            <w:shd w:val="clear" w:color="auto" w:fill="auto"/>
            <w:noWrap/>
            <w:vAlign w:val="center"/>
            <w:hideMark/>
          </w:tcPr>
          <w:p w14:paraId="5329A9F7" w14:textId="6D168119"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357.111</w:t>
            </w:r>
          </w:p>
        </w:tc>
      </w:tr>
      <w:tr w:rsidR="00534A74" w:rsidRPr="00534A74" w14:paraId="0DF7FAB7" w14:textId="77777777" w:rsidTr="00534A74">
        <w:trPr>
          <w:trHeight w:val="240"/>
        </w:trPr>
        <w:tc>
          <w:tcPr>
            <w:tcW w:w="1753" w:type="pct"/>
            <w:tcBorders>
              <w:top w:val="nil"/>
              <w:left w:val="nil"/>
              <w:bottom w:val="nil"/>
              <w:right w:val="nil"/>
            </w:tcBorders>
            <w:shd w:val="clear" w:color="auto" w:fill="auto"/>
            <w:noWrap/>
            <w:vAlign w:val="center"/>
            <w:hideMark/>
          </w:tcPr>
          <w:p w14:paraId="0AD2E6D2" w14:textId="77777777" w:rsidR="00534A74" w:rsidRPr="00534A74" w:rsidRDefault="00534A74" w:rsidP="00534A74">
            <w:pPr>
              <w:spacing w:after="0" w:line="240" w:lineRule="auto"/>
              <w:rPr>
                <w:rFonts w:ascii="Segoe UI" w:eastAsia="Times New Roman" w:hAnsi="Segoe UI" w:cs="Segoe UI"/>
                <w:b/>
                <w:bCs/>
                <w:sz w:val="18"/>
                <w:szCs w:val="18"/>
                <w:lang w:eastAsia="pt-BR"/>
              </w:rPr>
            </w:pPr>
          </w:p>
        </w:tc>
        <w:tc>
          <w:tcPr>
            <w:tcW w:w="336" w:type="pct"/>
            <w:tcBorders>
              <w:top w:val="nil"/>
              <w:left w:val="nil"/>
              <w:bottom w:val="nil"/>
              <w:right w:val="nil"/>
            </w:tcBorders>
            <w:shd w:val="clear" w:color="auto" w:fill="auto"/>
            <w:noWrap/>
            <w:vAlign w:val="center"/>
            <w:hideMark/>
          </w:tcPr>
          <w:p w14:paraId="57EDCD79"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336" w:type="pct"/>
            <w:tcBorders>
              <w:top w:val="nil"/>
              <w:left w:val="nil"/>
              <w:bottom w:val="nil"/>
              <w:right w:val="nil"/>
            </w:tcBorders>
            <w:shd w:val="clear" w:color="auto" w:fill="auto"/>
            <w:noWrap/>
            <w:vAlign w:val="center"/>
            <w:hideMark/>
          </w:tcPr>
          <w:p w14:paraId="58F06F5D"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392" w:type="pct"/>
            <w:tcBorders>
              <w:top w:val="nil"/>
              <w:left w:val="nil"/>
              <w:bottom w:val="nil"/>
              <w:right w:val="nil"/>
            </w:tcBorders>
            <w:shd w:val="clear" w:color="auto" w:fill="auto"/>
            <w:noWrap/>
            <w:vAlign w:val="center"/>
            <w:hideMark/>
          </w:tcPr>
          <w:p w14:paraId="1AED2133"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211" w:type="pct"/>
            <w:tcBorders>
              <w:top w:val="nil"/>
              <w:left w:val="nil"/>
              <w:bottom w:val="nil"/>
              <w:right w:val="nil"/>
            </w:tcBorders>
            <w:shd w:val="clear" w:color="auto" w:fill="auto"/>
            <w:noWrap/>
            <w:vAlign w:val="center"/>
            <w:hideMark/>
          </w:tcPr>
          <w:p w14:paraId="161F4FE9"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256" w:type="pct"/>
            <w:tcBorders>
              <w:top w:val="nil"/>
              <w:left w:val="nil"/>
              <w:bottom w:val="nil"/>
              <w:right w:val="nil"/>
            </w:tcBorders>
            <w:shd w:val="clear" w:color="auto" w:fill="auto"/>
            <w:noWrap/>
            <w:vAlign w:val="center"/>
            <w:hideMark/>
          </w:tcPr>
          <w:p w14:paraId="4A4961D4"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center"/>
            <w:hideMark/>
          </w:tcPr>
          <w:p w14:paraId="7C3AE717"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39" w:type="pct"/>
            <w:tcBorders>
              <w:top w:val="nil"/>
              <w:left w:val="nil"/>
              <w:bottom w:val="nil"/>
              <w:right w:val="nil"/>
            </w:tcBorders>
            <w:shd w:val="clear" w:color="auto" w:fill="auto"/>
            <w:noWrap/>
            <w:vAlign w:val="center"/>
            <w:hideMark/>
          </w:tcPr>
          <w:p w14:paraId="7AC05ED4"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58" w:type="pct"/>
            <w:tcBorders>
              <w:top w:val="nil"/>
              <w:left w:val="nil"/>
              <w:bottom w:val="nil"/>
              <w:right w:val="nil"/>
            </w:tcBorders>
            <w:shd w:val="clear" w:color="auto" w:fill="auto"/>
            <w:noWrap/>
            <w:vAlign w:val="center"/>
            <w:hideMark/>
          </w:tcPr>
          <w:p w14:paraId="4102E66C"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16" w:type="pct"/>
            <w:tcBorders>
              <w:top w:val="nil"/>
              <w:left w:val="nil"/>
              <w:bottom w:val="nil"/>
              <w:right w:val="nil"/>
            </w:tcBorders>
            <w:shd w:val="clear" w:color="auto" w:fill="auto"/>
            <w:noWrap/>
            <w:vAlign w:val="center"/>
            <w:hideMark/>
          </w:tcPr>
          <w:p w14:paraId="274E9D5F"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r>
      <w:tr w:rsidR="00534A74" w:rsidRPr="00534A74" w14:paraId="7D1E8223" w14:textId="77777777" w:rsidTr="00534A74">
        <w:trPr>
          <w:trHeight w:val="240"/>
        </w:trPr>
        <w:tc>
          <w:tcPr>
            <w:tcW w:w="1753" w:type="pct"/>
            <w:tcBorders>
              <w:top w:val="nil"/>
              <w:left w:val="nil"/>
              <w:bottom w:val="nil"/>
              <w:right w:val="nil"/>
            </w:tcBorders>
            <w:shd w:val="clear" w:color="auto" w:fill="auto"/>
            <w:noWrap/>
            <w:vAlign w:val="center"/>
            <w:hideMark/>
          </w:tcPr>
          <w:p w14:paraId="7D59F09B" w14:textId="77777777" w:rsidR="00534A74" w:rsidRPr="00534A74" w:rsidRDefault="00534A74" w:rsidP="00534A74">
            <w:pPr>
              <w:spacing w:after="0" w:line="240" w:lineRule="auto"/>
              <w:ind w:firstLineChars="100" w:firstLine="18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Capital Subscrito </w:t>
            </w:r>
          </w:p>
        </w:tc>
        <w:tc>
          <w:tcPr>
            <w:tcW w:w="336" w:type="pct"/>
            <w:tcBorders>
              <w:top w:val="nil"/>
              <w:left w:val="nil"/>
              <w:bottom w:val="nil"/>
              <w:right w:val="nil"/>
            </w:tcBorders>
            <w:shd w:val="clear" w:color="auto" w:fill="auto"/>
            <w:noWrap/>
            <w:vAlign w:val="center"/>
            <w:hideMark/>
          </w:tcPr>
          <w:p w14:paraId="7E705800" w14:textId="4810ECA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5.111.344</w:t>
            </w:r>
          </w:p>
        </w:tc>
        <w:tc>
          <w:tcPr>
            <w:tcW w:w="336" w:type="pct"/>
            <w:tcBorders>
              <w:top w:val="nil"/>
              <w:left w:val="nil"/>
              <w:bottom w:val="nil"/>
              <w:right w:val="nil"/>
            </w:tcBorders>
            <w:shd w:val="clear" w:color="auto" w:fill="auto"/>
            <w:noWrap/>
            <w:vAlign w:val="center"/>
            <w:hideMark/>
          </w:tcPr>
          <w:p w14:paraId="36ECF535" w14:textId="5E2382B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3B87B9D0" w14:textId="373DC23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11" w:type="pct"/>
            <w:tcBorders>
              <w:top w:val="nil"/>
              <w:left w:val="nil"/>
              <w:bottom w:val="nil"/>
              <w:right w:val="nil"/>
            </w:tcBorders>
            <w:shd w:val="clear" w:color="auto" w:fill="auto"/>
            <w:noWrap/>
            <w:vAlign w:val="center"/>
            <w:hideMark/>
          </w:tcPr>
          <w:p w14:paraId="60F025F2" w14:textId="5D90FAD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nil"/>
              <w:right w:val="nil"/>
            </w:tcBorders>
            <w:shd w:val="clear" w:color="auto" w:fill="auto"/>
            <w:noWrap/>
            <w:vAlign w:val="center"/>
            <w:hideMark/>
          </w:tcPr>
          <w:p w14:paraId="77EC9665" w14:textId="0D3EDD2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4A528698" w14:textId="7F5A34F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39" w:type="pct"/>
            <w:tcBorders>
              <w:top w:val="nil"/>
              <w:left w:val="nil"/>
              <w:bottom w:val="nil"/>
              <w:right w:val="nil"/>
            </w:tcBorders>
            <w:shd w:val="clear" w:color="auto" w:fill="auto"/>
            <w:noWrap/>
            <w:vAlign w:val="center"/>
            <w:hideMark/>
          </w:tcPr>
          <w:p w14:paraId="5B025041" w14:textId="3621EAE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5.111.344</w:t>
            </w:r>
          </w:p>
        </w:tc>
        <w:tc>
          <w:tcPr>
            <w:tcW w:w="458" w:type="pct"/>
            <w:tcBorders>
              <w:top w:val="nil"/>
              <w:left w:val="nil"/>
              <w:bottom w:val="nil"/>
              <w:right w:val="nil"/>
            </w:tcBorders>
            <w:shd w:val="clear" w:color="auto" w:fill="auto"/>
            <w:noWrap/>
            <w:vAlign w:val="center"/>
            <w:hideMark/>
          </w:tcPr>
          <w:p w14:paraId="02CDC20E" w14:textId="3E58F99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nil"/>
              <w:right w:val="nil"/>
            </w:tcBorders>
            <w:shd w:val="clear" w:color="auto" w:fill="auto"/>
            <w:noWrap/>
            <w:vAlign w:val="center"/>
            <w:hideMark/>
          </w:tcPr>
          <w:p w14:paraId="2A9A50E7" w14:textId="4874877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5.111.344</w:t>
            </w:r>
          </w:p>
        </w:tc>
      </w:tr>
      <w:tr w:rsidR="00534A74" w:rsidRPr="00534A74" w14:paraId="36C17B6F" w14:textId="77777777" w:rsidTr="00534A74">
        <w:trPr>
          <w:trHeight w:val="240"/>
        </w:trPr>
        <w:tc>
          <w:tcPr>
            <w:tcW w:w="1753" w:type="pct"/>
            <w:tcBorders>
              <w:top w:val="nil"/>
              <w:left w:val="nil"/>
              <w:bottom w:val="nil"/>
              <w:right w:val="nil"/>
            </w:tcBorders>
            <w:shd w:val="clear" w:color="auto" w:fill="auto"/>
            <w:noWrap/>
            <w:vAlign w:val="center"/>
            <w:hideMark/>
          </w:tcPr>
          <w:p w14:paraId="16736FDB" w14:textId="77777777" w:rsidR="00534A74" w:rsidRPr="00534A74" w:rsidRDefault="00534A74" w:rsidP="00534A74">
            <w:pPr>
              <w:spacing w:after="0" w:line="240" w:lineRule="auto"/>
              <w:ind w:firstLineChars="100" w:firstLine="18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AFAC </w:t>
            </w:r>
          </w:p>
        </w:tc>
        <w:tc>
          <w:tcPr>
            <w:tcW w:w="336" w:type="pct"/>
            <w:tcBorders>
              <w:top w:val="nil"/>
              <w:left w:val="nil"/>
              <w:bottom w:val="nil"/>
              <w:right w:val="nil"/>
            </w:tcBorders>
            <w:shd w:val="clear" w:color="auto" w:fill="auto"/>
            <w:noWrap/>
            <w:vAlign w:val="center"/>
            <w:hideMark/>
          </w:tcPr>
          <w:p w14:paraId="6596D0D7" w14:textId="2896AD6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nil"/>
              <w:right w:val="nil"/>
            </w:tcBorders>
            <w:shd w:val="clear" w:color="auto" w:fill="auto"/>
            <w:noWrap/>
            <w:vAlign w:val="center"/>
            <w:hideMark/>
          </w:tcPr>
          <w:p w14:paraId="65D6AF5B" w14:textId="1092C88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1.212.148</w:t>
            </w:r>
          </w:p>
        </w:tc>
        <w:tc>
          <w:tcPr>
            <w:tcW w:w="392" w:type="pct"/>
            <w:tcBorders>
              <w:top w:val="nil"/>
              <w:left w:val="nil"/>
              <w:bottom w:val="nil"/>
              <w:right w:val="nil"/>
            </w:tcBorders>
            <w:shd w:val="clear" w:color="auto" w:fill="auto"/>
            <w:noWrap/>
            <w:vAlign w:val="center"/>
            <w:hideMark/>
          </w:tcPr>
          <w:p w14:paraId="78121B6F" w14:textId="2E24E1F2"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11" w:type="pct"/>
            <w:tcBorders>
              <w:top w:val="nil"/>
              <w:left w:val="nil"/>
              <w:bottom w:val="nil"/>
              <w:right w:val="nil"/>
            </w:tcBorders>
            <w:shd w:val="clear" w:color="auto" w:fill="auto"/>
            <w:noWrap/>
            <w:vAlign w:val="center"/>
            <w:hideMark/>
          </w:tcPr>
          <w:p w14:paraId="69B3684F" w14:textId="55B1C71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nil"/>
              <w:right w:val="nil"/>
            </w:tcBorders>
            <w:shd w:val="clear" w:color="auto" w:fill="auto"/>
            <w:noWrap/>
            <w:vAlign w:val="center"/>
            <w:hideMark/>
          </w:tcPr>
          <w:p w14:paraId="22B589A0" w14:textId="79C3F79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296D7A52" w14:textId="1E8BD77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39" w:type="pct"/>
            <w:tcBorders>
              <w:top w:val="nil"/>
              <w:left w:val="nil"/>
              <w:bottom w:val="nil"/>
              <w:right w:val="nil"/>
            </w:tcBorders>
            <w:shd w:val="clear" w:color="auto" w:fill="auto"/>
            <w:noWrap/>
            <w:vAlign w:val="center"/>
            <w:hideMark/>
          </w:tcPr>
          <w:p w14:paraId="67FA624B" w14:textId="60A48ED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1.212.148</w:t>
            </w:r>
          </w:p>
        </w:tc>
        <w:tc>
          <w:tcPr>
            <w:tcW w:w="458" w:type="pct"/>
            <w:tcBorders>
              <w:top w:val="nil"/>
              <w:left w:val="nil"/>
              <w:bottom w:val="nil"/>
              <w:right w:val="nil"/>
            </w:tcBorders>
            <w:shd w:val="clear" w:color="auto" w:fill="auto"/>
            <w:noWrap/>
            <w:vAlign w:val="center"/>
            <w:hideMark/>
          </w:tcPr>
          <w:p w14:paraId="0B99D488" w14:textId="3F91C82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nil"/>
              <w:right w:val="nil"/>
            </w:tcBorders>
            <w:shd w:val="clear" w:color="auto" w:fill="auto"/>
            <w:noWrap/>
            <w:vAlign w:val="center"/>
            <w:hideMark/>
          </w:tcPr>
          <w:p w14:paraId="277B0D7F" w14:textId="2F1CBA2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1.212.148</w:t>
            </w:r>
          </w:p>
        </w:tc>
      </w:tr>
      <w:tr w:rsidR="00534A74" w:rsidRPr="00534A74" w14:paraId="256BB135" w14:textId="77777777" w:rsidTr="00534A74">
        <w:trPr>
          <w:trHeight w:val="240"/>
        </w:trPr>
        <w:tc>
          <w:tcPr>
            <w:tcW w:w="1753" w:type="pct"/>
            <w:tcBorders>
              <w:top w:val="nil"/>
              <w:left w:val="nil"/>
              <w:bottom w:val="nil"/>
              <w:right w:val="nil"/>
            </w:tcBorders>
            <w:shd w:val="clear" w:color="auto" w:fill="auto"/>
            <w:noWrap/>
            <w:vAlign w:val="bottom"/>
            <w:hideMark/>
          </w:tcPr>
          <w:p w14:paraId="37A910F0" w14:textId="77777777" w:rsidR="00534A74" w:rsidRPr="00534A74" w:rsidRDefault="00534A74" w:rsidP="00534A74">
            <w:pPr>
              <w:spacing w:after="0" w:line="240" w:lineRule="auto"/>
              <w:rPr>
                <w:rFonts w:ascii="Segoe UI" w:eastAsia="Times New Roman" w:hAnsi="Segoe UI" w:cs="Segoe UI"/>
                <w:i/>
                <w:iCs/>
                <w:color w:val="000000"/>
                <w:sz w:val="18"/>
                <w:szCs w:val="18"/>
                <w:lang w:eastAsia="pt-BR"/>
              </w:rPr>
            </w:pPr>
            <w:r w:rsidRPr="00534A74">
              <w:rPr>
                <w:rFonts w:ascii="Segoe UI" w:eastAsia="Times New Roman" w:hAnsi="Segoe UI" w:cs="Segoe UI"/>
                <w:i/>
                <w:iCs/>
                <w:color w:val="000000"/>
                <w:sz w:val="18"/>
                <w:szCs w:val="18"/>
                <w:lang w:eastAsia="pt-BR"/>
              </w:rPr>
              <w:t>Destinação proposta à A.G.O.:</w:t>
            </w:r>
          </w:p>
        </w:tc>
        <w:tc>
          <w:tcPr>
            <w:tcW w:w="336" w:type="pct"/>
            <w:tcBorders>
              <w:top w:val="nil"/>
              <w:left w:val="nil"/>
              <w:bottom w:val="nil"/>
              <w:right w:val="nil"/>
            </w:tcBorders>
            <w:shd w:val="clear" w:color="auto" w:fill="auto"/>
            <w:noWrap/>
            <w:vAlign w:val="center"/>
            <w:hideMark/>
          </w:tcPr>
          <w:p w14:paraId="6BFBA931" w14:textId="77777777" w:rsidR="00534A74" w:rsidRPr="00534A74" w:rsidRDefault="00534A74" w:rsidP="00534A74">
            <w:pPr>
              <w:spacing w:after="0" w:line="240" w:lineRule="auto"/>
              <w:jc w:val="right"/>
              <w:rPr>
                <w:rFonts w:ascii="Segoe UI" w:eastAsia="Times New Roman" w:hAnsi="Segoe UI" w:cs="Segoe UI"/>
                <w:i/>
                <w:iCs/>
                <w:color w:val="000000"/>
                <w:sz w:val="18"/>
                <w:szCs w:val="18"/>
                <w:lang w:eastAsia="pt-BR"/>
              </w:rPr>
            </w:pPr>
          </w:p>
        </w:tc>
        <w:tc>
          <w:tcPr>
            <w:tcW w:w="336" w:type="pct"/>
            <w:tcBorders>
              <w:top w:val="nil"/>
              <w:left w:val="nil"/>
              <w:bottom w:val="nil"/>
              <w:right w:val="nil"/>
            </w:tcBorders>
            <w:shd w:val="clear" w:color="auto" w:fill="auto"/>
            <w:noWrap/>
            <w:vAlign w:val="center"/>
            <w:hideMark/>
          </w:tcPr>
          <w:p w14:paraId="3096AD1F"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392" w:type="pct"/>
            <w:tcBorders>
              <w:top w:val="nil"/>
              <w:left w:val="nil"/>
              <w:bottom w:val="nil"/>
              <w:right w:val="nil"/>
            </w:tcBorders>
            <w:shd w:val="clear" w:color="auto" w:fill="auto"/>
            <w:noWrap/>
            <w:vAlign w:val="center"/>
            <w:hideMark/>
          </w:tcPr>
          <w:p w14:paraId="1F7C3C88"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211" w:type="pct"/>
            <w:tcBorders>
              <w:top w:val="nil"/>
              <w:left w:val="nil"/>
              <w:bottom w:val="nil"/>
              <w:right w:val="nil"/>
            </w:tcBorders>
            <w:shd w:val="clear" w:color="auto" w:fill="auto"/>
            <w:noWrap/>
            <w:vAlign w:val="center"/>
            <w:hideMark/>
          </w:tcPr>
          <w:p w14:paraId="7C2ADEB5"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256" w:type="pct"/>
            <w:tcBorders>
              <w:top w:val="nil"/>
              <w:left w:val="nil"/>
              <w:bottom w:val="nil"/>
              <w:right w:val="nil"/>
            </w:tcBorders>
            <w:shd w:val="clear" w:color="auto" w:fill="auto"/>
            <w:noWrap/>
            <w:vAlign w:val="center"/>
            <w:hideMark/>
          </w:tcPr>
          <w:p w14:paraId="13AEB387"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center"/>
            <w:hideMark/>
          </w:tcPr>
          <w:p w14:paraId="3029F991"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39" w:type="pct"/>
            <w:tcBorders>
              <w:top w:val="nil"/>
              <w:left w:val="nil"/>
              <w:bottom w:val="nil"/>
              <w:right w:val="nil"/>
            </w:tcBorders>
            <w:shd w:val="clear" w:color="auto" w:fill="auto"/>
            <w:noWrap/>
            <w:vAlign w:val="center"/>
            <w:hideMark/>
          </w:tcPr>
          <w:p w14:paraId="5557FA01"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58" w:type="pct"/>
            <w:tcBorders>
              <w:top w:val="nil"/>
              <w:left w:val="nil"/>
              <w:bottom w:val="nil"/>
              <w:right w:val="nil"/>
            </w:tcBorders>
            <w:shd w:val="clear" w:color="auto" w:fill="auto"/>
            <w:noWrap/>
            <w:vAlign w:val="center"/>
            <w:hideMark/>
          </w:tcPr>
          <w:p w14:paraId="2B1ED966"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c>
          <w:tcPr>
            <w:tcW w:w="416" w:type="pct"/>
            <w:tcBorders>
              <w:top w:val="nil"/>
              <w:left w:val="nil"/>
              <w:bottom w:val="nil"/>
              <w:right w:val="nil"/>
            </w:tcBorders>
            <w:shd w:val="clear" w:color="auto" w:fill="auto"/>
            <w:noWrap/>
            <w:vAlign w:val="center"/>
            <w:hideMark/>
          </w:tcPr>
          <w:p w14:paraId="5986DA25" w14:textId="77777777" w:rsidR="00534A74" w:rsidRPr="00534A74" w:rsidRDefault="00534A74" w:rsidP="00534A74">
            <w:pPr>
              <w:spacing w:after="0" w:line="240" w:lineRule="auto"/>
              <w:jc w:val="right"/>
              <w:rPr>
                <w:rFonts w:ascii="Times New Roman" w:eastAsia="Times New Roman" w:hAnsi="Times New Roman" w:cs="Times New Roman"/>
                <w:sz w:val="20"/>
                <w:szCs w:val="20"/>
                <w:lang w:eastAsia="pt-BR"/>
              </w:rPr>
            </w:pPr>
          </w:p>
        </w:tc>
      </w:tr>
      <w:tr w:rsidR="00534A74" w:rsidRPr="00534A74" w14:paraId="2E6071F3" w14:textId="77777777" w:rsidTr="00534A74">
        <w:trPr>
          <w:trHeight w:val="240"/>
        </w:trPr>
        <w:tc>
          <w:tcPr>
            <w:tcW w:w="1753" w:type="pct"/>
            <w:tcBorders>
              <w:top w:val="nil"/>
              <w:left w:val="nil"/>
              <w:bottom w:val="nil"/>
              <w:right w:val="nil"/>
            </w:tcBorders>
            <w:shd w:val="clear" w:color="auto" w:fill="auto"/>
            <w:noWrap/>
            <w:vAlign w:val="center"/>
            <w:hideMark/>
          </w:tcPr>
          <w:p w14:paraId="2F7A0A15" w14:textId="77777777" w:rsidR="00534A74" w:rsidRPr="00534A74" w:rsidRDefault="00534A74" w:rsidP="00534A74">
            <w:pPr>
              <w:spacing w:after="0" w:line="240" w:lineRule="auto"/>
              <w:ind w:firstLineChars="100" w:firstLine="18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Reserva legal </w:t>
            </w:r>
          </w:p>
        </w:tc>
        <w:tc>
          <w:tcPr>
            <w:tcW w:w="336" w:type="pct"/>
            <w:tcBorders>
              <w:top w:val="nil"/>
              <w:left w:val="nil"/>
              <w:bottom w:val="nil"/>
              <w:right w:val="nil"/>
            </w:tcBorders>
            <w:shd w:val="clear" w:color="auto" w:fill="auto"/>
            <w:noWrap/>
            <w:vAlign w:val="center"/>
            <w:hideMark/>
          </w:tcPr>
          <w:p w14:paraId="77E19A92" w14:textId="20C462A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nil"/>
              <w:right w:val="nil"/>
            </w:tcBorders>
            <w:shd w:val="clear" w:color="auto" w:fill="auto"/>
            <w:noWrap/>
            <w:vAlign w:val="center"/>
            <w:hideMark/>
          </w:tcPr>
          <w:p w14:paraId="24F3D62A" w14:textId="77777777" w:rsidR="00534A74" w:rsidRPr="00534A74" w:rsidRDefault="00534A74" w:rsidP="00534A74">
            <w:pPr>
              <w:spacing w:after="0" w:line="240" w:lineRule="auto"/>
              <w:jc w:val="right"/>
              <w:rPr>
                <w:rFonts w:ascii="Segoe UI" w:eastAsia="Times New Roman" w:hAnsi="Segoe UI" w:cs="Segoe UI"/>
                <w:sz w:val="18"/>
                <w:szCs w:val="18"/>
                <w:lang w:eastAsia="pt-BR"/>
              </w:rPr>
            </w:pPr>
          </w:p>
        </w:tc>
        <w:tc>
          <w:tcPr>
            <w:tcW w:w="392" w:type="pct"/>
            <w:tcBorders>
              <w:top w:val="nil"/>
              <w:left w:val="nil"/>
              <w:bottom w:val="nil"/>
              <w:right w:val="nil"/>
            </w:tcBorders>
            <w:shd w:val="clear" w:color="auto" w:fill="auto"/>
            <w:noWrap/>
            <w:vAlign w:val="center"/>
            <w:hideMark/>
          </w:tcPr>
          <w:p w14:paraId="396BDE4D" w14:textId="555BA85F"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11" w:type="pct"/>
            <w:tcBorders>
              <w:top w:val="nil"/>
              <w:left w:val="nil"/>
              <w:bottom w:val="nil"/>
              <w:right w:val="nil"/>
            </w:tcBorders>
            <w:shd w:val="clear" w:color="auto" w:fill="auto"/>
            <w:noWrap/>
            <w:vAlign w:val="center"/>
            <w:hideMark/>
          </w:tcPr>
          <w:p w14:paraId="7A3C1007" w14:textId="34EE4741"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5.295</w:t>
            </w:r>
          </w:p>
        </w:tc>
        <w:tc>
          <w:tcPr>
            <w:tcW w:w="256" w:type="pct"/>
            <w:tcBorders>
              <w:top w:val="nil"/>
              <w:left w:val="nil"/>
              <w:bottom w:val="nil"/>
              <w:right w:val="nil"/>
            </w:tcBorders>
            <w:shd w:val="clear" w:color="auto" w:fill="auto"/>
            <w:noWrap/>
            <w:vAlign w:val="center"/>
            <w:hideMark/>
          </w:tcPr>
          <w:p w14:paraId="6D3FD77F" w14:textId="3EA0C201"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453B2630" w14:textId="0547390F"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(5.295)</w:t>
            </w:r>
          </w:p>
        </w:tc>
        <w:tc>
          <w:tcPr>
            <w:tcW w:w="439" w:type="pct"/>
            <w:tcBorders>
              <w:top w:val="nil"/>
              <w:left w:val="nil"/>
              <w:bottom w:val="nil"/>
              <w:right w:val="nil"/>
            </w:tcBorders>
            <w:shd w:val="clear" w:color="auto" w:fill="auto"/>
            <w:noWrap/>
            <w:vAlign w:val="center"/>
            <w:hideMark/>
          </w:tcPr>
          <w:p w14:paraId="0934CD71" w14:textId="512BD11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58" w:type="pct"/>
            <w:tcBorders>
              <w:top w:val="nil"/>
              <w:left w:val="nil"/>
              <w:bottom w:val="nil"/>
              <w:right w:val="nil"/>
            </w:tcBorders>
            <w:shd w:val="clear" w:color="auto" w:fill="auto"/>
            <w:noWrap/>
            <w:vAlign w:val="center"/>
            <w:hideMark/>
          </w:tcPr>
          <w:p w14:paraId="49BA1EE6" w14:textId="162517A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nil"/>
              <w:right w:val="nil"/>
            </w:tcBorders>
            <w:shd w:val="clear" w:color="auto" w:fill="auto"/>
            <w:noWrap/>
            <w:vAlign w:val="center"/>
            <w:hideMark/>
          </w:tcPr>
          <w:p w14:paraId="044035E6" w14:textId="4BA763B0"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r>
      <w:tr w:rsidR="00534A74" w:rsidRPr="00534A74" w14:paraId="309F1307" w14:textId="77777777" w:rsidTr="00534A74">
        <w:trPr>
          <w:trHeight w:val="240"/>
        </w:trPr>
        <w:tc>
          <w:tcPr>
            <w:tcW w:w="1753" w:type="pct"/>
            <w:tcBorders>
              <w:top w:val="nil"/>
              <w:left w:val="nil"/>
              <w:bottom w:val="nil"/>
              <w:right w:val="nil"/>
            </w:tcBorders>
            <w:shd w:val="clear" w:color="auto" w:fill="auto"/>
            <w:noWrap/>
            <w:vAlign w:val="center"/>
            <w:hideMark/>
          </w:tcPr>
          <w:p w14:paraId="4500565D" w14:textId="77777777" w:rsidR="00534A74" w:rsidRPr="00534A74" w:rsidRDefault="00534A74" w:rsidP="00534A74">
            <w:pPr>
              <w:spacing w:after="0" w:line="240" w:lineRule="auto"/>
              <w:ind w:firstLineChars="100" w:firstLine="18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Dividendos propostos </w:t>
            </w:r>
          </w:p>
        </w:tc>
        <w:tc>
          <w:tcPr>
            <w:tcW w:w="336" w:type="pct"/>
            <w:tcBorders>
              <w:top w:val="nil"/>
              <w:left w:val="nil"/>
              <w:bottom w:val="nil"/>
              <w:right w:val="nil"/>
            </w:tcBorders>
            <w:shd w:val="clear" w:color="auto" w:fill="auto"/>
            <w:noWrap/>
            <w:vAlign w:val="center"/>
            <w:hideMark/>
          </w:tcPr>
          <w:p w14:paraId="38FDF485" w14:textId="2ECD777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nil"/>
              <w:right w:val="nil"/>
            </w:tcBorders>
            <w:shd w:val="clear" w:color="auto" w:fill="auto"/>
            <w:noWrap/>
            <w:vAlign w:val="center"/>
            <w:hideMark/>
          </w:tcPr>
          <w:p w14:paraId="019A57C7" w14:textId="29B40548"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19262F62" w14:textId="26EAE96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11" w:type="pct"/>
            <w:tcBorders>
              <w:top w:val="nil"/>
              <w:left w:val="nil"/>
              <w:bottom w:val="nil"/>
              <w:right w:val="nil"/>
            </w:tcBorders>
            <w:shd w:val="clear" w:color="auto" w:fill="auto"/>
            <w:noWrap/>
            <w:vAlign w:val="center"/>
            <w:hideMark/>
          </w:tcPr>
          <w:p w14:paraId="68F47E05" w14:textId="33894140"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nil"/>
              <w:right w:val="nil"/>
            </w:tcBorders>
            <w:shd w:val="clear" w:color="auto" w:fill="auto"/>
            <w:noWrap/>
            <w:vAlign w:val="center"/>
            <w:hideMark/>
          </w:tcPr>
          <w:p w14:paraId="06936CBC" w14:textId="1846311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nil"/>
              <w:right w:val="nil"/>
            </w:tcBorders>
            <w:shd w:val="clear" w:color="auto" w:fill="auto"/>
            <w:noWrap/>
            <w:vAlign w:val="center"/>
            <w:hideMark/>
          </w:tcPr>
          <w:p w14:paraId="60BF1B19" w14:textId="5DD16223"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(25.150)</w:t>
            </w:r>
          </w:p>
        </w:tc>
        <w:tc>
          <w:tcPr>
            <w:tcW w:w="439" w:type="pct"/>
            <w:tcBorders>
              <w:top w:val="nil"/>
              <w:left w:val="nil"/>
              <w:bottom w:val="nil"/>
              <w:right w:val="nil"/>
            </w:tcBorders>
            <w:shd w:val="clear" w:color="auto" w:fill="auto"/>
            <w:noWrap/>
            <w:vAlign w:val="center"/>
            <w:hideMark/>
          </w:tcPr>
          <w:p w14:paraId="1E7F6DC5" w14:textId="28683D54"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(25.150)</w:t>
            </w:r>
          </w:p>
        </w:tc>
        <w:tc>
          <w:tcPr>
            <w:tcW w:w="458" w:type="pct"/>
            <w:tcBorders>
              <w:top w:val="nil"/>
              <w:left w:val="nil"/>
              <w:bottom w:val="nil"/>
              <w:right w:val="nil"/>
            </w:tcBorders>
            <w:shd w:val="clear" w:color="auto" w:fill="auto"/>
            <w:noWrap/>
            <w:vAlign w:val="center"/>
            <w:hideMark/>
          </w:tcPr>
          <w:p w14:paraId="19A2D052" w14:textId="5AB5556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nil"/>
              <w:right w:val="nil"/>
            </w:tcBorders>
            <w:shd w:val="clear" w:color="auto" w:fill="auto"/>
            <w:noWrap/>
            <w:vAlign w:val="center"/>
            <w:hideMark/>
          </w:tcPr>
          <w:p w14:paraId="161EA4A5" w14:textId="3581823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(25.150)</w:t>
            </w:r>
          </w:p>
        </w:tc>
      </w:tr>
      <w:tr w:rsidR="00534A74" w:rsidRPr="00534A74" w14:paraId="41478E3F" w14:textId="77777777" w:rsidTr="00534A74">
        <w:trPr>
          <w:trHeight w:val="240"/>
        </w:trPr>
        <w:tc>
          <w:tcPr>
            <w:tcW w:w="1753" w:type="pct"/>
            <w:tcBorders>
              <w:top w:val="nil"/>
              <w:left w:val="nil"/>
              <w:bottom w:val="nil"/>
              <w:right w:val="nil"/>
            </w:tcBorders>
            <w:shd w:val="clear" w:color="auto" w:fill="auto"/>
            <w:noWrap/>
            <w:vAlign w:val="center"/>
            <w:hideMark/>
          </w:tcPr>
          <w:p w14:paraId="61A9B926" w14:textId="77777777" w:rsidR="00534A74" w:rsidRPr="00534A74" w:rsidRDefault="00534A74" w:rsidP="00534A74">
            <w:pPr>
              <w:spacing w:after="0" w:line="240" w:lineRule="auto"/>
              <w:ind w:firstLineChars="100" w:firstLine="18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Transferência entre reservas </w:t>
            </w:r>
          </w:p>
        </w:tc>
        <w:tc>
          <w:tcPr>
            <w:tcW w:w="336" w:type="pct"/>
            <w:tcBorders>
              <w:top w:val="nil"/>
              <w:left w:val="nil"/>
              <w:bottom w:val="nil"/>
              <w:right w:val="nil"/>
            </w:tcBorders>
            <w:shd w:val="clear" w:color="auto" w:fill="auto"/>
            <w:noWrap/>
            <w:vAlign w:val="center"/>
            <w:hideMark/>
          </w:tcPr>
          <w:p w14:paraId="4730DD31" w14:textId="105ED1C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nil"/>
              <w:right w:val="nil"/>
            </w:tcBorders>
            <w:shd w:val="clear" w:color="auto" w:fill="auto"/>
            <w:noWrap/>
            <w:vAlign w:val="center"/>
            <w:hideMark/>
          </w:tcPr>
          <w:p w14:paraId="38A27A57" w14:textId="4399BAC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4C3C37C4" w14:textId="545EC6DC"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11" w:type="pct"/>
            <w:tcBorders>
              <w:top w:val="nil"/>
              <w:left w:val="nil"/>
              <w:bottom w:val="nil"/>
              <w:right w:val="nil"/>
            </w:tcBorders>
            <w:shd w:val="clear" w:color="auto" w:fill="auto"/>
            <w:noWrap/>
            <w:vAlign w:val="center"/>
            <w:hideMark/>
          </w:tcPr>
          <w:p w14:paraId="3D344414" w14:textId="6649F47F"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nil"/>
              <w:right w:val="nil"/>
            </w:tcBorders>
            <w:shd w:val="clear" w:color="auto" w:fill="auto"/>
            <w:noWrap/>
            <w:vAlign w:val="center"/>
            <w:hideMark/>
          </w:tcPr>
          <w:p w14:paraId="19247FFF" w14:textId="5D6AA78D"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75.450</w:t>
            </w:r>
          </w:p>
        </w:tc>
        <w:tc>
          <w:tcPr>
            <w:tcW w:w="403" w:type="pct"/>
            <w:tcBorders>
              <w:top w:val="nil"/>
              <w:left w:val="nil"/>
              <w:bottom w:val="nil"/>
              <w:right w:val="nil"/>
            </w:tcBorders>
            <w:shd w:val="clear" w:color="auto" w:fill="auto"/>
            <w:noWrap/>
            <w:vAlign w:val="center"/>
            <w:hideMark/>
          </w:tcPr>
          <w:p w14:paraId="284F0D1D" w14:textId="038E48C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(75.450)</w:t>
            </w:r>
          </w:p>
        </w:tc>
        <w:tc>
          <w:tcPr>
            <w:tcW w:w="439" w:type="pct"/>
            <w:tcBorders>
              <w:top w:val="nil"/>
              <w:left w:val="nil"/>
              <w:bottom w:val="nil"/>
              <w:right w:val="nil"/>
            </w:tcBorders>
            <w:shd w:val="clear" w:color="auto" w:fill="auto"/>
            <w:noWrap/>
            <w:vAlign w:val="center"/>
            <w:hideMark/>
          </w:tcPr>
          <w:p w14:paraId="7BB6E334" w14:textId="5A0B342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58" w:type="pct"/>
            <w:tcBorders>
              <w:top w:val="nil"/>
              <w:left w:val="nil"/>
              <w:bottom w:val="nil"/>
              <w:right w:val="nil"/>
            </w:tcBorders>
            <w:shd w:val="clear" w:color="auto" w:fill="auto"/>
            <w:noWrap/>
            <w:vAlign w:val="center"/>
            <w:hideMark/>
          </w:tcPr>
          <w:p w14:paraId="323741A5" w14:textId="06A29BC6"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16" w:type="pct"/>
            <w:tcBorders>
              <w:top w:val="nil"/>
              <w:left w:val="nil"/>
              <w:bottom w:val="nil"/>
              <w:right w:val="nil"/>
            </w:tcBorders>
            <w:shd w:val="clear" w:color="auto" w:fill="auto"/>
            <w:noWrap/>
            <w:vAlign w:val="center"/>
            <w:hideMark/>
          </w:tcPr>
          <w:p w14:paraId="0CDE253F" w14:textId="2D3456C7"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r>
      <w:tr w:rsidR="00534A74" w:rsidRPr="00534A74" w14:paraId="68BE5F3F" w14:textId="77777777" w:rsidTr="00534A74">
        <w:trPr>
          <w:trHeight w:val="240"/>
        </w:trPr>
        <w:tc>
          <w:tcPr>
            <w:tcW w:w="1753" w:type="pct"/>
            <w:tcBorders>
              <w:top w:val="nil"/>
              <w:left w:val="nil"/>
              <w:bottom w:val="nil"/>
              <w:right w:val="nil"/>
            </w:tcBorders>
            <w:shd w:val="clear" w:color="auto" w:fill="auto"/>
            <w:noWrap/>
            <w:vAlign w:val="center"/>
            <w:hideMark/>
          </w:tcPr>
          <w:p w14:paraId="7128CEBE" w14:textId="77777777" w:rsidR="00534A74" w:rsidRPr="00534A74" w:rsidRDefault="00534A74" w:rsidP="00534A74">
            <w:pPr>
              <w:spacing w:after="0" w:line="240" w:lineRule="auto"/>
              <w:ind w:firstLineChars="100" w:firstLine="180"/>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 xml:space="preserve"> Parte do patrimônio líquido não atribuível a controladora </w:t>
            </w:r>
          </w:p>
        </w:tc>
        <w:tc>
          <w:tcPr>
            <w:tcW w:w="336" w:type="pct"/>
            <w:tcBorders>
              <w:top w:val="nil"/>
              <w:left w:val="nil"/>
              <w:bottom w:val="single" w:sz="4" w:space="0" w:color="1B80C4"/>
              <w:right w:val="nil"/>
            </w:tcBorders>
            <w:shd w:val="clear" w:color="auto" w:fill="auto"/>
            <w:noWrap/>
            <w:vAlign w:val="center"/>
            <w:hideMark/>
          </w:tcPr>
          <w:p w14:paraId="45903048" w14:textId="46AE984B"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36" w:type="pct"/>
            <w:tcBorders>
              <w:top w:val="nil"/>
              <w:left w:val="nil"/>
              <w:bottom w:val="single" w:sz="4" w:space="0" w:color="1B80C4"/>
              <w:right w:val="nil"/>
            </w:tcBorders>
            <w:shd w:val="clear" w:color="auto" w:fill="auto"/>
            <w:noWrap/>
            <w:vAlign w:val="center"/>
            <w:hideMark/>
          </w:tcPr>
          <w:p w14:paraId="47990B4E" w14:textId="5807B93E"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392" w:type="pct"/>
            <w:tcBorders>
              <w:top w:val="nil"/>
              <w:left w:val="nil"/>
              <w:bottom w:val="single" w:sz="4" w:space="0" w:color="1B80C4"/>
              <w:right w:val="nil"/>
            </w:tcBorders>
            <w:shd w:val="clear" w:color="auto" w:fill="auto"/>
            <w:noWrap/>
            <w:vAlign w:val="center"/>
            <w:hideMark/>
          </w:tcPr>
          <w:p w14:paraId="55537E4F" w14:textId="730A819F"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11" w:type="pct"/>
            <w:tcBorders>
              <w:top w:val="nil"/>
              <w:left w:val="nil"/>
              <w:bottom w:val="single" w:sz="4" w:space="0" w:color="1B80C4"/>
              <w:right w:val="nil"/>
            </w:tcBorders>
            <w:shd w:val="clear" w:color="auto" w:fill="auto"/>
            <w:noWrap/>
            <w:vAlign w:val="center"/>
            <w:hideMark/>
          </w:tcPr>
          <w:p w14:paraId="7F2187C5" w14:textId="2DAA49D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256" w:type="pct"/>
            <w:tcBorders>
              <w:top w:val="nil"/>
              <w:left w:val="nil"/>
              <w:bottom w:val="single" w:sz="4" w:space="0" w:color="1B80C4"/>
              <w:right w:val="nil"/>
            </w:tcBorders>
            <w:shd w:val="clear" w:color="auto" w:fill="auto"/>
            <w:noWrap/>
            <w:vAlign w:val="center"/>
            <w:hideMark/>
          </w:tcPr>
          <w:p w14:paraId="4462800F" w14:textId="62294F89"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03" w:type="pct"/>
            <w:tcBorders>
              <w:top w:val="nil"/>
              <w:left w:val="nil"/>
              <w:bottom w:val="single" w:sz="4" w:space="0" w:color="1B80C4"/>
              <w:right w:val="nil"/>
            </w:tcBorders>
            <w:shd w:val="clear" w:color="auto" w:fill="auto"/>
            <w:noWrap/>
            <w:vAlign w:val="center"/>
            <w:hideMark/>
          </w:tcPr>
          <w:p w14:paraId="11D7A415" w14:textId="4AF5EA58"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39" w:type="pct"/>
            <w:tcBorders>
              <w:top w:val="nil"/>
              <w:left w:val="nil"/>
              <w:bottom w:val="single" w:sz="4" w:space="0" w:color="1B80C4"/>
              <w:right w:val="nil"/>
            </w:tcBorders>
            <w:shd w:val="clear" w:color="auto" w:fill="auto"/>
            <w:noWrap/>
            <w:vAlign w:val="center"/>
            <w:hideMark/>
          </w:tcPr>
          <w:p w14:paraId="18BE6AEF" w14:textId="1138BE25"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w:t>
            </w:r>
          </w:p>
        </w:tc>
        <w:tc>
          <w:tcPr>
            <w:tcW w:w="458" w:type="pct"/>
            <w:tcBorders>
              <w:top w:val="nil"/>
              <w:left w:val="nil"/>
              <w:bottom w:val="single" w:sz="4" w:space="0" w:color="1B80C4"/>
              <w:right w:val="nil"/>
            </w:tcBorders>
            <w:shd w:val="clear" w:color="auto" w:fill="auto"/>
            <w:noWrap/>
            <w:vAlign w:val="center"/>
            <w:hideMark/>
          </w:tcPr>
          <w:p w14:paraId="5C191A3B" w14:textId="08B36A00"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7.063.240</w:t>
            </w:r>
          </w:p>
        </w:tc>
        <w:tc>
          <w:tcPr>
            <w:tcW w:w="416" w:type="pct"/>
            <w:tcBorders>
              <w:top w:val="nil"/>
              <w:left w:val="nil"/>
              <w:bottom w:val="single" w:sz="4" w:space="0" w:color="1B80C4"/>
              <w:right w:val="nil"/>
            </w:tcBorders>
            <w:shd w:val="clear" w:color="auto" w:fill="auto"/>
            <w:noWrap/>
            <w:vAlign w:val="center"/>
            <w:hideMark/>
          </w:tcPr>
          <w:p w14:paraId="4A10273E" w14:textId="6689927F" w:rsidR="00534A74" w:rsidRPr="00534A74" w:rsidRDefault="00534A74" w:rsidP="00534A74">
            <w:pPr>
              <w:spacing w:after="0" w:line="240" w:lineRule="auto"/>
              <w:jc w:val="right"/>
              <w:rPr>
                <w:rFonts w:ascii="Segoe UI" w:eastAsia="Times New Roman" w:hAnsi="Segoe UI" w:cs="Segoe UI"/>
                <w:sz w:val="18"/>
                <w:szCs w:val="18"/>
                <w:lang w:eastAsia="pt-BR"/>
              </w:rPr>
            </w:pPr>
            <w:r w:rsidRPr="00534A74">
              <w:rPr>
                <w:rFonts w:ascii="Segoe UI" w:eastAsia="Times New Roman" w:hAnsi="Segoe UI" w:cs="Segoe UI"/>
                <w:sz w:val="18"/>
                <w:szCs w:val="18"/>
                <w:lang w:eastAsia="pt-BR"/>
              </w:rPr>
              <w:t>7.063.240</w:t>
            </w:r>
          </w:p>
        </w:tc>
      </w:tr>
      <w:tr w:rsidR="00534A74" w:rsidRPr="00534A74" w14:paraId="0210BA0F" w14:textId="77777777" w:rsidTr="00534A74">
        <w:trPr>
          <w:trHeight w:val="255"/>
        </w:trPr>
        <w:tc>
          <w:tcPr>
            <w:tcW w:w="1753" w:type="pct"/>
            <w:tcBorders>
              <w:top w:val="nil"/>
              <w:left w:val="nil"/>
              <w:bottom w:val="nil"/>
              <w:right w:val="nil"/>
            </w:tcBorders>
            <w:shd w:val="clear" w:color="auto" w:fill="auto"/>
            <w:noWrap/>
            <w:vAlign w:val="center"/>
            <w:hideMark/>
          </w:tcPr>
          <w:p w14:paraId="6A58D90A" w14:textId="77777777" w:rsidR="00534A74" w:rsidRPr="00534A74" w:rsidRDefault="00534A74" w:rsidP="00534A74">
            <w:pPr>
              <w:spacing w:after="0" w:line="240" w:lineRule="auto"/>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 xml:space="preserve"> Em 31 de dezembro de 2022 </w:t>
            </w:r>
          </w:p>
        </w:tc>
        <w:tc>
          <w:tcPr>
            <w:tcW w:w="336" w:type="pct"/>
            <w:tcBorders>
              <w:top w:val="nil"/>
              <w:left w:val="nil"/>
              <w:bottom w:val="double" w:sz="6" w:space="0" w:color="1B80C4"/>
              <w:right w:val="nil"/>
            </w:tcBorders>
            <w:shd w:val="clear" w:color="auto" w:fill="auto"/>
            <w:noWrap/>
            <w:vAlign w:val="center"/>
            <w:hideMark/>
          </w:tcPr>
          <w:p w14:paraId="6D8B36B6" w14:textId="1FC58E1F"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5.111.344</w:t>
            </w:r>
          </w:p>
        </w:tc>
        <w:tc>
          <w:tcPr>
            <w:tcW w:w="336" w:type="pct"/>
            <w:tcBorders>
              <w:top w:val="nil"/>
              <w:left w:val="nil"/>
              <w:bottom w:val="double" w:sz="6" w:space="0" w:color="1B80C4"/>
              <w:right w:val="nil"/>
            </w:tcBorders>
            <w:shd w:val="clear" w:color="auto" w:fill="auto"/>
            <w:noWrap/>
            <w:vAlign w:val="center"/>
            <w:hideMark/>
          </w:tcPr>
          <w:p w14:paraId="10BEDB68" w14:textId="1B992D2F"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1.212.148</w:t>
            </w:r>
          </w:p>
        </w:tc>
        <w:tc>
          <w:tcPr>
            <w:tcW w:w="392" w:type="pct"/>
            <w:tcBorders>
              <w:top w:val="nil"/>
              <w:left w:val="nil"/>
              <w:bottom w:val="double" w:sz="6" w:space="0" w:color="1B80C4"/>
              <w:right w:val="nil"/>
            </w:tcBorders>
            <w:shd w:val="clear" w:color="auto" w:fill="auto"/>
            <w:noWrap/>
            <w:vAlign w:val="center"/>
            <w:hideMark/>
          </w:tcPr>
          <w:p w14:paraId="04F3DEDB" w14:textId="30DD5A26"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315.892</w:t>
            </w:r>
          </w:p>
        </w:tc>
        <w:tc>
          <w:tcPr>
            <w:tcW w:w="211" w:type="pct"/>
            <w:tcBorders>
              <w:top w:val="nil"/>
              <w:left w:val="nil"/>
              <w:bottom w:val="double" w:sz="6" w:space="0" w:color="1B80C4"/>
              <w:right w:val="nil"/>
            </w:tcBorders>
            <w:shd w:val="clear" w:color="auto" w:fill="auto"/>
            <w:noWrap/>
            <w:vAlign w:val="center"/>
            <w:hideMark/>
          </w:tcPr>
          <w:p w14:paraId="1AB92245" w14:textId="5424BA53"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5.295</w:t>
            </w:r>
          </w:p>
        </w:tc>
        <w:tc>
          <w:tcPr>
            <w:tcW w:w="256" w:type="pct"/>
            <w:tcBorders>
              <w:top w:val="nil"/>
              <w:left w:val="nil"/>
              <w:bottom w:val="double" w:sz="6" w:space="0" w:color="1B80C4"/>
              <w:right w:val="nil"/>
            </w:tcBorders>
            <w:shd w:val="clear" w:color="auto" w:fill="auto"/>
            <w:noWrap/>
            <w:vAlign w:val="center"/>
            <w:hideMark/>
          </w:tcPr>
          <w:p w14:paraId="4B647912" w14:textId="0EA85E13"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75.450</w:t>
            </w:r>
          </w:p>
        </w:tc>
        <w:tc>
          <w:tcPr>
            <w:tcW w:w="403" w:type="pct"/>
            <w:tcBorders>
              <w:top w:val="nil"/>
              <w:left w:val="nil"/>
              <w:bottom w:val="double" w:sz="6" w:space="0" w:color="1B80C4"/>
              <w:right w:val="nil"/>
            </w:tcBorders>
            <w:shd w:val="clear" w:color="auto" w:fill="auto"/>
            <w:noWrap/>
            <w:vAlign w:val="center"/>
            <w:hideMark/>
          </w:tcPr>
          <w:p w14:paraId="688596BB" w14:textId="03BAFB21"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w:t>
            </w:r>
          </w:p>
        </w:tc>
        <w:tc>
          <w:tcPr>
            <w:tcW w:w="439" w:type="pct"/>
            <w:tcBorders>
              <w:top w:val="nil"/>
              <w:left w:val="nil"/>
              <w:bottom w:val="double" w:sz="6" w:space="0" w:color="1B80C4"/>
              <w:right w:val="nil"/>
            </w:tcBorders>
            <w:shd w:val="clear" w:color="auto" w:fill="auto"/>
            <w:noWrap/>
            <w:vAlign w:val="center"/>
            <w:hideMark/>
          </w:tcPr>
          <w:p w14:paraId="67F4730D" w14:textId="092A80B2"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6.720.129</w:t>
            </w:r>
          </w:p>
        </w:tc>
        <w:tc>
          <w:tcPr>
            <w:tcW w:w="458" w:type="pct"/>
            <w:tcBorders>
              <w:top w:val="nil"/>
              <w:left w:val="nil"/>
              <w:bottom w:val="double" w:sz="6" w:space="0" w:color="1B80C4"/>
              <w:right w:val="nil"/>
            </w:tcBorders>
            <w:shd w:val="clear" w:color="auto" w:fill="auto"/>
            <w:noWrap/>
            <w:vAlign w:val="center"/>
            <w:hideMark/>
          </w:tcPr>
          <w:p w14:paraId="27EEA1E0" w14:textId="74507F6C"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6.998.564</w:t>
            </w:r>
          </w:p>
        </w:tc>
        <w:tc>
          <w:tcPr>
            <w:tcW w:w="416" w:type="pct"/>
            <w:tcBorders>
              <w:top w:val="nil"/>
              <w:left w:val="nil"/>
              <w:bottom w:val="double" w:sz="6" w:space="0" w:color="1B80C4"/>
              <w:right w:val="nil"/>
            </w:tcBorders>
            <w:shd w:val="clear" w:color="auto" w:fill="auto"/>
            <w:noWrap/>
            <w:vAlign w:val="center"/>
            <w:hideMark/>
          </w:tcPr>
          <w:p w14:paraId="08C4D449" w14:textId="184EE02C" w:rsidR="00534A74" w:rsidRPr="00534A74" w:rsidRDefault="00534A74" w:rsidP="00534A74">
            <w:pPr>
              <w:spacing w:after="0" w:line="240" w:lineRule="auto"/>
              <w:jc w:val="right"/>
              <w:rPr>
                <w:rFonts w:ascii="Segoe UI" w:eastAsia="Times New Roman" w:hAnsi="Segoe UI" w:cs="Segoe UI"/>
                <w:b/>
                <w:bCs/>
                <w:sz w:val="18"/>
                <w:szCs w:val="18"/>
                <w:lang w:eastAsia="pt-BR"/>
              </w:rPr>
            </w:pPr>
            <w:r w:rsidRPr="00534A74">
              <w:rPr>
                <w:rFonts w:ascii="Segoe UI" w:eastAsia="Times New Roman" w:hAnsi="Segoe UI" w:cs="Segoe UI"/>
                <w:b/>
                <w:bCs/>
                <w:sz w:val="18"/>
                <w:szCs w:val="18"/>
                <w:lang w:eastAsia="pt-BR"/>
              </w:rPr>
              <w:t>13.718.693</w:t>
            </w:r>
          </w:p>
        </w:tc>
      </w:tr>
    </w:tbl>
    <w:p w14:paraId="420D708B" w14:textId="50382C1A" w:rsidR="007835BD" w:rsidRDefault="007835BD" w:rsidP="007835BD">
      <w:pPr>
        <w:spacing w:after="0" w:line="240" w:lineRule="auto"/>
        <w:jc w:val="both"/>
        <w:rPr>
          <w:rFonts w:ascii="Segoe UI" w:hAnsi="Segoe UI" w:cs="Segoe UI"/>
          <w:b/>
          <w:color w:val="767171" w:themeColor="background2" w:themeShade="80"/>
        </w:rPr>
      </w:pPr>
    </w:p>
    <w:p w14:paraId="674BA2DB" w14:textId="77777777" w:rsidR="00D109A9" w:rsidRDefault="00D109A9" w:rsidP="007835BD">
      <w:pPr>
        <w:spacing w:after="0" w:line="240" w:lineRule="auto"/>
        <w:jc w:val="both"/>
        <w:rPr>
          <w:rFonts w:ascii="Segoe UI" w:hAnsi="Segoe UI" w:cs="Segoe UI"/>
          <w:b/>
          <w:color w:val="767171" w:themeColor="background2" w:themeShade="80"/>
        </w:rPr>
      </w:pPr>
    </w:p>
    <w:p w14:paraId="33C683E6" w14:textId="77777777" w:rsidR="00620E79" w:rsidRDefault="00620E79" w:rsidP="000A114A">
      <w:pPr>
        <w:widowControl w:val="0"/>
        <w:rPr>
          <w:rFonts w:ascii="Segoe UI" w:hAnsi="Segoe UI" w:cs="Segoe UI"/>
          <w:bCs/>
          <w:sz w:val="20"/>
          <w:szCs w:val="20"/>
        </w:rPr>
      </w:pPr>
    </w:p>
    <w:p w14:paraId="5E472FCE" w14:textId="6C01DDA8" w:rsidR="00534A74" w:rsidRDefault="00534A74" w:rsidP="000A114A">
      <w:pPr>
        <w:widowControl w:val="0"/>
        <w:rPr>
          <w:rFonts w:ascii="Segoe UI" w:hAnsi="Segoe UI" w:cs="Segoe UI"/>
          <w:bCs/>
          <w:sz w:val="20"/>
          <w:szCs w:val="20"/>
        </w:rPr>
      </w:pPr>
    </w:p>
    <w:p w14:paraId="1EA15E7C" w14:textId="2FB2769E" w:rsidR="00534A74" w:rsidRDefault="00534A74" w:rsidP="000A114A">
      <w:pPr>
        <w:widowControl w:val="0"/>
        <w:rPr>
          <w:rFonts w:ascii="Segoe UI" w:hAnsi="Segoe UI" w:cs="Segoe UI"/>
          <w:bCs/>
          <w:sz w:val="20"/>
          <w:szCs w:val="20"/>
        </w:rPr>
      </w:pPr>
    </w:p>
    <w:p w14:paraId="6C7D4E62" w14:textId="1E34EE47" w:rsidR="00534A74" w:rsidRDefault="00534A74" w:rsidP="000A114A">
      <w:pPr>
        <w:widowControl w:val="0"/>
        <w:rPr>
          <w:rFonts w:ascii="Segoe UI" w:hAnsi="Segoe UI" w:cs="Segoe UI"/>
          <w:bCs/>
          <w:sz w:val="20"/>
          <w:szCs w:val="20"/>
        </w:rPr>
      </w:pPr>
    </w:p>
    <w:p w14:paraId="6FA5EA30" w14:textId="77777777" w:rsidR="00534A74" w:rsidRDefault="00534A74" w:rsidP="000A114A">
      <w:pPr>
        <w:widowControl w:val="0"/>
        <w:rPr>
          <w:rFonts w:ascii="Segoe UI" w:hAnsi="Segoe UI" w:cs="Segoe UI"/>
          <w:bCs/>
          <w:sz w:val="20"/>
          <w:szCs w:val="20"/>
        </w:rPr>
      </w:pPr>
    </w:p>
    <w:p w14:paraId="0974907B" w14:textId="3628DB7F" w:rsidR="00C860EA" w:rsidRPr="009239D0" w:rsidRDefault="007835BD" w:rsidP="000A114A">
      <w:pPr>
        <w:widowControl w:val="0"/>
        <w:rPr>
          <w:rFonts w:ascii="Segoe UI" w:hAnsi="Segoe UI" w:cs="Segoe UI"/>
          <w:bCs/>
          <w:sz w:val="19"/>
          <w:szCs w:val="19"/>
        </w:rPr>
        <w:sectPr w:rsidR="00C860EA" w:rsidRPr="009239D0" w:rsidSect="00B810AD">
          <w:headerReference w:type="default" r:id="rId21"/>
          <w:pgSz w:w="16838" w:h="11906" w:orient="landscape"/>
          <w:pgMar w:top="1701" w:right="1812" w:bottom="1276" w:left="1418" w:header="709" w:footer="709" w:gutter="0"/>
          <w:cols w:space="708"/>
          <w:docGrid w:linePitch="360"/>
        </w:sectPr>
      </w:pPr>
      <w:r w:rsidRPr="009239D0">
        <w:rPr>
          <w:rFonts w:ascii="Segoe UI" w:hAnsi="Segoe UI" w:cs="Segoe UI"/>
          <w:bCs/>
          <w:sz w:val="19"/>
          <w:szCs w:val="19"/>
        </w:rPr>
        <w:t xml:space="preserve">As notas explicativas são parte integrante das demonstrações </w:t>
      </w:r>
      <w:r w:rsidR="000A114A" w:rsidRPr="009239D0">
        <w:rPr>
          <w:rFonts w:ascii="Segoe UI" w:hAnsi="Segoe UI" w:cs="Segoe UI"/>
          <w:bCs/>
          <w:sz w:val="19"/>
          <w:szCs w:val="19"/>
        </w:rPr>
        <w:t>financeiras</w:t>
      </w:r>
      <w:r w:rsidR="009239D0" w:rsidRPr="009239D0">
        <w:rPr>
          <w:rFonts w:ascii="Segoe UI" w:hAnsi="Segoe UI" w:cs="Segoe UI"/>
          <w:bCs/>
          <w:sz w:val="19"/>
          <w:szCs w:val="19"/>
        </w:rPr>
        <w:t xml:space="preserve"> individuais e consolidadas.</w:t>
      </w:r>
    </w:p>
    <w:tbl>
      <w:tblPr>
        <w:tblW w:w="5079" w:type="pct"/>
        <w:tblCellMar>
          <w:left w:w="70" w:type="dxa"/>
          <w:right w:w="70" w:type="dxa"/>
        </w:tblCellMar>
        <w:tblLook w:val="04A0" w:firstRow="1" w:lastRow="0" w:firstColumn="1" w:lastColumn="0" w:noHBand="0" w:noVBand="1"/>
      </w:tblPr>
      <w:tblGrid>
        <w:gridCol w:w="5380"/>
        <w:gridCol w:w="747"/>
        <w:gridCol w:w="1366"/>
        <w:gridCol w:w="191"/>
        <w:gridCol w:w="1257"/>
        <w:gridCol w:w="131"/>
      </w:tblGrid>
      <w:tr w:rsidR="005212B3" w:rsidRPr="002A4D1B" w14:paraId="2C3516CE" w14:textId="77777777" w:rsidTr="002A4D1B">
        <w:trPr>
          <w:gridAfter w:val="1"/>
          <w:wAfter w:w="72" w:type="pct"/>
          <w:trHeight w:val="300"/>
        </w:trPr>
        <w:tc>
          <w:tcPr>
            <w:tcW w:w="2965" w:type="pct"/>
            <w:tcBorders>
              <w:top w:val="nil"/>
              <w:left w:val="nil"/>
              <w:bottom w:val="nil"/>
              <w:right w:val="nil"/>
            </w:tcBorders>
            <w:shd w:val="clear" w:color="000000" w:fill="1B80C4"/>
            <w:noWrap/>
            <w:vAlign w:val="bottom"/>
            <w:hideMark/>
          </w:tcPr>
          <w:p w14:paraId="68E09465" w14:textId="77777777" w:rsidR="002A4D1B" w:rsidRPr="002A4D1B" w:rsidRDefault="002A4D1B" w:rsidP="002A4D1B">
            <w:pPr>
              <w:spacing w:after="0" w:line="240" w:lineRule="auto"/>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lastRenderedPageBreak/>
              <w:t> </w:t>
            </w:r>
          </w:p>
        </w:tc>
        <w:tc>
          <w:tcPr>
            <w:tcW w:w="412" w:type="pct"/>
            <w:vMerge w:val="restart"/>
            <w:tcBorders>
              <w:top w:val="nil"/>
              <w:left w:val="nil"/>
              <w:bottom w:val="nil"/>
              <w:right w:val="nil"/>
            </w:tcBorders>
            <w:shd w:val="clear" w:color="000000" w:fill="1B80C4"/>
            <w:noWrap/>
            <w:vAlign w:val="center"/>
            <w:hideMark/>
          </w:tcPr>
          <w:p w14:paraId="0AA9DECE" w14:textId="77777777" w:rsidR="002A4D1B" w:rsidRPr="002A4D1B" w:rsidRDefault="002A4D1B" w:rsidP="002A4D1B">
            <w:pPr>
              <w:spacing w:after="0" w:line="240" w:lineRule="auto"/>
              <w:jc w:val="center"/>
              <w:rPr>
                <w:rFonts w:ascii="Segoe UI" w:eastAsia="Times New Roman" w:hAnsi="Segoe UI" w:cs="Segoe UI"/>
                <w:color w:val="FFFFFF"/>
                <w:sz w:val="18"/>
                <w:szCs w:val="18"/>
                <w:lang w:eastAsia="pt-BR"/>
              </w:rPr>
            </w:pPr>
            <w:r w:rsidRPr="002A4D1B">
              <w:rPr>
                <w:rFonts w:ascii="Segoe UI" w:eastAsia="Times New Roman" w:hAnsi="Segoe UI" w:cs="Segoe UI"/>
                <w:color w:val="FFFFFF"/>
                <w:sz w:val="18"/>
                <w:szCs w:val="18"/>
                <w:lang w:eastAsia="pt-BR"/>
              </w:rPr>
              <w:t xml:space="preserve"> Nota </w:t>
            </w:r>
          </w:p>
        </w:tc>
        <w:tc>
          <w:tcPr>
            <w:tcW w:w="753" w:type="pct"/>
            <w:tcBorders>
              <w:top w:val="nil"/>
              <w:left w:val="nil"/>
              <w:bottom w:val="nil"/>
              <w:right w:val="nil"/>
            </w:tcBorders>
            <w:shd w:val="clear" w:color="000000" w:fill="1B80C4"/>
            <w:noWrap/>
            <w:vAlign w:val="bottom"/>
            <w:hideMark/>
          </w:tcPr>
          <w:p w14:paraId="31D53ED5"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xml:space="preserve"> Controladora </w:t>
            </w:r>
          </w:p>
        </w:tc>
        <w:tc>
          <w:tcPr>
            <w:tcW w:w="105" w:type="pct"/>
            <w:tcBorders>
              <w:top w:val="nil"/>
              <w:left w:val="nil"/>
              <w:bottom w:val="nil"/>
              <w:right w:val="nil"/>
            </w:tcBorders>
            <w:shd w:val="clear" w:color="000000" w:fill="1B80C4"/>
            <w:noWrap/>
            <w:vAlign w:val="bottom"/>
            <w:hideMark/>
          </w:tcPr>
          <w:p w14:paraId="5CD83B7B"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w:t>
            </w:r>
          </w:p>
        </w:tc>
        <w:tc>
          <w:tcPr>
            <w:tcW w:w="693" w:type="pct"/>
            <w:tcBorders>
              <w:top w:val="nil"/>
              <w:left w:val="nil"/>
              <w:bottom w:val="nil"/>
              <w:right w:val="nil"/>
            </w:tcBorders>
            <w:shd w:val="clear" w:color="000000" w:fill="1B80C4"/>
            <w:noWrap/>
            <w:vAlign w:val="bottom"/>
            <w:hideMark/>
          </w:tcPr>
          <w:p w14:paraId="6E6ED02C"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xml:space="preserve"> Consolidado </w:t>
            </w:r>
          </w:p>
        </w:tc>
      </w:tr>
      <w:tr w:rsidR="005212B3" w:rsidRPr="002A4D1B" w14:paraId="0C331402" w14:textId="77777777" w:rsidTr="002A4D1B">
        <w:trPr>
          <w:gridAfter w:val="1"/>
          <w:wAfter w:w="72" w:type="pct"/>
          <w:trHeight w:val="240"/>
        </w:trPr>
        <w:tc>
          <w:tcPr>
            <w:tcW w:w="2965" w:type="pct"/>
            <w:tcBorders>
              <w:top w:val="nil"/>
              <w:left w:val="nil"/>
              <w:bottom w:val="nil"/>
              <w:right w:val="nil"/>
            </w:tcBorders>
            <w:shd w:val="clear" w:color="000000" w:fill="1B80C4"/>
            <w:noWrap/>
            <w:vAlign w:val="bottom"/>
            <w:hideMark/>
          </w:tcPr>
          <w:p w14:paraId="0BB8A931" w14:textId="77777777" w:rsidR="002A4D1B" w:rsidRPr="002A4D1B" w:rsidRDefault="002A4D1B" w:rsidP="002A4D1B">
            <w:pPr>
              <w:spacing w:after="0" w:line="240" w:lineRule="auto"/>
              <w:rPr>
                <w:rFonts w:ascii="Segoe UI" w:eastAsia="Times New Roman" w:hAnsi="Segoe UI" w:cs="Segoe UI"/>
                <w:color w:val="FFFFFF"/>
                <w:sz w:val="18"/>
                <w:szCs w:val="18"/>
                <w:lang w:eastAsia="pt-BR"/>
              </w:rPr>
            </w:pPr>
            <w:r w:rsidRPr="002A4D1B">
              <w:rPr>
                <w:rFonts w:ascii="Segoe UI" w:eastAsia="Times New Roman" w:hAnsi="Segoe UI" w:cs="Segoe UI"/>
                <w:color w:val="FFFFFF"/>
                <w:sz w:val="18"/>
                <w:szCs w:val="18"/>
                <w:lang w:eastAsia="pt-BR"/>
              </w:rPr>
              <w:t> </w:t>
            </w:r>
          </w:p>
        </w:tc>
        <w:tc>
          <w:tcPr>
            <w:tcW w:w="412" w:type="pct"/>
            <w:vMerge/>
            <w:tcBorders>
              <w:top w:val="nil"/>
              <w:left w:val="nil"/>
              <w:bottom w:val="nil"/>
              <w:right w:val="nil"/>
            </w:tcBorders>
            <w:vAlign w:val="center"/>
            <w:hideMark/>
          </w:tcPr>
          <w:p w14:paraId="463F73CC" w14:textId="77777777" w:rsidR="002A4D1B" w:rsidRPr="002A4D1B" w:rsidRDefault="002A4D1B" w:rsidP="002A4D1B">
            <w:pPr>
              <w:spacing w:after="0" w:line="240" w:lineRule="auto"/>
              <w:rPr>
                <w:rFonts w:ascii="Segoe UI" w:eastAsia="Times New Roman" w:hAnsi="Segoe UI" w:cs="Segoe UI"/>
                <w:color w:val="FFFFFF"/>
                <w:sz w:val="18"/>
                <w:szCs w:val="18"/>
                <w:lang w:eastAsia="pt-BR"/>
              </w:rPr>
            </w:pPr>
          </w:p>
        </w:tc>
        <w:tc>
          <w:tcPr>
            <w:tcW w:w="753" w:type="pct"/>
            <w:tcBorders>
              <w:top w:val="single" w:sz="4" w:space="0" w:color="FFFFFF"/>
              <w:left w:val="nil"/>
              <w:bottom w:val="nil"/>
              <w:right w:val="nil"/>
            </w:tcBorders>
            <w:shd w:val="clear" w:color="000000" w:fill="1B80C4"/>
            <w:noWrap/>
            <w:vAlign w:val="center"/>
            <w:hideMark/>
          </w:tcPr>
          <w:p w14:paraId="0B4A3F64"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31/12/2022</w:t>
            </w:r>
          </w:p>
        </w:tc>
        <w:tc>
          <w:tcPr>
            <w:tcW w:w="105" w:type="pct"/>
            <w:tcBorders>
              <w:top w:val="nil"/>
              <w:left w:val="nil"/>
              <w:bottom w:val="nil"/>
              <w:right w:val="nil"/>
            </w:tcBorders>
            <w:shd w:val="clear" w:color="000000" w:fill="1B80C4"/>
            <w:noWrap/>
            <w:vAlign w:val="center"/>
            <w:hideMark/>
          </w:tcPr>
          <w:p w14:paraId="3A6E907B"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w:t>
            </w:r>
          </w:p>
        </w:tc>
        <w:tc>
          <w:tcPr>
            <w:tcW w:w="693" w:type="pct"/>
            <w:tcBorders>
              <w:top w:val="single" w:sz="4" w:space="0" w:color="FFFFFF"/>
              <w:left w:val="nil"/>
              <w:bottom w:val="nil"/>
              <w:right w:val="nil"/>
            </w:tcBorders>
            <w:shd w:val="clear" w:color="000000" w:fill="1B80C4"/>
            <w:noWrap/>
            <w:vAlign w:val="center"/>
            <w:hideMark/>
          </w:tcPr>
          <w:p w14:paraId="3EA99E84"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31/12/2022</w:t>
            </w:r>
          </w:p>
        </w:tc>
      </w:tr>
      <w:tr w:rsidR="00482C5E" w:rsidRPr="002A4D1B" w14:paraId="1CC2BBD6" w14:textId="77777777" w:rsidTr="00D972EC">
        <w:trPr>
          <w:trHeight w:val="240"/>
        </w:trPr>
        <w:tc>
          <w:tcPr>
            <w:tcW w:w="3377" w:type="pct"/>
            <w:gridSpan w:val="2"/>
            <w:tcBorders>
              <w:top w:val="nil"/>
              <w:left w:val="nil"/>
              <w:bottom w:val="nil"/>
              <w:right w:val="nil"/>
            </w:tcBorders>
            <w:shd w:val="clear" w:color="auto" w:fill="auto"/>
            <w:vAlign w:val="bottom"/>
            <w:hideMark/>
          </w:tcPr>
          <w:p w14:paraId="28568A64" w14:textId="77777777" w:rsidR="00482C5E" w:rsidRPr="002A4D1B" w:rsidRDefault="00482C5E"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Resultado antes do imposto de renda e da contribuição social </w:t>
            </w:r>
          </w:p>
        </w:tc>
        <w:tc>
          <w:tcPr>
            <w:tcW w:w="753" w:type="pct"/>
            <w:tcBorders>
              <w:top w:val="nil"/>
              <w:left w:val="nil"/>
              <w:bottom w:val="nil"/>
              <w:right w:val="nil"/>
            </w:tcBorders>
            <w:shd w:val="clear" w:color="auto" w:fill="auto"/>
            <w:noWrap/>
            <w:vAlign w:val="bottom"/>
            <w:hideMark/>
          </w:tcPr>
          <w:p w14:paraId="1B07F7F2" w14:textId="77777777" w:rsidR="00482C5E" w:rsidRPr="002A4D1B" w:rsidRDefault="00482C5E"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183.444</w:t>
            </w:r>
          </w:p>
        </w:tc>
        <w:tc>
          <w:tcPr>
            <w:tcW w:w="105" w:type="pct"/>
            <w:tcBorders>
              <w:top w:val="nil"/>
              <w:left w:val="nil"/>
              <w:bottom w:val="nil"/>
              <w:right w:val="nil"/>
            </w:tcBorders>
            <w:shd w:val="clear" w:color="auto" w:fill="auto"/>
            <w:noWrap/>
            <w:vAlign w:val="bottom"/>
            <w:hideMark/>
          </w:tcPr>
          <w:p w14:paraId="1BBFBBAF" w14:textId="77777777" w:rsidR="00482C5E" w:rsidRPr="002A4D1B" w:rsidRDefault="00482C5E"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65" w:type="pct"/>
            <w:gridSpan w:val="2"/>
            <w:tcBorders>
              <w:top w:val="nil"/>
              <w:left w:val="nil"/>
              <w:bottom w:val="nil"/>
              <w:right w:val="nil"/>
            </w:tcBorders>
            <w:shd w:val="clear" w:color="auto" w:fill="auto"/>
            <w:noWrap/>
            <w:vAlign w:val="bottom"/>
            <w:hideMark/>
          </w:tcPr>
          <w:p w14:paraId="258FE7F7" w14:textId="77777777" w:rsidR="00482C5E" w:rsidRPr="002A4D1B" w:rsidRDefault="00482C5E"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236.992</w:t>
            </w:r>
          </w:p>
        </w:tc>
      </w:tr>
      <w:tr w:rsidR="002A4D1B" w:rsidRPr="002A4D1B" w14:paraId="7ECC17E3" w14:textId="77777777" w:rsidTr="00482C5E">
        <w:trPr>
          <w:trHeight w:val="240"/>
        </w:trPr>
        <w:tc>
          <w:tcPr>
            <w:tcW w:w="3377" w:type="pct"/>
            <w:gridSpan w:val="2"/>
            <w:tcBorders>
              <w:top w:val="nil"/>
              <w:left w:val="nil"/>
              <w:bottom w:val="nil"/>
              <w:right w:val="nil"/>
            </w:tcBorders>
            <w:shd w:val="clear" w:color="auto" w:fill="auto"/>
            <w:vAlign w:val="bottom"/>
            <w:hideMark/>
          </w:tcPr>
          <w:p w14:paraId="298F644F" w14:textId="77777777" w:rsidR="002A4D1B" w:rsidRPr="002A4D1B" w:rsidRDefault="002A4D1B" w:rsidP="002A4D1B">
            <w:pPr>
              <w:spacing w:after="0" w:line="240" w:lineRule="auto"/>
              <w:rPr>
                <w:rFonts w:ascii="Segoe UI" w:eastAsia="Times New Roman" w:hAnsi="Segoe UI" w:cs="Segoe UI"/>
                <w:b/>
                <w:bCs/>
                <w:sz w:val="18"/>
                <w:szCs w:val="18"/>
                <w:u w:val="single"/>
                <w:lang w:eastAsia="pt-BR"/>
              </w:rPr>
            </w:pPr>
            <w:r w:rsidRPr="002A4D1B">
              <w:rPr>
                <w:rFonts w:ascii="Segoe UI" w:eastAsia="Times New Roman" w:hAnsi="Segoe UI" w:cs="Segoe UI"/>
                <w:b/>
                <w:bCs/>
                <w:sz w:val="18"/>
                <w:szCs w:val="18"/>
                <w:u w:val="single"/>
                <w:lang w:eastAsia="pt-BR"/>
              </w:rPr>
              <w:t xml:space="preserve"> Ajustes para reconciliar o lucro com o caixa gerado pelas operações: </w:t>
            </w:r>
          </w:p>
        </w:tc>
        <w:tc>
          <w:tcPr>
            <w:tcW w:w="753" w:type="pct"/>
            <w:tcBorders>
              <w:top w:val="nil"/>
              <w:left w:val="nil"/>
              <w:bottom w:val="nil"/>
              <w:right w:val="nil"/>
            </w:tcBorders>
            <w:shd w:val="clear" w:color="auto" w:fill="auto"/>
            <w:vAlign w:val="bottom"/>
            <w:hideMark/>
          </w:tcPr>
          <w:p w14:paraId="7D07E48B" w14:textId="77777777" w:rsidR="002A4D1B" w:rsidRPr="002A4D1B" w:rsidRDefault="002A4D1B" w:rsidP="00482C5E">
            <w:pPr>
              <w:spacing w:after="0" w:line="240" w:lineRule="auto"/>
              <w:jc w:val="right"/>
              <w:rPr>
                <w:rFonts w:ascii="Segoe UI" w:eastAsia="Times New Roman" w:hAnsi="Segoe UI" w:cs="Segoe UI"/>
                <w:b/>
                <w:bCs/>
                <w:sz w:val="18"/>
                <w:szCs w:val="18"/>
                <w:u w:val="single"/>
                <w:lang w:eastAsia="pt-BR"/>
              </w:rPr>
            </w:pPr>
          </w:p>
        </w:tc>
        <w:tc>
          <w:tcPr>
            <w:tcW w:w="105" w:type="pct"/>
            <w:tcBorders>
              <w:top w:val="nil"/>
              <w:left w:val="nil"/>
              <w:bottom w:val="nil"/>
              <w:right w:val="nil"/>
            </w:tcBorders>
            <w:shd w:val="clear" w:color="auto" w:fill="auto"/>
            <w:vAlign w:val="bottom"/>
            <w:hideMark/>
          </w:tcPr>
          <w:p w14:paraId="32D7A208" w14:textId="77777777" w:rsidR="002A4D1B" w:rsidRPr="002A4D1B" w:rsidRDefault="002A4D1B" w:rsidP="00482C5E">
            <w:pPr>
              <w:spacing w:after="0" w:line="240" w:lineRule="auto"/>
              <w:ind w:firstLineChars="100" w:firstLine="200"/>
              <w:jc w:val="right"/>
              <w:rPr>
                <w:rFonts w:ascii="Times New Roman" w:eastAsia="Times New Roman" w:hAnsi="Times New Roman" w:cs="Times New Roman"/>
                <w:sz w:val="20"/>
                <w:szCs w:val="20"/>
                <w:lang w:eastAsia="pt-BR"/>
              </w:rPr>
            </w:pPr>
          </w:p>
        </w:tc>
        <w:tc>
          <w:tcPr>
            <w:tcW w:w="765" w:type="pct"/>
            <w:gridSpan w:val="2"/>
            <w:tcBorders>
              <w:top w:val="nil"/>
              <w:left w:val="nil"/>
              <w:bottom w:val="nil"/>
              <w:right w:val="nil"/>
            </w:tcBorders>
            <w:shd w:val="clear" w:color="auto" w:fill="auto"/>
            <w:vAlign w:val="bottom"/>
            <w:hideMark/>
          </w:tcPr>
          <w:p w14:paraId="156FD85D" w14:textId="77777777" w:rsidR="002A4D1B" w:rsidRPr="002A4D1B" w:rsidRDefault="002A4D1B" w:rsidP="00482C5E">
            <w:pPr>
              <w:spacing w:after="0" w:line="240" w:lineRule="auto"/>
              <w:ind w:firstLineChars="100" w:firstLine="200"/>
              <w:jc w:val="right"/>
              <w:rPr>
                <w:rFonts w:ascii="Times New Roman" w:eastAsia="Times New Roman" w:hAnsi="Times New Roman" w:cs="Times New Roman"/>
                <w:sz w:val="20"/>
                <w:szCs w:val="20"/>
                <w:lang w:eastAsia="pt-BR"/>
              </w:rPr>
            </w:pPr>
          </w:p>
        </w:tc>
      </w:tr>
      <w:tr w:rsidR="00482C5E" w:rsidRPr="002A4D1B" w14:paraId="58FE8269" w14:textId="77777777" w:rsidTr="00482C5E">
        <w:trPr>
          <w:trHeight w:val="350"/>
        </w:trPr>
        <w:tc>
          <w:tcPr>
            <w:tcW w:w="2965" w:type="pct"/>
            <w:tcBorders>
              <w:top w:val="nil"/>
              <w:left w:val="nil"/>
              <w:bottom w:val="nil"/>
              <w:right w:val="nil"/>
            </w:tcBorders>
            <w:shd w:val="clear" w:color="auto" w:fill="auto"/>
            <w:noWrap/>
            <w:vAlign w:val="bottom"/>
            <w:hideMark/>
          </w:tcPr>
          <w:p w14:paraId="76BD50D4"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Depreciação </w:t>
            </w:r>
          </w:p>
        </w:tc>
        <w:tc>
          <w:tcPr>
            <w:tcW w:w="412" w:type="pct"/>
            <w:tcBorders>
              <w:top w:val="nil"/>
              <w:left w:val="nil"/>
              <w:bottom w:val="nil"/>
              <w:right w:val="nil"/>
            </w:tcBorders>
            <w:shd w:val="clear" w:color="auto" w:fill="auto"/>
            <w:noWrap/>
            <w:vAlign w:val="bottom"/>
            <w:hideMark/>
          </w:tcPr>
          <w:p w14:paraId="57D2CE79" w14:textId="2B0F0376"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13</w:t>
            </w:r>
          </w:p>
        </w:tc>
        <w:tc>
          <w:tcPr>
            <w:tcW w:w="753" w:type="pct"/>
            <w:tcBorders>
              <w:top w:val="nil"/>
              <w:left w:val="nil"/>
              <w:bottom w:val="nil"/>
              <w:right w:val="nil"/>
            </w:tcBorders>
            <w:shd w:val="clear" w:color="auto" w:fill="auto"/>
            <w:noWrap/>
            <w:vAlign w:val="bottom"/>
            <w:hideMark/>
          </w:tcPr>
          <w:p w14:paraId="4D47E2BB" w14:textId="5D1861CC"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886</w:t>
            </w:r>
          </w:p>
        </w:tc>
        <w:tc>
          <w:tcPr>
            <w:tcW w:w="105" w:type="pct"/>
            <w:tcBorders>
              <w:top w:val="nil"/>
              <w:left w:val="nil"/>
              <w:bottom w:val="nil"/>
              <w:right w:val="nil"/>
            </w:tcBorders>
            <w:shd w:val="clear" w:color="auto" w:fill="auto"/>
            <w:noWrap/>
            <w:vAlign w:val="bottom"/>
            <w:hideMark/>
          </w:tcPr>
          <w:p w14:paraId="59D1F38D"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6795D55" w14:textId="76812C0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350.150</w:t>
            </w:r>
          </w:p>
        </w:tc>
      </w:tr>
      <w:tr w:rsidR="00482C5E" w:rsidRPr="002A4D1B" w14:paraId="6DD5D29E" w14:textId="77777777" w:rsidTr="00482C5E">
        <w:trPr>
          <w:trHeight w:val="240"/>
        </w:trPr>
        <w:tc>
          <w:tcPr>
            <w:tcW w:w="2965" w:type="pct"/>
            <w:tcBorders>
              <w:top w:val="nil"/>
              <w:left w:val="nil"/>
              <w:bottom w:val="nil"/>
              <w:right w:val="nil"/>
            </w:tcBorders>
            <w:shd w:val="clear" w:color="auto" w:fill="auto"/>
            <w:noWrap/>
            <w:vAlign w:val="bottom"/>
            <w:hideMark/>
          </w:tcPr>
          <w:p w14:paraId="36DDCBA3"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Amortização </w:t>
            </w:r>
          </w:p>
        </w:tc>
        <w:tc>
          <w:tcPr>
            <w:tcW w:w="412" w:type="pct"/>
            <w:tcBorders>
              <w:top w:val="nil"/>
              <w:left w:val="nil"/>
              <w:bottom w:val="nil"/>
              <w:right w:val="nil"/>
            </w:tcBorders>
            <w:shd w:val="clear" w:color="auto" w:fill="auto"/>
            <w:noWrap/>
            <w:vAlign w:val="bottom"/>
            <w:hideMark/>
          </w:tcPr>
          <w:p w14:paraId="75DA0FB7" w14:textId="17AE4CE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14</w:t>
            </w:r>
          </w:p>
        </w:tc>
        <w:tc>
          <w:tcPr>
            <w:tcW w:w="753" w:type="pct"/>
            <w:tcBorders>
              <w:top w:val="nil"/>
              <w:left w:val="nil"/>
              <w:bottom w:val="nil"/>
              <w:right w:val="nil"/>
            </w:tcBorders>
            <w:shd w:val="clear" w:color="auto" w:fill="auto"/>
            <w:noWrap/>
            <w:vAlign w:val="bottom"/>
            <w:hideMark/>
          </w:tcPr>
          <w:p w14:paraId="4999E813" w14:textId="47E4D6A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3068FFD6"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472B93E7" w14:textId="55AB2FF0"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6.060</w:t>
            </w:r>
          </w:p>
        </w:tc>
      </w:tr>
      <w:tr w:rsidR="00482C5E" w:rsidRPr="002A4D1B" w14:paraId="1A5BD02C" w14:textId="77777777" w:rsidTr="00482C5E">
        <w:trPr>
          <w:trHeight w:val="240"/>
        </w:trPr>
        <w:tc>
          <w:tcPr>
            <w:tcW w:w="2965" w:type="pct"/>
            <w:tcBorders>
              <w:top w:val="nil"/>
              <w:left w:val="nil"/>
              <w:bottom w:val="nil"/>
              <w:right w:val="nil"/>
            </w:tcBorders>
            <w:shd w:val="clear" w:color="auto" w:fill="auto"/>
            <w:noWrap/>
            <w:vAlign w:val="bottom"/>
            <w:hideMark/>
          </w:tcPr>
          <w:p w14:paraId="3EFDDF19"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Variações cambiais não realizadas financeiramente </w:t>
            </w:r>
          </w:p>
        </w:tc>
        <w:tc>
          <w:tcPr>
            <w:tcW w:w="412" w:type="pct"/>
            <w:tcBorders>
              <w:top w:val="nil"/>
              <w:left w:val="nil"/>
              <w:bottom w:val="nil"/>
              <w:right w:val="nil"/>
            </w:tcBorders>
            <w:shd w:val="clear" w:color="auto" w:fill="auto"/>
            <w:noWrap/>
            <w:vAlign w:val="bottom"/>
            <w:hideMark/>
          </w:tcPr>
          <w:p w14:paraId="2C64AAE9"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2CFD648B" w14:textId="55E2CEA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25.336</w:t>
            </w:r>
          </w:p>
        </w:tc>
        <w:tc>
          <w:tcPr>
            <w:tcW w:w="105" w:type="pct"/>
            <w:tcBorders>
              <w:top w:val="nil"/>
              <w:left w:val="nil"/>
              <w:bottom w:val="nil"/>
              <w:right w:val="nil"/>
            </w:tcBorders>
            <w:shd w:val="clear" w:color="auto" w:fill="auto"/>
            <w:noWrap/>
            <w:vAlign w:val="bottom"/>
            <w:hideMark/>
          </w:tcPr>
          <w:p w14:paraId="1006EF4E"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75174FC3" w14:textId="4E8A9B7F"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25.336</w:t>
            </w:r>
          </w:p>
        </w:tc>
      </w:tr>
      <w:tr w:rsidR="00482C5E" w:rsidRPr="002A4D1B" w14:paraId="30D278A9" w14:textId="77777777" w:rsidTr="00482C5E">
        <w:trPr>
          <w:trHeight w:val="240"/>
        </w:trPr>
        <w:tc>
          <w:tcPr>
            <w:tcW w:w="2965" w:type="pct"/>
            <w:tcBorders>
              <w:top w:val="nil"/>
              <w:left w:val="nil"/>
              <w:bottom w:val="nil"/>
              <w:right w:val="nil"/>
            </w:tcBorders>
            <w:shd w:val="clear" w:color="auto" w:fill="auto"/>
            <w:noWrap/>
            <w:vAlign w:val="bottom"/>
            <w:hideMark/>
          </w:tcPr>
          <w:p w14:paraId="4F4DE3DA"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Variações monetárias </w:t>
            </w:r>
          </w:p>
        </w:tc>
        <w:tc>
          <w:tcPr>
            <w:tcW w:w="412" w:type="pct"/>
            <w:tcBorders>
              <w:top w:val="nil"/>
              <w:left w:val="nil"/>
              <w:bottom w:val="nil"/>
              <w:right w:val="nil"/>
            </w:tcBorders>
            <w:shd w:val="clear" w:color="auto" w:fill="auto"/>
            <w:noWrap/>
            <w:vAlign w:val="bottom"/>
            <w:hideMark/>
          </w:tcPr>
          <w:p w14:paraId="7A2B010D" w14:textId="414BC84F"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27</w:t>
            </w:r>
          </w:p>
        </w:tc>
        <w:tc>
          <w:tcPr>
            <w:tcW w:w="753" w:type="pct"/>
            <w:tcBorders>
              <w:top w:val="nil"/>
              <w:left w:val="nil"/>
              <w:bottom w:val="nil"/>
              <w:right w:val="nil"/>
            </w:tcBorders>
            <w:shd w:val="clear" w:color="auto" w:fill="auto"/>
            <w:noWrap/>
            <w:vAlign w:val="bottom"/>
            <w:hideMark/>
          </w:tcPr>
          <w:p w14:paraId="5ED44E46" w14:textId="4B47F90A"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11CBCBB1"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2520D3B" w14:textId="0A9EA7E0"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37.166</w:t>
            </w:r>
          </w:p>
        </w:tc>
      </w:tr>
      <w:tr w:rsidR="00482C5E" w:rsidRPr="002A4D1B" w14:paraId="34A666BD" w14:textId="77777777" w:rsidTr="00482C5E">
        <w:trPr>
          <w:trHeight w:val="240"/>
        </w:trPr>
        <w:tc>
          <w:tcPr>
            <w:tcW w:w="2965" w:type="pct"/>
            <w:tcBorders>
              <w:top w:val="nil"/>
              <w:left w:val="nil"/>
              <w:bottom w:val="nil"/>
              <w:right w:val="nil"/>
            </w:tcBorders>
            <w:shd w:val="clear" w:color="auto" w:fill="auto"/>
            <w:noWrap/>
            <w:vAlign w:val="bottom"/>
            <w:hideMark/>
          </w:tcPr>
          <w:p w14:paraId="156BB846" w14:textId="77777777" w:rsidR="002A4D1B" w:rsidRPr="002A4D1B" w:rsidRDefault="002A4D1B" w:rsidP="002A4D1B">
            <w:pPr>
              <w:spacing w:after="0" w:line="240" w:lineRule="auto"/>
              <w:ind w:firstLineChars="200" w:firstLine="360"/>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Encargos de dívida </w:t>
            </w:r>
          </w:p>
        </w:tc>
        <w:tc>
          <w:tcPr>
            <w:tcW w:w="412" w:type="pct"/>
            <w:tcBorders>
              <w:top w:val="nil"/>
              <w:left w:val="nil"/>
              <w:bottom w:val="nil"/>
              <w:right w:val="nil"/>
            </w:tcBorders>
            <w:shd w:val="clear" w:color="auto" w:fill="auto"/>
            <w:noWrap/>
            <w:vAlign w:val="bottom"/>
            <w:hideMark/>
          </w:tcPr>
          <w:p w14:paraId="608916D7" w14:textId="77777777" w:rsidR="002A4D1B" w:rsidRPr="002A4D1B" w:rsidRDefault="002A4D1B" w:rsidP="00482C5E">
            <w:pPr>
              <w:spacing w:after="0" w:line="240" w:lineRule="auto"/>
              <w:ind w:firstLineChars="200" w:firstLine="360"/>
              <w:outlineLvl w:val="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063E25E7" w14:textId="30D0D9D5"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1940C2B2" w14:textId="77777777"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479EDD8" w14:textId="1510AD3A"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321.825</w:t>
            </w:r>
          </w:p>
        </w:tc>
      </w:tr>
      <w:tr w:rsidR="00482C5E" w:rsidRPr="002A4D1B" w14:paraId="28A72557" w14:textId="77777777" w:rsidTr="00482C5E">
        <w:trPr>
          <w:trHeight w:val="240"/>
        </w:trPr>
        <w:tc>
          <w:tcPr>
            <w:tcW w:w="2965" w:type="pct"/>
            <w:tcBorders>
              <w:top w:val="nil"/>
              <w:left w:val="nil"/>
              <w:bottom w:val="nil"/>
              <w:right w:val="nil"/>
            </w:tcBorders>
            <w:shd w:val="clear" w:color="auto" w:fill="auto"/>
            <w:noWrap/>
            <w:vAlign w:val="bottom"/>
            <w:hideMark/>
          </w:tcPr>
          <w:p w14:paraId="6EC03062" w14:textId="77777777" w:rsidR="002A4D1B" w:rsidRPr="002A4D1B" w:rsidRDefault="002A4D1B" w:rsidP="002A4D1B">
            <w:pPr>
              <w:spacing w:after="0" w:line="240" w:lineRule="auto"/>
              <w:ind w:firstLineChars="200" w:firstLine="360"/>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Equivalência patrimonial </w:t>
            </w:r>
          </w:p>
        </w:tc>
        <w:tc>
          <w:tcPr>
            <w:tcW w:w="412" w:type="pct"/>
            <w:tcBorders>
              <w:top w:val="nil"/>
              <w:left w:val="nil"/>
              <w:bottom w:val="nil"/>
              <w:right w:val="nil"/>
            </w:tcBorders>
            <w:shd w:val="clear" w:color="auto" w:fill="auto"/>
            <w:noWrap/>
            <w:vAlign w:val="bottom"/>
            <w:hideMark/>
          </w:tcPr>
          <w:p w14:paraId="5E0D03A1" w14:textId="21F8CA4C" w:rsidR="002A4D1B" w:rsidRPr="002A4D1B" w:rsidRDefault="002A4D1B" w:rsidP="00482C5E">
            <w:pPr>
              <w:spacing w:after="0" w:line="240" w:lineRule="auto"/>
              <w:ind w:firstLineChars="200" w:firstLine="360"/>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w:t>
            </w:r>
          </w:p>
        </w:tc>
        <w:tc>
          <w:tcPr>
            <w:tcW w:w="753" w:type="pct"/>
            <w:tcBorders>
              <w:top w:val="nil"/>
              <w:left w:val="nil"/>
              <w:bottom w:val="nil"/>
              <w:right w:val="nil"/>
            </w:tcBorders>
            <w:shd w:val="clear" w:color="auto" w:fill="auto"/>
            <w:noWrap/>
            <w:vAlign w:val="bottom"/>
            <w:hideMark/>
          </w:tcPr>
          <w:p w14:paraId="34512436" w14:textId="55629CCE"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43.921</w:t>
            </w:r>
          </w:p>
        </w:tc>
        <w:tc>
          <w:tcPr>
            <w:tcW w:w="105" w:type="pct"/>
            <w:tcBorders>
              <w:top w:val="nil"/>
              <w:left w:val="nil"/>
              <w:bottom w:val="nil"/>
              <w:right w:val="nil"/>
            </w:tcBorders>
            <w:shd w:val="clear" w:color="auto" w:fill="auto"/>
            <w:noWrap/>
            <w:vAlign w:val="bottom"/>
            <w:hideMark/>
          </w:tcPr>
          <w:p w14:paraId="27E6F499" w14:textId="77777777"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2426846" w14:textId="16FEC72D"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(31.136)</w:t>
            </w:r>
          </w:p>
        </w:tc>
      </w:tr>
      <w:tr w:rsidR="00482C5E" w:rsidRPr="002A4D1B" w14:paraId="19F6F27F" w14:textId="77777777" w:rsidTr="00482C5E">
        <w:trPr>
          <w:trHeight w:val="240"/>
        </w:trPr>
        <w:tc>
          <w:tcPr>
            <w:tcW w:w="2965" w:type="pct"/>
            <w:tcBorders>
              <w:top w:val="nil"/>
              <w:left w:val="nil"/>
              <w:bottom w:val="nil"/>
              <w:right w:val="nil"/>
            </w:tcBorders>
            <w:shd w:val="clear" w:color="auto" w:fill="auto"/>
            <w:noWrap/>
            <w:vAlign w:val="bottom"/>
            <w:hideMark/>
          </w:tcPr>
          <w:p w14:paraId="2F504144" w14:textId="77777777" w:rsidR="002A4D1B" w:rsidRPr="002A4D1B" w:rsidRDefault="002A4D1B" w:rsidP="002A4D1B">
            <w:pPr>
              <w:spacing w:after="0" w:line="240" w:lineRule="auto"/>
              <w:ind w:firstLineChars="200" w:firstLine="360"/>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Imposto de renda e contribuição social diferidos </w:t>
            </w:r>
          </w:p>
        </w:tc>
        <w:tc>
          <w:tcPr>
            <w:tcW w:w="412" w:type="pct"/>
            <w:tcBorders>
              <w:top w:val="nil"/>
              <w:left w:val="nil"/>
              <w:bottom w:val="nil"/>
              <w:right w:val="nil"/>
            </w:tcBorders>
            <w:shd w:val="clear" w:color="auto" w:fill="auto"/>
            <w:noWrap/>
            <w:vAlign w:val="bottom"/>
            <w:hideMark/>
          </w:tcPr>
          <w:p w14:paraId="34E48C32" w14:textId="18E08E11" w:rsidR="002A4D1B" w:rsidRPr="002A4D1B" w:rsidRDefault="002A4D1B" w:rsidP="00482C5E">
            <w:pPr>
              <w:spacing w:after="0" w:line="240" w:lineRule="auto"/>
              <w:ind w:firstLineChars="200" w:firstLine="360"/>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8.3</w:t>
            </w:r>
          </w:p>
        </w:tc>
        <w:tc>
          <w:tcPr>
            <w:tcW w:w="753" w:type="pct"/>
            <w:tcBorders>
              <w:top w:val="nil"/>
              <w:left w:val="nil"/>
              <w:bottom w:val="nil"/>
              <w:right w:val="nil"/>
            </w:tcBorders>
            <w:shd w:val="clear" w:color="auto" w:fill="auto"/>
            <w:noWrap/>
            <w:vAlign w:val="bottom"/>
            <w:hideMark/>
          </w:tcPr>
          <w:p w14:paraId="3EE3205F" w14:textId="66275F92"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21.321</w:t>
            </w:r>
          </w:p>
        </w:tc>
        <w:tc>
          <w:tcPr>
            <w:tcW w:w="105" w:type="pct"/>
            <w:tcBorders>
              <w:top w:val="nil"/>
              <w:left w:val="nil"/>
              <w:bottom w:val="nil"/>
              <w:right w:val="nil"/>
            </w:tcBorders>
            <w:shd w:val="clear" w:color="auto" w:fill="auto"/>
            <w:noWrap/>
            <w:vAlign w:val="bottom"/>
            <w:hideMark/>
          </w:tcPr>
          <w:p w14:paraId="2A5DBDEC" w14:textId="77777777"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94BBF4E" w14:textId="3577A7B6" w:rsidR="002A4D1B" w:rsidRPr="002A4D1B" w:rsidRDefault="002A4D1B" w:rsidP="002A4D1B">
            <w:pPr>
              <w:spacing w:after="0" w:line="240" w:lineRule="auto"/>
              <w:ind w:firstLineChars="200" w:firstLine="360"/>
              <w:jc w:val="right"/>
              <w:outlineLvl w:val="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22.639</w:t>
            </w:r>
          </w:p>
        </w:tc>
      </w:tr>
      <w:tr w:rsidR="00482C5E" w:rsidRPr="002A4D1B" w14:paraId="7B0D76A5" w14:textId="77777777" w:rsidTr="00482C5E">
        <w:trPr>
          <w:trHeight w:val="240"/>
        </w:trPr>
        <w:tc>
          <w:tcPr>
            <w:tcW w:w="2965" w:type="pct"/>
            <w:tcBorders>
              <w:top w:val="nil"/>
              <w:left w:val="nil"/>
              <w:bottom w:val="nil"/>
              <w:right w:val="nil"/>
            </w:tcBorders>
            <w:shd w:val="clear" w:color="auto" w:fill="auto"/>
            <w:noWrap/>
            <w:vAlign w:val="bottom"/>
            <w:hideMark/>
          </w:tcPr>
          <w:p w14:paraId="31C1BFD7"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Rendimentos do fundo para desmobilização de ativos </w:t>
            </w:r>
          </w:p>
        </w:tc>
        <w:tc>
          <w:tcPr>
            <w:tcW w:w="412" w:type="pct"/>
            <w:tcBorders>
              <w:top w:val="nil"/>
              <w:left w:val="nil"/>
              <w:bottom w:val="nil"/>
              <w:right w:val="nil"/>
            </w:tcBorders>
            <w:shd w:val="clear" w:color="auto" w:fill="auto"/>
            <w:noWrap/>
            <w:vAlign w:val="bottom"/>
            <w:hideMark/>
          </w:tcPr>
          <w:p w14:paraId="70E95C71"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438C43E0" w14:textId="7C11FA63"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7714C6B5"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731801E4" w14:textId="5C4BA443"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(335.598)</w:t>
            </w:r>
          </w:p>
        </w:tc>
      </w:tr>
      <w:tr w:rsidR="00482C5E" w:rsidRPr="002A4D1B" w14:paraId="7F0CC777" w14:textId="77777777" w:rsidTr="00482C5E">
        <w:trPr>
          <w:trHeight w:val="240"/>
        </w:trPr>
        <w:tc>
          <w:tcPr>
            <w:tcW w:w="2965" w:type="pct"/>
            <w:tcBorders>
              <w:top w:val="nil"/>
              <w:left w:val="nil"/>
              <w:bottom w:val="nil"/>
              <w:right w:val="nil"/>
            </w:tcBorders>
            <w:shd w:val="clear" w:color="auto" w:fill="auto"/>
            <w:noWrap/>
            <w:vAlign w:val="bottom"/>
            <w:hideMark/>
          </w:tcPr>
          <w:p w14:paraId="4E8D8AA8"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Provisão para plano de incentivo de desligamento </w:t>
            </w:r>
          </w:p>
        </w:tc>
        <w:tc>
          <w:tcPr>
            <w:tcW w:w="412" w:type="pct"/>
            <w:tcBorders>
              <w:top w:val="nil"/>
              <w:left w:val="nil"/>
              <w:bottom w:val="nil"/>
              <w:right w:val="nil"/>
            </w:tcBorders>
            <w:shd w:val="clear" w:color="auto" w:fill="auto"/>
            <w:noWrap/>
            <w:vAlign w:val="bottom"/>
            <w:hideMark/>
          </w:tcPr>
          <w:p w14:paraId="270D2C78"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3F6FBE7A" w14:textId="346CB10F"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3CEB21B7"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237949B1" w14:textId="654BA28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(4.010)</w:t>
            </w:r>
          </w:p>
        </w:tc>
      </w:tr>
      <w:tr w:rsidR="00482C5E" w:rsidRPr="002A4D1B" w14:paraId="731F1A55" w14:textId="77777777" w:rsidTr="00482C5E">
        <w:trPr>
          <w:trHeight w:val="240"/>
        </w:trPr>
        <w:tc>
          <w:tcPr>
            <w:tcW w:w="2965" w:type="pct"/>
            <w:tcBorders>
              <w:top w:val="nil"/>
              <w:left w:val="nil"/>
              <w:bottom w:val="nil"/>
              <w:right w:val="nil"/>
            </w:tcBorders>
            <w:shd w:val="clear" w:color="auto" w:fill="auto"/>
            <w:noWrap/>
            <w:vAlign w:val="bottom"/>
            <w:hideMark/>
          </w:tcPr>
          <w:p w14:paraId="284D1AF7"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Investimento com compra vantajosa </w:t>
            </w:r>
          </w:p>
        </w:tc>
        <w:tc>
          <w:tcPr>
            <w:tcW w:w="412" w:type="pct"/>
            <w:tcBorders>
              <w:top w:val="nil"/>
              <w:left w:val="nil"/>
              <w:bottom w:val="nil"/>
              <w:right w:val="nil"/>
            </w:tcBorders>
            <w:shd w:val="clear" w:color="auto" w:fill="auto"/>
            <w:noWrap/>
            <w:vAlign w:val="bottom"/>
            <w:hideMark/>
          </w:tcPr>
          <w:p w14:paraId="31103D97" w14:textId="5B0C0CD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w:t>
            </w:r>
          </w:p>
        </w:tc>
        <w:tc>
          <w:tcPr>
            <w:tcW w:w="753" w:type="pct"/>
            <w:tcBorders>
              <w:top w:val="nil"/>
              <w:left w:val="nil"/>
              <w:bottom w:val="nil"/>
              <w:right w:val="nil"/>
            </w:tcBorders>
            <w:shd w:val="clear" w:color="auto" w:fill="auto"/>
            <w:noWrap/>
            <w:vAlign w:val="bottom"/>
            <w:hideMark/>
          </w:tcPr>
          <w:p w14:paraId="571784BF" w14:textId="4AFB0140"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(88.510)</w:t>
            </w:r>
          </w:p>
        </w:tc>
        <w:tc>
          <w:tcPr>
            <w:tcW w:w="105" w:type="pct"/>
            <w:tcBorders>
              <w:top w:val="nil"/>
              <w:left w:val="nil"/>
              <w:bottom w:val="nil"/>
              <w:right w:val="nil"/>
            </w:tcBorders>
            <w:shd w:val="clear" w:color="auto" w:fill="auto"/>
            <w:noWrap/>
            <w:vAlign w:val="bottom"/>
            <w:hideMark/>
          </w:tcPr>
          <w:p w14:paraId="3C4C8ABF"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F73A8C9" w14:textId="2B5EFEE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r>
      <w:tr w:rsidR="00482C5E" w:rsidRPr="002A4D1B" w14:paraId="651C3947" w14:textId="77777777" w:rsidTr="00482C5E">
        <w:trPr>
          <w:trHeight w:val="240"/>
        </w:trPr>
        <w:tc>
          <w:tcPr>
            <w:tcW w:w="2965" w:type="pct"/>
            <w:tcBorders>
              <w:top w:val="nil"/>
              <w:left w:val="nil"/>
              <w:bottom w:val="nil"/>
              <w:right w:val="nil"/>
            </w:tcBorders>
            <w:shd w:val="clear" w:color="auto" w:fill="auto"/>
            <w:noWrap/>
            <w:vAlign w:val="bottom"/>
            <w:hideMark/>
          </w:tcPr>
          <w:p w14:paraId="0B421DA0"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Provisões para contingências </w:t>
            </w:r>
          </w:p>
        </w:tc>
        <w:tc>
          <w:tcPr>
            <w:tcW w:w="412" w:type="pct"/>
            <w:tcBorders>
              <w:top w:val="nil"/>
              <w:left w:val="nil"/>
              <w:bottom w:val="nil"/>
              <w:right w:val="nil"/>
            </w:tcBorders>
            <w:shd w:val="clear" w:color="auto" w:fill="auto"/>
            <w:noWrap/>
            <w:vAlign w:val="bottom"/>
            <w:hideMark/>
          </w:tcPr>
          <w:p w14:paraId="02774896"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35286494" w14:textId="14C633BA"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69A7638C"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5A2E446" w14:textId="2C46B5C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16.974</w:t>
            </w:r>
          </w:p>
        </w:tc>
      </w:tr>
      <w:tr w:rsidR="00482C5E" w:rsidRPr="002A4D1B" w14:paraId="4DBCAEDE" w14:textId="77777777" w:rsidTr="00482C5E">
        <w:trPr>
          <w:trHeight w:val="240"/>
        </w:trPr>
        <w:tc>
          <w:tcPr>
            <w:tcW w:w="2965" w:type="pct"/>
            <w:tcBorders>
              <w:top w:val="nil"/>
              <w:left w:val="nil"/>
              <w:bottom w:val="nil"/>
              <w:right w:val="nil"/>
            </w:tcBorders>
            <w:shd w:val="clear" w:color="auto" w:fill="auto"/>
            <w:noWrap/>
            <w:vAlign w:val="bottom"/>
            <w:hideMark/>
          </w:tcPr>
          <w:p w14:paraId="06CE4F8F"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Benefícios pós-emprego - provisão atuarial </w:t>
            </w:r>
          </w:p>
        </w:tc>
        <w:tc>
          <w:tcPr>
            <w:tcW w:w="412" w:type="pct"/>
            <w:tcBorders>
              <w:top w:val="nil"/>
              <w:left w:val="nil"/>
              <w:bottom w:val="nil"/>
              <w:right w:val="nil"/>
            </w:tcBorders>
            <w:shd w:val="clear" w:color="auto" w:fill="auto"/>
            <w:noWrap/>
            <w:vAlign w:val="bottom"/>
            <w:hideMark/>
          </w:tcPr>
          <w:p w14:paraId="33CED09B"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202591DE" w14:textId="66F4D1DE"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5C59B708"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78CF8F63" w14:textId="42DC835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(143.357)</w:t>
            </w:r>
          </w:p>
        </w:tc>
      </w:tr>
      <w:tr w:rsidR="00482C5E" w:rsidRPr="002A4D1B" w14:paraId="1ADF9120" w14:textId="77777777" w:rsidTr="00482C5E">
        <w:trPr>
          <w:trHeight w:val="240"/>
        </w:trPr>
        <w:tc>
          <w:tcPr>
            <w:tcW w:w="2965" w:type="pct"/>
            <w:tcBorders>
              <w:top w:val="nil"/>
              <w:left w:val="nil"/>
              <w:bottom w:val="nil"/>
              <w:right w:val="nil"/>
            </w:tcBorders>
            <w:shd w:val="clear" w:color="auto" w:fill="auto"/>
            <w:noWrap/>
            <w:vAlign w:val="bottom"/>
            <w:hideMark/>
          </w:tcPr>
          <w:p w14:paraId="5A8D55AF"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Consumo de Combustível Nuclear </w:t>
            </w:r>
          </w:p>
        </w:tc>
        <w:tc>
          <w:tcPr>
            <w:tcW w:w="412" w:type="pct"/>
            <w:tcBorders>
              <w:top w:val="nil"/>
              <w:left w:val="nil"/>
              <w:bottom w:val="nil"/>
              <w:right w:val="nil"/>
            </w:tcBorders>
            <w:shd w:val="clear" w:color="auto" w:fill="auto"/>
            <w:noWrap/>
            <w:vAlign w:val="bottom"/>
            <w:hideMark/>
          </w:tcPr>
          <w:p w14:paraId="7B1D0F02"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24D5CA45" w14:textId="0A1BFA0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38BD8D5D"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AE4E986" w14:textId="1BB8971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(326.684)</w:t>
            </w:r>
          </w:p>
        </w:tc>
      </w:tr>
      <w:tr w:rsidR="005212B3" w:rsidRPr="002A4D1B" w14:paraId="31085B2A" w14:textId="77777777" w:rsidTr="002A4D1B">
        <w:trPr>
          <w:trHeight w:val="255"/>
        </w:trPr>
        <w:tc>
          <w:tcPr>
            <w:tcW w:w="2965" w:type="pct"/>
            <w:tcBorders>
              <w:top w:val="nil"/>
              <w:left w:val="nil"/>
              <w:bottom w:val="nil"/>
              <w:right w:val="nil"/>
            </w:tcBorders>
            <w:shd w:val="clear" w:color="auto" w:fill="auto"/>
            <w:noWrap/>
            <w:vAlign w:val="bottom"/>
            <w:hideMark/>
          </w:tcPr>
          <w:p w14:paraId="0DCF2B21"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bottom"/>
            <w:hideMark/>
          </w:tcPr>
          <w:p w14:paraId="5FB654CC" w14:textId="77777777" w:rsidR="002A4D1B" w:rsidRPr="002A4D1B" w:rsidRDefault="002A4D1B" w:rsidP="00482C5E">
            <w:pPr>
              <w:spacing w:after="0" w:line="240" w:lineRule="auto"/>
              <w:ind w:firstLineChars="200" w:firstLine="400"/>
              <w:rPr>
                <w:rFonts w:ascii="Times New Roman" w:eastAsia="Times New Roman" w:hAnsi="Times New Roman" w:cs="Times New Roman"/>
                <w:sz w:val="20"/>
                <w:szCs w:val="20"/>
                <w:lang w:eastAsia="pt-BR"/>
              </w:rPr>
            </w:pPr>
          </w:p>
        </w:tc>
        <w:tc>
          <w:tcPr>
            <w:tcW w:w="753" w:type="pct"/>
            <w:tcBorders>
              <w:top w:val="single" w:sz="4" w:space="0" w:color="1B80C4"/>
              <w:left w:val="nil"/>
              <w:bottom w:val="double" w:sz="6" w:space="0" w:color="1B80C4"/>
              <w:right w:val="nil"/>
            </w:tcBorders>
            <w:shd w:val="clear" w:color="auto" w:fill="auto"/>
            <w:noWrap/>
            <w:vAlign w:val="bottom"/>
            <w:hideMark/>
          </w:tcPr>
          <w:p w14:paraId="70DFFEB5" w14:textId="6BE27C0E"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186.398</w:t>
            </w:r>
          </w:p>
        </w:tc>
        <w:tc>
          <w:tcPr>
            <w:tcW w:w="105" w:type="pct"/>
            <w:tcBorders>
              <w:top w:val="nil"/>
              <w:left w:val="nil"/>
              <w:bottom w:val="nil"/>
              <w:right w:val="nil"/>
            </w:tcBorders>
            <w:shd w:val="clear" w:color="auto" w:fill="auto"/>
            <w:noWrap/>
            <w:vAlign w:val="bottom"/>
            <w:hideMark/>
          </w:tcPr>
          <w:p w14:paraId="5C3B5578"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65" w:type="pct"/>
            <w:gridSpan w:val="2"/>
            <w:tcBorders>
              <w:top w:val="single" w:sz="4" w:space="0" w:color="1B80C4"/>
              <w:left w:val="nil"/>
              <w:bottom w:val="double" w:sz="6" w:space="0" w:color="1B80C4"/>
              <w:right w:val="nil"/>
            </w:tcBorders>
            <w:shd w:val="clear" w:color="auto" w:fill="auto"/>
            <w:noWrap/>
            <w:vAlign w:val="bottom"/>
            <w:hideMark/>
          </w:tcPr>
          <w:p w14:paraId="6B4AD633" w14:textId="19D0B7B2"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176.357</w:t>
            </w:r>
          </w:p>
        </w:tc>
      </w:tr>
      <w:tr w:rsidR="00482C5E" w:rsidRPr="002A4D1B" w14:paraId="16A052B9" w14:textId="77777777" w:rsidTr="00482C5E">
        <w:trPr>
          <w:trHeight w:val="255"/>
        </w:trPr>
        <w:tc>
          <w:tcPr>
            <w:tcW w:w="2965" w:type="pct"/>
            <w:tcBorders>
              <w:top w:val="nil"/>
              <w:left w:val="nil"/>
              <w:bottom w:val="nil"/>
              <w:right w:val="nil"/>
            </w:tcBorders>
            <w:shd w:val="clear" w:color="auto" w:fill="auto"/>
            <w:noWrap/>
            <w:vAlign w:val="bottom"/>
            <w:hideMark/>
          </w:tcPr>
          <w:p w14:paraId="289E1ED2" w14:textId="77777777" w:rsidR="002A4D1B" w:rsidRPr="002A4D1B" w:rsidRDefault="002A4D1B" w:rsidP="002A4D1B">
            <w:pPr>
              <w:spacing w:after="0" w:line="240" w:lineRule="auto"/>
              <w:ind w:firstLineChars="100" w:firstLine="181"/>
              <w:rPr>
                <w:rFonts w:ascii="Segoe UI" w:eastAsia="Times New Roman" w:hAnsi="Segoe UI" w:cs="Segoe UI"/>
                <w:b/>
                <w:bCs/>
                <w:sz w:val="18"/>
                <w:szCs w:val="18"/>
                <w:u w:val="single"/>
                <w:lang w:eastAsia="pt-BR"/>
              </w:rPr>
            </w:pPr>
            <w:r w:rsidRPr="002A4D1B">
              <w:rPr>
                <w:rFonts w:ascii="Segoe UI" w:eastAsia="Times New Roman" w:hAnsi="Segoe UI" w:cs="Segoe UI"/>
                <w:b/>
                <w:bCs/>
                <w:sz w:val="18"/>
                <w:szCs w:val="18"/>
                <w:u w:val="single"/>
                <w:lang w:eastAsia="pt-BR"/>
              </w:rPr>
              <w:t xml:space="preserve"> (Acréscimos)/decréscimos nos ativos/passivos operacionais </w:t>
            </w:r>
          </w:p>
        </w:tc>
        <w:tc>
          <w:tcPr>
            <w:tcW w:w="412" w:type="pct"/>
            <w:tcBorders>
              <w:top w:val="nil"/>
              <w:left w:val="nil"/>
              <w:bottom w:val="nil"/>
              <w:right w:val="nil"/>
            </w:tcBorders>
            <w:shd w:val="clear" w:color="auto" w:fill="auto"/>
            <w:noWrap/>
            <w:vAlign w:val="bottom"/>
            <w:hideMark/>
          </w:tcPr>
          <w:p w14:paraId="5511197B" w14:textId="77777777" w:rsidR="002A4D1B" w:rsidRPr="002A4D1B" w:rsidRDefault="002A4D1B" w:rsidP="00482C5E">
            <w:pPr>
              <w:spacing w:after="0" w:line="240" w:lineRule="auto"/>
              <w:ind w:firstLineChars="100" w:firstLine="181"/>
              <w:rPr>
                <w:rFonts w:ascii="Segoe UI" w:eastAsia="Times New Roman" w:hAnsi="Segoe UI" w:cs="Segoe UI"/>
                <w:b/>
                <w:bCs/>
                <w:sz w:val="18"/>
                <w:szCs w:val="18"/>
                <w:u w:val="single"/>
                <w:lang w:eastAsia="pt-BR"/>
              </w:rPr>
            </w:pPr>
          </w:p>
        </w:tc>
        <w:tc>
          <w:tcPr>
            <w:tcW w:w="753" w:type="pct"/>
            <w:tcBorders>
              <w:top w:val="nil"/>
              <w:left w:val="nil"/>
              <w:bottom w:val="nil"/>
              <w:right w:val="nil"/>
            </w:tcBorders>
            <w:shd w:val="clear" w:color="auto" w:fill="auto"/>
            <w:noWrap/>
            <w:vAlign w:val="bottom"/>
            <w:hideMark/>
          </w:tcPr>
          <w:p w14:paraId="0C0B708F"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2DE9CE81"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765" w:type="pct"/>
            <w:gridSpan w:val="2"/>
            <w:tcBorders>
              <w:top w:val="nil"/>
              <w:left w:val="nil"/>
              <w:bottom w:val="nil"/>
              <w:right w:val="nil"/>
            </w:tcBorders>
            <w:shd w:val="clear" w:color="auto" w:fill="auto"/>
            <w:noWrap/>
            <w:vAlign w:val="bottom"/>
            <w:hideMark/>
          </w:tcPr>
          <w:p w14:paraId="7DA3F94F"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r>
      <w:tr w:rsidR="00482C5E" w:rsidRPr="002A4D1B" w14:paraId="7355F5AB" w14:textId="77777777" w:rsidTr="00482C5E">
        <w:trPr>
          <w:trHeight w:val="240"/>
        </w:trPr>
        <w:tc>
          <w:tcPr>
            <w:tcW w:w="2965" w:type="pct"/>
            <w:tcBorders>
              <w:top w:val="nil"/>
              <w:left w:val="nil"/>
              <w:bottom w:val="nil"/>
              <w:right w:val="nil"/>
            </w:tcBorders>
            <w:shd w:val="clear" w:color="auto" w:fill="auto"/>
            <w:noWrap/>
            <w:vAlign w:val="bottom"/>
            <w:hideMark/>
          </w:tcPr>
          <w:p w14:paraId="1F9242F9"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Clientes </w:t>
            </w:r>
          </w:p>
        </w:tc>
        <w:tc>
          <w:tcPr>
            <w:tcW w:w="412" w:type="pct"/>
            <w:tcBorders>
              <w:top w:val="nil"/>
              <w:left w:val="nil"/>
              <w:bottom w:val="nil"/>
              <w:right w:val="nil"/>
            </w:tcBorders>
            <w:shd w:val="clear" w:color="auto" w:fill="auto"/>
            <w:noWrap/>
            <w:vAlign w:val="bottom"/>
            <w:hideMark/>
          </w:tcPr>
          <w:p w14:paraId="49201409"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6EAD8558" w14:textId="349251A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(3.438.095)</w:t>
            </w:r>
          </w:p>
        </w:tc>
        <w:tc>
          <w:tcPr>
            <w:tcW w:w="105" w:type="pct"/>
            <w:tcBorders>
              <w:top w:val="nil"/>
              <w:left w:val="nil"/>
              <w:bottom w:val="nil"/>
              <w:right w:val="nil"/>
            </w:tcBorders>
            <w:shd w:val="clear" w:color="auto" w:fill="auto"/>
            <w:noWrap/>
            <w:vAlign w:val="bottom"/>
            <w:hideMark/>
          </w:tcPr>
          <w:p w14:paraId="11E16646"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0F1D5516" w14:textId="16D29A1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(3.611.104)</w:t>
            </w:r>
          </w:p>
        </w:tc>
      </w:tr>
      <w:tr w:rsidR="00482C5E" w:rsidRPr="002A4D1B" w14:paraId="0A8396EB" w14:textId="77777777" w:rsidTr="00482C5E">
        <w:trPr>
          <w:trHeight w:val="240"/>
        </w:trPr>
        <w:tc>
          <w:tcPr>
            <w:tcW w:w="2965" w:type="pct"/>
            <w:tcBorders>
              <w:top w:val="nil"/>
              <w:left w:val="nil"/>
              <w:bottom w:val="nil"/>
              <w:right w:val="nil"/>
            </w:tcBorders>
            <w:shd w:val="clear" w:color="auto" w:fill="auto"/>
            <w:noWrap/>
            <w:vAlign w:val="bottom"/>
            <w:hideMark/>
          </w:tcPr>
          <w:p w14:paraId="43BEA8AB"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Estoque de combustível nuclear </w:t>
            </w:r>
          </w:p>
        </w:tc>
        <w:tc>
          <w:tcPr>
            <w:tcW w:w="412" w:type="pct"/>
            <w:tcBorders>
              <w:top w:val="nil"/>
              <w:left w:val="nil"/>
              <w:bottom w:val="nil"/>
              <w:right w:val="nil"/>
            </w:tcBorders>
            <w:shd w:val="clear" w:color="auto" w:fill="auto"/>
            <w:noWrap/>
            <w:vAlign w:val="bottom"/>
            <w:hideMark/>
          </w:tcPr>
          <w:p w14:paraId="0459723B"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767FE732" w14:textId="35D149D5"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23D557FC"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4A9D2AE6" w14:textId="3C07DB2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(87.133)</w:t>
            </w:r>
          </w:p>
        </w:tc>
      </w:tr>
      <w:tr w:rsidR="00482C5E" w:rsidRPr="002A4D1B" w14:paraId="30FD2E69" w14:textId="77777777" w:rsidTr="00482C5E">
        <w:trPr>
          <w:trHeight w:val="240"/>
        </w:trPr>
        <w:tc>
          <w:tcPr>
            <w:tcW w:w="2965" w:type="pct"/>
            <w:tcBorders>
              <w:top w:val="nil"/>
              <w:left w:val="nil"/>
              <w:bottom w:val="nil"/>
              <w:right w:val="nil"/>
            </w:tcBorders>
            <w:shd w:val="clear" w:color="auto" w:fill="auto"/>
            <w:noWrap/>
            <w:vAlign w:val="bottom"/>
            <w:hideMark/>
          </w:tcPr>
          <w:p w14:paraId="75417548"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Almoxarifado </w:t>
            </w:r>
          </w:p>
        </w:tc>
        <w:tc>
          <w:tcPr>
            <w:tcW w:w="412" w:type="pct"/>
            <w:tcBorders>
              <w:top w:val="nil"/>
              <w:left w:val="nil"/>
              <w:bottom w:val="nil"/>
              <w:right w:val="nil"/>
            </w:tcBorders>
            <w:shd w:val="clear" w:color="auto" w:fill="auto"/>
            <w:noWrap/>
            <w:vAlign w:val="bottom"/>
            <w:hideMark/>
          </w:tcPr>
          <w:p w14:paraId="6B3D4909"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2927BE1B" w14:textId="6CDF4CBA"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74B4D192"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7D8BDFB" w14:textId="70F38B5E"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15.830</w:t>
            </w:r>
          </w:p>
        </w:tc>
      </w:tr>
      <w:tr w:rsidR="00482C5E" w:rsidRPr="002A4D1B" w14:paraId="5C8A76B1" w14:textId="77777777" w:rsidTr="00482C5E">
        <w:trPr>
          <w:trHeight w:val="240"/>
        </w:trPr>
        <w:tc>
          <w:tcPr>
            <w:tcW w:w="2965" w:type="pct"/>
            <w:tcBorders>
              <w:top w:val="nil"/>
              <w:left w:val="nil"/>
              <w:bottom w:val="nil"/>
              <w:right w:val="nil"/>
            </w:tcBorders>
            <w:shd w:val="clear" w:color="auto" w:fill="auto"/>
            <w:noWrap/>
            <w:vAlign w:val="bottom"/>
            <w:hideMark/>
          </w:tcPr>
          <w:p w14:paraId="7BEA3F05"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Tributos a compensar </w:t>
            </w:r>
          </w:p>
        </w:tc>
        <w:tc>
          <w:tcPr>
            <w:tcW w:w="412" w:type="pct"/>
            <w:tcBorders>
              <w:top w:val="nil"/>
              <w:left w:val="nil"/>
              <w:bottom w:val="nil"/>
              <w:right w:val="nil"/>
            </w:tcBorders>
            <w:shd w:val="clear" w:color="auto" w:fill="auto"/>
            <w:noWrap/>
            <w:vAlign w:val="bottom"/>
            <w:hideMark/>
          </w:tcPr>
          <w:p w14:paraId="64808A97"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3251B2B9" w14:textId="35CE8E4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(184.901)</w:t>
            </w:r>
          </w:p>
        </w:tc>
        <w:tc>
          <w:tcPr>
            <w:tcW w:w="105" w:type="pct"/>
            <w:tcBorders>
              <w:top w:val="nil"/>
              <w:left w:val="nil"/>
              <w:bottom w:val="nil"/>
              <w:right w:val="nil"/>
            </w:tcBorders>
            <w:shd w:val="clear" w:color="auto" w:fill="auto"/>
            <w:noWrap/>
            <w:vAlign w:val="bottom"/>
            <w:hideMark/>
          </w:tcPr>
          <w:p w14:paraId="03424451"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20439A7D" w14:textId="0E0B36C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(275.254)</w:t>
            </w:r>
          </w:p>
        </w:tc>
      </w:tr>
      <w:tr w:rsidR="00482C5E" w:rsidRPr="002A4D1B" w14:paraId="193697A4" w14:textId="77777777" w:rsidTr="00482C5E">
        <w:trPr>
          <w:trHeight w:val="240"/>
        </w:trPr>
        <w:tc>
          <w:tcPr>
            <w:tcW w:w="2965" w:type="pct"/>
            <w:tcBorders>
              <w:top w:val="nil"/>
              <w:left w:val="nil"/>
              <w:bottom w:val="nil"/>
              <w:right w:val="nil"/>
            </w:tcBorders>
            <w:shd w:val="clear" w:color="auto" w:fill="auto"/>
            <w:noWrap/>
            <w:vAlign w:val="bottom"/>
            <w:hideMark/>
          </w:tcPr>
          <w:p w14:paraId="46F84781"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Outros </w:t>
            </w:r>
          </w:p>
        </w:tc>
        <w:tc>
          <w:tcPr>
            <w:tcW w:w="412" w:type="pct"/>
            <w:tcBorders>
              <w:top w:val="nil"/>
              <w:left w:val="nil"/>
              <w:bottom w:val="nil"/>
              <w:right w:val="nil"/>
            </w:tcBorders>
            <w:shd w:val="clear" w:color="auto" w:fill="auto"/>
            <w:noWrap/>
            <w:vAlign w:val="bottom"/>
            <w:hideMark/>
          </w:tcPr>
          <w:p w14:paraId="3DDC0C96"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3DDB9F79" w14:textId="75ACB0B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317.912</w:t>
            </w:r>
          </w:p>
        </w:tc>
        <w:tc>
          <w:tcPr>
            <w:tcW w:w="105" w:type="pct"/>
            <w:tcBorders>
              <w:top w:val="nil"/>
              <w:left w:val="nil"/>
              <w:bottom w:val="nil"/>
              <w:right w:val="nil"/>
            </w:tcBorders>
            <w:shd w:val="clear" w:color="auto" w:fill="auto"/>
            <w:noWrap/>
            <w:vAlign w:val="bottom"/>
            <w:hideMark/>
          </w:tcPr>
          <w:p w14:paraId="2D81BBA7"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508AF36" w14:textId="1B7546F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91.571</w:t>
            </w:r>
          </w:p>
        </w:tc>
      </w:tr>
      <w:tr w:rsidR="00482C5E" w:rsidRPr="002A4D1B" w14:paraId="0F4E2F37" w14:textId="77777777" w:rsidTr="00482C5E">
        <w:trPr>
          <w:trHeight w:val="240"/>
        </w:trPr>
        <w:tc>
          <w:tcPr>
            <w:tcW w:w="2965" w:type="pct"/>
            <w:tcBorders>
              <w:top w:val="nil"/>
              <w:left w:val="nil"/>
              <w:bottom w:val="nil"/>
              <w:right w:val="nil"/>
            </w:tcBorders>
            <w:shd w:val="clear" w:color="auto" w:fill="auto"/>
            <w:noWrap/>
            <w:vAlign w:val="bottom"/>
            <w:hideMark/>
          </w:tcPr>
          <w:p w14:paraId="5E642D11"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Fornecedores </w:t>
            </w:r>
          </w:p>
        </w:tc>
        <w:tc>
          <w:tcPr>
            <w:tcW w:w="412" w:type="pct"/>
            <w:tcBorders>
              <w:top w:val="nil"/>
              <w:left w:val="nil"/>
              <w:bottom w:val="nil"/>
              <w:right w:val="nil"/>
            </w:tcBorders>
            <w:shd w:val="clear" w:color="auto" w:fill="auto"/>
            <w:noWrap/>
            <w:vAlign w:val="bottom"/>
            <w:hideMark/>
          </w:tcPr>
          <w:p w14:paraId="4421D1BF"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60786DCB" w14:textId="7D03801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3.814.216</w:t>
            </w:r>
          </w:p>
        </w:tc>
        <w:tc>
          <w:tcPr>
            <w:tcW w:w="105" w:type="pct"/>
            <w:tcBorders>
              <w:top w:val="nil"/>
              <w:left w:val="nil"/>
              <w:bottom w:val="nil"/>
              <w:right w:val="nil"/>
            </w:tcBorders>
            <w:shd w:val="clear" w:color="auto" w:fill="auto"/>
            <w:noWrap/>
            <w:vAlign w:val="bottom"/>
            <w:hideMark/>
          </w:tcPr>
          <w:p w14:paraId="0718E3AF"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0E3695E" w14:textId="010D3593"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3.998.241</w:t>
            </w:r>
          </w:p>
        </w:tc>
      </w:tr>
      <w:tr w:rsidR="00482C5E" w:rsidRPr="002A4D1B" w14:paraId="65505B03" w14:textId="77777777" w:rsidTr="00482C5E">
        <w:trPr>
          <w:trHeight w:val="240"/>
        </w:trPr>
        <w:tc>
          <w:tcPr>
            <w:tcW w:w="2965" w:type="pct"/>
            <w:tcBorders>
              <w:top w:val="nil"/>
              <w:left w:val="nil"/>
              <w:bottom w:val="nil"/>
              <w:right w:val="nil"/>
            </w:tcBorders>
            <w:shd w:val="clear" w:color="auto" w:fill="auto"/>
            <w:vAlign w:val="bottom"/>
            <w:hideMark/>
          </w:tcPr>
          <w:p w14:paraId="45761251"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Impostos e taxas, exceto IRPJ </w:t>
            </w:r>
          </w:p>
        </w:tc>
        <w:tc>
          <w:tcPr>
            <w:tcW w:w="412" w:type="pct"/>
            <w:tcBorders>
              <w:top w:val="nil"/>
              <w:left w:val="nil"/>
              <w:bottom w:val="nil"/>
              <w:right w:val="nil"/>
            </w:tcBorders>
            <w:shd w:val="clear" w:color="auto" w:fill="auto"/>
            <w:noWrap/>
            <w:vAlign w:val="bottom"/>
            <w:hideMark/>
          </w:tcPr>
          <w:p w14:paraId="5DA99640" w14:textId="77777777"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4DF5F382" w14:textId="0A55F40F"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36.496</w:t>
            </w:r>
          </w:p>
        </w:tc>
        <w:tc>
          <w:tcPr>
            <w:tcW w:w="105" w:type="pct"/>
            <w:tcBorders>
              <w:top w:val="nil"/>
              <w:left w:val="nil"/>
              <w:bottom w:val="nil"/>
              <w:right w:val="nil"/>
            </w:tcBorders>
            <w:shd w:val="clear" w:color="auto" w:fill="auto"/>
            <w:noWrap/>
            <w:vAlign w:val="bottom"/>
            <w:hideMark/>
          </w:tcPr>
          <w:p w14:paraId="6F8BAF65"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CD4A87B" w14:textId="2494B1B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154.966</w:t>
            </w:r>
          </w:p>
        </w:tc>
      </w:tr>
      <w:tr w:rsidR="005212B3" w:rsidRPr="002A4D1B" w14:paraId="3F0EDAF5" w14:textId="77777777" w:rsidTr="002A4D1B">
        <w:trPr>
          <w:trHeight w:val="255"/>
        </w:trPr>
        <w:tc>
          <w:tcPr>
            <w:tcW w:w="2965" w:type="pct"/>
            <w:tcBorders>
              <w:top w:val="nil"/>
              <w:left w:val="nil"/>
              <w:bottom w:val="nil"/>
              <w:right w:val="nil"/>
            </w:tcBorders>
            <w:shd w:val="clear" w:color="auto" w:fill="auto"/>
            <w:noWrap/>
            <w:vAlign w:val="bottom"/>
            <w:hideMark/>
          </w:tcPr>
          <w:p w14:paraId="56C0643F"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bottom"/>
            <w:hideMark/>
          </w:tcPr>
          <w:p w14:paraId="2DD29CC7" w14:textId="77777777" w:rsidR="002A4D1B" w:rsidRPr="002A4D1B" w:rsidRDefault="002A4D1B" w:rsidP="00482C5E">
            <w:pPr>
              <w:spacing w:after="0" w:line="240" w:lineRule="auto"/>
              <w:rPr>
                <w:rFonts w:ascii="Times New Roman" w:eastAsia="Times New Roman" w:hAnsi="Times New Roman" w:cs="Times New Roman"/>
                <w:sz w:val="20"/>
                <w:szCs w:val="20"/>
                <w:lang w:eastAsia="pt-BR"/>
              </w:rPr>
            </w:pPr>
          </w:p>
        </w:tc>
        <w:tc>
          <w:tcPr>
            <w:tcW w:w="753" w:type="pct"/>
            <w:tcBorders>
              <w:top w:val="single" w:sz="4" w:space="0" w:color="1B80C4"/>
              <w:left w:val="nil"/>
              <w:bottom w:val="double" w:sz="6" w:space="0" w:color="1B80C4"/>
              <w:right w:val="nil"/>
            </w:tcBorders>
            <w:shd w:val="clear" w:color="auto" w:fill="auto"/>
            <w:noWrap/>
            <w:vAlign w:val="bottom"/>
            <w:hideMark/>
          </w:tcPr>
          <w:p w14:paraId="03D55A9C" w14:textId="1E80A71D"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545.628</w:t>
            </w:r>
          </w:p>
        </w:tc>
        <w:tc>
          <w:tcPr>
            <w:tcW w:w="105" w:type="pct"/>
            <w:tcBorders>
              <w:top w:val="nil"/>
              <w:left w:val="nil"/>
              <w:bottom w:val="nil"/>
              <w:right w:val="nil"/>
            </w:tcBorders>
            <w:shd w:val="clear" w:color="auto" w:fill="auto"/>
            <w:noWrap/>
            <w:vAlign w:val="bottom"/>
            <w:hideMark/>
          </w:tcPr>
          <w:p w14:paraId="2B01BDC2"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65" w:type="pct"/>
            <w:gridSpan w:val="2"/>
            <w:tcBorders>
              <w:top w:val="single" w:sz="4" w:space="0" w:color="1B80C4"/>
              <w:left w:val="nil"/>
              <w:bottom w:val="double" w:sz="6" w:space="0" w:color="1B80C4"/>
              <w:right w:val="nil"/>
            </w:tcBorders>
            <w:shd w:val="clear" w:color="auto" w:fill="auto"/>
            <w:noWrap/>
            <w:vAlign w:val="bottom"/>
            <w:hideMark/>
          </w:tcPr>
          <w:p w14:paraId="7CD97FF5" w14:textId="5C79EB1F"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287.117</w:t>
            </w:r>
          </w:p>
        </w:tc>
      </w:tr>
      <w:tr w:rsidR="00482C5E" w:rsidRPr="002A4D1B" w14:paraId="049695C4" w14:textId="77777777" w:rsidTr="00482C5E">
        <w:trPr>
          <w:trHeight w:val="255"/>
        </w:trPr>
        <w:tc>
          <w:tcPr>
            <w:tcW w:w="2965" w:type="pct"/>
            <w:tcBorders>
              <w:top w:val="nil"/>
              <w:left w:val="nil"/>
              <w:bottom w:val="nil"/>
              <w:right w:val="nil"/>
            </w:tcBorders>
            <w:shd w:val="clear" w:color="auto" w:fill="auto"/>
            <w:vAlign w:val="bottom"/>
            <w:hideMark/>
          </w:tcPr>
          <w:p w14:paraId="37F2B3B5"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Pagamento de imposto de renda e contribuição social </w:t>
            </w:r>
          </w:p>
        </w:tc>
        <w:tc>
          <w:tcPr>
            <w:tcW w:w="412" w:type="pct"/>
            <w:tcBorders>
              <w:top w:val="nil"/>
              <w:left w:val="nil"/>
              <w:bottom w:val="nil"/>
              <w:right w:val="nil"/>
            </w:tcBorders>
            <w:shd w:val="clear" w:color="auto" w:fill="auto"/>
            <w:noWrap/>
            <w:vAlign w:val="bottom"/>
            <w:hideMark/>
          </w:tcPr>
          <w:p w14:paraId="74E50443"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10E1728F" w14:textId="4897B7D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(56.228)</w:t>
            </w:r>
          </w:p>
        </w:tc>
        <w:tc>
          <w:tcPr>
            <w:tcW w:w="105" w:type="pct"/>
            <w:tcBorders>
              <w:top w:val="nil"/>
              <w:left w:val="nil"/>
              <w:bottom w:val="nil"/>
              <w:right w:val="nil"/>
            </w:tcBorders>
            <w:shd w:val="clear" w:color="auto" w:fill="auto"/>
            <w:noWrap/>
            <w:vAlign w:val="bottom"/>
            <w:hideMark/>
          </w:tcPr>
          <w:p w14:paraId="33F480F0"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46033860" w14:textId="5A1A2CC4"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(174.452)</w:t>
            </w:r>
          </w:p>
        </w:tc>
      </w:tr>
      <w:tr w:rsidR="005212B3" w:rsidRPr="002A4D1B" w14:paraId="4991C047" w14:textId="77777777" w:rsidTr="002A4D1B">
        <w:trPr>
          <w:trHeight w:val="255"/>
        </w:trPr>
        <w:tc>
          <w:tcPr>
            <w:tcW w:w="2965" w:type="pct"/>
            <w:tcBorders>
              <w:top w:val="nil"/>
              <w:left w:val="nil"/>
              <w:bottom w:val="nil"/>
              <w:right w:val="nil"/>
            </w:tcBorders>
            <w:shd w:val="clear" w:color="auto" w:fill="auto"/>
            <w:vAlign w:val="bottom"/>
            <w:hideMark/>
          </w:tcPr>
          <w:p w14:paraId="1FFC4058"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Caixa líquido provenientes nas atividades operacionais </w:t>
            </w:r>
          </w:p>
        </w:tc>
        <w:tc>
          <w:tcPr>
            <w:tcW w:w="412" w:type="pct"/>
            <w:tcBorders>
              <w:top w:val="nil"/>
              <w:left w:val="nil"/>
              <w:bottom w:val="nil"/>
              <w:right w:val="nil"/>
            </w:tcBorders>
            <w:shd w:val="clear" w:color="auto" w:fill="auto"/>
            <w:noWrap/>
            <w:vAlign w:val="bottom"/>
            <w:hideMark/>
          </w:tcPr>
          <w:p w14:paraId="2B3D3607" w14:textId="77777777" w:rsidR="002A4D1B" w:rsidRPr="002A4D1B" w:rsidRDefault="002A4D1B" w:rsidP="00482C5E">
            <w:pPr>
              <w:spacing w:after="0" w:line="240" w:lineRule="auto"/>
              <w:rPr>
                <w:rFonts w:ascii="Segoe UI" w:eastAsia="Times New Roman" w:hAnsi="Segoe UI" w:cs="Segoe UI"/>
                <w:b/>
                <w:bCs/>
                <w:sz w:val="18"/>
                <w:szCs w:val="18"/>
                <w:lang w:eastAsia="pt-BR"/>
              </w:rPr>
            </w:pPr>
          </w:p>
        </w:tc>
        <w:tc>
          <w:tcPr>
            <w:tcW w:w="753" w:type="pct"/>
            <w:tcBorders>
              <w:top w:val="single" w:sz="4" w:space="0" w:color="1B80C4"/>
              <w:left w:val="nil"/>
              <w:bottom w:val="double" w:sz="6" w:space="0" w:color="1B80C4"/>
              <w:right w:val="nil"/>
            </w:tcBorders>
            <w:shd w:val="clear" w:color="auto" w:fill="auto"/>
            <w:noWrap/>
            <w:vAlign w:val="bottom"/>
            <w:hideMark/>
          </w:tcPr>
          <w:p w14:paraId="664E7E03" w14:textId="60CDDAE2"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675.798</w:t>
            </w:r>
          </w:p>
        </w:tc>
        <w:tc>
          <w:tcPr>
            <w:tcW w:w="105" w:type="pct"/>
            <w:tcBorders>
              <w:top w:val="nil"/>
              <w:left w:val="nil"/>
              <w:bottom w:val="nil"/>
              <w:right w:val="nil"/>
            </w:tcBorders>
            <w:shd w:val="clear" w:color="auto" w:fill="auto"/>
            <w:noWrap/>
            <w:vAlign w:val="bottom"/>
            <w:hideMark/>
          </w:tcPr>
          <w:p w14:paraId="6C452044"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65" w:type="pct"/>
            <w:gridSpan w:val="2"/>
            <w:tcBorders>
              <w:top w:val="single" w:sz="4" w:space="0" w:color="1B80C4"/>
              <w:left w:val="nil"/>
              <w:bottom w:val="double" w:sz="6" w:space="0" w:color="1B80C4"/>
              <w:right w:val="nil"/>
            </w:tcBorders>
            <w:shd w:val="clear" w:color="auto" w:fill="auto"/>
            <w:noWrap/>
            <w:vAlign w:val="bottom"/>
            <w:hideMark/>
          </w:tcPr>
          <w:p w14:paraId="32F3AF1D" w14:textId="69E0215D"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289.022</w:t>
            </w:r>
          </w:p>
        </w:tc>
      </w:tr>
      <w:tr w:rsidR="005212B3" w:rsidRPr="002A4D1B" w14:paraId="28169466" w14:textId="77777777" w:rsidTr="002A4D1B">
        <w:trPr>
          <w:trHeight w:val="255"/>
        </w:trPr>
        <w:tc>
          <w:tcPr>
            <w:tcW w:w="2965" w:type="pct"/>
            <w:tcBorders>
              <w:top w:val="nil"/>
              <w:left w:val="nil"/>
              <w:bottom w:val="nil"/>
              <w:right w:val="nil"/>
            </w:tcBorders>
            <w:shd w:val="clear" w:color="auto" w:fill="auto"/>
            <w:noWrap/>
            <w:vAlign w:val="center"/>
            <w:hideMark/>
          </w:tcPr>
          <w:p w14:paraId="778A4E57" w14:textId="77777777" w:rsidR="002A4D1B" w:rsidRPr="002A4D1B" w:rsidRDefault="002A4D1B" w:rsidP="002A4D1B">
            <w:pPr>
              <w:spacing w:after="0" w:line="240" w:lineRule="auto"/>
              <w:jc w:val="center"/>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ATIVIDADES DE FINANCIAMENTO </w:t>
            </w:r>
          </w:p>
        </w:tc>
        <w:tc>
          <w:tcPr>
            <w:tcW w:w="412" w:type="pct"/>
            <w:tcBorders>
              <w:top w:val="nil"/>
              <w:left w:val="nil"/>
              <w:bottom w:val="nil"/>
              <w:right w:val="nil"/>
            </w:tcBorders>
            <w:shd w:val="clear" w:color="auto" w:fill="auto"/>
            <w:noWrap/>
            <w:vAlign w:val="bottom"/>
            <w:hideMark/>
          </w:tcPr>
          <w:p w14:paraId="0FEC44B0" w14:textId="77777777" w:rsidR="002A4D1B" w:rsidRPr="002A4D1B" w:rsidRDefault="002A4D1B" w:rsidP="00482C5E">
            <w:pPr>
              <w:spacing w:after="0" w:line="240" w:lineRule="auto"/>
              <w:jc w:val="center"/>
              <w:rPr>
                <w:rFonts w:ascii="Segoe UI" w:eastAsia="Times New Roman" w:hAnsi="Segoe UI" w:cs="Segoe UI"/>
                <w:b/>
                <w:bCs/>
                <w:sz w:val="18"/>
                <w:szCs w:val="18"/>
                <w:lang w:eastAsia="pt-BR"/>
              </w:rPr>
            </w:pPr>
          </w:p>
        </w:tc>
        <w:tc>
          <w:tcPr>
            <w:tcW w:w="753" w:type="pct"/>
            <w:tcBorders>
              <w:top w:val="nil"/>
              <w:left w:val="nil"/>
              <w:bottom w:val="nil"/>
              <w:right w:val="nil"/>
            </w:tcBorders>
            <w:shd w:val="clear" w:color="auto" w:fill="auto"/>
            <w:noWrap/>
            <w:vAlign w:val="bottom"/>
            <w:hideMark/>
          </w:tcPr>
          <w:p w14:paraId="7613C8C2"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7009BCD9"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765" w:type="pct"/>
            <w:gridSpan w:val="2"/>
            <w:tcBorders>
              <w:top w:val="nil"/>
              <w:left w:val="nil"/>
              <w:bottom w:val="nil"/>
              <w:right w:val="nil"/>
            </w:tcBorders>
            <w:shd w:val="clear" w:color="auto" w:fill="auto"/>
            <w:noWrap/>
            <w:vAlign w:val="bottom"/>
            <w:hideMark/>
          </w:tcPr>
          <w:p w14:paraId="409ED322"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r>
      <w:tr w:rsidR="00482C5E" w:rsidRPr="002A4D1B" w14:paraId="4FC4DB26" w14:textId="77777777" w:rsidTr="00482C5E">
        <w:trPr>
          <w:trHeight w:val="240"/>
        </w:trPr>
        <w:tc>
          <w:tcPr>
            <w:tcW w:w="2965" w:type="pct"/>
            <w:tcBorders>
              <w:top w:val="nil"/>
              <w:left w:val="nil"/>
              <w:bottom w:val="nil"/>
              <w:right w:val="nil"/>
            </w:tcBorders>
            <w:shd w:val="clear" w:color="auto" w:fill="auto"/>
            <w:vAlign w:val="bottom"/>
            <w:hideMark/>
          </w:tcPr>
          <w:p w14:paraId="0547C6C1"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Recebimento de empréstimos e financiamentos </w:t>
            </w:r>
          </w:p>
        </w:tc>
        <w:tc>
          <w:tcPr>
            <w:tcW w:w="412" w:type="pct"/>
            <w:tcBorders>
              <w:top w:val="nil"/>
              <w:left w:val="nil"/>
              <w:bottom w:val="nil"/>
              <w:right w:val="nil"/>
            </w:tcBorders>
            <w:shd w:val="clear" w:color="auto" w:fill="auto"/>
            <w:noWrap/>
            <w:vAlign w:val="bottom"/>
            <w:hideMark/>
          </w:tcPr>
          <w:p w14:paraId="2DA08858"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029B7496" w14:textId="17CDD7CF"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20D43F17"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0985095D" w14:textId="52C17C2D"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93.666</w:t>
            </w:r>
          </w:p>
        </w:tc>
      </w:tr>
      <w:tr w:rsidR="00482C5E" w:rsidRPr="002A4D1B" w14:paraId="5E63CBC2" w14:textId="77777777" w:rsidTr="00482C5E">
        <w:trPr>
          <w:trHeight w:val="240"/>
        </w:trPr>
        <w:tc>
          <w:tcPr>
            <w:tcW w:w="2965" w:type="pct"/>
            <w:tcBorders>
              <w:top w:val="nil"/>
              <w:left w:val="nil"/>
              <w:bottom w:val="nil"/>
              <w:right w:val="nil"/>
            </w:tcBorders>
            <w:shd w:val="clear" w:color="auto" w:fill="auto"/>
            <w:vAlign w:val="bottom"/>
            <w:hideMark/>
          </w:tcPr>
          <w:p w14:paraId="4E181AA5"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Pagamento de empréstimos e financiamentos </w:t>
            </w:r>
          </w:p>
        </w:tc>
        <w:tc>
          <w:tcPr>
            <w:tcW w:w="412" w:type="pct"/>
            <w:tcBorders>
              <w:top w:val="nil"/>
              <w:left w:val="nil"/>
              <w:bottom w:val="nil"/>
              <w:right w:val="nil"/>
            </w:tcBorders>
            <w:shd w:val="clear" w:color="auto" w:fill="auto"/>
            <w:noWrap/>
            <w:vAlign w:val="bottom"/>
            <w:hideMark/>
          </w:tcPr>
          <w:p w14:paraId="0DC2FD9E"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0C88496E" w14:textId="6ECBBE5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6375A8D2"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33DA7268" w14:textId="66C78C0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(194.233)</w:t>
            </w:r>
          </w:p>
        </w:tc>
      </w:tr>
      <w:tr w:rsidR="00482C5E" w:rsidRPr="002A4D1B" w14:paraId="4447063D" w14:textId="77777777" w:rsidTr="00482C5E">
        <w:trPr>
          <w:trHeight w:val="240"/>
        </w:trPr>
        <w:tc>
          <w:tcPr>
            <w:tcW w:w="2965" w:type="pct"/>
            <w:tcBorders>
              <w:top w:val="nil"/>
              <w:left w:val="nil"/>
              <w:bottom w:val="nil"/>
              <w:right w:val="nil"/>
            </w:tcBorders>
            <w:shd w:val="clear" w:color="auto" w:fill="auto"/>
            <w:noWrap/>
            <w:vAlign w:val="bottom"/>
            <w:hideMark/>
          </w:tcPr>
          <w:p w14:paraId="358CB25C"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Pagamento de encargos financeiros </w:t>
            </w:r>
          </w:p>
        </w:tc>
        <w:tc>
          <w:tcPr>
            <w:tcW w:w="412" w:type="pct"/>
            <w:tcBorders>
              <w:top w:val="nil"/>
              <w:left w:val="nil"/>
              <w:bottom w:val="nil"/>
              <w:right w:val="nil"/>
            </w:tcBorders>
            <w:shd w:val="clear" w:color="auto" w:fill="auto"/>
            <w:noWrap/>
            <w:vAlign w:val="bottom"/>
            <w:hideMark/>
          </w:tcPr>
          <w:p w14:paraId="71A347F0"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200BBE32" w14:textId="156E00C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7D8C4F50"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0ACBB763" w14:textId="5ED32E1E"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(290.884)</w:t>
            </w:r>
          </w:p>
        </w:tc>
      </w:tr>
      <w:tr w:rsidR="00482C5E" w:rsidRPr="002A4D1B" w14:paraId="72519B43" w14:textId="77777777" w:rsidTr="00482C5E">
        <w:trPr>
          <w:trHeight w:val="240"/>
        </w:trPr>
        <w:tc>
          <w:tcPr>
            <w:tcW w:w="2965" w:type="pct"/>
            <w:tcBorders>
              <w:top w:val="nil"/>
              <w:left w:val="nil"/>
              <w:bottom w:val="nil"/>
              <w:right w:val="nil"/>
            </w:tcBorders>
            <w:shd w:val="clear" w:color="auto" w:fill="auto"/>
            <w:vAlign w:val="bottom"/>
            <w:hideMark/>
          </w:tcPr>
          <w:p w14:paraId="73C7319E"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Contas a pagar aquisição de investimentos </w:t>
            </w:r>
          </w:p>
        </w:tc>
        <w:tc>
          <w:tcPr>
            <w:tcW w:w="412" w:type="pct"/>
            <w:tcBorders>
              <w:top w:val="nil"/>
              <w:left w:val="nil"/>
              <w:bottom w:val="nil"/>
              <w:right w:val="nil"/>
            </w:tcBorders>
            <w:shd w:val="clear" w:color="auto" w:fill="auto"/>
            <w:noWrap/>
            <w:vAlign w:val="bottom"/>
            <w:hideMark/>
          </w:tcPr>
          <w:p w14:paraId="3BC763F9"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6B531EBF" w14:textId="4562FC4C"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1.266.785</w:t>
            </w:r>
          </w:p>
        </w:tc>
        <w:tc>
          <w:tcPr>
            <w:tcW w:w="105" w:type="pct"/>
            <w:tcBorders>
              <w:top w:val="nil"/>
              <w:left w:val="nil"/>
              <w:bottom w:val="nil"/>
              <w:right w:val="nil"/>
            </w:tcBorders>
            <w:shd w:val="clear" w:color="auto" w:fill="auto"/>
            <w:noWrap/>
            <w:vAlign w:val="bottom"/>
            <w:hideMark/>
          </w:tcPr>
          <w:p w14:paraId="6ECF76AD"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2808BD44" w14:textId="36C997A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1.266.785</w:t>
            </w:r>
          </w:p>
        </w:tc>
      </w:tr>
      <w:tr w:rsidR="00482C5E" w:rsidRPr="002A4D1B" w14:paraId="09E3FD84" w14:textId="77777777" w:rsidTr="00482C5E">
        <w:trPr>
          <w:trHeight w:val="240"/>
        </w:trPr>
        <w:tc>
          <w:tcPr>
            <w:tcW w:w="2965" w:type="pct"/>
            <w:tcBorders>
              <w:top w:val="nil"/>
              <w:left w:val="nil"/>
              <w:bottom w:val="nil"/>
              <w:right w:val="nil"/>
            </w:tcBorders>
            <w:shd w:val="clear" w:color="auto" w:fill="auto"/>
            <w:noWrap/>
            <w:vAlign w:val="bottom"/>
            <w:hideMark/>
          </w:tcPr>
          <w:p w14:paraId="3FBE5712"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Recebimento de aporte de capital </w:t>
            </w:r>
          </w:p>
        </w:tc>
        <w:tc>
          <w:tcPr>
            <w:tcW w:w="412" w:type="pct"/>
            <w:tcBorders>
              <w:top w:val="nil"/>
              <w:left w:val="nil"/>
              <w:bottom w:val="nil"/>
              <w:right w:val="nil"/>
            </w:tcBorders>
            <w:shd w:val="clear" w:color="auto" w:fill="auto"/>
            <w:noWrap/>
            <w:vAlign w:val="bottom"/>
            <w:hideMark/>
          </w:tcPr>
          <w:p w14:paraId="041F1F97" w14:textId="0912C6E6" w:rsidR="002A4D1B" w:rsidRPr="002A4D1B" w:rsidRDefault="002A4D1B" w:rsidP="00482C5E">
            <w:pPr>
              <w:spacing w:after="0" w:line="240" w:lineRule="auto"/>
              <w:jc w:val="center"/>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23</w:t>
            </w:r>
          </w:p>
        </w:tc>
        <w:tc>
          <w:tcPr>
            <w:tcW w:w="753" w:type="pct"/>
            <w:tcBorders>
              <w:top w:val="nil"/>
              <w:left w:val="nil"/>
              <w:bottom w:val="nil"/>
              <w:right w:val="nil"/>
            </w:tcBorders>
            <w:shd w:val="clear" w:color="auto" w:fill="auto"/>
            <w:noWrap/>
            <w:vAlign w:val="bottom"/>
            <w:hideMark/>
          </w:tcPr>
          <w:p w14:paraId="390B935C" w14:textId="1833AE6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6.323.492</w:t>
            </w:r>
          </w:p>
        </w:tc>
        <w:tc>
          <w:tcPr>
            <w:tcW w:w="105" w:type="pct"/>
            <w:tcBorders>
              <w:top w:val="nil"/>
              <w:left w:val="nil"/>
              <w:bottom w:val="nil"/>
              <w:right w:val="nil"/>
            </w:tcBorders>
            <w:shd w:val="clear" w:color="auto" w:fill="auto"/>
            <w:noWrap/>
            <w:vAlign w:val="bottom"/>
            <w:hideMark/>
          </w:tcPr>
          <w:p w14:paraId="0C211069"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B7F3368" w14:textId="1D85D9A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6.323.492</w:t>
            </w:r>
          </w:p>
        </w:tc>
      </w:tr>
      <w:tr w:rsidR="005212B3" w:rsidRPr="002A4D1B" w14:paraId="33ED9EE4" w14:textId="77777777" w:rsidTr="002A4D1B">
        <w:trPr>
          <w:trHeight w:val="345"/>
        </w:trPr>
        <w:tc>
          <w:tcPr>
            <w:tcW w:w="2965" w:type="pct"/>
            <w:tcBorders>
              <w:top w:val="nil"/>
              <w:left w:val="nil"/>
              <w:bottom w:val="nil"/>
              <w:right w:val="nil"/>
            </w:tcBorders>
            <w:shd w:val="clear" w:color="auto" w:fill="auto"/>
            <w:vAlign w:val="bottom"/>
            <w:hideMark/>
          </w:tcPr>
          <w:p w14:paraId="0A81779D"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Caixa líquido proveniente das atividades de financiamento </w:t>
            </w:r>
          </w:p>
        </w:tc>
        <w:tc>
          <w:tcPr>
            <w:tcW w:w="412" w:type="pct"/>
            <w:tcBorders>
              <w:top w:val="nil"/>
              <w:left w:val="nil"/>
              <w:bottom w:val="nil"/>
              <w:right w:val="nil"/>
            </w:tcBorders>
            <w:shd w:val="clear" w:color="auto" w:fill="auto"/>
            <w:vAlign w:val="bottom"/>
            <w:hideMark/>
          </w:tcPr>
          <w:p w14:paraId="23D68087" w14:textId="77777777" w:rsidR="002A4D1B" w:rsidRPr="002A4D1B" w:rsidRDefault="002A4D1B" w:rsidP="00482C5E">
            <w:pPr>
              <w:spacing w:after="0" w:line="240" w:lineRule="auto"/>
              <w:rPr>
                <w:rFonts w:ascii="Segoe UI" w:eastAsia="Times New Roman" w:hAnsi="Segoe UI" w:cs="Segoe UI"/>
                <w:b/>
                <w:bCs/>
                <w:sz w:val="18"/>
                <w:szCs w:val="18"/>
                <w:lang w:eastAsia="pt-BR"/>
              </w:rPr>
            </w:pPr>
          </w:p>
        </w:tc>
        <w:tc>
          <w:tcPr>
            <w:tcW w:w="753" w:type="pct"/>
            <w:tcBorders>
              <w:top w:val="single" w:sz="4" w:space="0" w:color="1B80C4"/>
              <w:left w:val="nil"/>
              <w:bottom w:val="double" w:sz="6" w:space="0" w:color="1B80C4"/>
              <w:right w:val="nil"/>
            </w:tcBorders>
            <w:shd w:val="clear" w:color="auto" w:fill="auto"/>
            <w:noWrap/>
            <w:vAlign w:val="bottom"/>
            <w:hideMark/>
          </w:tcPr>
          <w:p w14:paraId="770D813F" w14:textId="11EA2203"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7.590.277</w:t>
            </w:r>
          </w:p>
        </w:tc>
        <w:tc>
          <w:tcPr>
            <w:tcW w:w="105" w:type="pct"/>
            <w:tcBorders>
              <w:top w:val="nil"/>
              <w:left w:val="nil"/>
              <w:bottom w:val="nil"/>
              <w:right w:val="nil"/>
            </w:tcBorders>
            <w:shd w:val="clear" w:color="auto" w:fill="auto"/>
            <w:noWrap/>
            <w:vAlign w:val="bottom"/>
            <w:hideMark/>
          </w:tcPr>
          <w:p w14:paraId="5C2455A8"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65" w:type="pct"/>
            <w:gridSpan w:val="2"/>
            <w:tcBorders>
              <w:top w:val="single" w:sz="4" w:space="0" w:color="1B80C4"/>
              <w:left w:val="nil"/>
              <w:bottom w:val="double" w:sz="6" w:space="0" w:color="1B80C4"/>
              <w:right w:val="nil"/>
            </w:tcBorders>
            <w:shd w:val="clear" w:color="auto" w:fill="auto"/>
            <w:noWrap/>
            <w:vAlign w:val="bottom"/>
            <w:hideMark/>
          </w:tcPr>
          <w:p w14:paraId="78F6ECF6" w14:textId="22A72BB5"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7.198.826</w:t>
            </w:r>
          </w:p>
        </w:tc>
      </w:tr>
      <w:tr w:rsidR="005212B3" w:rsidRPr="002A4D1B" w14:paraId="1F357849" w14:textId="77777777" w:rsidTr="002A4D1B">
        <w:trPr>
          <w:trHeight w:val="255"/>
        </w:trPr>
        <w:tc>
          <w:tcPr>
            <w:tcW w:w="2965" w:type="pct"/>
            <w:tcBorders>
              <w:top w:val="nil"/>
              <w:left w:val="nil"/>
              <w:bottom w:val="nil"/>
              <w:right w:val="nil"/>
            </w:tcBorders>
            <w:shd w:val="clear" w:color="auto" w:fill="auto"/>
            <w:noWrap/>
            <w:vAlign w:val="center"/>
            <w:hideMark/>
          </w:tcPr>
          <w:p w14:paraId="3DF55EAE" w14:textId="77777777" w:rsidR="002A4D1B" w:rsidRPr="002A4D1B" w:rsidRDefault="002A4D1B" w:rsidP="002A4D1B">
            <w:pPr>
              <w:spacing w:after="0" w:line="240" w:lineRule="auto"/>
              <w:jc w:val="center"/>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ATIVIDADES DE INVESTIMENTO </w:t>
            </w:r>
          </w:p>
        </w:tc>
        <w:tc>
          <w:tcPr>
            <w:tcW w:w="412" w:type="pct"/>
            <w:tcBorders>
              <w:top w:val="nil"/>
              <w:left w:val="nil"/>
              <w:bottom w:val="nil"/>
              <w:right w:val="nil"/>
            </w:tcBorders>
            <w:shd w:val="clear" w:color="auto" w:fill="auto"/>
            <w:noWrap/>
            <w:vAlign w:val="bottom"/>
            <w:hideMark/>
          </w:tcPr>
          <w:p w14:paraId="093E087D" w14:textId="77777777" w:rsidR="002A4D1B" w:rsidRPr="002A4D1B" w:rsidRDefault="002A4D1B" w:rsidP="00482C5E">
            <w:pPr>
              <w:spacing w:after="0" w:line="240" w:lineRule="auto"/>
              <w:jc w:val="center"/>
              <w:rPr>
                <w:rFonts w:ascii="Segoe UI" w:eastAsia="Times New Roman" w:hAnsi="Segoe UI" w:cs="Segoe UI"/>
                <w:b/>
                <w:bCs/>
                <w:sz w:val="18"/>
                <w:szCs w:val="18"/>
                <w:lang w:eastAsia="pt-BR"/>
              </w:rPr>
            </w:pPr>
          </w:p>
        </w:tc>
        <w:tc>
          <w:tcPr>
            <w:tcW w:w="753" w:type="pct"/>
            <w:tcBorders>
              <w:top w:val="nil"/>
              <w:left w:val="nil"/>
              <w:bottom w:val="nil"/>
              <w:right w:val="nil"/>
            </w:tcBorders>
            <w:shd w:val="clear" w:color="auto" w:fill="auto"/>
            <w:noWrap/>
            <w:vAlign w:val="bottom"/>
            <w:hideMark/>
          </w:tcPr>
          <w:p w14:paraId="2BD85DA2"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268CC880"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765" w:type="pct"/>
            <w:gridSpan w:val="2"/>
            <w:tcBorders>
              <w:top w:val="nil"/>
              <w:left w:val="nil"/>
              <w:bottom w:val="nil"/>
              <w:right w:val="nil"/>
            </w:tcBorders>
            <w:shd w:val="clear" w:color="auto" w:fill="auto"/>
            <w:noWrap/>
            <w:vAlign w:val="bottom"/>
            <w:hideMark/>
          </w:tcPr>
          <w:p w14:paraId="01F49645"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r>
      <w:tr w:rsidR="00482C5E" w:rsidRPr="002A4D1B" w14:paraId="660D865D" w14:textId="77777777" w:rsidTr="00482C5E">
        <w:trPr>
          <w:trHeight w:val="240"/>
        </w:trPr>
        <w:tc>
          <w:tcPr>
            <w:tcW w:w="2965" w:type="pct"/>
            <w:tcBorders>
              <w:top w:val="nil"/>
              <w:left w:val="nil"/>
              <w:bottom w:val="nil"/>
              <w:right w:val="nil"/>
            </w:tcBorders>
            <w:shd w:val="clear" w:color="auto" w:fill="auto"/>
            <w:noWrap/>
            <w:vAlign w:val="bottom"/>
            <w:hideMark/>
          </w:tcPr>
          <w:p w14:paraId="61544A3B"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Aquisição de ativo imobilizado </w:t>
            </w:r>
          </w:p>
        </w:tc>
        <w:tc>
          <w:tcPr>
            <w:tcW w:w="412" w:type="pct"/>
            <w:tcBorders>
              <w:top w:val="nil"/>
              <w:left w:val="nil"/>
              <w:bottom w:val="nil"/>
              <w:right w:val="nil"/>
            </w:tcBorders>
            <w:shd w:val="clear" w:color="auto" w:fill="auto"/>
            <w:noWrap/>
            <w:vAlign w:val="bottom"/>
            <w:hideMark/>
          </w:tcPr>
          <w:p w14:paraId="79B0B5BD" w14:textId="7C92DBA1"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w:t>
            </w:r>
          </w:p>
        </w:tc>
        <w:tc>
          <w:tcPr>
            <w:tcW w:w="753" w:type="pct"/>
            <w:tcBorders>
              <w:top w:val="nil"/>
              <w:left w:val="nil"/>
              <w:bottom w:val="nil"/>
              <w:right w:val="nil"/>
            </w:tcBorders>
            <w:shd w:val="clear" w:color="auto" w:fill="auto"/>
            <w:noWrap/>
            <w:vAlign w:val="bottom"/>
            <w:hideMark/>
          </w:tcPr>
          <w:p w14:paraId="0B38FA9D" w14:textId="4756BA55"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(9.969)</w:t>
            </w:r>
          </w:p>
        </w:tc>
        <w:tc>
          <w:tcPr>
            <w:tcW w:w="105" w:type="pct"/>
            <w:tcBorders>
              <w:top w:val="nil"/>
              <w:left w:val="nil"/>
              <w:bottom w:val="nil"/>
              <w:right w:val="nil"/>
            </w:tcBorders>
            <w:shd w:val="clear" w:color="auto" w:fill="auto"/>
            <w:noWrap/>
            <w:vAlign w:val="bottom"/>
            <w:hideMark/>
          </w:tcPr>
          <w:p w14:paraId="23F322B1"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4186A8FB" w14:textId="0A209F4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(220.193)</w:t>
            </w:r>
          </w:p>
        </w:tc>
      </w:tr>
      <w:tr w:rsidR="00482C5E" w:rsidRPr="002A4D1B" w14:paraId="7E68DEF7" w14:textId="77777777" w:rsidTr="00482C5E">
        <w:trPr>
          <w:trHeight w:val="240"/>
        </w:trPr>
        <w:tc>
          <w:tcPr>
            <w:tcW w:w="2965" w:type="pct"/>
            <w:tcBorders>
              <w:top w:val="nil"/>
              <w:left w:val="nil"/>
              <w:bottom w:val="nil"/>
              <w:right w:val="nil"/>
            </w:tcBorders>
            <w:shd w:val="clear" w:color="auto" w:fill="auto"/>
            <w:noWrap/>
            <w:vAlign w:val="bottom"/>
            <w:hideMark/>
          </w:tcPr>
          <w:p w14:paraId="2FE88E2E"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Aquisição de ativo intangível </w:t>
            </w:r>
          </w:p>
        </w:tc>
        <w:tc>
          <w:tcPr>
            <w:tcW w:w="412" w:type="pct"/>
            <w:tcBorders>
              <w:top w:val="nil"/>
              <w:left w:val="nil"/>
              <w:bottom w:val="nil"/>
              <w:right w:val="nil"/>
            </w:tcBorders>
            <w:shd w:val="clear" w:color="auto" w:fill="auto"/>
            <w:noWrap/>
            <w:vAlign w:val="bottom"/>
            <w:hideMark/>
          </w:tcPr>
          <w:p w14:paraId="07A33FE0" w14:textId="2DC34BBA"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13</w:t>
            </w:r>
          </w:p>
        </w:tc>
        <w:tc>
          <w:tcPr>
            <w:tcW w:w="753" w:type="pct"/>
            <w:tcBorders>
              <w:top w:val="nil"/>
              <w:left w:val="nil"/>
              <w:bottom w:val="nil"/>
              <w:right w:val="nil"/>
            </w:tcBorders>
            <w:shd w:val="clear" w:color="auto" w:fill="auto"/>
            <w:noWrap/>
            <w:vAlign w:val="bottom"/>
            <w:hideMark/>
          </w:tcPr>
          <w:p w14:paraId="1CD61A97" w14:textId="3E449FDC"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5CC6DEC2"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45C9264" w14:textId="2FEC438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(416.572)</w:t>
            </w:r>
          </w:p>
        </w:tc>
      </w:tr>
      <w:tr w:rsidR="00482C5E" w:rsidRPr="002A4D1B" w14:paraId="508088B6" w14:textId="77777777" w:rsidTr="00482C5E">
        <w:trPr>
          <w:trHeight w:val="240"/>
        </w:trPr>
        <w:tc>
          <w:tcPr>
            <w:tcW w:w="2965" w:type="pct"/>
            <w:tcBorders>
              <w:top w:val="nil"/>
              <w:left w:val="nil"/>
              <w:bottom w:val="nil"/>
              <w:right w:val="nil"/>
            </w:tcBorders>
            <w:shd w:val="clear" w:color="auto" w:fill="auto"/>
            <w:noWrap/>
            <w:vAlign w:val="bottom"/>
            <w:hideMark/>
          </w:tcPr>
          <w:p w14:paraId="183EA55D"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Aquisição de participação em investidas </w:t>
            </w:r>
          </w:p>
        </w:tc>
        <w:tc>
          <w:tcPr>
            <w:tcW w:w="412" w:type="pct"/>
            <w:tcBorders>
              <w:top w:val="nil"/>
              <w:left w:val="nil"/>
              <w:bottom w:val="nil"/>
              <w:right w:val="nil"/>
            </w:tcBorders>
            <w:shd w:val="clear" w:color="auto" w:fill="auto"/>
            <w:noWrap/>
            <w:vAlign w:val="bottom"/>
            <w:hideMark/>
          </w:tcPr>
          <w:p w14:paraId="365AAF89" w14:textId="24E4EC3C" w:rsidR="002A4D1B" w:rsidRPr="002A4D1B" w:rsidRDefault="002A4D1B" w:rsidP="00482C5E">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11</w:t>
            </w:r>
          </w:p>
        </w:tc>
        <w:tc>
          <w:tcPr>
            <w:tcW w:w="753" w:type="pct"/>
            <w:tcBorders>
              <w:top w:val="nil"/>
              <w:left w:val="nil"/>
              <w:bottom w:val="nil"/>
              <w:right w:val="nil"/>
            </w:tcBorders>
            <w:shd w:val="clear" w:color="auto" w:fill="auto"/>
            <w:noWrap/>
            <w:vAlign w:val="bottom"/>
            <w:hideMark/>
          </w:tcPr>
          <w:p w14:paraId="500CF0F0" w14:textId="739F817D"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(5.895.075)</w:t>
            </w:r>
          </w:p>
        </w:tc>
        <w:tc>
          <w:tcPr>
            <w:tcW w:w="105" w:type="pct"/>
            <w:tcBorders>
              <w:top w:val="nil"/>
              <w:left w:val="nil"/>
              <w:bottom w:val="nil"/>
              <w:right w:val="nil"/>
            </w:tcBorders>
            <w:shd w:val="clear" w:color="auto" w:fill="auto"/>
            <w:noWrap/>
            <w:vAlign w:val="bottom"/>
            <w:hideMark/>
          </w:tcPr>
          <w:p w14:paraId="1B83FCAF"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318182B8" w14:textId="2388791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(1.283.731)</w:t>
            </w:r>
          </w:p>
        </w:tc>
      </w:tr>
      <w:tr w:rsidR="00482C5E" w:rsidRPr="002A4D1B" w14:paraId="3DE2FBA5" w14:textId="77777777" w:rsidTr="00482C5E">
        <w:trPr>
          <w:trHeight w:val="240"/>
        </w:trPr>
        <w:tc>
          <w:tcPr>
            <w:tcW w:w="2965" w:type="pct"/>
            <w:tcBorders>
              <w:top w:val="nil"/>
              <w:left w:val="nil"/>
              <w:bottom w:val="nil"/>
              <w:right w:val="nil"/>
            </w:tcBorders>
            <w:shd w:val="clear" w:color="auto" w:fill="auto"/>
            <w:noWrap/>
            <w:vAlign w:val="bottom"/>
            <w:hideMark/>
          </w:tcPr>
          <w:p w14:paraId="6E098CF9"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Aplicação/Resgate de títulos e valores mobiliários </w:t>
            </w:r>
          </w:p>
        </w:tc>
        <w:tc>
          <w:tcPr>
            <w:tcW w:w="412" w:type="pct"/>
            <w:tcBorders>
              <w:top w:val="nil"/>
              <w:left w:val="nil"/>
              <w:bottom w:val="nil"/>
              <w:right w:val="nil"/>
            </w:tcBorders>
            <w:shd w:val="clear" w:color="auto" w:fill="auto"/>
            <w:noWrap/>
            <w:vAlign w:val="bottom"/>
            <w:hideMark/>
          </w:tcPr>
          <w:p w14:paraId="7F722B02"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59E8E3FC" w14:textId="01064DF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567F28EA"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7518833" w14:textId="28502AA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(3.220.926)</w:t>
            </w:r>
          </w:p>
        </w:tc>
      </w:tr>
      <w:tr w:rsidR="005212B3" w:rsidRPr="002A4D1B" w14:paraId="3403134B" w14:textId="77777777" w:rsidTr="002A4D1B">
        <w:trPr>
          <w:trHeight w:val="360"/>
        </w:trPr>
        <w:tc>
          <w:tcPr>
            <w:tcW w:w="2965" w:type="pct"/>
            <w:tcBorders>
              <w:top w:val="nil"/>
              <w:left w:val="nil"/>
              <w:bottom w:val="nil"/>
              <w:right w:val="nil"/>
            </w:tcBorders>
            <w:shd w:val="clear" w:color="auto" w:fill="auto"/>
            <w:vAlign w:val="bottom"/>
            <w:hideMark/>
          </w:tcPr>
          <w:p w14:paraId="47DCD117"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Caixa líquido utilizado nas atividades de investimento </w:t>
            </w:r>
          </w:p>
        </w:tc>
        <w:tc>
          <w:tcPr>
            <w:tcW w:w="412" w:type="pct"/>
            <w:tcBorders>
              <w:top w:val="nil"/>
              <w:left w:val="nil"/>
              <w:bottom w:val="nil"/>
              <w:right w:val="nil"/>
            </w:tcBorders>
            <w:shd w:val="clear" w:color="auto" w:fill="auto"/>
            <w:vAlign w:val="bottom"/>
            <w:hideMark/>
          </w:tcPr>
          <w:p w14:paraId="7D4E4BA0" w14:textId="77777777" w:rsidR="002A4D1B" w:rsidRPr="002A4D1B" w:rsidRDefault="002A4D1B" w:rsidP="00482C5E">
            <w:pPr>
              <w:spacing w:after="0" w:line="240" w:lineRule="auto"/>
              <w:rPr>
                <w:rFonts w:ascii="Segoe UI" w:eastAsia="Times New Roman" w:hAnsi="Segoe UI" w:cs="Segoe UI"/>
                <w:b/>
                <w:bCs/>
                <w:sz w:val="18"/>
                <w:szCs w:val="18"/>
                <w:lang w:eastAsia="pt-BR"/>
              </w:rPr>
            </w:pPr>
          </w:p>
        </w:tc>
        <w:tc>
          <w:tcPr>
            <w:tcW w:w="753" w:type="pct"/>
            <w:tcBorders>
              <w:top w:val="single" w:sz="4" w:space="0" w:color="1B80C4"/>
              <w:left w:val="nil"/>
              <w:bottom w:val="double" w:sz="6" w:space="0" w:color="1B80C4"/>
              <w:right w:val="nil"/>
            </w:tcBorders>
            <w:shd w:val="clear" w:color="auto" w:fill="auto"/>
            <w:noWrap/>
            <w:vAlign w:val="center"/>
            <w:hideMark/>
          </w:tcPr>
          <w:p w14:paraId="3FB82506" w14:textId="30BFBA37" w:rsidR="002A4D1B" w:rsidRPr="002A4D1B" w:rsidRDefault="002A4D1B" w:rsidP="002A4D1B">
            <w:pPr>
              <w:spacing w:after="0" w:line="240" w:lineRule="auto"/>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(5.905.044)</w:t>
            </w:r>
          </w:p>
        </w:tc>
        <w:tc>
          <w:tcPr>
            <w:tcW w:w="105" w:type="pct"/>
            <w:tcBorders>
              <w:top w:val="nil"/>
              <w:left w:val="nil"/>
              <w:bottom w:val="nil"/>
              <w:right w:val="nil"/>
            </w:tcBorders>
            <w:shd w:val="clear" w:color="auto" w:fill="auto"/>
            <w:noWrap/>
            <w:vAlign w:val="center"/>
            <w:hideMark/>
          </w:tcPr>
          <w:p w14:paraId="1671203D" w14:textId="77777777" w:rsidR="002A4D1B" w:rsidRPr="002A4D1B" w:rsidRDefault="002A4D1B" w:rsidP="002A4D1B">
            <w:pPr>
              <w:spacing w:after="0" w:line="240" w:lineRule="auto"/>
              <w:jc w:val="right"/>
              <w:rPr>
                <w:rFonts w:ascii="Segoe UI" w:eastAsia="Times New Roman" w:hAnsi="Segoe UI" w:cs="Segoe UI"/>
                <w:b/>
                <w:bCs/>
                <w:sz w:val="18"/>
                <w:szCs w:val="18"/>
                <w:lang w:eastAsia="pt-BR"/>
              </w:rPr>
            </w:pPr>
          </w:p>
        </w:tc>
        <w:tc>
          <w:tcPr>
            <w:tcW w:w="765" w:type="pct"/>
            <w:gridSpan w:val="2"/>
            <w:tcBorders>
              <w:top w:val="single" w:sz="4" w:space="0" w:color="1B80C4"/>
              <w:left w:val="nil"/>
              <w:bottom w:val="double" w:sz="6" w:space="0" w:color="1B80C4"/>
              <w:right w:val="nil"/>
            </w:tcBorders>
            <w:shd w:val="clear" w:color="auto" w:fill="auto"/>
            <w:noWrap/>
            <w:vAlign w:val="center"/>
            <w:hideMark/>
          </w:tcPr>
          <w:p w14:paraId="0CEE7B76" w14:textId="0C255F2C" w:rsidR="002A4D1B" w:rsidRPr="002A4D1B" w:rsidRDefault="002A4D1B" w:rsidP="002A4D1B">
            <w:pPr>
              <w:spacing w:after="0" w:line="240" w:lineRule="auto"/>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(5.141.422)</w:t>
            </w:r>
          </w:p>
        </w:tc>
      </w:tr>
      <w:tr w:rsidR="00482C5E" w:rsidRPr="002A4D1B" w14:paraId="6457198F" w14:textId="77777777" w:rsidTr="00482C5E">
        <w:trPr>
          <w:trHeight w:val="105"/>
        </w:trPr>
        <w:tc>
          <w:tcPr>
            <w:tcW w:w="2965" w:type="pct"/>
            <w:tcBorders>
              <w:top w:val="nil"/>
              <w:left w:val="nil"/>
              <w:bottom w:val="nil"/>
              <w:right w:val="nil"/>
            </w:tcBorders>
            <w:shd w:val="clear" w:color="auto" w:fill="auto"/>
            <w:noWrap/>
            <w:vAlign w:val="bottom"/>
            <w:hideMark/>
          </w:tcPr>
          <w:p w14:paraId="7507EB46" w14:textId="77777777" w:rsidR="002A4D1B" w:rsidRPr="002A4D1B" w:rsidRDefault="002A4D1B" w:rsidP="002A4D1B">
            <w:pPr>
              <w:spacing w:after="0" w:line="240" w:lineRule="auto"/>
              <w:rPr>
                <w:rFonts w:ascii="Segoe UI" w:eastAsia="Times New Roman" w:hAnsi="Segoe UI" w:cs="Segoe UI"/>
                <w:b/>
                <w:bCs/>
                <w:sz w:val="18"/>
                <w:szCs w:val="18"/>
                <w:lang w:eastAsia="pt-BR"/>
              </w:rPr>
            </w:pPr>
          </w:p>
        </w:tc>
        <w:tc>
          <w:tcPr>
            <w:tcW w:w="412" w:type="pct"/>
            <w:tcBorders>
              <w:top w:val="nil"/>
              <w:left w:val="nil"/>
              <w:bottom w:val="nil"/>
              <w:right w:val="nil"/>
            </w:tcBorders>
            <w:shd w:val="clear" w:color="auto" w:fill="auto"/>
            <w:noWrap/>
            <w:vAlign w:val="bottom"/>
            <w:hideMark/>
          </w:tcPr>
          <w:p w14:paraId="4BD9E420" w14:textId="77777777" w:rsidR="002A4D1B" w:rsidRPr="002A4D1B" w:rsidRDefault="002A4D1B" w:rsidP="00482C5E">
            <w:pPr>
              <w:spacing w:after="0" w:line="240" w:lineRule="auto"/>
              <w:jc w:val="center"/>
              <w:rPr>
                <w:rFonts w:ascii="Times New Roman" w:eastAsia="Times New Roman" w:hAnsi="Times New Roman" w:cs="Times New Roman"/>
                <w:sz w:val="20"/>
                <w:szCs w:val="20"/>
                <w:lang w:eastAsia="pt-BR"/>
              </w:rPr>
            </w:pPr>
          </w:p>
        </w:tc>
        <w:tc>
          <w:tcPr>
            <w:tcW w:w="753" w:type="pct"/>
            <w:tcBorders>
              <w:top w:val="nil"/>
              <w:left w:val="nil"/>
              <w:bottom w:val="nil"/>
              <w:right w:val="nil"/>
            </w:tcBorders>
            <w:shd w:val="clear" w:color="auto" w:fill="auto"/>
            <w:noWrap/>
            <w:vAlign w:val="bottom"/>
            <w:hideMark/>
          </w:tcPr>
          <w:p w14:paraId="011177AB"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16289F02"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765" w:type="pct"/>
            <w:gridSpan w:val="2"/>
            <w:tcBorders>
              <w:top w:val="nil"/>
              <w:left w:val="nil"/>
              <w:bottom w:val="nil"/>
              <w:right w:val="nil"/>
            </w:tcBorders>
            <w:shd w:val="clear" w:color="auto" w:fill="auto"/>
            <w:noWrap/>
            <w:vAlign w:val="bottom"/>
            <w:hideMark/>
          </w:tcPr>
          <w:p w14:paraId="2F68D8EF"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r>
      <w:tr w:rsidR="005212B3" w:rsidRPr="002A4D1B" w14:paraId="57C8C3C4" w14:textId="77777777" w:rsidTr="002A4D1B">
        <w:trPr>
          <w:trHeight w:val="255"/>
        </w:trPr>
        <w:tc>
          <w:tcPr>
            <w:tcW w:w="2965" w:type="pct"/>
            <w:tcBorders>
              <w:top w:val="nil"/>
              <w:left w:val="nil"/>
              <w:bottom w:val="nil"/>
              <w:right w:val="nil"/>
            </w:tcBorders>
            <w:shd w:val="clear" w:color="auto" w:fill="auto"/>
            <w:noWrap/>
            <w:vAlign w:val="bottom"/>
            <w:hideMark/>
          </w:tcPr>
          <w:p w14:paraId="7C7C6524"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Aumento no caixa e equivalentes de caixa </w:t>
            </w:r>
          </w:p>
        </w:tc>
        <w:tc>
          <w:tcPr>
            <w:tcW w:w="412" w:type="pct"/>
            <w:tcBorders>
              <w:top w:val="nil"/>
              <w:left w:val="nil"/>
              <w:bottom w:val="nil"/>
              <w:right w:val="nil"/>
            </w:tcBorders>
            <w:shd w:val="clear" w:color="auto" w:fill="auto"/>
            <w:noWrap/>
            <w:vAlign w:val="bottom"/>
            <w:hideMark/>
          </w:tcPr>
          <w:p w14:paraId="4B4104AC" w14:textId="77777777" w:rsidR="002A4D1B" w:rsidRPr="002A4D1B" w:rsidRDefault="002A4D1B" w:rsidP="00482C5E">
            <w:pPr>
              <w:spacing w:after="0" w:line="240" w:lineRule="auto"/>
              <w:rPr>
                <w:rFonts w:ascii="Segoe UI" w:eastAsia="Times New Roman" w:hAnsi="Segoe UI" w:cs="Segoe UI"/>
                <w:b/>
                <w:bCs/>
                <w:sz w:val="18"/>
                <w:szCs w:val="18"/>
                <w:lang w:eastAsia="pt-BR"/>
              </w:rPr>
            </w:pPr>
          </w:p>
        </w:tc>
        <w:tc>
          <w:tcPr>
            <w:tcW w:w="753" w:type="pct"/>
            <w:tcBorders>
              <w:top w:val="single" w:sz="4" w:space="0" w:color="1B80C4"/>
              <w:left w:val="nil"/>
              <w:bottom w:val="double" w:sz="6" w:space="0" w:color="1B80C4"/>
              <w:right w:val="nil"/>
            </w:tcBorders>
            <w:shd w:val="clear" w:color="auto" w:fill="auto"/>
            <w:noWrap/>
            <w:vAlign w:val="bottom"/>
            <w:hideMark/>
          </w:tcPr>
          <w:p w14:paraId="185D1839" w14:textId="4EA962F4"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2.361.031</w:t>
            </w:r>
          </w:p>
        </w:tc>
        <w:tc>
          <w:tcPr>
            <w:tcW w:w="105" w:type="pct"/>
            <w:tcBorders>
              <w:top w:val="nil"/>
              <w:left w:val="nil"/>
              <w:bottom w:val="nil"/>
              <w:right w:val="nil"/>
            </w:tcBorders>
            <w:shd w:val="clear" w:color="auto" w:fill="auto"/>
            <w:noWrap/>
            <w:vAlign w:val="bottom"/>
            <w:hideMark/>
          </w:tcPr>
          <w:p w14:paraId="4676FF19"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65" w:type="pct"/>
            <w:gridSpan w:val="2"/>
            <w:tcBorders>
              <w:top w:val="single" w:sz="4" w:space="0" w:color="1B80C4"/>
              <w:left w:val="nil"/>
              <w:bottom w:val="double" w:sz="6" w:space="0" w:color="1B80C4"/>
              <w:right w:val="nil"/>
            </w:tcBorders>
            <w:shd w:val="clear" w:color="auto" w:fill="auto"/>
            <w:noWrap/>
            <w:vAlign w:val="bottom"/>
            <w:hideMark/>
          </w:tcPr>
          <w:p w14:paraId="5E254B5B" w14:textId="1B54A93B"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2.346.426</w:t>
            </w:r>
          </w:p>
        </w:tc>
      </w:tr>
      <w:tr w:rsidR="00482C5E" w:rsidRPr="002A4D1B" w14:paraId="391911ED" w14:textId="77777777" w:rsidTr="00482C5E">
        <w:trPr>
          <w:trHeight w:val="255"/>
        </w:trPr>
        <w:tc>
          <w:tcPr>
            <w:tcW w:w="2965" w:type="pct"/>
            <w:tcBorders>
              <w:top w:val="nil"/>
              <w:left w:val="nil"/>
              <w:bottom w:val="nil"/>
              <w:right w:val="nil"/>
            </w:tcBorders>
            <w:shd w:val="clear" w:color="auto" w:fill="auto"/>
            <w:noWrap/>
            <w:vAlign w:val="bottom"/>
            <w:hideMark/>
          </w:tcPr>
          <w:p w14:paraId="4C0B0AA6"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Caixa e equivalentes de caixa no início do exercício </w:t>
            </w:r>
          </w:p>
        </w:tc>
        <w:tc>
          <w:tcPr>
            <w:tcW w:w="412" w:type="pct"/>
            <w:tcBorders>
              <w:top w:val="nil"/>
              <w:left w:val="nil"/>
              <w:bottom w:val="nil"/>
              <w:right w:val="nil"/>
            </w:tcBorders>
            <w:shd w:val="clear" w:color="auto" w:fill="auto"/>
            <w:noWrap/>
            <w:vAlign w:val="bottom"/>
            <w:hideMark/>
          </w:tcPr>
          <w:p w14:paraId="5EA450FA"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60C37C62" w14:textId="4FDEA870"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46879537"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5A74421C" w14:textId="15CA7A02"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816.120</w:t>
            </w:r>
          </w:p>
        </w:tc>
      </w:tr>
      <w:tr w:rsidR="00482C5E" w:rsidRPr="002A4D1B" w14:paraId="0999672D" w14:textId="77777777" w:rsidTr="00482C5E">
        <w:trPr>
          <w:trHeight w:val="240"/>
        </w:trPr>
        <w:tc>
          <w:tcPr>
            <w:tcW w:w="2965" w:type="pct"/>
            <w:tcBorders>
              <w:top w:val="nil"/>
              <w:left w:val="nil"/>
              <w:bottom w:val="nil"/>
              <w:right w:val="nil"/>
            </w:tcBorders>
            <w:shd w:val="clear" w:color="auto" w:fill="auto"/>
            <w:noWrap/>
            <w:vAlign w:val="bottom"/>
            <w:hideMark/>
          </w:tcPr>
          <w:p w14:paraId="11D17E34" w14:textId="77777777" w:rsidR="002A4D1B" w:rsidRPr="002A4D1B" w:rsidRDefault="002A4D1B"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Caixa e equivalentes de caixa no fim do exercício </w:t>
            </w:r>
          </w:p>
        </w:tc>
        <w:tc>
          <w:tcPr>
            <w:tcW w:w="412" w:type="pct"/>
            <w:tcBorders>
              <w:top w:val="nil"/>
              <w:left w:val="nil"/>
              <w:bottom w:val="nil"/>
              <w:right w:val="nil"/>
            </w:tcBorders>
            <w:shd w:val="clear" w:color="auto" w:fill="auto"/>
            <w:noWrap/>
            <w:vAlign w:val="bottom"/>
            <w:hideMark/>
          </w:tcPr>
          <w:p w14:paraId="2CE340D9" w14:textId="77777777" w:rsidR="002A4D1B" w:rsidRPr="002A4D1B" w:rsidRDefault="002A4D1B" w:rsidP="00482C5E">
            <w:pPr>
              <w:spacing w:after="0" w:line="240" w:lineRule="auto"/>
              <w:rPr>
                <w:rFonts w:ascii="Segoe UI" w:eastAsia="Times New Roman" w:hAnsi="Segoe UI" w:cs="Segoe UI"/>
                <w:sz w:val="18"/>
                <w:szCs w:val="18"/>
                <w:lang w:eastAsia="pt-BR"/>
              </w:rPr>
            </w:pPr>
          </w:p>
        </w:tc>
        <w:tc>
          <w:tcPr>
            <w:tcW w:w="753" w:type="pct"/>
            <w:tcBorders>
              <w:top w:val="nil"/>
              <w:left w:val="nil"/>
              <w:bottom w:val="nil"/>
              <w:right w:val="nil"/>
            </w:tcBorders>
            <w:shd w:val="clear" w:color="auto" w:fill="auto"/>
            <w:noWrap/>
            <w:vAlign w:val="bottom"/>
            <w:hideMark/>
          </w:tcPr>
          <w:p w14:paraId="253B81E7" w14:textId="7D6BD54E"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2.361.031</w:t>
            </w:r>
          </w:p>
        </w:tc>
        <w:tc>
          <w:tcPr>
            <w:tcW w:w="105" w:type="pct"/>
            <w:tcBorders>
              <w:top w:val="nil"/>
              <w:left w:val="nil"/>
              <w:bottom w:val="nil"/>
              <w:right w:val="nil"/>
            </w:tcBorders>
            <w:shd w:val="clear" w:color="auto" w:fill="auto"/>
            <w:noWrap/>
            <w:vAlign w:val="bottom"/>
            <w:hideMark/>
          </w:tcPr>
          <w:p w14:paraId="76F32FD0"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65" w:type="pct"/>
            <w:gridSpan w:val="2"/>
            <w:tcBorders>
              <w:top w:val="nil"/>
              <w:left w:val="nil"/>
              <w:bottom w:val="nil"/>
              <w:right w:val="nil"/>
            </w:tcBorders>
            <w:shd w:val="clear" w:color="auto" w:fill="auto"/>
            <w:noWrap/>
            <w:vAlign w:val="bottom"/>
            <w:hideMark/>
          </w:tcPr>
          <w:p w14:paraId="6A7E47E7" w14:textId="4496A43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3.162.546</w:t>
            </w:r>
          </w:p>
        </w:tc>
      </w:tr>
      <w:tr w:rsidR="005212B3" w:rsidRPr="002A4D1B" w14:paraId="6EC3CC09" w14:textId="77777777" w:rsidTr="002A4D1B">
        <w:trPr>
          <w:trHeight w:val="255"/>
        </w:trPr>
        <w:tc>
          <w:tcPr>
            <w:tcW w:w="2965" w:type="pct"/>
            <w:tcBorders>
              <w:top w:val="nil"/>
              <w:left w:val="nil"/>
              <w:bottom w:val="nil"/>
              <w:right w:val="nil"/>
            </w:tcBorders>
            <w:shd w:val="clear" w:color="auto" w:fill="auto"/>
            <w:noWrap/>
            <w:vAlign w:val="bottom"/>
            <w:hideMark/>
          </w:tcPr>
          <w:p w14:paraId="5D17DF4B"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77DE380E" w14:textId="77777777" w:rsidR="002A4D1B" w:rsidRPr="002A4D1B" w:rsidRDefault="002A4D1B" w:rsidP="00482C5E">
            <w:pPr>
              <w:spacing w:after="0" w:line="240" w:lineRule="auto"/>
              <w:rPr>
                <w:rFonts w:ascii="Times New Roman" w:eastAsia="Times New Roman" w:hAnsi="Times New Roman" w:cs="Times New Roman"/>
                <w:sz w:val="20"/>
                <w:szCs w:val="20"/>
                <w:lang w:eastAsia="pt-BR"/>
              </w:rPr>
            </w:pPr>
          </w:p>
        </w:tc>
        <w:tc>
          <w:tcPr>
            <w:tcW w:w="753" w:type="pct"/>
            <w:tcBorders>
              <w:top w:val="single" w:sz="4" w:space="0" w:color="1B80C4"/>
              <w:left w:val="nil"/>
              <w:bottom w:val="double" w:sz="6" w:space="0" w:color="1B80C4"/>
              <w:right w:val="nil"/>
            </w:tcBorders>
            <w:shd w:val="clear" w:color="auto" w:fill="auto"/>
            <w:noWrap/>
            <w:vAlign w:val="center"/>
            <w:hideMark/>
          </w:tcPr>
          <w:p w14:paraId="23195BF0" w14:textId="273621F0" w:rsidR="002A4D1B" w:rsidRPr="002A4D1B" w:rsidRDefault="002A4D1B" w:rsidP="002A4D1B">
            <w:pPr>
              <w:spacing w:after="0" w:line="240" w:lineRule="auto"/>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2.361.031</w:t>
            </w:r>
          </w:p>
        </w:tc>
        <w:tc>
          <w:tcPr>
            <w:tcW w:w="105" w:type="pct"/>
            <w:tcBorders>
              <w:top w:val="nil"/>
              <w:left w:val="nil"/>
              <w:bottom w:val="nil"/>
              <w:right w:val="nil"/>
            </w:tcBorders>
            <w:shd w:val="clear" w:color="auto" w:fill="auto"/>
            <w:noWrap/>
            <w:vAlign w:val="center"/>
            <w:hideMark/>
          </w:tcPr>
          <w:p w14:paraId="1EE8BA91" w14:textId="77777777" w:rsidR="002A4D1B" w:rsidRPr="002A4D1B" w:rsidRDefault="002A4D1B" w:rsidP="002A4D1B">
            <w:pPr>
              <w:spacing w:after="0" w:line="240" w:lineRule="auto"/>
              <w:jc w:val="right"/>
              <w:rPr>
                <w:rFonts w:ascii="Segoe UI" w:eastAsia="Times New Roman" w:hAnsi="Segoe UI" w:cs="Segoe UI"/>
                <w:b/>
                <w:bCs/>
                <w:sz w:val="18"/>
                <w:szCs w:val="18"/>
                <w:lang w:eastAsia="pt-BR"/>
              </w:rPr>
            </w:pPr>
          </w:p>
        </w:tc>
        <w:tc>
          <w:tcPr>
            <w:tcW w:w="765" w:type="pct"/>
            <w:gridSpan w:val="2"/>
            <w:tcBorders>
              <w:top w:val="single" w:sz="4" w:space="0" w:color="1B80C4"/>
              <w:left w:val="nil"/>
              <w:bottom w:val="double" w:sz="6" w:space="0" w:color="1B80C4"/>
              <w:right w:val="nil"/>
            </w:tcBorders>
            <w:shd w:val="clear" w:color="auto" w:fill="auto"/>
            <w:noWrap/>
            <w:vAlign w:val="center"/>
            <w:hideMark/>
          </w:tcPr>
          <w:p w14:paraId="6149FEE0" w14:textId="79F19EC9" w:rsidR="002A4D1B" w:rsidRPr="002A4D1B" w:rsidRDefault="002A4D1B" w:rsidP="002A4D1B">
            <w:pPr>
              <w:spacing w:after="0" w:line="240" w:lineRule="auto"/>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2.346.426</w:t>
            </w:r>
          </w:p>
        </w:tc>
      </w:tr>
    </w:tbl>
    <w:p w14:paraId="39D22966" w14:textId="77777777" w:rsidR="00720438" w:rsidRDefault="00720438" w:rsidP="000A114A">
      <w:pPr>
        <w:widowControl w:val="0"/>
        <w:rPr>
          <w:rFonts w:ascii="Segoe UI" w:hAnsi="Segoe UI" w:cs="Segoe UI"/>
          <w:sz w:val="20"/>
          <w:szCs w:val="20"/>
        </w:rPr>
      </w:pPr>
    </w:p>
    <w:p w14:paraId="6BFEDB5D" w14:textId="0E95A5BA" w:rsidR="00144E26" w:rsidRPr="009239D0" w:rsidRDefault="00792E19" w:rsidP="009239D0">
      <w:pPr>
        <w:widowControl w:val="0"/>
        <w:rPr>
          <w:rFonts w:ascii="Segoe UI" w:hAnsi="Segoe UI" w:cs="Segoe UI"/>
          <w:bCs/>
          <w:sz w:val="19"/>
          <w:szCs w:val="19"/>
        </w:rPr>
        <w:sectPr w:rsidR="00144E26" w:rsidRPr="009239D0" w:rsidSect="006E1B4F">
          <w:headerReference w:type="default" r:id="rId22"/>
          <w:footerReference w:type="default" r:id="rId23"/>
          <w:pgSz w:w="11906" w:h="16838"/>
          <w:pgMar w:top="1417" w:right="1274" w:bottom="1417" w:left="1701" w:header="708" w:footer="708" w:gutter="0"/>
          <w:cols w:space="708"/>
          <w:docGrid w:linePitch="360"/>
        </w:sectPr>
      </w:pPr>
      <w:r w:rsidRPr="009239D0">
        <w:rPr>
          <w:rFonts w:ascii="Segoe UI" w:hAnsi="Segoe UI" w:cs="Segoe UI"/>
          <w:sz w:val="19"/>
          <w:szCs w:val="19"/>
        </w:rPr>
        <w:t>A</w:t>
      </w:r>
      <w:r w:rsidR="007835BD" w:rsidRPr="009239D0">
        <w:rPr>
          <w:rFonts w:ascii="Segoe UI" w:hAnsi="Segoe UI" w:cs="Segoe UI"/>
          <w:sz w:val="19"/>
          <w:szCs w:val="19"/>
        </w:rPr>
        <w:t>s notas explicativas são parte integrante das demonstrações</w:t>
      </w:r>
      <w:r w:rsidR="000A114A" w:rsidRPr="009239D0">
        <w:rPr>
          <w:rFonts w:ascii="Segoe UI" w:hAnsi="Segoe UI" w:cs="Segoe UI"/>
          <w:sz w:val="19"/>
          <w:szCs w:val="19"/>
        </w:rPr>
        <w:t xml:space="preserve"> financeiras</w:t>
      </w:r>
      <w:r w:rsidR="009239D0" w:rsidRPr="009239D0">
        <w:rPr>
          <w:rFonts w:ascii="Segoe UI" w:hAnsi="Segoe UI" w:cs="Segoe UI"/>
          <w:bCs/>
          <w:sz w:val="19"/>
          <w:szCs w:val="19"/>
        </w:rPr>
        <w:t xml:space="preserve"> individuais e consolidadas.</w:t>
      </w:r>
    </w:p>
    <w:tbl>
      <w:tblPr>
        <w:tblW w:w="5000" w:type="pct"/>
        <w:tblCellMar>
          <w:left w:w="70" w:type="dxa"/>
          <w:right w:w="70" w:type="dxa"/>
        </w:tblCellMar>
        <w:tblLook w:val="04A0" w:firstRow="1" w:lastRow="0" w:firstColumn="1" w:lastColumn="0" w:noHBand="0" w:noVBand="1"/>
      </w:tblPr>
      <w:tblGrid>
        <w:gridCol w:w="6094"/>
        <w:gridCol w:w="1311"/>
        <w:gridCol w:w="202"/>
        <w:gridCol w:w="1324"/>
      </w:tblGrid>
      <w:tr w:rsidR="005212B3" w:rsidRPr="002A4D1B" w14:paraId="56070D70" w14:textId="77777777" w:rsidTr="002A4D1B">
        <w:trPr>
          <w:trHeight w:val="285"/>
        </w:trPr>
        <w:tc>
          <w:tcPr>
            <w:tcW w:w="3423" w:type="pct"/>
            <w:vMerge w:val="restart"/>
            <w:tcBorders>
              <w:top w:val="nil"/>
              <w:left w:val="nil"/>
              <w:bottom w:val="nil"/>
              <w:right w:val="nil"/>
            </w:tcBorders>
            <w:shd w:val="clear" w:color="000000" w:fill="1B80C4"/>
            <w:noWrap/>
            <w:vAlign w:val="bottom"/>
            <w:hideMark/>
          </w:tcPr>
          <w:p w14:paraId="6B77276D"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lastRenderedPageBreak/>
              <w:t> </w:t>
            </w:r>
          </w:p>
        </w:tc>
        <w:tc>
          <w:tcPr>
            <w:tcW w:w="707" w:type="pct"/>
            <w:tcBorders>
              <w:top w:val="nil"/>
              <w:left w:val="nil"/>
              <w:bottom w:val="nil"/>
              <w:right w:val="nil"/>
            </w:tcBorders>
            <w:shd w:val="clear" w:color="000000" w:fill="1B80C4"/>
            <w:noWrap/>
            <w:vAlign w:val="bottom"/>
            <w:hideMark/>
          </w:tcPr>
          <w:p w14:paraId="55307F4D"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xml:space="preserve"> Controladora </w:t>
            </w:r>
          </w:p>
        </w:tc>
        <w:tc>
          <w:tcPr>
            <w:tcW w:w="124" w:type="pct"/>
            <w:tcBorders>
              <w:top w:val="nil"/>
              <w:left w:val="nil"/>
              <w:bottom w:val="nil"/>
              <w:right w:val="nil"/>
            </w:tcBorders>
            <w:shd w:val="clear" w:color="000000" w:fill="1B80C4"/>
            <w:noWrap/>
            <w:vAlign w:val="bottom"/>
            <w:hideMark/>
          </w:tcPr>
          <w:p w14:paraId="40908CCE"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w:t>
            </w:r>
          </w:p>
        </w:tc>
        <w:tc>
          <w:tcPr>
            <w:tcW w:w="746" w:type="pct"/>
            <w:tcBorders>
              <w:top w:val="nil"/>
              <w:left w:val="nil"/>
              <w:bottom w:val="nil"/>
              <w:right w:val="nil"/>
            </w:tcBorders>
            <w:shd w:val="clear" w:color="000000" w:fill="1B80C4"/>
            <w:noWrap/>
            <w:vAlign w:val="bottom"/>
            <w:hideMark/>
          </w:tcPr>
          <w:p w14:paraId="0476A0E4"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xml:space="preserve"> Consolidado </w:t>
            </w:r>
          </w:p>
        </w:tc>
      </w:tr>
      <w:tr w:rsidR="005212B3" w:rsidRPr="002A4D1B" w14:paraId="6C4B7650" w14:textId="77777777" w:rsidTr="003A6C4B">
        <w:trPr>
          <w:trHeight w:val="119"/>
        </w:trPr>
        <w:tc>
          <w:tcPr>
            <w:tcW w:w="3423" w:type="pct"/>
            <w:vMerge/>
            <w:tcBorders>
              <w:top w:val="nil"/>
              <w:left w:val="nil"/>
              <w:bottom w:val="nil"/>
              <w:right w:val="nil"/>
            </w:tcBorders>
            <w:vAlign w:val="center"/>
            <w:hideMark/>
          </w:tcPr>
          <w:p w14:paraId="679B6DE2" w14:textId="77777777" w:rsidR="002A4D1B" w:rsidRPr="002A4D1B" w:rsidRDefault="002A4D1B" w:rsidP="002A4D1B">
            <w:pPr>
              <w:spacing w:after="0" w:line="240" w:lineRule="auto"/>
              <w:rPr>
                <w:rFonts w:ascii="Segoe UI" w:eastAsia="Times New Roman" w:hAnsi="Segoe UI" w:cs="Segoe UI"/>
                <w:b/>
                <w:bCs/>
                <w:color w:val="FFFFFF"/>
                <w:sz w:val="18"/>
                <w:szCs w:val="18"/>
                <w:lang w:eastAsia="pt-BR"/>
              </w:rPr>
            </w:pPr>
          </w:p>
        </w:tc>
        <w:tc>
          <w:tcPr>
            <w:tcW w:w="707" w:type="pct"/>
            <w:tcBorders>
              <w:top w:val="single" w:sz="4" w:space="0" w:color="FFFFFF"/>
              <w:left w:val="nil"/>
              <w:bottom w:val="nil"/>
              <w:right w:val="nil"/>
            </w:tcBorders>
            <w:shd w:val="clear" w:color="000000" w:fill="1B80C4"/>
            <w:noWrap/>
            <w:vAlign w:val="center"/>
            <w:hideMark/>
          </w:tcPr>
          <w:p w14:paraId="50D35C07"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31/12/2022</w:t>
            </w:r>
          </w:p>
        </w:tc>
        <w:tc>
          <w:tcPr>
            <w:tcW w:w="124" w:type="pct"/>
            <w:tcBorders>
              <w:top w:val="nil"/>
              <w:left w:val="nil"/>
              <w:bottom w:val="nil"/>
              <w:right w:val="nil"/>
            </w:tcBorders>
            <w:shd w:val="clear" w:color="000000" w:fill="1B80C4"/>
            <w:noWrap/>
            <w:vAlign w:val="center"/>
            <w:hideMark/>
          </w:tcPr>
          <w:p w14:paraId="577E6C15"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w:t>
            </w:r>
          </w:p>
        </w:tc>
        <w:tc>
          <w:tcPr>
            <w:tcW w:w="746" w:type="pct"/>
            <w:tcBorders>
              <w:top w:val="single" w:sz="4" w:space="0" w:color="FFFFFF"/>
              <w:left w:val="nil"/>
              <w:bottom w:val="nil"/>
              <w:right w:val="nil"/>
            </w:tcBorders>
            <w:shd w:val="clear" w:color="000000" w:fill="1B80C4"/>
            <w:noWrap/>
            <w:vAlign w:val="center"/>
            <w:hideMark/>
          </w:tcPr>
          <w:p w14:paraId="28053EEB" w14:textId="77777777" w:rsidR="002A4D1B" w:rsidRPr="002A4D1B" w:rsidRDefault="002A4D1B"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31/12/2022</w:t>
            </w:r>
          </w:p>
        </w:tc>
      </w:tr>
      <w:tr w:rsidR="005212B3" w:rsidRPr="002A4D1B" w14:paraId="7B0BEE03" w14:textId="77777777" w:rsidTr="002A4D1B">
        <w:trPr>
          <w:trHeight w:val="285"/>
        </w:trPr>
        <w:tc>
          <w:tcPr>
            <w:tcW w:w="3423" w:type="pct"/>
            <w:tcBorders>
              <w:top w:val="nil"/>
              <w:left w:val="nil"/>
              <w:bottom w:val="nil"/>
              <w:right w:val="nil"/>
            </w:tcBorders>
            <w:shd w:val="clear" w:color="auto" w:fill="auto"/>
            <w:vAlign w:val="bottom"/>
            <w:hideMark/>
          </w:tcPr>
          <w:p w14:paraId="2606DD11"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RECEITAS </w:t>
            </w:r>
          </w:p>
        </w:tc>
        <w:tc>
          <w:tcPr>
            <w:tcW w:w="707" w:type="pct"/>
            <w:tcBorders>
              <w:top w:val="nil"/>
              <w:left w:val="nil"/>
              <w:bottom w:val="nil"/>
              <w:right w:val="nil"/>
            </w:tcBorders>
            <w:shd w:val="clear" w:color="auto" w:fill="auto"/>
            <w:noWrap/>
            <w:vAlign w:val="bottom"/>
            <w:hideMark/>
          </w:tcPr>
          <w:p w14:paraId="705B8E58" w14:textId="613A50BC"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21.844</w:t>
            </w:r>
          </w:p>
        </w:tc>
        <w:tc>
          <w:tcPr>
            <w:tcW w:w="124" w:type="pct"/>
            <w:tcBorders>
              <w:top w:val="nil"/>
              <w:left w:val="nil"/>
              <w:bottom w:val="nil"/>
              <w:right w:val="nil"/>
            </w:tcBorders>
            <w:shd w:val="clear" w:color="auto" w:fill="auto"/>
            <w:noWrap/>
            <w:vAlign w:val="bottom"/>
            <w:hideMark/>
          </w:tcPr>
          <w:p w14:paraId="0370B684"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nil"/>
              <w:left w:val="nil"/>
              <w:bottom w:val="nil"/>
              <w:right w:val="nil"/>
            </w:tcBorders>
            <w:shd w:val="clear" w:color="auto" w:fill="auto"/>
            <w:noWrap/>
            <w:vAlign w:val="bottom"/>
            <w:hideMark/>
          </w:tcPr>
          <w:p w14:paraId="161692D7" w14:textId="67DE98E3"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2.619.533</w:t>
            </w:r>
          </w:p>
        </w:tc>
      </w:tr>
      <w:tr w:rsidR="005212B3" w:rsidRPr="002A4D1B" w14:paraId="4301A699" w14:textId="77777777" w:rsidTr="002A4D1B">
        <w:trPr>
          <w:trHeight w:val="285"/>
        </w:trPr>
        <w:tc>
          <w:tcPr>
            <w:tcW w:w="3423" w:type="pct"/>
            <w:tcBorders>
              <w:top w:val="nil"/>
              <w:left w:val="nil"/>
              <w:bottom w:val="nil"/>
              <w:right w:val="nil"/>
            </w:tcBorders>
            <w:shd w:val="clear" w:color="auto" w:fill="auto"/>
            <w:noWrap/>
            <w:vAlign w:val="bottom"/>
            <w:hideMark/>
          </w:tcPr>
          <w:p w14:paraId="13B6D3DE"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Receita com suprimento de energia elétrica </w:t>
            </w:r>
          </w:p>
        </w:tc>
        <w:tc>
          <w:tcPr>
            <w:tcW w:w="707" w:type="pct"/>
            <w:tcBorders>
              <w:top w:val="nil"/>
              <w:left w:val="nil"/>
              <w:bottom w:val="nil"/>
              <w:right w:val="nil"/>
            </w:tcBorders>
            <w:shd w:val="clear" w:color="auto" w:fill="auto"/>
            <w:noWrap/>
            <w:vAlign w:val="bottom"/>
            <w:hideMark/>
          </w:tcPr>
          <w:p w14:paraId="67EA98FA" w14:textId="02458885"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2DFBAAE7"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2AD831F7" w14:textId="7F6126BA"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2.557.078</w:t>
            </w:r>
          </w:p>
        </w:tc>
      </w:tr>
      <w:tr w:rsidR="005212B3" w:rsidRPr="002A4D1B" w14:paraId="233D1C00" w14:textId="77777777" w:rsidTr="002A4D1B">
        <w:trPr>
          <w:trHeight w:val="285"/>
        </w:trPr>
        <w:tc>
          <w:tcPr>
            <w:tcW w:w="3423" w:type="pct"/>
            <w:tcBorders>
              <w:top w:val="nil"/>
              <w:left w:val="nil"/>
              <w:bottom w:val="nil"/>
              <w:right w:val="nil"/>
            </w:tcBorders>
            <w:shd w:val="clear" w:color="auto" w:fill="auto"/>
            <w:noWrap/>
            <w:vAlign w:val="bottom"/>
            <w:hideMark/>
          </w:tcPr>
          <w:p w14:paraId="31611B91"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Receita com ressarcimento de encargos administração e supervisão </w:t>
            </w:r>
          </w:p>
        </w:tc>
        <w:tc>
          <w:tcPr>
            <w:tcW w:w="707" w:type="pct"/>
            <w:tcBorders>
              <w:top w:val="nil"/>
              <w:left w:val="nil"/>
              <w:bottom w:val="nil"/>
              <w:right w:val="nil"/>
            </w:tcBorders>
            <w:shd w:val="clear" w:color="auto" w:fill="auto"/>
            <w:noWrap/>
            <w:vAlign w:val="bottom"/>
            <w:hideMark/>
          </w:tcPr>
          <w:p w14:paraId="756B574C" w14:textId="1532E2BE"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21.844</w:t>
            </w:r>
          </w:p>
        </w:tc>
        <w:tc>
          <w:tcPr>
            <w:tcW w:w="124" w:type="pct"/>
            <w:tcBorders>
              <w:top w:val="nil"/>
              <w:left w:val="nil"/>
              <w:bottom w:val="nil"/>
              <w:right w:val="nil"/>
            </w:tcBorders>
            <w:shd w:val="clear" w:color="auto" w:fill="auto"/>
            <w:noWrap/>
            <w:vAlign w:val="bottom"/>
            <w:hideMark/>
          </w:tcPr>
          <w:p w14:paraId="320105B5"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6C44B769" w14:textId="2F80AB6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21.844</w:t>
            </w:r>
          </w:p>
        </w:tc>
      </w:tr>
      <w:tr w:rsidR="005212B3" w:rsidRPr="002A4D1B" w14:paraId="592CB788" w14:textId="77777777" w:rsidTr="002A4D1B">
        <w:trPr>
          <w:trHeight w:val="285"/>
        </w:trPr>
        <w:tc>
          <w:tcPr>
            <w:tcW w:w="3423" w:type="pct"/>
            <w:tcBorders>
              <w:top w:val="nil"/>
              <w:left w:val="nil"/>
              <w:bottom w:val="nil"/>
              <w:right w:val="nil"/>
            </w:tcBorders>
            <w:shd w:val="clear" w:color="auto" w:fill="auto"/>
            <w:noWrap/>
            <w:vAlign w:val="bottom"/>
            <w:hideMark/>
          </w:tcPr>
          <w:p w14:paraId="7A67F25B"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Vendas de produtos e serviços </w:t>
            </w:r>
          </w:p>
        </w:tc>
        <w:tc>
          <w:tcPr>
            <w:tcW w:w="707" w:type="pct"/>
            <w:tcBorders>
              <w:top w:val="nil"/>
              <w:left w:val="nil"/>
              <w:bottom w:val="nil"/>
              <w:right w:val="nil"/>
            </w:tcBorders>
            <w:shd w:val="clear" w:color="auto" w:fill="auto"/>
            <w:noWrap/>
            <w:vAlign w:val="bottom"/>
            <w:hideMark/>
          </w:tcPr>
          <w:p w14:paraId="00C97C68" w14:textId="3BD5BAB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4CB65242"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097E9BD4" w14:textId="619C2E34"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34.657</w:t>
            </w:r>
          </w:p>
        </w:tc>
      </w:tr>
      <w:tr w:rsidR="005212B3" w:rsidRPr="002A4D1B" w14:paraId="26E26174" w14:textId="77777777" w:rsidTr="002A4D1B">
        <w:trPr>
          <w:trHeight w:val="285"/>
        </w:trPr>
        <w:tc>
          <w:tcPr>
            <w:tcW w:w="3423" w:type="pct"/>
            <w:tcBorders>
              <w:top w:val="nil"/>
              <w:left w:val="nil"/>
              <w:bottom w:val="nil"/>
              <w:right w:val="nil"/>
            </w:tcBorders>
            <w:shd w:val="clear" w:color="auto" w:fill="auto"/>
            <w:noWrap/>
            <w:vAlign w:val="bottom"/>
            <w:hideMark/>
          </w:tcPr>
          <w:p w14:paraId="2389B9FE"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Outras receitas operacionais </w:t>
            </w:r>
          </w:p>
        </w:tc>
        <w:tc>
          <w:tcPr>
            <w:tcW w:w="707" w:type="pct"/>
            <w:tcBorders>
              <w:top w:val="nil"/>
              <w:left w:val="nil"/>
              <w:bottom w:val="nil"/>
              <w:right w:val="nil"/>
            </w:tcBorders>
            <w:shd w:val="clear" w:color="auto" w:fill="auto"/>
            <w:noWrap/>
            <w:vAlign w:val="bottom"/>
            <w:hideMark/>
          </w:tcPr>
          <w:p w14:paraId="75B11A17" w14:textId="63508A8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2642D5E0"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6D13AD0B" w14:textId="3FA576C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5.471</w:t>
            </w:r>
          </w:p>
        </w:tc>
      </w:tr>
      <w:tr w:rsidR="005212B3" w:rsidRPr="002A4D1B" w14:paraId="60CDF7F8" w14:textId="77777777" w:rsidTr="002A4D1B">
        <w:trPr>
          <w:trHeight w:val="285"/>
        </w:trPr>
        <w:tc>
          <w:tcPr>
            <w:tcW w:w="3423" w:type="pct"/>
            <w:tcBorders>
              <w:top w:val="nil"/>
              <w:left w:val="nil"/>
              <w:bottom w:val="nil"/>
              <w:right w:val="nil"/>
            </w:tcBorders>
            <w:shd w:val="clear" w:color="auto" w:fill="auto"/>
            <w:noWrap/>
            <w:vAlign w:val="bottom"/>
            <w:hideMark/>
          </w:tcPr>
          <w:p w14:paraId="55C16CB1"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PCLD - provisão para crédito de liquidação duvidosa </w:t>
            </w:r>
          </w:p>
        </w:tc>
        <w:tc>
          <w:tcPr>
            <w:tcW w:w="707" w:type="pct"/>
            <w:tcBorders>
              <w:top w:val="nil"/>
              <w:left w:val="nil"/>
              <w:bottom w:val="nil"/>
              <w:right w:val="nil"/>
            </w:tcBorders>
            <w:shd w:val="clear" w:color="auto" w:fill="auto"/>
            <w:noWrap/>
            <w:vAlign w:val="bottom"/>
            <w:hideMark/>
          </w:tcPr>
          <w:p w14:paraId="78739C10" w14:textId="4B173C03"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063702E2"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07764F54" w14:textId="16CEF9A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483</w:t>
            </w:r>
          </w:p>
        </w:tc>
      </w:tr>
      <w:tr w:rsidR="005212B3" w:rsidRPr="002A4D1B" w14:paraId="41BA316C" w14:textId="77777777" w:rsidTr="002A4D1B">
        <w:trPr>
          <w:trHeight w:val="285"/>
        </w:trPr>
        <w:tc>
          <w:tcPr>
            <w:tcW w:w="3423" w:type="pct"/>
            <w:tcBorders>
              <w:top w:val="nil"/>
              <w:left w:val="nil"/>
              <w:bottom w:val="nil"/>
              <w:right w:val="nil"/>
            </w:tcBorders>
            <w:shd w:val="clear" w:color="auto" w:fill="auto"/>
            <w:vAlign w:val="bottom"/>
            <w:hideMark/>
          </w:tcPr>
          <w:p w14:paraId="58AED69C"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INSUMOS ADQUIRIDOS DE TERCEIROS </w:t>
            </w:r>
          </w:p>
        </w:tc>
        <w:tc>
          <w:tcPr>
            <w:tcW w:w="707" w:type="pct"/>
            <w:tcBorders>
              <w:top w:val="single" w:sz="4" w:space="0" w:color="1B80C4"/>
              <w:left w:val="nil"/>
              <w:bottom w:val="nil"/>
              <w:right w:val="nil"/>
            </w:tcBorders>
            <w:shd w:val="clear" w:color="auto" w:fill="auto"/>
            <w:noWrap/>
            <w:vAlign w:val="bottom"/>
            <w:hideMark/>
          </w:tcPr>
          <w:p w14:paraId="466BFFA1" w14:textId="12F00980"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(2.714)</w:t>
            </w:r>
          </w:p>
        </w:tc>
        <w:tc>
          <w:tcPr>
            <w:tcW w:w="124" w:type="pct"/>
            <w:tcBorders>
              <w:top w:val="nil"/>
              <w:left w:val="nil"/>
              <w:bottom w:val="nil"/>
              <w:right w:val="nil"/>
            </w:tcBorders>
            <w:shd w:val="clear" w:color="auto" w:fill="auto"/>
            <w:noWrap/>
            <w:vAlign w:val="bottom"/>
            <w:hideMark/>
          </w:tcPr>
          <w:p w14:paraId="383A9EFA"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single" w:sz="4" w:space="0" w:color="1B80C4"/>
              <w:left w:val="nil"/>
              <w:bottom w:val="nil"/>
              <w:right w:val="nil"/>
            </w:tcBorders>
            <w:shd w:val="clear" w:color="auto" w:fill="auto"/>
            <w:noWrap/>
            <w:vAlign w:val="bottom"/>
            <w:hideMark/>
          </w:tcPr>
          <w:p w14:paraId="3BF1AE58" w14:textId="49C9993D"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(998.382)</w:t>
            </w:r>
          </w:p>
        </w:tc>
      </w:tr>
      <w:tr w:rsidR="005212B3" w:rsidRPr="002A4D1B" w14:paraId="1EA4DDAF" w14:textId="77777777" w:rsidTr="002A4D1B">
        <w:trPr>
          <w:trHeight w:val="285"/>
        </w:trPr>
        <w:tc>
          <w:tcPr>
            <w:tcW w:w="3423" w:type="pct"/>
            <w:tcBorders>
              <w:top w:val="nil"/>
              <w:left w:val="nil"/>
              <w:bottom w:val="nil"/>
              <w:right w:val="nil"/>
            </w:tcBorders>
            <w:shd w:val="clear" w:color="auto" w:fill="auto"/>
            <w:noWrap/>
            <w:vAlign w:val="bottom"/>
            <w:hideMark/>
          </w:tcPr>
          <w:p w14:paraId="1F06D2B4"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Encargos da rede de transmissão </w:t>
            </w:r>
          </w:p>
        </w:tc>
        <w:tc>
          <w:tcPr>
            <w:tcW w:w="707" w:type="pct"/>
            <w:tcBorders>
              <w:top w:val="nil"/>
              <w:left w:val="nil"/>
              <w:bottom w:val="nil"/>
              <w:right w:val="nil"/>
            </w:tcBorders>
            <w:shd w:val="clear" w:color="auto" w:fill="auto"/>
            <w:noWrap/>
            <w:vAlign w:val="bottom"/>
            <w:hideMark/>
          </w:tcPr>
          <w:p w14:paraId="63CE0E64" w14:textId="5C3FD13A"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730B0BB6"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09CD28DA" w14:textId="5C46A4FE"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(129.766)</w:t>
            </w:r>
          </w:p>
        </w:tc>
      </w:tr>
      <w:tr w:rsidR="005212B3" w:rsidRPr="002A4D1B" w14:paraId="5A647577" w14:textId="77777777" w:rsidTr="002A4D1B">
        <w:trPr>
          <w:trHeight w:val="285"/>
        </w:trPr>
        <w:tc>
          <w:tcPr>
            <w:tcW w:w="3423" w:type="pct"/>
            <w:tcBorders>
              <w:top w:val="nil"/>
              <w:left w:val="nil"/>
              <w:bottom w:val="nil"/>
              <w:right w:val="nil"/>
            </w:tcBorders>
            <w:shd w:val="clear" w:color="auto" w:fill="auto"/>
            <w:noWrap/>
            <w:vAlign w:val="bottom"/>
            <w:hideMark/>
          </w:tcPr>
          <w:p w14:paraId="35D935AD"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Matérias-primas e insumos consumidos </w:t>
            </w:r>
          </w:p>
        </w:tc>
        <w:tc>
          <w:tcPr>
            <w:tcW w:w="707" w:type="pct"/>
            <w:tcBorders>
              <w:top w:val="nil"/>
              <w:left w:val="nil"/>
              <w:bottom w:val="nil"/>
              <w:right w:val="nil"/>
            </w:tcBorders>
            <w:shd w:val="clear" w:color="auto" w:fill="auto"/>
            <w:noWrap/>
            <w:vAlign w:val="bottom"/>
            <w:hideMark/>
          </w:tcPr>
          <w:p w14:paraId="68ED030A" w14:textId="7206D445"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679A84A0"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2DDEE0D7" w14:textId="56088BCE"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(4.463)</w:t>
            </w:r>
          </w:p>
        </w:tc>
      </w:tr>
      <w:tr w:rsidR="005212B3" w:rsidRPr="002A4D1B" w14:paraId="7F4C5297" w14:textId="77777777" w:rsidTr="002A4D1B">
        <w:trPr>
          <w:trHeight w:val="285"/>
        </w:trPr>
        <w:tc>
          <w:tcPr>
            <w:tcW w:w="3423" w:type="pct"/>
            <w:tcBorders>
              <w:top w:val="nil"/>
              <w:left w:val="nil"/>
              <w:bottom w:val="nil"/>
              <w:right w:val="nil"/>
            </w:tcBorders>
            <w:shd w:val="clear" w:color="auto" w:fill="auto"/>
            <w:noWrap/>
            <w:vAlign w:val="bottom"/>
            <w:hideMark/>
          </w:tcPr>
          <w:p w14:paraId="5AFB3C82"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Custos de produtos e serviços vendidos </w:t>
            </w:r>
          </w:p>
        </w:tc>
        <w:tc>
          <w:tcPr>
            <w:tcW w:w="707" w:type="pct"/>
            <w:tcBorders>
              <w:top w:val="nil"/>
              <w:left w:val="nil"/>
              <w:bottom w:val="nil"/>
              <w:right w:val="nil"/>
            </w:tcBorders>
            <w:shd w:val="clear" w:color="auto" w:fill="auto"/>
            <w:noWrap/>
            <w:vAlign w:val="bottom"/>
            <w:hideMark/>
          </w:tcPr>
          <w:p w14:paraId="734D1EBD" w14:textId="51D680D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184</w:t>
            </w:r>
          </w:p>
        </w:tc>
        <w:tc>
          <w:tcPr>
            <w:tcW w:w="124" w:type="pct"/>
            <w:tcBorders>
              <w:top w:val="nil"/>
              <w:left w:val="nil"/>
              <w:bottom w:val="nil"/>
              <w:right w:val="nil"/>
            </w:tcBorders>
            <w:shd w:val="clear" w:color="auto" w:fill="auto"/>
            <w:noWrap/>
            <w:vAlign w:val="bottom"/>
            <w:hideMark/>
          </w:tcPr>
          <w:p w14:paraId="70A13EDB"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74F53DAF" w14:textId="20E8451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(12.526)</w:t>
            </w:r>
          </w:p>
        </w:tc>
      </w:tr>
      <w:tr w:rsidR="005212B3" w:rsidRPr="002A4D1B" w14:paraId="6D843F03" w14:textId="77777777" w:rsidTr="002A4D1B">
        <w:trPr>
          <w:trHeight w:val="285"/>
        </w:trPr>
        <w:tc>
          <w:tcPr>
            <w:tcW w:w="3423" w:type="pct"/>
            <w:tcBorders>
              <w:top w:val="nil"/>
              <w:left w:val="nil"/>
              <w:bottom w:val="nil"/>
              <w:right w:val="nil"/>
            </w:tcBorders>
            <w:shd w:val="clear" w:color="auto" w:fill="auto"/>
            <w:noWrap/>
            <w:vAlign w:val="bottom"/>
            <w:hideMark/>
          </w:tcPr>
          <w:p w14:paraId="2E0959FA"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Provisões e reversões operacionais </w:t>
            </w:r>
          </w:p>
        </w:tc>
        <w:tc>
          <w:tcPr>
            <w:tcW w:w="707" w:type="pct"/>
            <w:tcBorders>
              <w:top w:val="nil"/>
              <w:left w:val="nil"/>
              <w:bottom w:val="nil"/>
              <w:right w:val="nil"/>
            </w:tcBorders>
            <w:shd w:val="clear" w:color="auto" w:fill="auto"/>
            <w:noWrap/>
            <w:vAlign w:val="bottom"/>
            <w:hideMark/>
          </w:tcPr>
          <w:p w14:paraId="37CD8DAF" w14:textId="20141B13"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63C13F73"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07AC068F" w14:textId="09AF4260"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(47.329)</w:t>
            </w:r>
          </w:p>
        </w:tc>
      </w:tr>
      <w:tr w:rsidR="005212B3" w:rsidRPr="002A4D1B" w14:paraId="28149C9C" w14:textId="77777777" w:rsidTr="002A4D1B">
        <w:trPr>
          <w:trHeight w:val="285"/>
        </w:trPr>
        <w:tc>
          <w:tcPr>
            <w:tcW w:w="3423" w:type="pct"/>
            <w:tcBorders>
              <w:top w:val="nil"/>
              <w:left w:val="nil"/>
              <w:bottom w:val="nil"/>
              <w:right w:val="nil"/>
            </w:tcBorders>
            <w:shd w:val="clear" w:color="auto" w:fill="auto"/>
            <w:noWrap/>
            <w:vAlign w:val="bottom"/>
            <w:hideMark/>
          </w:tcPr>
          <w:p w14:paraId="05725699"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Combustível para produção de energia elétrica </w:t>
            </w:r>
          </w:p>
        </w:tc>
        <w:tc>
          <w:tcPr>
            <w:tcW w:w="707" w:type="pct"/>
            <w:tcBorders>
              <w:top w:val="nil"/>
              <w:left w:val="nil"/>
              <w:bottom w:val="nil"/>
              <w:right w:val="nil"/>
            </w:tcBorders>
            <w:shd w:val="clear" w:color="auto" w:fill="auto"/>
            <w:noWrap/>
            <w:vAlign w:val="bottom"/>
            <w:hideMark/>
          </w:tcPr>
          <w:p w14:paraId="0E70CC7B" w14:textId="34E01B75"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18613432"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641C2DC4" w14:textId="23920723"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(281.772)</w:t>
            </w:r>
          </w:p>
        </w:tc>
      </w:tr>
      <w:tr w:rsidR="005212B3" w:rsidRPr="002A4D1B" w14:paraId="02741700" w14:textId="77777777" w:rsidTr="002A4D1B">
        <w:trPr>
          <w:trHeight w:val="285"/>
        </w:trPr>
        <w:tc>
          <w:tcPr>
            <w:tcW w:w="3423" w:type="pct"/>
            <w:tcBorders>
              <w:top w:val="nil"/>
              <w:left w:val="nil"/>
              <w:bottom w:val="nil"/>
              <w:right w:val="nil"/>
            </w:tcBorders>
            <w:shd w:val="clear" w:color="auto" w:fill="auto"/>
            <w:noWrap/>
            <w:vAlign w:val="bottom"/>
            <w:hideMark/>
          </w:tcPr>
          <w:p w14:paraId="39C8CF6F"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Materiais, energia, serviços de terceiros e outros </w:t>
            </w:r>
          </w:p>
        </w:tc>
        <w:tc>
          <w:tcPr>
            <w:tcW w:w="707" w:type="pct"/>
            <w:tcBorders>
              <w:top w:val="nil"/>
              <w:left w:val="nil"/>
              <w:bottom w:val="nil"/>
              <w:right w:val="nil"/>
            </w:tcBorders>
            <w:shd w:val="clear" w:color="auto" w:fill="auto"/>
            <w:noWrap/>
            <w:vAlign w:val="bottom"/>
            <w:hideMark/>
          </w:tcPr>
          <w:p w14:paraId="67CAA918" w14:textId="2FBA32FA"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(2.898)</w:t>
            </w:r>
          </w:p>
        </w:tc>
        <w:tc>
          <w:tcPr>
            <w:tcW w:w="124" w:type="pct"/>
            <w:tcBorders>
              <w:top w:val="nil"/>
              <w:left w:val="nil"/>
              <w:bottom w:val="nil"/>
              <w:right w:val="nil"/>
            </w:tcBorders>
            <w:shd w:val="clear" w:color="auto" w:fill="auto"/>
            <w:noWrap/>
            <w:vAlign w:val="bottom"/>
            <w:hideMark/>
          </w:tcPr>
          <w:p w14:paraId="64C5DA67"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155895B6" w14:textId="34288E46"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(522.526)</w:t>
            </w:r>
          </w:p>
        </w:tc>
      </w:tr>
      <w:tr w:rsidR="005212B3" w:rsidRPr="002A4D1B" w14:paraId="3CF4A4A6" w14:textId="77777777" w:rsidTr="002A4D1B">
        <w:trPr>
          <w:trHeight w:val="330"/>
        </w:trPr>
        <w:tc>
          <w:tcPr>
            <w:tcW w:w="3423" w:type="pct"/>
            <w:tcBorders>
              <w:top w:val="nil"/>
              <w:left w:val="nil"/>
              <w:bottom w:val="nil"/>
              <w:right w:val="nil"/>
            </w:tcBorders>
            <w:shd w:val="clear" w:color="auto" w:fill="auto"/>
            <w:vAlign w:val="bottom"/>
            <w:hideMark/>
          </w:tcPr>
          <w:p w14:paraId="3AA31119"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VALOR ADICIONADO BRUTO   </w:t>
            </w:r>
          </w:p>
        </w:tc>
        <w:tc>
          <w:tcPr>
            <w:tcW w:w="707" w:type="pct"/>
            <w:tcBorders>
              <w:top w:val="single" w:sz="4" w:space="0" w:color="1B80C4"/>
              <w:left w:val="nil"/>
              <w:bottom w:val="nil"/>
              <w:right w:val="nil"/>
            </w:tcBorders>
            <w:shd w:val="clear" w:color="auto" w:fill="auto"/>
            <w:noWrap/>
            <w:vAlign w:val="bottom"/>
            <w:hideMark/>
          </w:tcPr>
          <w:p w14:paraId="1CD3CB78" w14:textId="0C963EAD"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19.130</w:t>
            </w:r>
          </w:p>
        </w:tc>
        <w:tc>
          <w:tcPr>
            <w:tcW w:w="124" w:type="pct"/>
            <w:tcBorders>
              <w:top w:val="nil"/>
              <w:left w:val="nil"/>
              <w:bottom w:val="nil"/>
              <w:right w:val="nil"/>
            </w:tcBorders>
            <w:shd w:val="clear" w:color="auto" w:fill="auto"/>
            <w:noWrap/>
            <w:vAlign w:val="bottom"/>
            <w:hideMark/>
          </w:tcPr>
          <w:p w14:paraId="04318DD8"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single" w:sz="4" w:space="0" w:color="1B80C4"/>
              <w:left w:val="nil"/>
              <w:bottom w:val="nil"/>
              <w:right w:val="nil"/>
            </w:tcBorders>
            <w:shd w:val="clear" w:color="auto" w:fill="auto"/>
            <w:noWrap/>
            <w:vAlign w:val="bottom"/>
            <w:hideMark/>
          </w:tcPr>
          <w:p w14:paraId="7C1B4360" w14:textId="12E6F4FD"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1.621.151</w:t>
            </w:r>
          </w:p>
        </w:tc>
      </w:tr>
      <w:tr w:rsidR="005212B3" w:rsidRPr="002A4D1B" w14:paraId="368D01A6" w14:textId="77777777" w:rsidTr="002A4D1B">
        <w:trPr>
          <w:trHeight w:val="285"/>
        </w:trPr>
        <w:tc>
          <w:tcPr>
            <w:tcW w:w="3423" w:type="pct"/>
            <w:tcBorders>
              <w:top w:val="nil"/>
              <w:left w:val="nil"/>
              <w:bottom w:val="nil"/>
              <w:right w:val="nil"/>
            </w:tcBorders>
            <w:shd w:val="clear" w:color="auto" w:fill="auto"/>
            <w:noWrap/>
            <w:vAlign w:val="bottom"/>
            <w:hideMark/>
          </w:tcPr>
          <w:p w14:paraId="105D4801"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Depreciação, amortização e exaustão </w:t>
            </w:r>
          </w:p>
        </w:tc>
        <w:tc>
          <w:tcPr>
            <w:tcW w:w="707" w:type="pct"/>
            <w:tcBorders>
              <w:top w:val="nil"/>
              <w:left w:val="nil"/>
              <w:bottom w:val="nil"/>
              <w:right w:val="nil"/>
            </w:tcBorders>
            <w:shd w:val="clear" w:color="auto" w:fill="auto"/>
            <w:noWrap/>
            <w:vAlign w:val="bottom"/>
            <w:hideMark/>
          </w:tcPr>
          <w:p w14:paraId="659FFDB7" w14:textId="6037DA32"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(886)</w:t>
            </w:r>
          </w:p>
        </w:tc>
        <w:tc>
          <w:tcPr>
            <w:tcW w:w="124" w:type="pct"/>
            <w:tcBorders>
              <w:top w:val="nil"/>
              <w:left w:val="nil"/>
              <w:bottom w:val="nil"/>
              <w:right w:val="nil"/>
            </w:tcBorders>
            <w:shd w:val="clear" w:color="auto" w:fill="auto"/>
            <w:noWrap/>
            <w:vAlign w:val="bottom"/>
            <w:hideMark/>
          </w:tcPr>
          <w:p w14:paraId="45D54DE4"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2319F9B3" w14:textId="257558A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(356.210)</w:t>
            </w:r>
          </w:p>
        </w:tc>
      </w:tr>
      <w:tr w:rsidR="005212B3" w:rsidRPr="002A4D1B" w14:paraId="4A02F5D5" w14:textId="77777777" w:rsidTr="002A4D1B">
        <w:trPr>
          <w:trHeight w:val="285"/>
        </w:trPr>
        <w:tc>
          <w:tcPr>
            <w:tcW w:w="3423" w:type="pct"/>
            <w:tcBorders>
              <w:top w:val="nil"/>
              <w:left w:val="nil"/>
              <w:bottom w:val="nil"/>
              <w:right w:val="nil"/>
            </w:tcBorders>
            <w:shd w:val="clear" w:color="auto" w:fill="auto"/>
            <w:vAlign w:val="bottom"/>
            <w:hideMark/>
          </w:tcPr>
          <w:p w14:paraId="5A850AEE"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VALOR ADICIONADO LÍQUIDO DISTRIBUÍDO PELA EMPRESA </w:t>
            </w:r>
          </w:p>
        </w:tc>
        <w:tc>
          <w:tcPr>
            <w:tcW w:w="707" w:type="pct"/>
            <w:tcBorders>
              <w:top w:val="single" w:sz="4" w:space="0" w:color="1B80C4"/>
              <w:left w:val="nil"/>
              <w:bottom w:val="double" w:sz="6" w:space="0" w:color="1B80C4"/>
              <w:right w:val="nil"/>
            </w:tcBorders>
            <w:shd w:val="clear" w:color="auto" w:fill="auto"/>
            <w:noWrap/>
            <w:vAlign w:val="bottom"/>
            <w:hideMark/>
          </w:tcPr>
          <w:p w14:paraId="3D012D32" w14:textId="152A0664"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18.244</w:t>
            </w:r>
          </w:p>
        </w:tc>
        <w:tc>
          <w:tcPr>
            <w:tcW w:w="124" w:type="pct"/>
            <w:tcBorders>
              <w:top w:val="nil"/>
              <w:left w:val="nil"/>
              <w:bottom w:val="nil"/>
              <w:right w:val="nil"/>
            </w:tcBorders>
            <w:shd w:val="clear" w:color="auto" w:fill="auto"/>
            <w:noWrap/>
            <w:vAlign w:val="bottom"/>
            <w:hideMark/>
          </w:tcPr>
          <w:p w14:paraId="712F9DBE"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single" w:sz="4" w:space="0" w:color="1B80C4"/>
              <w:left w:val="nil"/>
              <w:bottom w:val="double" w:sz="6" w:space="0" w:color="1B80C4"/>
              <w:right w:val="nil"/>
            </w:tcBorders>
            <w:shd w:val="clear" w:color="auto" w:fill="auto"/>
            <w:noWrap/>
            <w:vAlign w:val="bottom"/>
            <w:hideMark/>
          </w:tcPr>
          <w:p w14:paraId="4AC38646" w14:textId="4151546B"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1.264.941</w:t>
            </w:r>
          </w:p>
        </w:tc>
      </w:tr>
      <w:tr w:rsidR="005212B3" w:rsidRPr="002A4D1B" w14:paraId="5FE9150C" w14:textId="77777777" w:rsidTr="002A4D1B">
        <w:trPr>
          <w:trHeight w:val="285"/>
        </w:trPr>
        <w:tc>
          <w:tcPr>
            <w:tcW w:w="3423" w:type="pct"/>
            <w:tcBorders>
              <w:top w:val="nil"/>
              <w:left w:val="nil"/>
              <w:bottom w:val="nil"/>
              <w:right w:val="nil"/>
            </w:tcBorders>
            <w:shd w:val="clear" w:color="auto" w:fill="auto"/>
            <w:vAlign w:val="bottom"/>
            <w:hideMark/>
          </w:tcPr>
          <w:p w14:paraId="6E9DD460"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Valor adicionado recebido em transferência </w:t>
            </w:r>
          </w:p>
        </w:tc>
        <w:tc>
          <w:tcPr>
            <w:tcW w:w="707" w:type="pct"/>
            <w:tcBorders>
              <w:top w:val="nil"/>
              <w:left w:val="nil"/>
              <w:bottom w:val="single" w:sz="4" w:space="0" w:color="1B80C4"/>
              <w:right w:val="nil"/>
            </w:tcBorders>
            <w:shd w:val="clear" w:color="auto" w:fill="auto"/>
            <w:noWrap/>
            <w:vAlign w:val="bottom"/>
            <w:hideMark/>
          </w:tcPr>
          <w:p w14:paraId="37E96B93" w14:textId="17AB20CF"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161.220</w:t>
            </w:r>
          </w:p>
        </w:tc>
        <w:tc>
          <w:tcPr>
            <w:tcW w:w="124" w:type="pct"/>
            <w:tcBorders>
              <w:top w:val="nil"/>
              <w:left w:val="nil"/>
              <w:bottom w:val="nil"/>
              <w:right w:val="nil"/>
            </w:tcBorders>
            <w:shd w:val="clear" w:color="auto" w:fill="auto"/>
            <w:noWrap/>
            <w:vAlign w:val="bottom"/>
            <w:hideMark/>
          </w:tcPr>
          <w:p w14:paraId="10D0B442"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nil"/>
              <w:left w:val="nil"/>
              <w:bottom w:val="single" w:sz="4" w:space="0" w:color="1B80C4"/>
              <w:right w:val="nil"/>
            </w:tcBorders>
            <w:shd w:val="clear" w:color="auto" w:fill="auto"/>
            <w:noWrap/>
            <w:vAlign w:val="bottom"/>
            <w:hideMark/>
          </w:tcPr>
          <w:p w14:paraId="319FF0E3" w14:textId="682063C9"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686.654</w:t>
            </w:r>
          </w:p>
        </w:tc>
      </w:tr>
      <w:tr w:rsidR="005212B3" w:rsidRPr="002A4D1B" w14:paraId="499700CC" w14:textId="77777777" w:rsidTr="002A4D1B">
        <w:trPr>
          <w:trHeight w:val="285"/>
        </w:trPr>
        <w:tc>
          <w:tcPr>
            <w:tcW w:w="3423" w:type="pct"/>
            <w:tcBorders>
              <w:top w:val="nil"/>
              <w:left w:val="nil"/>
              <w:bottom w:val="nil"/>
              <w:right w:val="nil"/>
            </w:tcBorders>
            <w:shd w:val="clear" w:color="auto" w:fill="auto"/>
            <w:noWrap/>
            <w:vAlign w:val="bottom"/>
            <w:hideMark/>
          </w:tcPr>
          <w:p w14:paraId="0BD94C5F"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Receitas financeiras </w:t>
            </w:r>
          </w:p>
        </w:tc>
        <w:tc>
          <w:tcPr>
            <w:tcW w:w="707" w:type="pct"/>
            <w:tcBorders>
              <w:top w:val="nil"/>
              <w:left w:val="nil"/>
              <w:bottom w:val="nil"/>
              <w:right w:val="nil"/>
            </w:tcBorders>
            <w:shd w:val="clear" w:color="auto" w:fill="auto"/>
            <w:noWrap/>
            <w:vAlign w:val="bottom"/>
            <w:hideMark/>
          </w:tcPr>
          <w:p w14:paraId="2A539847" w14:textId="43EC903D"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205.141</w:t>
            </w:r>
          </w:p>
        </w:tc>
        <w:tc>
          <w:tcPr>
            <w:tcW w:w="124" w:type="pct"/>
            <w:tcBorders>
              <w:top w:val="nil"/>
              <w:left w:val="nil"/>
              <w:bottom w:val="nil"/>
              <w:right w:val="nil"/>
            </w:tcBorders>
            <w:shd w:val="clear" w:color="auto" w:fill="auto"/>
            <w:noWrap/>
            <w:vAlign w:val="bottom"/>
            <w:hideMark/>
          </w:tcPr>
          <w:p w14:paraId="6405A55F"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47A61596" w14:textId="3DA10AD5"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655.518</w:t>
            </w:r>
          </w:p>
        </w:tc>
      </w:tr>
      <w:tr w:rsidR="005212B3" w:rsidRPr="002A4D1B" w14:paraId="742B7D61" w14:textId="77777777" w:rsidTr="002A4D1B">
        <w:trPr>
          <w:trHeight w:val="285"/>
        </w:trPr>
        <w:tc>
          <w:tcPr>
            <w:tcW w:w="3423" w:type="pct"/>
            <w:tcBorders>
              <w:top w:val="nil"/>
              <w:left w:val="nil"/>
              <w:bottom w:val="nil"/>
              <w:right w:val="nil"/>
            </w:tcBorders>
            <w:shd w:val="clear" w:color="auto" w:fill="auto"/>
            <w:noWrap/>
            <w:vAlign w:val="bottom"/>
            <w:hideMark/>
          </w:tcPr>
          <w:p w14:paraId="41065BC4"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Resultado de equivalência patrimonial </w:t>
            </w:r>
          </w:p>
        </w:tc>
        <w:tc>
          <w:tcPr>
            <w:tcW w:w="707" w:type="pct"/>
            <w:tcBorders>
              <w:top w:val="nil"/>
              <w:left w:val="nil"/>
              <w:bottom w:val="nil"/>
              <w:right w:val="nil"/>
            </w:tcBorders>
            <w:shd w:val="clear" w:color="auto" w:fill="auto"/>
            <w:noWrap/>
            <w:vAlign w:val="bottom"/>
            <w:hideMark/>
          </w:tcPr>
          <w:p w14:paraId="2BFB36E3" w14:textId="746D7F63"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(43.921)</w:t>
            </w:r>
          </w:p>
        </w:tc>
        <w:tc>
          <w:tcPr>
            <w:tcW w:w="124" w:type="pct"/>
            <w:tcBorders>
              <w:top w:val="nil"/>
              <w:left w:val="nil"/>
              <w:bottom w:val="nil"/>
              <w:right w:val="nil"/>
            </w:tcBorders>
            <w:shd w:val="clear" w:color="auto" w:fill="auto"/>
            <w:noWrap/>
            <w:vAlign w:val="bottom"/>
            <w:hideMark/>
          </w:tcPr>
          <w:p w14:paraId="5F755D48"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3488838D" w14:textId="7324A02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31.136</w:t>
            </w:r>
          </w:p>
        </w:tc>
      </w:tr>
      <w:tr w:rsidR="003A6C4B" w:rsidRPr="002A4D1B" w14:paraId="4910A6FE" w14:textId="77777777" w:rsidTr="002A4D1B">
        <w:trPr>
          <w:trHeight w:val="285"/>
        </w:trPr>
        <w:tc>
          <w:tcPr>
            <w:tcW w:w="3423" w:type="pct"/>
            <w:tcBorders>
              <w:top w:val="single" w:sz="4" w:space="0" w:color="1B80C4"/>
              <w:left w:val="nil"/>
              <w:bottom w:val="double" w:sz="6" w:space="0" w:color="1B80C4"/>
              <w:right w:val="nil"/>
            </w:tcBorders>
            <w:shd w:val="clear" w:color="auto" w:fill="auto"/>
            <w:noWrap/>
            <w:vAlign w:val="bottom"/>
          </w:tcPr>
          <w:p w14:paraId="15B84A3E" w14:textId="77777777" w:rsidR="003A6C4B" w:rsidRPr="002A4D1B" w:rsidRDefault="003A6C4B" w:rsidP="002A4D1B">
            <w:pPr>
              <w:spacing w:after="0" w:line="240" w:lineRule="auto"/>
              <w:ind w:firstLineChars="200" w:firstLine="361"/>
              <w:rPr>
                <w:rFonts w:ascii="Segoe UI" w:eastAsia="Times New Roman" w:hAnsi="Segoe UI" w:cs="Segoe UI"/>
                <w:b/>
                <w:bCs/>
                <w:sz w:val="18"/>
                <w:szCs w:val="18"/>
                <w:lang w:eastAsia="pt-BR"/>
              </w:rPr>
            </w:pPr>
          </w:p>
        </w:tc>
        <w:tc>
          <w:tcPr>
            <w:tcW w:w="707" w:type="pct"/>
            <w:tcBorders>
              <w:top w:val="single" w:sz="4" w:space="0" w:color="1B80C4"/>
              <w:left w:val="nil"/>
              <w:bottom w:val="double" w:sz="6" w:space="0" w:color="1B80C4"/>
              <w:right w:val="nil"/>
            </w:tcBorders>
            <w:shd w:val="clear" w:color="auto" w:fill="auto"/>
            <w:noWrap/>
            <w:vAlign w:val="bottom"/>
          </w:tcPr>
          <w:p w14:paraId="5A04F008" w14:textId="77777777" w:rsidR="003A6C4B" w:rsidRPr="002A4D1B" w:rsidRDefault="003A6C4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124" w:type="pct"/>
            <w:tcBorders>
              <w:top w:val="nil"/>
              <w:left w:val="nil"/>
              <w:bottom w:val="nil"/>
              <w:right w:val="nil"/>
            </w:tcBorders>
            <w:shd w:val="clear" w:color="auto" w:fill="auto"/>
            <w:noWrap/>
            <w:vAlign w:val="bottom"/>
          </w:tcPr>
          <w:p w14:paraId="0A795600" w14:textId="77777777" w:rsidR="003A6C4B" w:rsidRPr="002A4D1B" w:rsidRDefault="003A6C4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single" w:sz="4" w:space="0" w:color="1B80C4"/>
              <w:left w:val="nil"/>
              <w:bottom w:val="double" w:sz="6" w:space="0" w:color="1B80C4"/>
              <w:right w:val="nil"/>
            </w:tcBorders>
            <w:shd w:val="clear" w:color="auto" w:fill="auto"/>
            <w:noWrap/>
            <w:vAlign w:val="bottom"/>
          </w:tcPr>
          <w:p w14:paraId="6BE4F179" w14:textId="77777777" w:rsidR="003A6C4B" w:rsidRPr="002A4D1B" w:rsidRDefault="003A6C4B" w:rsidP="002A4D1B">
            <w:pPr>
              <w:spacing w:after="0" w:line="240" w:lineRule="auto"/>
              <w:ind w:firstLineChars="200" w:firstLine="361"/>
              <w:jc w:val="right"/>
              <w:rPr>
                <w:rFonts w:ascii="Segoe UI" w:eastAsia="Times New Roman" w:hAnsi="Segoe UI" w:cs="Segoe UI"/>
                <w:b/>
                <w:bCs/>
                <w:sz w:val="18"/>
                <w:szCs w:val="18"/>
                <w:lang w:eastAsia="pt-BR"/>
              </w:rPr>
            </w:pPr>
          </w:p>
        </w:tc>
      </w:tr>
      <w:tr w:rsidR="005212B3" w:rsidRPr="002A4D1B" w14:paraId="382E6C0C" w14:textId="77777777" w:rsidTr="002A4D1B">
        <w:trPr>
          <w:trHeight w:val="285"/>
        </w:trPr>
        <w:tc>
          <w:tcPr>
            <w:tcW w:w="3423" w:type="pct"/>
            <w:tcBorders>
              <w:top w:val="single" w:sz="4" w:space="0" w:color="1B80C4"/>
              <w:left w:val="nil"/>
              <w:bottom w:val="double" w:sz="6" w:space="0" w:color="1B80C4"/>
              <w:right w:val="nil"/>
            </w:tcBorders>
            <w:shd w:val="clear" w:color="auto" w:fill="auto"/>
            <w:noWrap/>
            <w:vAlign w:val="bottom"/>
            <w:hideMark/>
          </w:tcPr>
          <w:p w14:paraId="4375E52E" w14:textId="77777777" w:rsidR="002A4D1B" w:rsidRPr="002A4D1B" w:rsidRDefault="002A4D1B" w:rsidP="002A4D1B">
            <w:pPr>
              <w:spacing w:after="0" w:line="240" w:lineRule="auto"/>
              <w:ind w:firstLineChars="200" w:firstLine="361"/>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VALOR ADICIONADO TOTAL A DISTRIBUIR  </w:t>
            </w:r>
          </w:p>
        </w:tc>
        <w:tc>
          <w:tcPr>
            <w:tcW w:w="707" w:type="pct"/>
            <w:tcBorders>
              <w:top w:val="single" w:sz="4" w:space="0" w:color="1B80C4"/>
              <w:left w:val="nil"/>
              <w:bottom w:val="double" w:sz="6" w:space="0" w:color="1B80C4"/>
              <w:right w:val="nil"/>
            </w:tcBorders>
            <w:shd w:val="clear" w:color="auto" w:fill="auto"/>
            <w:noWrap/>
            <w:vAlign w:val="bottom"/>
            <w:hideMark/>
          </w:tcPr>
          <w:p w14:paraId="1CE5E1C4" w14:textId="457F2659"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179.464</w:t>
            </w:r>
          </w:p>
        </w:tc>
        <w:tc>
          <w:tcPr>
            <w:tcW w:w="124" w:type="pct"/>
            <w:tcBorders>
              <w:top w:val="nil"/>
              <w:left w:val="nil"/>
              <w:bottom w:val="nil"/>
              <w:right w:val="nil"/>
            </w:tcBorders>
            <w:shd w:val="clear" w:color="auto" w:fill="auto"/>
            <w:noWrap/>
            <w:vAlign w:val="bottom"/>
            <w:hideMark/>
          </w:tcPr>
          <w:p w14:paraId="3A12DDB1"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single" w:sz="4" w:space="0" w:color="1B80C4"/>
              <w:left w:val="nil"/>
              <w:bottom w:val="double" w:sz="6" w:space="0" w:color="1B80C4"/>
              <w:right w:val="nil"/>
            </w:tcBorders>
            <w:shd w:val="clear" w:color="auto" w:fill="auto"/>
            <w:noWrap/>
            <w:vAlign w:val="bottom"/>
            <w:hideMark/>
          </w:tcPr>
          <w:p w14:paraId="00CF9FB4" w14:textId="102B2F96"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1.951.595</w:t>
            </w:r>
          </w:p>
        </w:tc>
      </w:tr>
      <w:tr w:rsidR="005212B3" w:rsidRPr="002A4D1B" w14:paraId="6DA12852" w14:textId="77777777" w:rsidTr="002A4D1B">
        <w:trPr>
          <w:trHeight w:val="285"/>
        </w:trPr>
        <w:tc>
          <w:tcPr>
            <w:tcW w:w="3423" w:type="pct"/>
            <w:tcBorders>
              <w:top w:val="nil"/>
              <w:left w:val="nil"/>
              <w:bottom w:val="nil"/>
              <w:right w:val="nil"/>
            </w:tcBorders>
            <w:shd w:val="clear" w:color="auto" w:fill="auto"/>
            <w:noWrap/>
            <w:vAlign w:val="bottom"/>
            <w:hideMark/>
          </w:tcPr>
          <w:p w14:paraId="67F3CFEA" w14:textId="77777777" w:rsidR="002A4D1B" w:rsidRPr="002A4D1B" w:rsidRDefault="002A4D1B" w:rsidP="002A4D1B">
            <w:pPr>
              <w:spacing w:after="0" w:line="240" w:lineRule="auto"/>
              <w:ind w:firstLineChars="200" w:firstLine="361"/>
              <w:rPr>
                <w:rFonts w:ascii="Segoe UI" w:eastAsia="Times New Roman" w:hAnsi="Segoe UI" w:cs="Segoe UI"/>
                <w:b/>
                <w:bCs/>
                <w:sz w:val="18"/>
                <w:szCs w:val="18"/>
                <w:lang w:eastAsia="pt-BR"/>
              </w:rPr>
            </w:pPr>
          </w:p>
        </w:tc>
        <w:tc>
          <w:tcPr>
            <w:tcW w:w="707" w:type="pct"/>
            <w:tcBorders>
              <w:top w:val="nil"/>
              <w:left w:val="nil"/>
              <w:bottom w:val="nil"/>
              <w:right w:val="nil"/>
            </w:tcBorders>
            <w:shd w:val="clear" w:color="auto" w:fill="auto"/>
            <w:noWrap/>
            <w:vAlign w:val="bottom"/>
            <w:hideMark/>
          </w:tcPr>
          <w:p w14:paraId="0F7C3B39" w14:textId="77777777" w:rsidR="002A4D1B" w:rsidRPr="002A4D1B" w:rsidRDefault="002A4D1B" w:rsidP="002A4D1B">
            <w:pPr>
              <w:spacing w:after="0" w:line="240" w:lineRule="auto"/>
              <w:ind w:firstLineChars="200" w:firstLine="400"/>
              <w:jc w:val="right"/>
              <w:rPr>
                <w:rFonts w:ascii="Times New Roman" w:eastAsia="Times New Roman" w:hAnsi="Times New Roman" w:cs="Times New Roman"/>
                <w:sz w:val="20"/>
                <w:szCs w:val="20"/>
                <w:lang w:eastAsia="pt-BR"/>
              </w:rPr>
            </w:pPr>
          </w:p>
        </w:tc>
        <w:tc>
          <w:tcPr>
            <w:tcW w:w="124" w:type="pct"/>
            <w:tcBorders>
              <w:top w:val="nil"/>
              <w:left w:val="nil"/>
              <w:bottom w:val="nil"/>
              <w:right w:val="nil"/>
            </w:tcBorders>
            <w:shd w:val="clear" w:color="auto" w:fill="auto"/>
            <w:noWrap/>
            <w:vAlign w:val="bottom"/>
            <w:hideMark/>
          </w:tcPr>
          <w:p w14:paraId="2BF8ACCF" w14:textId="77777777" w:rsidR="002A4D1B" w:rsidRPr="00482C5E" w:rsidRDefault="002A4D1B" w:rsidP="00482C5E">
            <w:pPr>
              <w:spacing w:after="0" w:line="240" w:lineRule="auto"/>
              <w:ind w:firstLineChars="200" w:firstLine="400"/>
              <w:jc w:val="right"/>
              <w:rPr>
                <w:rFonts w:ascii="Times New Roman" w:hAnsi="Times New Roman"/>
                <w:sz w:val="20"/>
              </w:rPr>
            </w:pPr>
          </w:p>
        </w:tc>
        <w:tc>
          <w:tcPr>
            <w:tcW w:w="746" w:type="pct"/>
            <w:tcBorders>
              <w:top w:val="nil"/>
              <w:left w:val="nil"/>
              <w:bottom w:val="nil"/>
              <w:right w:val="nil"/>
            </w:tcBorders>
            <w:shd w:val="clear" w:color="auto" w:fill="auto"/>
            <w:noWrap/>
            <w:vAlign w:val="bottom"/>
            <w:hideMark/>
          </w:tcPr>
          <w:p w14:paraId="7E0A5664" w14:textId="77777777" w:rsidR="002A4D1B" w:rsidRPr="00482C5E" w:rsidRDefault="002A4D1B" w:rsidP="00482C5E">
            <w:pPr>
              <w:spacing w:after="0" w:line="240" w:lineRule="auto"/>
              <w:ind w:firstLineChars="200" w:firstLine="400"/>
              <w:jc w:val="right"/>
              <w:rPr>
                <w:rFonts w:ascii="Times New Roman" w:hAnsi="Times New Roman"/>
                <w:sz w:val="20"/>
              </w:rPr>
            </w:pPr>
          </w:p>
        </w:tc>
      </w:tr>
      <w:tr w:rsidR="005212B3" w:rsidRPr="002A4D1B" w14:paraId="5D45D2EC" w14:textId="77777777" w:rsidTr="002A4D1B">
        <w:trPr>
          <w:trHeight w:val="285"/>
        </w:trPr>
        <w:tc>
          <w:tcPr>
            <w:tcW w:w="3423" w:type="pct"/>
            <w:tcBorders>
              <w:top w:val="nil"/>
              <w:left w:val="nil"/>
              <w:bottom w:val="nil"/>
              <w:right w:val="nil"/>
            </w:tcBorders>
            <w:shd w:val="clear" w:color="auto" w:fill="auto"/>
            <w:vAlign w:val="bottom"/>
            <w:hideMark/>
          </w:tcPr>
          <w:p w14:paraId="5A94C481"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DISTRIBUIÇÃO DO VALOR ADICIONADO </w:t>
            </w:r>
          </w:p>
        </w:tc>
        <w:tc>
          <w:tcPr>
            <w:tcW w:w="707" w:type="pct"/>
            <w:tcBorders>
              <w:top w:val="nil"/>
              <w:left w:val="nil"/>
              <w:bottom w:val="nil"/>
              <w:right w:val="nil"/>
            </w:tcBorders>
            <w:shd w:val="clear" w:color="auto" w:fill="auto"/>
            <w:noWrap/>
            <w:vAlign w:val="bottom"/>
            <w:hideMark/>
          </w:tcPr>
          <w:p w14:paraId="1843664D" w14:textId="77777777" w:rsidR="002A4D1B" w:rsidRPr="002A4D1B" w:rsidRDefault="002A4D1B" w:rsidP="002A4D1B">
            <w:pPr>
              <w:spacing w:after="0" w:line="240" w:lineRule="auto"/>
              <w:jc w:val="right"/>
              <w:rPr>
                <w:rFonts w:ascii="Segoe UI" w:eastAsia="Times New Roman" w:hAnsi="Segoe UI" w:cs="Segoe UI"/>
                <w:b/>
                <w:bCs/>
                <w:sz w:val="18"/>
                <w:szCs w:val="18"/>
                <w:lang w:eastAsia="pt-BR"/>
              </w:rPr>
            </w:pPr>
          </w:p>
        </w:tc>
        <w:tc>
          <w:tcPr>
            <w:tcW w:w="124" w:type="pct"/>
            <w:tcBorders>
              <w:top w:val="nil"/>
              <w:left w:val="nil"/>
              <w:bottom w:val="nil"/>
              <w:right w:val="nil"/>
            </w:tcBorders>
            <w:shd w:val="clear" w:color="auto" w:fill="auto"/>
            <w:noWrap/>
            <w:vAlign w:val="bottom"/>
            <w:hideMark/>
          </w:tcPr>
          <w:p w14:paraId="6CB85EDA" w14:textId="77777777" w:rsidR="002A4D1B" w:rsidRPr="00482C5E" w:rsidRDefault="002A4D1B" w:rsidP="00482C5E">
            <w:pPr>
              <w:spacing w:after="0" w:line="240" w:lineRule="auto"/>
              <w:ind w:firstLineChars="200" w:firstLine="400"/>
              <w:jc w:val="right"/>
              <w:rPr>
                <w:rFonts w:ascii="Times New Roman" w:hAnsi="Times New Roman"/>
                <w:sz w:val="20"/>
              </w:rPr>
            </w:pPr>
          </w:p>
        </w:tc>
        <w:tc>
          <w:tcPr>
            <w:tcW w:w="746" w:type="pct"/>
            <w:tcBorders>
              <w:top w:val="nil"/>
              <w:left w:val="nil"/>
              <w:bottom w:val="nil"/>
              <w:right w:val="nil"/>
            </w:tcBorders>
            <w:shd w:val="clear" w:color="auto" w:fill="auto"/>
            <w:noWrap/>
            <w:vAlign w:val="bottom"/>
            <w:hideMark/>
          </w:tcPr>
          <w:p w14:paraId="781BCAF3" w14:textId="77777777" w:rsidR="002A4D1B" w:rsidRPr="00482C5E" w:rsidRDefault="002A4D1B" w:rsidP="00482C5E">
            <w:pPr>
              <w:spacing w:after="0" w:line="240" w:lineRule="auto"/>
              <w:ind w:firstLineChars="200" w:firstLine="400"/>
              <w:jc w:val="right"/>
              <w:rPr>
                <w:rFonts w:ascii="Times New Roman" w:hAnsi="Times New Roman"/>
                <w:sz w:val="20"/>
              </w:rPr>
            </w:pPr>
          </w:p>
        </w:tc>
      </w:tr>
      <w:tr w:rsidR="005212B3" w:rsidRPr="002A4D1B" w14:paraId="08B9E834" w14:textId="77777777" w:rsidTr="002A4D1B">
        <w:trPr>
          <w:trHeight w:val="285"/>
        </w:trPr>
        <w:tc>
          <w:tcPr>
            <w:tcW w:w="3423" w:type="pct"/>
            <w:tcBorders>
              <w:top w:val="nil"/>
              <w:left w:val="nil"/>
              <w:bottom w:val="nil"/>
              <w:right w:val="nil"/>
            </w:tcBorders>
            <w:shd w:val="clear" w:color="auto" w:fill="auto"/>
            <w:noWrap/>
            <w:vAlign w:val="bottom"/>
            <w:hideMark/>
          </w:tcPr>
          <w:p w14:paraId="5AB9914F"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Colaboradores (Empregados e Administradores) </w:t>
            </w:r>
          </w:p>
        </w:tc>
        <w:tc>
          <w:tcPr>
            <w:tcW w:w="707" w:type="pct"/>
            <w:tcBorders>
              <w:top w:val="nil"/>
              <w:left w:val="nil"/>
              <w:bottom w:val="single" w:sz="4" w:space="0" w:color="1B80C4"/>
              <w:right w:val="nil"/>
            </w:tcBorders>
            <w:shd w:val="clear" w:color="auto" w:fill="auto"/>
            <w:noWrap/>
            <w:vAlign w:val="bottom"/>
            <w:hideMark/>
          </w:tcPr>
          <w:p w14:paraId="1C085AEB" w14:textId="42DF0B18"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11.336</w:t>
            </w:r>
          </w:p>
        </w:tc>
        <w:tc>
          <w:tcPr>
            <w:tcW w:w="124" w:type="pct"/>
            <w:tcBorders>
              <w:top w:val="nil"/>
              <w:left w:val="nil"/>
              <w:bottom w:val="nil"/>
              <w:right w:val="nil"/>
            </w:tcBorders>
            <w:shd w:val="clear" w:color="auto" w:fill="auto"/>
            <w:noWrap/>
            <w:vAlign w:val="bottom"/>
            <w:hideMark/>
          </w:tcPr>
          <w:p w14:paraId="0794AD56"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nil"/>
              <w:left w:val="nil"/>
              <w:bottom w:val="single" w:sz="4" w:space="0" w:color="1B80C4"/>
              <w:right w:val="nil"/>
            </w:tcBorders>
            <w:shd w:val="clear" w:color="auto" w:fill="auto"/>
            <w:noWrap/>
            <w:vAlign w:val="bottom"/>
            <w:hideMark/>
          </w:tcPr>
          <w:p w14:paraId="6DCA660D" w14:textId="2F386520"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690.939</w:t>
            </w:r>
          </w:p>
        </w:tc>
      </w:tr>
      <w:tr w:rsidR="005212B3" w:rsidRPr="002A4D1B" w14:paraId="0B2174A9" w14:textId="77777777" w:rsidTr="002A4D1B">
        <w:trPr>
          <w:trHeight w:val="285"/>
        </w:trPr>
        <w:tc>
          <w:tcPr>
            <w:tcW w:w="3423" w:type="pct"/>
            <w:tcBorders>
              <w:top w:val="nil"/>
              <w:left w:val="nil"/>
              <w:bottom w:val="nil"/>
              <w:right w:val="nil"/>
            </w:tcBorders>
            <w:shd w:val="clear" w:color="auto" w:fill="auto"/>
            <w:noWrap/>
            <w:vAlign w:val="bottom"/>
            <w:hideMark/>
          </w:tcPr>
          <w:p w14:paraId="5F0DC085"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Remuneração direta </w:t>
            </w:r>
          </w:p>
        </w:tc>
        <w:tc>
          <w:tcPr>
            <w:tcW w:w="707" w:type="pct"/>
            <w:tcBorders>
              <w:top w:val="nil"/>
              <w:left w:val="nil"/>
              <w:bottom w:val="nil"/>
              <w:right w:val="nil"/>
            </w:tcBorders>
            <w:shd w:val="clear" w:color="auto" w:fill="auto"/>
            <w:noWrap/>
            <w:vAlign w:val="bottom"/>
            <w:hideMark/>
          </w:tcPr>
          <w:p w14:paraId="2D9F9FE9" w14:textId="5841A094"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9.728</w:t>
            </w:r>
          </w:p>
        </w:tc>
        <w:tc>
          <w:tcPr>
            <w:tcW w:w="124" w:type="pct"/>
            <w:tcBorders>
              <w:top w:val="nil"/>
              <w:left w:val="nil"/>
              <w:bottom w:val="nil"/>
              <w:right w:val="nil"/>
            </w:tcBorders>
            <w:shd w:val="clear" w:color="auto" w:fill="auto"/>
            <w:noWrap/>
            <w:vAlign w:val="bottom"/>
            <w:hideMark/>
          </w:tcPr>
          <w:p w14:paraId="5FC66F35" w14:textId="77777777"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bottom"/>
            <w:hideMark/>
          </w:tcPr>
          <w:p w14:paraId="5AA51B9E" w14:textId="3FD9E221"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548.057</w:t>
            </w:r>
          </w:p>
        </w:tc>
      </w:tr>
      <w:tr w:rsidR="005212B3" w:rsidRPr="002A4D1B" w14:paraId="1331B37F" w14:textId="77777777" w:rsidTr="002A4D1B">
        <w:trPr>
          <w:trHeight w:val="285"/>
        </w:trPr>
        <w:tc>
          <w:tcPr>
            <w:tcW w:w="3423" w:type="pct"/>
            <w:tcBorders>
              <w:top w:val="nil"/>
              <w:left w:val="nil"/>
              <w:bottom w:val="nil"/>
              <w:right w:val="nil"/>
            </w:tcBorders>
            <w:shd w:val="clear" w:color="auto" w:fill="auto"/>
            <w:noWrap/>
            <w:vAlign w:val="bottom"/>
            <w:hideMark/>
          </w:tcPr>
          <w:p w14:paraId="1D853F54"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Benefícios </w:t>
            </w:r>
          </w:p>
        </w:tc>
        <w:tc>
          <w:tcPr>
            <w:tcW w:w="707" w:type="pct"/>
            <w:tcBorders>
              <w:top w:val="nil"/>
              <w:left w:val="nil"/>
              <w:bottom w:val="nil"/>
              <w:right w:val="nil"/>
            </w:tcBorders>
            <w:shd w:val="clear" w:color="auto" w:fill="auto"/>
            <w:noWrap/>
            <w:vAlign w:val="bottom"/>
            <w:hideMark/>
          </w:tcPr>
          <w:p w14:paraId="1BDB3B61" w14:textId="789AD678"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785</w:t>
            </w:r>
          </w:p>
        </w:tc>
        <w:tc>
          <w:tcPr>
            <w:tcW w:w="124" w:type="pct"/>
            <w:tcBorders>
              <w:top w:val="nil"/>
              <w:left w:val="nil"/>
              <w:bottom w:val="nil"/>
              <w:right w:val="nil"/>
            </w:tcBorders>
            <w:shd w:val="clear" w:color="auto" w:fill="auto"/>
            <w:noWrap/>
            <w:vAlign w:val="bottom"/>
            <w:hideMark/>
          </w:tcPr>
          <w:p w14:paraId="4481C51D" w14:textId="77777777"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bottom"/>
            <w:hideMark/>
          </w:tcPr>
          <w:p w14:paraId="4173D150" w14:textId="1C511D0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113.315</w:t>
            </w:r>
          </w:p>
        </w:tc>
      </w:tr>
      <w:tr w:rsidR="005212B3" w:rsidRPr="002A4D1B" w14:paraId="69626D00" w14:textId="77777777" w:rsidTr="002A4D1B">
        <w:trPr>
          <w:trHeight w:val="285"/>
        </w:trPr>
        <w:tc>
          <w:tcPr>
            <w:tcW w:w="3423" w:type="pct"/>
            <w:tcBorders>
              <w:top w:val="nil"/>
              <w:left w:val="nil"/>
              <w:bottom w:val="nil"/>
              <w:right w:val="nil"/>
            </w:tcBorders>
            <w:shd w:val="clear" w:color="auto" w:fill="auto"/>
            <w:noWrap/>
            <w:vAlign w:val="bottom"/>
            <w:hideMark/>
          </w:tcPr>
          <w:p w14:paraId="74BFC2E9"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FGTS </w:t>
            </w:r>
          </w:p>
        </w:tc>
        <w:tc>
          <w:tcPr>
            <w:tcW w:w="707" w:type="pct"/>
            <w:tcBorders>
              <w:top w:val="nil"/>
              <w:left w:val="nil"/>
              <w:bottom w:val="nil"/>
              <w:right w:val="nil"/>
            </w:tcBorders>
            <w:shd w:val="clear" w:color="auto" w:fill="auto"/>
            <w:noWrap/>
            <w:vAlign w:val="bottom"/>
            <w:hideMark/>
          </w:tcPr>
          <w:p w14:paraId="7BA55230" w14:textId="355B41C0"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823</w:t>
            </w:r>
          </w:p>
        </w:tc>
        <w:tc>
          <w:tcPr>
            <w:tcW w:w="124" w:type="pct"/>
            <w:tcBorders>
              <w:top w:val="nil"/>
              <w:left w:val="nil"/>
              <w:bottom w:val="nil"/>
              <w:right w:val="nil"/>
            </w:tcBorders>
            <w:shd w:val="clear" w:color="auto" w:fill="auto"/>
            <w:noWrap/>
            <w:vAlign w:val="bottom"/>
            <w:hideMark/>
          </w:tcPr>
          <w:p w14:paraId="104EEADC" w14:textId="77777777"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bottom"/>
            <w:hideMark/>
          </w:tcPr>
          <w:p w14:paraId="3E94B14B" w14:textId="76EC25AF"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29.567</w:t>
            </w:r>
          </w:p>
        </w:tc>
      </w:tr>
      <w:tr w:rsidR="005212B3" w:rsidRPr="002A4D1B" w14:paraId="736FDF3C" w14:textId="77777777" w:rsidTr="002A4D1B">
        <w:trPr>
          <w:trHeight w:val="285"/>
        </w:trPr>
        <w:tc>
          <w:tcPr>
            <w:tcW w:w="3423" w:type="pct"/>
            <w:tcBorders>
              <w:top w:val="nil"/>
              <w:left w:val="nil"/>
              <w:bottom w:val="nil"/>
              <w:right w:val="nil"/>
            </w:tcBorders>
            <w:shd w:val="clear" w:color="auto" w:fill="auto"/>
            <w:noWrap/>
            <w:vAlign w:val="bottom"/>
            <w:hideMark/>
          </w:tcPr>
          <w:p w14:paraId="7FFC8245"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Governo (Tributos) </w:t>
            </w:r>
          </w:p>
        </w:tc>
        <w:tc>
          <w:tcPr>
            <w:tcW w:w="707" w:type="pct"/>
            <w:tcBorders>
              <w:top w:val="nil"/>
              <w:left w:val="nil"/>
              <w:bottom w:val="single" w:sz="4" w:space="0" w:color="1B80C4"/>
              <w:right w:val="nil"/>
            </w:tcBorders>
            <w:shd w:val="clear" w:color="auto" w:fill="auto"/>
            <w:noWrap/>
            <w:vAlign w:val="bottom"/>
            <w:hideMark/>
          </w:tcPr>
          <w:p w14:paraId="151E9924" w14:textId="1E63EAAA"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91.321</w:t>
            </w:r>
          </w:p>
        </w:tc>
        <w:tc>
          <w:tcPr>
            <w:tcW w:w="124" w:type="pct"/>
            <w:tcBorders>
              <w:top w:val="nil"/>
              <w:left w:val="nil"/>
              <w:bottom w:val="nil"/>
              <w:right w:val="nil"/>
            </w:tcBorders>
            <w:shd w:val="clear" w:color="auto" w:fill="auto"/>
            <w:noWrap/>
            <w:vAlign w:val="bottom"/>
            <w:hideMark/>
          </w:tcPr>
          <w:p w14:paraId="51E5A829"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nil"/>
              <w:left w:val="nil"/>
              <w:bottom w:val="single" w:sz="4" w:space="0" w:color="1B80C4"/>
              <w:right w:val="nil"/>
            </w:tcBorders>
            <w:shd w:val="clear" w:color="auto" w:fill="auto"/>
            <w:noWrap/>
            <w:vAlign w:val="bottom"/>
            <w:hideMark/>
          </w:tcPr>
          <w:p w14:paraId="7270FB91" w14:textId="0DF03982"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672.988</w:t>
            </w:r>
          </w:p>
        </w:tc>
      </w:tr>
      <w:tr w:rsidR="005212B3" w:rsidRPr="002A4D1B" w14:paraId="64DAC13C" w14:textId="77777777" w:rsidTr="002A4D1B">
        <w:trPr>
          <w:trHeight w:val="285"/>
        </w:trPr>
        <w:tc>
          <w:tcPr>
            <w:tcW w:w="3423" w:type="pct"/>
            <w:tcBorders>
              <w:top w:val="nil"/>
              <w:left w:val="nil"/>
              <w:bottom w:val="nil"/>
              <w:right w:val="nil"/>
            </w:tcBorders>
            <w:shd w:val="clear" w:color="auto" w:fill="auto"/>
            <w:noWrap/>
            <w:vAlign w:val="bottom"/>
            <w:hideMark/>
          </w:tcPr>
          <w:p w14:paraId="25D400DA"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Federais </w:t>
            </w:r>
          </w:p>
        </w:tc>
        <w:tc>
          <w:tcPr>
            <w:tcW w:w="707" w:type="pct"/>
            <w:tcBorders>
              <w:top w:val="nil"/>
              <w:left w:val="nil"/>
              <w:bottom w:val="nil"/>
              <w:right w:val="nil"/>
            </w:tcBorders>
            <w:shd w:val="clear" w:color="auto" w:fill="auto"/>
            <w:noWrap/>
            <w:vAlign w:val="bottom"/>
            <w:hideMark/>
          </w:tcPr>
          <w:p w14:paraId="51316F01" w14:textId="7B14DF7F"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91.321</w:t>
            </w:r>
          </w:p>
        </w:tc>
        <w:tc>
          <w:tcPr>
            <w:tcW w:w="124" w:type="pct"/>
            <w:tcBorders>
              <w:top w:val="nil"/>
              <w:left w:val="nil"/>
              <w:bottom w:val="nil"/>
              <w:right w:val="nil"/>
            </w:tcBorders>
            <w:shd w:val="clear" w:color="auto" w:fill="auto"/>
            <w:noWrap/>
            <w:vAlign w:val="bottom"/>
            <w:hideMark/>
          </w:tcPr>
          <w:p w14:paraId="707C61F6" w14:textId="77777777"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bottom"/>
            <w:hideMark/>
          </w:tcPr>
          <w:p w14:paraId="6EC70A15" w14:textId="137C2188"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576.879</w:t>
            </w:r>
          </w:p>
        </w:tc>
      </w:tr>
      <w:tr w:rsidR="005212B3" w:rsidRPr="002A4D1B" w14:paraId="71E738CC" w14:textId="77777777" w:rsidTr="002A4D1B">
        <w:trPr>
          <w:trHeight w:val="285"/>
        </w:trPr>
        <w:tc>
          <w:tcPr>
            <w:tcW w:w="3423" w:type="pct"/>
            <w:tcBorders>
              <w:top w:val="nil"/>
              <w:left w:val="nil"/>
              <w:bottom w:val="nil"/>
              <w:right w:val="nil"/>
            </w:tcBorders>
            <w:shd w:val="clear" w:color="auto" w:fill="auto"/>
            <w:noWrap/>
            <w:vAlign w:val="bottom"/>
            <w:hideMark/>
          </w:tcPr>
          <w:p w14:paraId="37341382"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Estaduais </w:t>
            </w:r>
          </w:p>
        </w:tc>
        <w:tc>
          <w:tcPr>
            <w:tcW w:w="707" w:type="pct"/>
            <w:tcBorders>
              <w:top w:val="nil"/>
              <w:left w:val="nil"/>
              <w:bottom w:val="nil"/>
              <w:right w:val="nil"/>
            </w:tcBorders>
            <w:shd w:val="clear" w:color="auto" w:fill="auto"/>
            <w:noWrap/>
            <w:vAlign w:val="bottom"/>
            <w:hideMark/>
          </w:tcPr>
          <w:p w14:paraId="63DD2D9A" w14:textId="394D466F"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372B62CF"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167A6E54" w14:textId="4048C75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2.472</w:t>
            </w:r>
          </w:p>
        </w:tc>
      </w:tr>
      <w:tr w:rsidR="005212B3" w:rsidRPr="002A4D1B" w14:paraId="0054448B" w14:textId="77777777" w:rsidTr="002A4D1B">
        <w:trPr>
          <w:trHeight w:val="285"/>
        </w:trPr>
        <w:tc>
          <w:tcPr>
            <w:tcW w:w="3423" w:type="pct"/>
            <w:tcBorders>
              <w:top w:val="nil"/>
              <w:left w:val="nil"/>
              <w:bottom w:val="nil"/>
              <w:right w:val="nil"/>
            </w:tcBorders>
            <w:shd w:val="clear" w:color="auto" w:fill="auto"/>
            <w:noWrap/>
            <w:vAlign w:val="bottom"/>
            <w:hideMark/>
          </w:tcPr>
          <w:p w14:paraId="4E7AD15C"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Municipais </w:t>
            </w:r>
          </w:p>
        </w:tc>
        <w:tc>
          <w:tcPr>
            <w:tcW w:w="707" w:type="pct"/>
            <w:tcBorders>
              <w:top w:val="nil"/>
              <w:left w:val="nil"/>
              <w:bottom w:val="nil"/>
              <w:right w:val="nil"/>
            </w:tcBorders>
            <w:shd w:val="clear" w:color="auto" w:fill="auto"/>
            <w:noWrap/>
            <w:vAlign w:val="bottom"/>
            <w:hideMark/>
          </w:tcPr>
          <w:p w14:paraId="58BE9BF3" w14:textId="392A113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237197D7" w14:textId="77777777" w:rsidR="002A4D1B" w:rsidRPr="00482C5E" w:rsidRDefault="002A4D1B" w:rsidP="00482C5E">
            <w:pPr>
              <w:spacing w:after="0" w:line="240" w:lineRule="auto"/>
              <w:ind w:firstLineChars="200" w:firstLine="360"/>
              <w:jc w:val="right"/>
              <w:rPr>
                <w:rFonts w:ascii="Segoe UI" w:hAnsi="Segoe UI"/>
                <w:sz w:val="18"/>
              </w:rPr>
            </w:pPr>
          </w:p>
        </w:tc>
        <w:tc>
          <w:tcPr>
            <w:tcW w:w="746" w:type="pct"/>
            <w:tcBorders>
              <w:top w:val="nil"/>
              <w:left w:val="nil"/>
              <w:bottom w:val="nil"/>
              <w:right w:val="nil"/>
            </w:tcBorders>
            <w:shd w:val="clear" w:color="auto" w:fill="auto"/>
            <w:noWrap/>
            <w:vAlign w:val="bottom"/>
            <w:hideMark/>
          </w:tcPr>
          <w:p w14:paraId="57DACF6C" w14:textId="167AD46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15.950</w:t>
            </w:r>
          </w:p>
        </w:tc>
      </w:tr>
      <w:tr w:rsidR="005212B3" w:rsidRPr="002A4D1B" w14:paraId="59527A08" w14:textId="77777777" w:rsidTr="002A4D1B">
        <w:trPr>
          <w:trHeight w:val="285"/>
        </w:trPr>
        <w:tc>
          <w:tcPr>
            <w:tcW w:w="3423" w:type="pct"/>
            <w:tcBorders>
              <w:top w:val="nil"/>
              <w:left w:val="nil"/>
              <w:bottom w:val="nil"/>
              <w:right w:val="nil"/>
            </w:tcBorders>
            <w:shd w:val="clear" w:color="auto" w:fill="auto"/>
            <w:noWrap/>
            <w:vAlign w:val="bottom"/>
            <w:hideMark/>
          </w:tcPr>
          <w:p w14:paraId="3BD647F6"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Encargos setoriais </w:t>
            </w:r>
          </w:p>
        </w:tc>
        <w:tc>
          <w:tcPr>
            <w:tcW w:w="707" w:type="pct"/>
            <w:tcBorders>
              <w:top w:val="nil"/>
              <w:left w:val="nil"/>
              <w:bottom w:val="nil"/>
              <w:right w:val="nil"/>
            </w:tcBorders>
            <w:shd w:val="clear" w:color="auto" w:fill="auto"/>
            <w:noWrap/>
            <w:vAlign w:val="bottom"/>
            <w:hideMark/>
          </w:tcPr>
          <w:p w14:paraId="26937C71" w14:textId="7691DB08"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w:t>
            </w:r>
          </w:p>
        </w:tc>
        <w:tc>
          <w:tcPr>
            <w:tcW w:w="124" w:type="pct"/>
            <w:tcBorders>
              <w:top w:val="nil"/>
              <w:left w:val="nil"/>
              <w:bottom w:val="nil"/>
              <w:right w:val="nil"/>
            </w:tcBorders>
            <w:shd w:val="clear" w:color="auto" w:fill="auto"/>
            <w:noWrap/>
            <w:vAlign w:val="bottom"/>
            <w:hideMark/>
          </w:tcPr>
          <w:p w14:paraId="0319B546" w14:textId="77777777" w:rsidR="002A4D1B" w:rsidRPr="00482C5E" w:rsidRDefault="002A4D1B" w:rsidP="00482C5E">
            <w:pPr>
              <w:spacing w:after="0" w:line="240" w:lineRule="auto"/>
              <w:ind w:firstLineChars="200" w:firstLine="360"/>
              <w:jc w:val="right"/>
              <w:rPr>
                <w:rFonts w:ascii="Segoe UI" w:hAnsi="Segoe UI"/>
                <w:sz w:val="18"/>
              </w:rPr>
            </w:pPr>
          </w:p>
        </w:tc>
        <w:tc>
          <w:tcPr>
            <w:tcW w:w="746" w:type="pct"/>
            <w:tcBorders>
              <w:top w:val="nil"/>
              <w:left w:val="nil"/>
              <w:bottom w:val="nil"/>
              <w:right w:val="nil"/>
            </w:tcBorders>
            <w:shd w:val="clear" w:color="auto" w:fill="auto"/>
            <w:noWrap/>
            <w:vAlign w:val="bottom"/>
            <w:hideMark/>
          </w:tcPr>
          <w:p w14:paraId="0C4BF714" w14:textId="075A3BE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77.687</w:t>
            </w:r>
          </w:p>
        </w:tc>
      </w:tr>
      <w:tr w:rsidR="005212B3" w:rsidRPr="002A4D1B" w14:paraId="6EBB7FD7" w14:textId="77777777" w:rsidTr="002A4D1B">
        <w:trPr>
          <w:trHeight w:val="285"/>
        </w:trPr>
        <w:tc>
          <w:tcPr>
            <w:tcW w:w="3423" w:type="pct"/>
            <w:tcBorders>
              <w:top w:val="nil"/>
              <w:left w:val="nil"/>
              <w:bottom w:val="nil"/>
              <w:right w:val="nil"/>
            </w:tcBorders>
            <w:shd w:val="clear" w:color="auto" w:fill="auto"/>
            <w:noWrap/>
            <w:vAlign w:val="bottom"/>
            <w:hideMark/>
          </w:tcPr>
          <w:p w14:paraId="4C20657B"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Agentes financiadores </w:t>
            </w:r>
          </w:p>
        </w:tc>
        <w:tc>
          <w:tcPr>
            <w:tcW w:w="707" w:type="pct"/>
            <w:tcBorders>
              <w:top w:val="nil"/>
              <w:left w:val="nil"/>
              <w:bottom w:val="single" w:sz="4" w:space="0" w:color="1B80C4"/>
              <w:right w:val="nil"/>
            </w:tcBorders>
            <w:shd w:val="clear" w:color="auto" w:fill="auto"/>
            <w:noWrap/>
            <w:vAlign w:val="bottom"/>
            <w:hideMark/>
          </w:tcPr>
          <w:p w14:paraId="11E1EF69" w14:textId="6EDCA7FA"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59.422</w:t>
            </w:r>
          </w:p>
        </w:tc>
        <w:tc>
          <w:tcPr>
            <w:tcW w:w="124" w:type="pct"/>
            <w:tcBorders>
              <w:top w:val="nil"/>
              <w:left w:val="nil"/>
              <w:bottom w:val="nil"/>
              <w:right w:val="nil"/>
            </w:tcBorders>
            <w:shd w:val="clear" w:color="auto" w:fill="auto"/>
            <w:noWrap/>
            <w:vAlign w:val="bottom"/>
            <w:hideMark/>
          </w:tcPr>
          <w:p w14:paraId="23AA4CD0"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nil"/>
              <w:left w:val="nil"/>
              <w:bottom w:val="single" w:sz="4" w:space="0" w:color="1B80C4"/>
              <w:right w:val="nil"/>
            </w:tcBorders>
            <w:shd w:val="clear" w:color="auto" w:fill="auto"/>
            <w:noWrap/>
            <w:vAlign w:val="bottom"/>
            <w:hideMark/>
          </w:tcPr>
          <w:p w14:paraId="57518DD8" w14:textId="0F23D10B"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634.959</w:t>
            </w:r>
          </w:p>
        </w:tc>
      </w:tr>
      <w:tr w:rsidR="005212B3" w:rsidRPr="002A4D1B" w14:paraId="784A92FD" w14:textId="77777777" w:rsidTr="002A4D1B">
        <w:trPr>
          <w:trHeight w:val="285"/>
        </w:trPr>
        <w:tc>
          <w:tcPr>
            <w:tcW w:w="3423" w:type="pct"/>
            <w:tcBorders>
              <w:top w:val="nil"/>
              <w:left w:val="nil"/>
              <w:bottom w:val="nil"/>
              <w:right w:val="nil"/>
            </w:tcBorders>
            <w:shd w:val="clear" w:color="auto" w:fill="auto"/>
            <w:noWrap/>
            <w:vAlign w:val="bottom"/>
            <w:hideMark/>
          </w:tcPr>
          <w:p w14:paraId="2A245C49"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Juros </w:t>
            </w:r>
          </w:p>
        </w:tc>
        <w:tc>
          <w:tcPr>
            <w:tcW w:w="707" w:type="pct"/>
            <w:tcBorders>
              <w:top w:val="nil"/>
              <w:left w:val="nil"/>
              <w:bottom w:val="nil"/>
              <w:right w:val="nil"/>
            </w:tcBorders>
            <w:shd w:val="clear" w:color="auto" w:fill="auto"/>
            <w:noWrap/>
            <w:vAlign w:val="bottom"/>
            <w:hideMark/>
          </w:tcPr>
          <w:p w14:paraId="4FF515B0" w14:textId="0412034C"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59.422</w:t>
            </w:r>
          </w:p>
        </w:tc>
        <w:tc>
          <w:tcPr>
            <w:tcW w:w="124" w:type="pct"/>
            <w:tcBorders>
              <w:top w:val="nil"/>
              <w:left w:val="nil"/>
              <w:bottom w:val="nil"/>
              <w:right w:val="nil"/>
            </w:tcBorders>
            <w:shd w:val="clear" w:color="auto" w:fill="auto"/>
            <w:noWrap/>
            <w:vAlign w:val="bottom"/>
            <w:hideMark/>
          </w:tcPr>
          <w:p w14:paraId="084DF17C" w14:textId="77777777"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bottom"/>
            <w:hideMark/>
          </w:tcPr>
          <w:p w14:paraId="3135CEC8" w14:textId="37B12249"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621.969</w:t>
            </w:r>
          </w:p>
        </w:tc>
      </w:tr>
      <w:tr w:rsidR="005212B3" w:rsidRPr="002A4D1B" w14:paraId="2C364460" w14:textId="77777777" w:rsidTr="002A4D1B">
        <w:trPr>
          <w:trHeight w:val="285"/>
        </w:trPr>
        <w:tc>
          <w:tcPr>
            <w:tcW w:w="3423" w:type="pct"/>
            <w:tcBorders>
              <w:top w:val="nil"/>
              <w:left w:val="nil"/>
              <w:bottom w:val="nil"/>
              <w:right w:val="nil"/>
            </w:tcBorders>
            <w:shd w:val="clear" w:color="auto" w:fill="auto"/>
            <w:noWrap/>
            <w:vAlign w:val="bottom"/>
            <w:hideMark/>
          </w:tcPr>
          <w:p w14:paraId="5FF5E6EC"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Aluguéis </w:t>
            </w:r>
          </w:p>
        </w:tc>
        <w:tc>
          <w:tcPr>
            <w:tcW w:w="707" w:type="pct"/>
            <w:tcBorders>
              <w:top w:val="nil"/>
              <w:left w:val="nil"/>
              <w:bottom w:val="nil"/>
              <w:right w:val="nil"/>
            </w:tcBorders>
            <w:shd w:val="clear" w:color="auto" w:fill="auto"/>
            <w:noWrap/>
            <w:vAlign w:val="bottom"/>
            <w:hideMark/>
          </w:tcPr>
          <w:p w14:paraId="77A8E50A" w14:textId="0B60E85F"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w:t>
            </w:r>
          </w:p>
        </w:tc>
        <w:tc>
          <w:tcPr>
            <w:tcW w:w="124" w:type="pct"/>
            <w:tcBorders>
              <w:top w:val="nil"/>
              <w:left w:val="nil"/>
              <w:bottom w:val="nil"/>
              <w:right w:val="nil"/>
            </w:tcBorders>
            <w:shd w:val="clear" w:color="auto" w:fill="auto"/>
            <w:noWrap/>
            <w:vAlign w:val="bottom"/>
            <w:hideMark/>
          </w:tcPr>
          <w:p w14:paraId="2567B3C2" w14:textId="77777777" w:rsidR="002A4D1B" w:rsidRPr="00482C5E" w:rsidRDefault="002A4D1B" w:rsidP="00482C5E">
            <w:pPr>
              <w:spacing w:after="0" w:line="240" w:lineRule="auto"/>
              <w:jc w:val="right"/>
              <w:rPr>
                <w:rFonts w:ascii="Segoe UI" w:hAnsi="Segoe UI"/>
                <w:color w:val="000000"/>
                <w:sz w:val="18"/>
              </w:rPr>
            </w:pPr>
          </w:p>
        </w:tc>
        <w:tc>
          <w:tcPr>
            <w:tcW w:w="746" w:type="pct"/>
            <w:tcBorders>
              <w:top w:val="nil"/>
              <w:left w:val="nil"/>
              <w:bottom w:val="nil"/>
              <w:right w:val="nil"/>
            </w:tcBorders>
            <w:shd w:val="clear" w:color="auto" w:fill="auto"/>
            <w:noWrap/>
            <w:vAlign w:val="bottom"/>
            <w:hideMark/>
          </w:tcPr>
          <w:p w14:paraId="1667EE86" w14:textId="24B6F1D2"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12.990</w:t>
            </w:r>
          </w:p>
        </w:tc>
      </w:tr>
      <w:tr w:rsidR="005212B3" w:rsidRPr="002A4D1B" w14:paraId="01909CBD" w14:textId="77777777" w:rsidTr="002A4D1B">
        <w:trPr>
          <w:trHeight w:val="285"/>
        </w:trPr>
        <w:tc>
          <w:tcPr>
            <w:tcW w:w="3423" w:type="pct"/>
            <w:tcBorders>
              <w:top w:val="nil"/>
              <w:left w:val="nil"/>
              <w:bottom w:val="nil"/>
              <w:right w:val="nil"/>
            </w:tcBorders>
            <w:shd w:val="clear" w:color="auto" w:fill="auto"/>
            <w:noWrap/>
            <w:vAlign w:val="bottom"/>
            <w:hideMark/>
          </w:tcPr>
          <w:p w14:paraId="38E9EB78" w14:textId="77777777" w:rsidR="002A4D1B" w:rsidRPr="002A4D1B" w:rsidRDefault="002A4D1B"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Destinação do lucro </w:t>
            </w:r>
          </w:p>
        </w:tc>
        <w:tc>
          <w:tcPr>
            <w:tcW w:w="707" w:type="pct"/>
            <w:tcBorders>
              <w:top w:val="nil"/>
              <w:left w:val="nil"/>
              <w:bottom w:val="single" w:sz="4" w:space="0" w:color="1B80C4"/>
              <w:right w:val="nil"/>
            </w:tcBorders>
            <w:shd w:val="clear" w:color="auto" w:fill="auto"/>
            <w:noWrap/>
            <w:vAlign w:val="bottom"/>
            <w:hideMark/>
          </w:tcPr>
          <w:p w14:paraId="00FB3736" w14:textId="6555292A"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17.385</w:t>
            </w:r>
          </w:p>
        </w:tc>
        <w:tc>
          <w:tcPr>
            <w:tcW w:w="124" w:type="pct"/>
            <w:tcBorders>
              <w:top w:val="nil"/>
              <w:left w:val="nil"/>
              <w:bottom w:val="nil"/>
              <w:right w:val="nil"/>
            </w:tcBorders>
            <w:shd w:val="clear" w:color="auto" w:fill="auto"/>
            <w:noWrap/>
            <w:vAlign w:val="bottom"/>
            <w:hideMark/>
          </w:tcPr>
          <w:p w14:paraId="4081B336"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nil"/>
              <w:left w:val="nil"/>
              <w:bottom w:val="single" w:sz="4" w:space="0" w:color="1B80C4"/>
              <w:right w:val="nil"/>
            </w:tcBorders>
            <w:shd w:val="clear" w:color="auto" w:fill="auto"/>
            <w:noWrap/>
            <w:vAlign w:val="bottom"/>
            <w:hideMark/>
          </w:tcPr>
          <w:p w14:paraId="4AC4F8FB" w14:textId="5E820139"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(47.291)</w:t>
            </w:r>
          </w:p>
        </w:tc>
      </w:tr>
      <w:tr w:rsidR="005212B3" w:rsidRPr="002A4D1B" w14:paraId="15A36777" w14:textId="77777777" w:rsidTr="002A4D1B">
        <w:trPr>
          <w:trHeight w:val="285"/>
        </w:trPr>
        <w:tc>
          <w:tcPr>
            <w:tcW w:w="3423" w:type="pct"/>
            <w:tcBorders>
              <w:top w:val="nil"/>
              <w:left w:val="nil"/>
              <w:bottom w:val="nil"/>
              <w:right w:val="nil"/>
            </w:tcBorders>
            <w:shd w:val="clear" w:color="auto" w:fill="auto"/>
            <w:noWrap/>
            <w:vAlign w:val="bottom"/>
            <w:hideMark/>
          </w:tcPr>
          <w:p w14:paraId="23D9B330"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Lucros retidos do exercício </w:t>
            </w:r>
          </w:p>
        </w:tc>
        <w:tc>
          <w:tcPr>
            <w:tcW w:w="707" w:type="pct"/>
            <w:tcBorders>
              <w:top w:val="nil"/>
              <w:left w:val="nil"/>
              <w:bottom w:val="nil"/>
              <w:right w:val="nil"/>
            </w:tcBorders>
            <w:shd w:val="clear" w:color="auto" w:fill="auto"/>
            <w:noWrap/>
            <w:vAlign w:val="bottom"/>
            <w:hideMark/>
          </w:tcPr>
          <w:p w14:paraId="71BBF893" w14:textId="68827412"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105.895</w:t>
            </w:r>
          </w:p>
        </w:tc>
        <w:tc>
          <w:tcPr>
            <w:tcW w:w="124" w:type="pct"/>
            <w:tcBorders>
              <w:top w:val="nil"/>
              <w:left w:val="nil"/>
              <w:bottom w:val="nil"/>
              <w:right w:val="nil"/>
            </w:tcBorders>
            <w:shd w:val="clear" w:color="auto" w:fill="auto"/>
            <w:noWrap/>
            <w:vAlign w:val="bottom"/>
            <w:hideMark/>
          </w:tcPr>
          <w:p w14:paraId="533C1753" w14:textId="77777777" w:rsidR="002A4D1B" w:rsidRPr="002A4D1B" w:rsidRDefault="002A4D1B" w:rsidP="002A4D1B">
            <w:pPr>
              <w:spacing w:after="0" w:line="240" w:lineRule="auto"/>
              <w:jc w:val="right"/>
              <w:rPr>
                <w:rFonts w:ascii="Segoe UI" w:eastAsia="Times New Roman" w:hAnsi="Segoe UI" w:cs="Segoe UI"/>
                <w:color w:val="000000"/>
                <w:sz w:val="18"/>
                <w:szCs w:val="18"/>
                <w:lang w:eastAsia="pt-BR"/>
              </w:rPr>
            </w:pPr>
          </w:p>
        </w:tc>
        <w:tc>
          <w:tcPr>
            <w:tcW w:w="746" w:type="pct"/>
            <w:tcBorders>
              <w:top w:val="nil"/>
              <w:left w:val="nil"/>
              <w:bottom w:val="nil"/>
              <w:right w:val="nil"/>
            </w:tcBorders>
            <w:shd w:val="clear" w:color="auto" w:fill="auto"/>
            <w:noWrap/>
            <w:vAlign w:val="bottom"/>
            <w:hideMark/>
          </w:tcPr>
          <w:p w14:paraId="4357AD62" w14:textId="44A7CC0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41.219</w:t>
            </w:r>
          </w:p>
        </w:tc>
      </w:tr>
      <w:tr w:rsidR="005212B3" w:rsidRPr="002A4D1B" w14:paraId="6E7D7638" w14:textId="77777777" w:rsidTr="002A4D1B">
        <w:trPr>
          <w:trHeight w:val="285"/>
        </w:trPr>
        <w:tc>
          <w:tcPr>
            <w:tcW w:w="3423" w:type="pct"/>
            <w:tcBorders>
              <w:top w:val="nil"/>
              <w:left w:val="nil"/>
              <w:bottom w:val="nil"/>
              <w:right w:val="nil"/>
            </w:tcBorders>
            <w:shd w:val="clear" w:color="auto" w:fill="auto"/>
            <w:noWrap/>
            <w:vAlign w:val="bottom"/>
            <w:hideMark/>
          </w:tcPr>
          <w:p w14:paraId="38C4F20F"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Compra vantajosa </w:t>
            </w:r>
          </w:p>
        </w:tc>
        <w:tc>
          <w:tcPr>
            <w:tcW w:w="707" w:type="pct"/>
            <w:tcBorders>
              <w:top w:val="nil"/>
              <w:left w:val="nil"/>
              <w:bottom w:val="nil"/>
              <w:right w:val="nil"/>
            </w:tcBorders>
            <w:shd w:val="clear" w:color="auto" w:fill="auto"/>
            <w:noWrap/>
            <w:vAlign w:val="bottom"/>
            <w:hideMark/>
          </w:tcPr>
          <w:p w14:paraId="7686FB45" w14:textId="2B98E60B"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(88.510)</w:t>
            </w:r>
          </w:p>
        </w:tc>
        <w:tc>
          <w:tcPr>
            <w:tcW w:w="124" w:type="pct"/>
            <w:tcBorders>
              <w:top w:val="nil"/>
              <w:left w:val="nil"/>
              <w:bottom w:val="nil"/>
              <w:right w:val="nil"/>
            </w:tcBorders>
            <w:shd w:val="clear" w:color="auto" w:fill="auto"/>
            <w:noWrap/>
            <w:vAlign w:val="bottom"/>
            <w:hideMark/>
          </w:tcPr>
          <w:p w14:paraId="33626D65" w14:textId="77777777"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p>
        </w:tc>
        <w:tc>
          <w:tcPr>
            <w:tcW w:w="746" w:type="pct"/>
            <w:tcBorders>
              <w:top w:val="nil"/>
              <w:left w:val="nil"/>
              <w:bottom w:val="nil"/>
              <w:right w:val="nil"/>
            </w:tcBorders>
            <w:shd w:val="clear" w:color="auto" w:fill="auto"/>
            <w:noWrap/>
            <w:vAlign w:val="bottom"/>
            <w:hideMark/>
          </w:tcPr>
          <w:p w14:paraId="620B81BF" w14:textId="06BBC9F4" w:rsidR="002A4D1B" w:rsidRPr="002A4D1B" w:rsidRDefault="002A4D1B" w:rsidP="002A4D1B">
            <w:pPr>
              <w:spacing w:after="0" w:line="240" w:lineRule="auto"/>
              <w:ind w:firstLineChars="200" w:firstLine="360"/>
              <w:jc w:val="right"/>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(88.510)</w:t>
            </w:r>
          </w:p>
        </w:tc>
      </w:tr>
      <w:tr w:rsidR="005212B3" w:rsidRPr="002A4D1B" w14:paraId="4E0149F4" w14:textId="77777777" w:rsidTr="002A4D1B">
        <w:trPr>
          <w:trHeight w:val="285"/>
        </w:trPr>
        <w:tc>
          <w:tcPr>
            <w:tcW w:w="3423" w:type="pct"/>
            <w:tcBorders>
              <w:top w:val="nil"/>
              <w:left w:val="nil"/>
              <w:bottom w:val="nil"/>
              <w:right w:val="nil"/>
            </w:tcBorders>
            <w:shd w:val="clear" w:color="auto" w:fill="auto"/>
            <w:noWrap/>
            <w:vAlign w:val="bottom"/>
            <w:hideMark/>
          </w:tcPr>
          <w:p w14:paraId="5E2D2985" w14:textId="77777777" w:rsidR="002A4D1B" w:rsidRPr="002A4D1B" w:rsidRDefault="002A4D1B" w:rsidP="002A4D1B">
            <w:pPr>
              <w:spacing w:after="0" w:line="240" w:lineRule="auto"/>
              <w:ind w:firstLineChars="200" w:firstLine="360"/>
              <w:rPr>
                <w:rFonts w:ascii="Segoe UI" w:eastAsia="Times New Roman" w:hAnsi="Segoe UI" w:cs="Segoe UI"/>
                <w:sz w:val="18"/>
                <w:szCs w:val="18"/>
                <w:lang w:eastAsia="pt-BR"/>
              </w:rPr>
            </w:pPr>
          </w:p>
        </w:tc>
        <w:tc>
          <w:tcPr>
            <w:tcW w:w="707" w:type="pct"/>
            <w:tcBorders>
              <w:top w:val="single" w:sz="4" w:space="0" w:color="1B80C4"/>
              <w:left w:val="nil"/>
              <w:bottom w:val="double" w:sz="6" w:space="0" w:color="1B80C4"/>
              <w:right w:val="nil"/>
            </w:tcBorders>
            <w:shd w:val="clear" w:color="auto" w:fill="auto"/>
            <w:noWrap/>
            <w:vAlign w:val="bottom"/>
            <w:hideMark/>
          </w:tcPr>
          <w:p w14:paraId="059EB1CE" w14:textId="705B6F0C"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179.464</w:t>
            </w:r>
          </w:p>
        </w:tc>
        <w:tc>
          <w:tcPr>
            <w:tcW w:w="124" w:type="pct"/>
            <w:tcBorders>
              <w:top w:val="nil"/>
              <w:left w:val="nil"/>
              <w:bottom w:val="nil"/>
              <w:right w:val="nil"/>
            </w:tcBorders>
            <w:shd w:val="clear" w:color="auto" w:fill="auto"/>
            <w:noWrap/>
            <w:vAlign w:val="bottom"/>
            <w:hideMark/>
          </w:tcPr>
          <w:p w14:paraId="3417E130" w14:textId="77777777"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p>
        </w:tc>
        <w:tc>
          <w:tcPr>
            <w:tcW w:w="746" w:type="pct"/>
            <w:tcBorders>
              <w:top w:val="single" w:sz="4" w:space="0" w:color="1B80C4"/>
              <w:left w:val="nil"/>
              <w:bottom w:val="double" w:sz="6" w:space="0" w:color="1B80C4"/>
              <w:right w:val="nil"/>
            </w:tcBorders>
            <w:shd w:val="clear" w:color="auto" w:fill="auto"/>
            <w:noWrap/>
            <w:vAlign w:val="bottom"/>
            <w:hideMark/>
          </w:tcPr>
          <w:p w14:paraId="1326AE81" w14:textId="7981B82D" w:rsidR="002A4D1B" w:rsidRPr="002A4D1B" w:rsidRDefault="002A4D1B" w:rsidP="002A4D1B">
            <w:pPr>
              <w:spacing w:after="0" w:line="240" w:lineRule="auto"/>
              <w:ind w:firstLineChars="200" w:firstLine="361"/>
              <w:jc w:val="right"/>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1.951.595</w:t>
            </w:r>
          </w:p>
        </w:tc>
      </w:tr>
    </w:tbl>
    <w:p w14:paraId="1D7587ED" w14:textId="77777777" w:rsidR="00C44CB8" w:rsidRDefault="00C44CB8" w:rsidP="00CF5F07">
      <w:pPr>
        <w:spacing w:after="0" w:line="240" w:lineRule="auto"/>
        <w:jc w:val="both"/>
        <w:rPr>
          <w:rFonts w:ascii="Segoe UI" w:hAnsi="Segoe UI" w:cs="Segoe UI"/>
        </w:rPr>
      </w:pPr>
    </w:p>
    <w:p w14:paraId="3902B68A" w14:textId="26FD15A4" w:rsidR="00C44CB8" w:rsidRPr="000209F1" w:rsidRDefault="00C44CB8" w:rsidP="009239D0">
      <w:pPr>
        <w:rPr>
          <w:rFonts w:ascii="Segoe UI" w:hAnsi="Segoe UI" w:cs="Segoe UI"/>
          <w:sz w:val="19"/>
          <w:szCs w:val="19"/>
        </w:rPr>
        <w:sectPr w:rsidR="00C44CB8" w:rsidRPr="000209F1" w:rsidSect="006E1B4F">
          <w:headerReference w:type="default" r:id="rId24"/>
          <w:pgSz w:w="11906" w:h="16838"/>
          <w:pgMar w:top="1417" w:right="1274" w:bottom="1417" w:left="1701" w:header="708" w:footer="708" w:gutter="0"/>
          <w:cols w:space="708"/>
          <w:docGrid w:linePitch="360"/>
        </w:sectPr>
      </w:pPr>
      <w:r w:rsidRPr="000209F1">
        <w:rPr>
          <w:rFonts w:ascii="Segoe UI" w:hAnsi="Segoe UI" w:cs="Segoe UI"/>
          <w:sz w:val="19"/>
          <w:szCs w:val="19"/>
        </w:rPr>
        <w:t xml:space="preserve">As notas explicativas são parte integrante das demonstrações </w:t>
      </w:r>
      <w:r w:rsidR="000A114A" w:rsidRPr="000209F1">
        <w:rPr>
          <w:rFonts w:ascii="Segoe UI" w:hAnsi="Segoe UI" w:cs="Segoe UI"/>
          <w:sz w:val="19"/>
          <w:szCs w:val="19"/>
        </w:rPr>
        <w:t>financeiras</w:t>
      </w:r>
      <w:r w:rsidR="000209F1" w:rsidRPr="000209F1">
        <w:rPr>
          <w:rFonts w:ascii="Segoe UI" w:hAnsi="Segoe UI" w:cs="Segoe UI"/>
          <w:sz w:val="19"/>
          <w:szCs w:val="19"/>
        </w:rPr>
        <w:t xml:space="preserve"> </w:t>
      </w:r>
      <w:r w:rsidR="000209F1" w:rsidRPr="000209F1">
        <w:rPr>
          <w:rFonts w:ascii="Segoe UI" w:hAnsi="Segoe UI" w:cs="Segoe UI"/>
          <w:bCs/>
          <w:sz w:val="19"/>
          <w:szCs w:val="19"/>
        </w:rPr>
        <w:t>individuais e consolidadas.</w:t>
      </w:r>
    </w:p>
    <w:p w14:paraId="39D059EA" w14:textId="6445B4DA" w:rsidR="0052369B" w:rsidRPr="0052369B" w:rsidRDefault="0052369B" w:rsidP="0052369B">
      <w:pPr>
        <w:tabs>
          <w:tab w:val="left" w:pos="567"/>
          <w:tab w:val="left" w:pos="1134"/>
          <w:tab w:val="left" w:pos="1701"/>
          <w:tab w:val="left" w:pos="2268"/>
          <w:tab w:val="left" w:pos="2835"/>
        </w:tabs>
        <w:spacing w:before="240" w:after="120"/>
        <w:jc w:val="both"/>
        <w:outlineLvl w:val="0"/>
        <w:rPr>
          <w:rFonts w:ascii="Segoe UI" w:hAnsi="Segoe UI" w:cs="Segoe UI"/>
          <w:b/>
          <w:color w:val="1B80C4"/>
        </w:rPr>
      </w:pPr>
      <w:r w:rsidRPr="0052369B">
        <w:rPr>
          <w:rFonts w:ascii="Segoe UI" w:hAnsi="Segoe UI" w:cs="Segoe UI"/>
          <w:b/>
          <w:color w:val="1B80C4"/>
        </w:rPr>
        <w:lastRenderedPageBreak/>
        <w:t>1 – CONTEXTO OPERACIONAL</w:t>
      </w:r>
    </w:p>
    <w:p w14:paraId="7EFD06B6" w14:textId="0D332FE7" w:rsidR="00B02848" w:rsidRPr="003832CA" w:rsidRDefault="00437724" w:rsidP="00310BB8">
      <w:pPr>
        <w:jc w:val="both"/>
        <w:rPr>
          <w:rFonts w:ascii="Segoe UI" w:hAnsi="Segoe UI" w:cs="Segoe UI"/>
        </w:rPr>
      </w:pPr>
      <w:r w:rsidRPr="003832CA">
        <w:rPr>
          <w:rFonts w:ascii="Segoe UI" w:hAnsi="Segoe UI" w:cs="Segoe UI"/>
        </w:rPr>
        <w:t>A Empresa Brasileira de Participações em Energia Nuclear e Bi</w:t>
      </w:r>
      <w:r w:rsidR="008910E6" w:rsidRPr="003832CA">
        <w:rPr>
          <w:rFonts w:ascii="Segoe UI" w:hAnsi="Segoe UI" w:cs="Segoe UI"/>
        </w:rPr>
        <w:t>n</w:t>
      </w:r>
      <w:r w:rsidR="00A129C5" w:rsidRPr="003832CA">
        <w:rPr>
          <w:rFonts w:ascii="Segoe UI" w:hAnsi="Segoe UI" w:cs="Segoe UI"/>
        </w:rPr>
        <w:t>acional S.</w:t>
      </w:r>
      <w:r w:rsidRPr="003832CA">
        <w:rPr>
          <w:rFonts w:ascii="Segoe UI" w:hAnsi="Segoe UI" w:cs="Segoe UI"/>
        </w:rPr>
        <w:t>A</w:t>
      </w:r>
      <w:r w:rsidR="00A129C5" w:rsidRPr="003832CA">
        <w:rPr>
          <w:rFonts w:ascii="Segoe UI" w:hAnsi="Segoe UI" w:cs="Segoe UI"/>
        </w:rPr>
        <w:t>.</w:t>
      </w:r>
      <w:r w:rsidRPr="003832CA">
        <w:rPr>
          <w:rFonts w:ascii="Segoe UI" w:hAnsi="Segoe UI" w:cs="Segoe UI"/>
        </w:rPr>
        <w:t xml:space="preserve"> - ENBPar (“ENBPar” ou “Companhia”</w:t>
      </w:r>
      <w:r w:rsidR="004B779E" w:rsidRPr="003832CA">
        <w:rPr>
          <w:rFonts w:ascii="Segoe UI" w:hAnsi="Segoe UI" w:cs="Segoe UI"/>
        </w:rPr>
        <w:t xml:space="preserve"> ou “Controladora”</w:t>
      </w:r>
      <w:r w:rsidRPr="003832CA">
        <w:rPr>
          <w:rFonts w:ascii="Segoe UI" w:hAnsi="Segoe UI" w:cs="Segoe UI"/>
        </w:rPr>
        <w:t xml:space="preserve">) </w:t>
      </w:r>
      <w:r w:rsidR="00B02848" w:rsidRPr="003832CA">
        <w:rPr>
          <w:rFonts w:ascii="Segoe UI" w:hAnsi="Segoe UI" w:cs="Segoe UI"/>
        </w:rPr>
        <w:t>é uma empresa pública</w:t>
      </w:r>
      <w:r w:rsidR="004B779E" w:rsidRPr="003832CA">
        <w:rPr>
          <w:rFonts w:ascii="Segoe UI" w:hAnsi="Segoe UI" w:cs="Segoe UI"/>
        </w:rPr>
        <w:t xml:space="preserve">, organizada </w:t>
      </w:r>
      <w:r w:rsidR="00B02848" w:rsidRPr="003832CA">
        <w:rPr>
          <w:rFonts w:ascii="Segoe UI" w:hAnsi="Segoe UI" w:cs="Segoe UI"/>
        </w:rPr>
        <w:t>sob a forma de sociedade</w:t>
      </w:r>
      <w:r w:rsidRPr="003832CA">
        <w:rPr>
          <w:rFonts w:ascii="Segoe UI" w:hAnsi="Segoe UI" w:cs="Segoe UI"/>
        </w:rPr>
        <w:t xml:space="preserve"> </w:t>
      </w:r>
      <w:r w:rsidR="00B02848" w:rsidRPr="003832CA">
        <w:rPr>
          <w:rFonts w:ascii="Segoe UI" w:hAnsi="Segoe UI" w:cs="Segoe UI"/>
        </w:rPr>
        <w:t>anônima.</w:t>
      </w:r>
      <w:r w:rsidRPr="003832CA">
        <w:rPr>
          <w:rFonts w:ascii="Segoe UI" w:hAnsi="Segoe UI" w:cs="Segoe UI"/>
        </w:rPr>
        <w:t xml:space="preserve"> A Companhia foi criada a partir do Decreto nº 10.791, de 10 de setembro de 2021 </w:t>
      </w:r>
      <w:r w:rsidR="004B779E" w:rsidRPr="003832CA">
        <w:rPr>
          <w:rFonts w:ascii="Segoe UI" w:hAnsi="Segoe UI" w:cs="Segoe UI"/>
        </w:rPr>
        <w:t>e constituída em 04 de janeiro de 2022 com sua sede</w:t>
      </w:r>
      <w:r w:rsidRPr="003832CA">
        <w:rPr>
          <w:rFonts w:ascii="Segoe UI" w:hAnsi="Segoe UI" w:cs="Segoe UI"/>
        </w:rPr>
        <w:t xml:space="preserve"> fixada n</w:t>
      </w:r>
      <w:r w:rsidR="00310BB8">
        <w:rPr>
          <w:rFonts w:ascii="Segoe UI" w:hAnsi="Segoe UI" w:cs="Segoe UI"/>
        </w:rPr>
        <w:t>o</w:t>
      </w:r>
      <w:r w:rsidRPr="003832CA">
        <w:rPr>
          <w:rFonts w:ascii="Segoe UI" w:hAnsi="Segoe UI" w:cs="Segoe UI"/>
        </w:rPr>
        <w:t xml:space="preserve"> </w:t>
      </w:r>
      <w:r w:rsidR="00310BB8" w:rsidRPr="00310BB8">
        <w:rPr>
          <w:rFonts w:ascii="Segoe UI" w:hAnsi="Segoe UI" w:cs="Segoe UI"/>
        </w:rPr>
        <w:t xml:space="preserve">Centro Empresarial Parque da Cidade, Setor Comercial Sul - SCS, Quadra 09, Torre B, Salas 701, 702, 704 e 705, Asa Sul, </w:t>
      </w:r>
      <w:r w:rsidR="005331BC">
        <w:rPr>
          <w:rFonts w:ascii="Segoe UI" w:hAnsi="Segoe UI" w:cs="Segoe UI"/>
        </w:rPr>
        <w:t xml:space="preserve">         </w:t>
      </w:r>
      <w:r w:rsidR="003A6C4B">
        <w:rPr>
          <w:rFonts w:ascii="Segoe UI" w:hAnsi="Segoe UI" w:cs="Segoe UI"/>
        </w:rPr>
        <w:t xml:space="preserve">                    </w:t>
      </w:r>
      <w:r w:rsidR="005331BC">
        <w:rPr>
          <w:rFonts w:ascii="Segoe UI" w:hAnsi="Segoe UI" w:cs="Segoe UI"/>
        </w:rPr>
        <w:t xml:space="preserve">      </w:t>
      </w:r>
      <w:r w:rsidR="00310BB8" w:rsidRPr="00310BB8">
        <w:rPr>
          <w:rFonts w:ascii="Segoe UI" w:hAnsi="Segoe UI" w:cs="Segoe UI"/>
        </w:rPr>
        <w:t>CEP</w:t>
      </w:r>
      <w:r w:rsidR="003A6C4B">
        <w:rPr>
          <w:rFonts w:ascii="Segoe UI" w:hAnsi="Segoe UI" w:cs="Segoe UI"/>
        </w:rPr>
        <w:t xml:space="preserve"> </w:t>
      </w:r>
      <w:r w:rsidR="00310BB8" w:rsidRPr="00310BB8">
        <w:rPr>
          <w:rFonts w:ascii="Segoe UI" w:hAnsi="Segoe UI" w:cs="Segoe UI"/>
        </w:rPr>
        <w:t>70.308-200</w:t>
      </w:r>
      <w:r w:rsidRPr="003832CA">
        <w:rPr>
          <w:rFonts w:ascii="Segoe UI" w:hAnsi="Segoe UI" w:cs="Segoe UI"/>
        </w:rPr>
        <w:t>, Brasília – Distrito Federal.</w:t>
      </w:r>
    </w:p>
    <w:p w14:paraId="6D591500" w14:textId="5AE32767" w:rsidR="00866215" w:rsidRPr="000761D7" w:rsidRDefault="00E8674E" w:rsidP="000761D7">
      <w:pPr>
        <w:pStyle w:val="Default"/>
        <w:jc w:val="both"/>
        <w:rPr>
          <w:rFonts w:ascii="Segoe UI" w:eastAsiaTheme="minorHAnsi" w:hAnsi="Segoe UI" w:cs="Segoe UI"/>
          <w:color w:val="auto"/>
          <w:sz w:val="22"/>
          <w:szCs w:val="22"/>
          <w:lang w:eastAsia="en-US"/>
        </w:rPr>
      </w:pPr>
      <w:r w:rsidRPr="00A87A15">
        <w:rPr>
          <w:rFonts w:ascii="Segoe UI" w:eastAsiaTheme="minorHAnsi" w:hAnsi="Segoe UI" w:cs="Segoe UI"/>
          <w:color w:val="auto"/>
          <w:sz w:val="22"/>
          <w:szCs w:val="22"/>
          <w:lang w:eastAsia="en-US"/>
        </w:rPr>
        <w:t>A Companhia tem com</w:t>
      </w:r>
      <w:r w:rsidR="0083170C" w:rsidRPr="00A87A15">
        <w:rPr>
          <w:rFonts w:ascii="Segoe UI" w:eastAsiaTheme="minorHAnsi" w:hAnsi="Segoe UI" w:cs="Segoe UI"/>
          <w:color w:val="auto"/>
          <w:sz w:val="22"/>
          <w:szCs w:val="22"/>
          <w:lang w:eastAsia="en-US"/>
        </w:rPr>
        <w:t>o</w:t>
      </w:r>
      <w:r w:rsidRPr="00A87A15">
        <w:rPr>
          <w:rFonts w:ascii="Segoe UI" w:eastAsiaTheme="minorHAnsi" w:hAnsi="Segoe UI" w:cs="Segoe UI"/>
          <w:color w:val="auto"/>
          <w:sz w:val="22"/>
          <w:szCs w:val="22"/>
          <w:lang w:eastAsia="en-US"/>
        </w:rPr>
        <w:t xml:space="preserve"> atividades </w:t>
      </w:r>
      <w:r w:rsidR="00437724" w:rsidRPr="00A87A15">
        <w:rPr>
          <w:rFonts w:ascii="Segoe UI" w:eastAsiaTheme="minorHAnsi" w:hAnsi="Segoe UI" w:cs="Segoe UI"/>
          <w:color w:val="auto"/>
          <w:sz w:val="22"/>
          <w:szCs w:val="22"/>
          <w:lang w:eastAsia="en-US"/>
        </w:rPr>
        <w:t xml:space="preserve">manter sob o controle da União a operação das </w:t>
      </w:r>
      <w:r w:rsidR="007C0256">
        <w:rPr>
          <w:rFonts w:ascii="Segoe UI" w:eastAsiaTheme="minorHAnsi" w:hAnsi="Segoe UI" w:cs="Segoe UI"/>
          <w:color w:val="auto"/>
          <w:sz w:val="22"/>
          <w:szCs w:val="22"/>
          <w:lang w:eastAsia="en-US"/>
        </w:rPr>
        <w:t>u</w:t>
      </w:r>
      <w:r w:rsidR="00437724" w:rsidRPr="00A87A15">
        <w:rPr>
          <w:rFonts w:ascii="Segoe UI" w:eastAsiaTheme="minorHAnsi" w:hAnsi="Segoe UI" w:cs="Segoe UI"/>
          <w:color w:val="auto"/>
          <w:sz w:val="22"/>
          <w:szCs w:val="22"/>
          <w:lang w:eastAsia="en-US"/>
        </w:rPr>
        <w:t>sinas Nucleares</w:t>
      </w:r>
      <w:r w:rsidR="00BD1E38" w:rsidRPr="00A87A15">
        <w:rPr>
          <w:rFonts w:ascii="Segoe UI" w:eastAsiaTheme="minorHAnsi" w:hAnsi="Segoe UI" w:cs="Segoe UI"/>
          <w:color w:val="auto"/>
          <w:sz w:val="22"/>
          <w:szCs w:val="22"/>
          <w:lang w:eastAsia="en-US"/>
        </w:rPr>
        <w:t xml:space="preserve"> e na produção relacionadas a extração de uranio no país</w:t>
      </w:r>
      <w:r w:rsidRPr="00A87A15">
        <w:rPr>
          <w:rFonts w:ascii="Segoe UI" w:eastAsiaTheme="minorHAnsi" w:hAnsi="Segoe UI" w:cs="Segoe UI"/>
          <w:color w:val="auto"/>
          <w:sz w:val="22"/>
          <w:szCs w:val="22"/>
          <w:lang w:eastAsia="en-US"/>
        </w:rPr>
        <w:t>,</w:t>
      </w:r>
      <w:r w:rsidR="00437724" w:rsidRPr="00A87A15">
        <w:rPr>
          <w:rFonts w:ascii="Segoe UI" w:eastAsiaTheme="minorHAnsi" w:hAnsi="Segoe UI" w:cs="Segoe UI"/>
          <w:color w:val="auto"/>
          <w:sz w:val="22"/>
          <w:szCs w:val="22"/>
          <w:lang w:eastAsia="en-US"/>
        </w:rPr>
        <w:t xml:space="preserve"> </w:t>
      </w:r>
      <w:r w:rsidR="005D7C77" w:rsidRPr="00A87A15">
        <w:rPr>
          <w:rFonts w:ascii="Segoe UI" w:eastAsiaTheme="minorHAnsi" w:hAnsi="Segoe UI" w:cs="Segoe UI"/>
          <w:color w:val="auto"/>
          <w:sz w:val="22"/>
          <w:szCs w:val="22"/>
          <w:lang w:eastAsia="en-US"/>
        </w:rPr>
        <w:t xml:space="preserve">manter a titularidade do capital social e a aquisição dos serviços de eletricidade da Itaipu por órgão ou por entidade da administração pública federal, </w:t>
      </w:r>
      <w:r w:rsidR="00A129C5" w:rsidRPr="00A87A15">
        <w:rPr>
          <w:rFonts w:ascii="Segoe UI" w:eastAsiaTheme="minorHAnsi" w:hAnsi="Segoe UI" w:cs="Segoe UI"/>
          <w:color w:val="auto"/>
          <w:sz w:val="22"/>
          <w:szCs w:val="22"/>
          <w:lang w:eastAsia="en-US"/>
        </w:rPr>
        <w:t>a</w:t>
      </w:r>
      <w:r w:rsidR="00CB3B07" w:rsidRPr="00A87A15">
        <w:rPr>
          <w:rFonts w:ascii="Segoe UI" w:eastAsiaTheme="minorHAnsi" w:hAnsi="Segoe UI" w:cs="Segoe UI"/>
          <w:color w:val="auto"/>
          <w:sz w:val="22"/>
          <w:szCs w:val="22"/>
          <w:lang w:eastAsia="en-US"/>
        </w:rPr>
        <w:t xml:space="preserve"> </w:t>
      </w:r>
      <w:r w:rsidR="00A129C5" w:rsidRPr="00A87A15">
        <w:rPr>
          <w:rFonts w:ascii="Segoe UI" w:eastAsiaTheme="minorHAnsi" w:hAnsi="Segoe UI" w:cs="Segoe UI"/>
          <w:color w:val="auto"/>
          <w:sz w:val="22"/>
          <w:szCs w:val="22"/>
          <w:lang w:eastAsia="en-US"/>
        </w:rPr>
        <w:t>fim de</w:t>
      </w:r>
      <w:r w:rsidR="005D7C77" w:rsidRPr="00A87A15">
        <w:rPr>
          <w:rFonts w:ascii="Segoe UI" w:eastAsiaTheme="minorHAnsi" w:hAnsi="Segoe UI" w:cs="Segoe UI"/>
          <w:color w:val="auto"/>
          <w:sz w:val="22"/>
          <w:szCs w:val="22"/>
          <w:lang w:eastAsia="en-US"/>
        </w:rPr>
        <w:t xml:space="preserve"> atender ao disposto no Tratado celebrado entre a República Federativa do Brasil e a República do Paraguai ("Tratado de Itaipu")</w:t>
      </w:r>
      <w:r w:rsidR="00A129C5" w:rsidRPr="00A87A15">
        <w:rPr>
          <w:rFonts w:ascii="Segoe UI" w:eastAsiaTheme="minorHAnsi" w:hAnsi="Segoe UI" w:cs="Segoe UI"/>
          <w:color w:val="auto"/>
          <w:sz w:val="22"/>
          <w:szCs w:val="22"/>
          <w:lang w:eastAsia="en-US"/>
        </w:rPr>
        <w:t>,</w:t>
      </w:r>
      <w:r w:rsidR="00437724" w:rsidRPr="00A87A15">
        <w:rPr>
          <w:rFonts w:ascii="Segoe UI" w:eastAsiaTheme="minorHAnsi" w:hAnsi="Segoe UI" w:cs="Segoe UI"/>
          <w:color w:val="auto"/>
          <w:sz w:val="22"/>
          <w:szCs w:val="22"/>
          <w:lang w:eastAsia="en-US"/>
        </w:rPr>
        <w:t xml:space="preserve"> gerir</w:t>
      </w:r>
      <w:r w:rsidRPr="00A87A15">
        <w:rPr>
          <w:rFonts w:ascii="Segoe UI" w:eastAsiaTheme="minorHAnsi" w:hAnsi="Segoe UI" w:cs="Segoe UI"/>
          <w:color w:val="auto"/>
          <w:sz w:val="22"/>
          <w:szCs w:val="22"/>
          <w:lang w:eastAsia="en-US"/>
        </w:rPr>
        <w:t xml:space="preserve"> </w:t>
      </w:r>
      <w:r w:rsidR="00437724" w:rsidRPr="00A87A15">
        <w:rPr>
          <w:rFonts w:ascii="Segoe UI" w:eastAsiaTheme="minorHAnsi" w:hAnsi="Segoe UI" w:cs="Segoe UI"/>
          <w:color w:val="auto"/>
          <w:sz w:val="22"/>
          <w:szCs w:val="22"/>
          <w:lang w:eastAsia="en-US"/>
        </w:rPr>
        <w:t>contratos de financiamento que utilizem os recursos da Reserva</w:t>
      </w:r>
      <w:r w:rsidRPr="00A87A15">
        <w:rPr>
          <w:rFonts w:ascii="Segoe UI" w:eastAsiaTheme="minorHAnsi" w:hAnsi="Segoe UI" w:cs="Segoe UI"/>
          <w:color w:val="auto"/>
          <w:sz w:val="22"/>
          <w:szCs w:val="22"/>
          <w:lang w:eastAsia="en-US"/>
        </w:rPr>
        <w:t xml:space="preserve"> </w:t>
      </w:r>
      <w:r w:rsidR="00437724" w:rsidRPr="00A87A15">
        <w:rPr>
          <w:rFonts w:ascii="Segoe UI" w:eastAsiaTheme="minorHAnsi" w:hAnsi="Segoe UI" w:cs="Segoe UI"/>
          <w:color w:val="auto"/>
          <w:sz w:val="22"/>
          <w:szCs w:val="22"/>
          <w:lang w:eastAsia="en-US"/>
        </w:rPr>
        <w:t xml:space="preserve">Global de Reversão </w:t>
      </w:r>
      <w:r w:rsidRPr="00A87A15">
        <w:rPr>
          <w:rFonts w:ascii="Segoe UI" w:eastAsiaTheme="minorHAnsi" w:hAnsi="Segoe UI" w:cs="Segoe UI"/>
          <w:color w:val="auto"/>
          <w:sz w:val="22"/>
          <w:szCs w:val="22"/>
          <w:lang w:eastAsia="en-US"/>
        </w:rPr>
        <w:t>–</w:t>
      </w:r>
      <w:r w:rsidR="00437724" w:rsidRPr="00A87A15">
        <w:rPr>
          <w:rFonts w:ascii="Segoe UI" w:eastAsiaTheme="minorHAnsi" w:hAnsi="Segoe UI" w:cs="Segoe UI"/>
          <w:color w:val="auto"/>
          <w:sz w:val="22"/>
          <w:szCs w:val="22"/>
          <w:lang w:eastAsia="en-US"/>
        </w:rPr>
        <w:t xml:space="preserve"> </w:t>
      </w:r>
      <w:r w:rsidR="001729D7">
        <w:rPr>
          <w:rFonts w:ascii="Segoe UI" w:eastAsiaTheme="minorHAnsi" w:hAnsi="Segoe UI" w:cs="Segoe UI"/>
          <w:color w:val="auto"/>
          <w:sz w:val="22"/>
          <w:szCs w:val="22"/>
          <w:lang w:eastAsia="en-US"/>
        </w:rPr>
        <w:t>(“</w:t>
      </w:r>
      <w:r w:rsidR="00437724" w:rsidRPr="00A87A15">
        <w:rPr>
          <w:rFonts w:ascii="Segoe UI" w:eastAsiaTheme="minorHAnsi" w:hAnsi="Segoe UI" w:cs="Segoe UI"/>
          <w:color w:val="auto"/>
          <w:sz w:val="22"/>
          <w:szCs w:val="22"/>
          <w:lang w:eastAsia="en-US"/>
        </w:rPr>
        <w:t>RGR</w:t>
      </w:r>
      <w:r w:rsidR="001729D7">
        <w:rPr>
          <w:rFonts w:ascii="Segoe UI" w:eastAsiaTheme="minorHAnsi" w:hAnsi="Segoe UI" w:cs="Segoe UI"/>
          <w:color w:val="auto"/>
          <w:sz w:val="22"/>
          <w:szCs w:val="22"/>
          <w:lang w:eastAsia="en-US"/>
        </w:rPr>
        <w:t>”)</w:t>
      </w:r>
      <w:r w:rsidRPr="00A87A15">
        <w:rPr>
          <w:rFonts w:ascii="Segoe UI" w:eastAsiaTheme="minorHAnsi" w:hAnsi="Segoe UI" w:cs="Segoe UI"/>
          <w:color w:val="auto"/>
          <w:sz w:val="22"/>
          <w:szCs w:val="22"/>
          <w:lang w:eastAsia="en-US"/>
        </w:rPr>
        <w:t>,</w:t>
      </w:r>
      <w:r w:rsidR="000761D7">
        <w:rPr>
          <w:rFonts w:ascii="Segoe UI" w:eastAsiaTheme="minorHAnsi" w:hAnsi="Segoe UI" w:cs="Segoe UI"/>
          <w:color w:val="auto"/>
          <w:sz w:val="22"/>
          <w:szCs w:val="22"/>
          <w:lang w:eastAsia="en-US"/>
        </w:rPr>
        <w:t xml:space="preserve"> </w:t>
      </w:r>
      <w:r w:rsidR="00A87A15" w:rsidRPr="00A87A15">
        <w:rPr>
          <w:rFonts w:ascii="Segoe UI" w:eastAsiaTheme="minorHAnsi" w:hAnsi="Segoe UI" w:cs="Segoe UI"/>
          <w:color w:val="auto"/>
          <w:sz w:val="22"/>
          <w:szCs w:val="22"/>
          <w:lang w:eastAsia="en-US"/>
        </w:rPr>
        <w:t>operacionaliza</w:t>
      </w:r>
      <w:r w:rsidR="000761D7" w:rsidRPr="000761D7">
        <w:rPr>
          <w:rFonts w:ascii="Segoe UI" w:eastAsiaTheme="minorHAnsi" w:hAnsi="Segoe UI" w:cs="Segoe UI"/>
          <w:color w:val="auto"/>
          <w:sz w:val="22"/>
          <w:szCs w:val="22"/>
          <w:lang w:eastAsia="en-US"/>
        </w:rPr>
        <w:t>ção e gestão dos instrumentos contratuais dos</w:t>
      </w:r>
      <w:r w:rsidR="00A87A15" w:rsidRPr="00A87A15">
        <w:rPr>
          <w:rFonts w:ascii="Segoe UI" w:eastAsiaTheme="minorHAnsi" w:hAnsi="Segoe UI" w:cs="Segoe UI"/>
          <w:color w:val="auto"/>
          <w:sz w:val="22"/>
          <w:szCs w:val="22"/>
          <w:lang w:eastAsia="en-US"/>
        </w:rPr>
        <w:t xml:space="preserve"> Programas Mais Luz para a Amazônia</w:t>
      </w:r>
      <w:r w:rsidR="000761D7" w:rsidRPr="000761D7">
        <w:rPr>
          <w:rFonts w:ascii="Segoe UI" w:eastAsiaTheme="minorHAnsi" w:hAnsi="Segoe UI" w:cs="Segoe UI"/>
          <w:color w:val="auto"/>
          <w:sz w:val="22"/>
          <w:szCs w:val="22"/>
          <w:lang w:eastAsia="en-US"/>
        </w:rPr>
        <w:t xml:space="preserve"> – </w:t>
      </w:r>
      <w:r w:rsidR="001729D7">
        <w:rPr>
          <w:rFonts w:ascii="Segoe UI" w:eastAsiaTheme="minorHAnsi" w:hAnsi="Segoe UI" w:cs="Segoe UI"/>
          <w:color w:val="auto"/>
          <w:sz w:val="22"/>
          <w:szCs w:val="22"/>
          <w:lang w:eastAsia="en-US"/>
        </w:rPr>
        <w:t>(“</w:t>
      </w:r>
      <w:r w:rsidR="000761D7" w:rsidRPr="000761D7">
        <w:rPr>
          <w:rFonts w:ascii="Segoe UI" w:eastAsiaTheme="minorHAnsi" w:hAnsi="Segoe UI" w:cs="Segoe UI"/>
          <w:color w:val="auto"/>
          <w:sz w:val="22"/>
          <w:szCs w:val="22"/>
          <w:lang w:eastAsia="en-US"/>
        </w:rPr>
        <w:t>MLA</w:t>
      </w:r>
      <w:r w:rsidR="001729D7">
        <w:rPr>
          <w:rFonts w:ascii="Segoe UI" w:eastAsiaTheme="minorHAnsi" w:hAnsi="Segoe UI" w:cs="Segoe UI"/>
          <w:color w:val="auto"/>
          <w:sz w:val="22"/>
          <w:szCs w:val="22"/>
          <w:lang w:eastAsia="en-US"/>
        </w:rPr>
        <w:t>”)</w:t>
      </w:r>
      <w:r w:rsidR="000761D7" w:rsidRPr="000761D7">
        <w:rPr>
          <w:rFonts w:ascii="Segoe UI" w:eastAsiaTheme="minorHAnsi" w:hAnsi="Segoe UI" w:cs="Segoe UI"/>
          <w:color w:val="auto"/>
          <w:sz w:val="22"/>
          <w:szCs w:val="22"/>
          <w:lang w:eastAsia="en-US"/>
        </w:rPr>
        <w:t xml:space="preserve"> e Luz para Todos – </w:t>
      </w:r>
      <w:r w:rsidR="001729D7">
        <w:rPr>
          <w:rFonts w:ascii="Segoe UI" w:eastAsiaTheme="minorHAnsi" w:hAnsi="Segoe UI" w:cs="Segoe UI"/>
          <w:color w:val="auto"/>
          <w:sz w:val="22"/>
          <w:szCs w:val="22"/>
          <w:lang w:eastAsia="en-US"/>
        </w:rPr>
        <w:t>(“</w:t>
      </w:r>
      <w:r w:rsidR="000761D7" w:rsidRPr="000761D7">
        <w:rPr>
          <w:rFonts w:ascii="Segoe UI" w:eastAsiaTheme="minorHAnsi" w:hAnsi="Segoe UI" w:cs="Segoe UI"/>
          <w:color w:val="auto"/>
          <w:sz w:val="22"/>
          <w:szCs w:val="22"/>
          <w:lang w:eastAsia="en-US"/>
        </w:rPr>
        <w:t>LPT</w:t>
      </w:r>
      <w:r w:rsidR="001729D7">
        <w:rPr>
          <w:rFonts w:ascii="Segoe UI" w:eastAsiaTheme="minorHAnsi" w:hAnsi="Segoe UI" w:cs="Segoe UI"/>
          <w:color w:val="auto"/>
          <w:sz w:val="22"/>
          <w:szCs w:val="22"/>
          <w:lang w:eastAsia="en-US"/>
        </w:rPr>
        <w:t>”)</w:t>
      </w:r>
      <w:r w:rsidR="000761D7" w:rsidRPr="000761D7">
        <w:rPr>
          <w:rFonts w:ascii="Segoe UI" w:eastAsiaTheme="minorHAnsi" w:hAnsi="Segoe UI" w:cs="Segoe UI"/>
          <w:color w:val="auto"/>
          <w:sz w:val="22"/>
          <w:szCs w:val="22"/>
          <w:lang w:eastAsia="en-US"/>
        </w:rPr>
        <w:t>,</w:t>
      </w:r>
      <w:r w:rsidR="00A87A15" w:rsidRPr="000761D7">
        <w:rPr>
          <w:rFonts w:ascii="Segoe UI" w:eastAsiaTheme="minorHAnsi" w:hAnsi="Segoe UI" w:cs="Segoe UI"/>
          <w:color w:val="auto"/>
          <w:sz w:val="22"/>
          <w:szCs w:val="22"/>
          <w:lang w:eastAsia="en-US"/>
        </w:rPr>
        <w:t xml:space="preserve"> </w:t>
      </w:r>
      <w:r w:rsidR="00437724" w:rsidRPr="000761D7">
        <w:rPr>
          <w:rFonts w:ascii="Segoe UI" w:eastAsiaTheme="minorHAnsi" w:hAnsi="Segoe UI" w:cs="Segoe UI"/>
          <w:color w:val="auto"/>
          <w:sz w:val="22"/>
          <w:szCs w:val="22"/>
          <w:lang w:eastAsia="en-US"/>
        </w:rPr>
        <w:t xml:space="preserve"> administrar os bens da União</w:t>
      </w:r>
      <w:r w:rsidR="00A129C5" w:rsidRPr="000761D7">
        <w:rPr>
          <w:rFonts w:ascii="Segoe UI" w:eastAsiaTheme="minorHAnsi" w:hAnsi="Segoe UI" w:cs="Segoe UI"/>
          <w:color w:val="auto"/>
          <w:sz w:val="22"/>
          <w:szCs w:val="22"/>
          <w:lang w:eastAsia="en-US"/>
        </w:rPr>
        <w:t xml:space="preserve"> </w:t>
      </w:r>
      <w:r w:rsidR="001729D7">
        <w:rPr>
          <w:rFonts w:ascii="Segoe UI" w:eastAsiaTheme="minorHAnsi" w:hAnsi="Segoe UI" w:cs="Segoe UI"/>
          <w:color w:val="auto"/>
          <w:sz w:val="22"/>
          <w:szCs w:val="22"/>
          <w:lang w:eastAsia="en-US"/>
        </w:rPr>
        <w:t>–</w:t>
      </w:r>
      <w:r w:rsidR="00A129C5" w:rsidRPr="000761D7">
        <w:rPr>
          <w:rFonts w:ascii="Segoe UI" w:eastAsiaTheme="minorHAnsi" w:hAnsi="Segoe UI" w:cs="Segoe UI"/>
          <w:color w:val="auto"/>
          <w:sz w:val="22"/>
          <w:szCs w:val="22"/>
          <w:lang w:eastAsia="en-US"/>
        </w:rPr>
        <w:t xml:space="preserve"> </w:t>
      </w:r>
      <w:r w:rsidR="001729D7">
        <w:rPr>
          <w:rFonts w:ascii="Segoe UI" w:eastAsiaTheme="minorHAnsi" w:hAnsi="Segoe UI" w:cs="Segoe UI"/>
          <w:color w:val="auto"/>
          <w:sz w:val="22"/>
          <w:szCs w:val="22"/>
          <w:lang w:eastAsia="en-US"/>
        </w:rPr>
        <w:t>(“</w:t>
      </w:r>
      <w:r w:rsidR="00A129C5" w:rsidRPr="000761D7">
        <w:rPr>
          <w:rFonts w:ascii="Segoe UI" w:eastAsiaTheme="minorHAnsi" w:hAnsi="Segoe UI" w:cs="Segoe UI"/>
          <w:color w:val="auto"/>
          <w:sz w:val="22"/>
          <w:szCs w:val="22"/>
          <w:lang w:eastAsia="en-US"/>
        </w:rPr>
        <w:t>BUSA</w:t>
      </w:r>
      <w:r w:rsidR="001729D7">
        <w:rPr>
          <w:rFonts w:ascii="Segoe UI" w:eastAsiaTheme="minorHAnsi" w:hAnsi="Segoe UI" w:cs="Segoe UI"/>
          <w:color w:val="auto"/>
          <w:sz w:val="22"/>
          <w:szCs w:val="22"/>
          <w:lang w:eastAsia="en-US"/>
        </w:rPr>
        <w:t>”)</w:t>
      </w:r>
      <w:r w:rsidRPr="000761D7">
        <w:rPr>
          <w:rFonts w:ascii="Segoe UI" w:eastAsiaTheme="minorHAnsi" w:hAnsi="Segoe UI" w:cs="Segoe UI"/>
          <w:color w:val="auto"/>
          <w:sz w:val="22"/>
          <w:szCs w:val="22"/>
          <w:lang w:eastAsia="en-US"/>
        </w:rPr>
        <w:t xml:space="preserve">, </w:t>
      </w:r>
      <w:r w:rsidR="00437724" w:rsidRPr="000761D7">
        <w:rPr>
          <w:rFonts w:ascii="Segoe UI" w:eastAsiaTheme="minorHAnsi" w:hAnsi="Segoe UI" w:cs="Segoe UI"/>
          <w:color w:val="auto"/>
          <w:sz w:val="22"/>
          <w:szCs w:val="22"/>
          <w:lang w:eastAsia="en-US"/>
        </w:rPr>
        <w:t xml:space="preserve">administrar </w:t>
      </w:r>
      <w:r w:rsidR="00CB3B07" w:rsidRPr="000761D7">
        <w:rPr>
          <w:rFonts w:ascii="Segoe UI" w:eastAsiaTheme="minorHAnsi" w:hAnsi="Segoe UI" w:cs="Segoe UI"/>
          <w:color w:val="auto"/>
          <w:sz w:val="22"/>
          <w:szCs w:val="22"/>
          <w:lang w:eastAsia="en-US"/>
        </w:rPr>
        <w:t>o</w:t>
      </w:r>
      <w:r w:rsidR="00437724" w:rsidRPr="000761D7">
        <w:rPr>
          <w:rFonts w:ascii="Segoe UI" w:eastAsiaTheme="minorHAnsi" w:hAnsi="Segoe UI" w:cs="Segoe UI"/>
          <w:color w:val="auto"/>
          <w:sz w:val="22"/>
          <w:szCs w:val="22"/>
          <w:lang w:eastAsia="en-US"/>
        </w:rPr>
        <w:t xml:space="preserve"> Programa Nacional de</w:t>
      </w:r>
      <w:r w:rsidRPr="000761D7">
        <w:rPr>
          <w:rFonts w:ascii="Segoe UI" w:eastAsiaTheme="minorHAnsi" w:hAnsi="Segoe UI" w:cs="Segoe UI"/>
          <w:color w:val="auto"/>
          <w:sz w:val="22"/>
          <w:szCs w:val="22"/>
          <w:lang w:eastAsia="en-US"/>
        </w:rPr>
        <w:t xml:space="preserve"> </w:t>
      </w:r>
      <w:r w:rsidR="00437724" w:rsidRPr="000761D7">
        <w:rPr>
          <w:rFonts w:ascii="Segoe UI" w:eastAsiaTheme="minorHAnsi" w:hAnsi="Segoe UI" w:cs="Segoe UI"/>
          <w:color w:val="auto"/>
          <w:sz w:val="22"/>
          <w:szCs w:val="22"/>
          <w:lang w:eastAsia="en-US"/>
        </w:rPr>
        <w:t>Conservação de Ene</w:t>
      </w:r>
      <w:r w:rsidR="005D7D92" w:rsidRPr="000761D7">
        <w:rPr>
          <w:rFonts w:ascii="Segoe UI" w:eastAsiaTheme="minorHAnsi" w:hAnsi="Segoe UI" w:cs="Segoe UI"/>
          <w:color w:val="auto"/>
          <w:sz w:val="22"/>
          <w:szCs w:val="22"/>
          <w:lang w:eastAsia="en-US"/>
        </w:rPr>
        <w:t>r</w:t>
      </w:r>
      <w:r w:rsidR="00437724" w:rsidRPr="000761D7">
        <w:rPr>
          <w:rFonts w:ascii="Segoe UI" w:eastAsiaTheme="minorHAnsi" w:hAnsi="Segoe UI" w:cs="Segoe UI"/>
          <w:color w:val="auto"/>
          <w:sz w:val="22"/>
          <w:szCs w:val="22"/>
          <w:lang w:eastAsia="en-US"/>
        </w:rPr>
        <w:t xml:space="preserve">gia Elétrica </w:t>
      </w:r>
      <w:r w:rsidRPr="000761D7">
        <w:rPr>
          <w:rFonts w:ascii="Segoe UI" w:eastAsiaTheme="minorHAnsi" w:hAnsi="Segoe UI" w:cs="Segoe UI"/>
          <w:color w:val="auto"/>
          <w:sz w:val="22"/>
          <w:szCs w:val="22"/>
          <w:lang w:eastAsia="en-US"/>
        </w:rPr>
        <w:t>–</w:t>
      </w:r>
      <w:r w:rsidR="00437724" w:rsidRPr="000761D7">
        <w:rPr>
          <w:rFonts w:ascii="Segoe UI" w:eastAsiaTheme="minorHAnsi" w:hAnsi="Segoe UI" w:cs="Segoe UI"/>
          <w:color w:val="auto"/>
          <w:sz w:val="22"/>
          <w:szCs w:val="22"/>
          <w:lang w:eastAsia="en-US"/>
        </w:rPr>
        <w:t xml:space="preserve"> </w:t>
      </w:r>
      <w:r w:rsidR="00472A51">
        <w:rPr>
          <w:rFonts w:ascii="Segoe UI" w:eastAsiaTheme="minorHAnsi" w:hAnsi="Segoe UI" w:cs="Segoe UI"/>
          <w:color w:val="auto"/>
          <w:sz w:val="22"/>
          <w:szCs w:val="22"/>
          <w:lang w:eastAsia="en-US"/>
        </w:rPr>
        <w:t>(“</w:t>
      </w:r>
      <w:r w:rsidR="00437724" w:rsidRPr="000761D7">
        <w:rPr>
          <w:rFonts w:ascii="Segoe UI" w:eastAsiaTheme="minorHAnsi" w:hAnsi="Segoe UI" w:cs="Segoe UI"/>
          <w:color w:val="auto"/>
          <w:sz w:val="22"/>
          <w:szCs w:val="22"/>
          <w:lang w:eastAsia="en-US"/>
        </w:rPr>
        <w:t>Procel</w:t>
      </w:r>
      <w:r w:rsidR="00472A51">
        <w:rPr>
          <w:rFonts w:ascii="Segoe UI" w:eastAsiaTheme="minorHAnsi" w:hAnsi="Segoe UI" w:cs="Segoe UI"/>
          <w:color w:val="auto"/>
          <w:sz w:val="22"/>
          <w:szCs w:val="22"/>
          <w:lang w:eastAsia="en-US"/>
        </w:rPr>
        <w:t>”)</w:t>
      </w:r>
      <w:r w:rsidR="00437724" w:rsidRPr="000761D7">
        <w:rPr>
          <w:rFonts w:ascii="Segoe UI" w:eastAsiaTheme="minorHAnsi" w:hAnsi="Segoe UI" w:cs="Segoe UI"/>
          <w:color w:val="auto"/>
          <w:sz w:val="22"/>
          <w:szCs w:val="22"/>
          <w:lang w:eastAsia="en-US"/>
        </w:rPr>
        <w:t xml:space="preserve"> e gerir contratos de</w:t>
      </w:r>
      <w:r w:rsidRPr="000761D7">
        <w:rPr>
          <w:rFonts w:ascii="Segoe UI" w:eastAsiaTheme="minorHAnsi" w:hAnsi="Segoe UI" w:cs="Segoe UI"/>
          <w:color w:val="auto"/>
          <w:sz w:val="22"/>
          <w:szCs w:val="22"/>
          <w:lang w:eastAsia="en-US"/>
        </w:rPr>
        <w:t xml:space="preserve"> </w:t>
      </w:r>
      <w:r w:rsidR="00437724" w:rsidRPr="000761D7">
        <w:rPr>
          <w:rFonts w:ascii="Segoe UI" w:eastAsiaTheme="minorHAnsi" w:hAnsi="Segoe UI" w:cs="Segoe UI"/>
          <w:color w:val="auto"/>
          <w:sz w:val="22"/>
          <w:szCs w:val="22"/>
          <w:lang w:eastAsia="en-US"/>
        </w:rPr>
        <w:t xml:space="preserve">comercialização de energia gerada pelos </w:t>
      </w:r>
      <w:r w:rsidR="002D397E" w:rsidRPr="000761D7">
        <w:rPr>
          <w:rFonts w:ascii="Segoe UI" w:eastAsiaTheme="minorHAnsi" w:hAnsi="Segoe UI" w:cs="Segoe UI"/>
          <w:color w:val="auto"/>
          <w:sz w:val="22"/>
          <w:szCs w:val="22"/>
          <w:lang w:eastAsia="en-US"/>
        </w:rPr>
        <w:t>empreendimentos</w:t>
      </w:r>
      <w:r w:rsidRPr="000761D7">
        <w:rPr>
          <w:rFonts w:ascii="Segoe UI" w:eastAsiaTheme="minorHAnsi" w:hAnsi="Segoe UI" w:cs="Segoe UI"/>
          <w:color w:val="auto"/>
          <w:sz w:val="22"/>
          <w:szCs w:val="22"/>
          <w:lang w:eastAsia="en-US"/>
        </w:rPr>
        <w:t xml:space="preserve"> </w:t>
      </w:r>
      <w:r w:rsidR="00437724" w:rsidRPr="000761D7">
        <w:rPr>
          <w:rFonts w:ascii="Segoe UI" w:eastAsiaTheme="minorHAnsi" w:hAnsi="Segoe UI" w:cs="Segoe UI"/>
          <w:color w:val="auto"/>
          <w:sz w:val="22"/>
          <w:szCs w:val="22"/>
          <w:lang w:eastAsia="en-US"/>
        </w:rPr>
        <w:t xml:space="preserve">contratados </w:t>
      </w:r>
      <w:r w:rsidRPr="000761D7">
        <w:rPr>
          <w:rFonts w:ascii="Segoe UI" w:eastAsiaTheme="minorHAnsi" w:hAnsi="Segoe UI" w:cs="Segoe UI"/>
          <w:color w:val="auto"/>
          <w:sz w:val="22"/>
          <w:szCs w:val="22"/>
          <w:lang w:eastAsia="en-US"/>
        </w:rPr>
        <w:t>no âm</w:t>
      </w:r>
      <w:r w:rsidR="00437724" w:rsidRPr="000761D7">
        <w:rPr>
          <w:rFonts w:ascii="Segoe UI" w:eastAsiaTheme="minorHAnsi" w:hAnsi="Segoe UI" w:cs="Segoe UI"/>
          <w:color w:val="auto"/>
          <w:sz w:val="22"/>
          <w:szCs w:val="22"/>
          <w:lang w:eastAsia="en-US"/>
        </w:rPr>
        <w:t>bito do Programa de Incentivo às Fontes</w:t>
      </w:r>
      <w:r w:rsidRPr="000761D7">
        <w:rPr>
          <w:rFonts w:ascii="Segoe UI" w:eastAsiaTheme="minorHAnsi" w:hAnsi="Segoe UI" w:cs="Segoe UI"/>
          <w:color w:val="auto"/>
          <w:sz w:val="22"/>
          <w:szCs w:val="22"/>
          <w:lang w:eastAsia="en-US"/>
        </w:rPr>
        <w:t xml:space="preserve"> </w:t>
      </w:r>
      <w:r w:rsidR="00437724" w:rsidRPr="000761D7">
        <w:rPr>
          <w:rFonts w:ascii="Segoe UI" w:eastAsiaTheme="minorHAnsi" w:hAnsi="Segoe UI" w:cs="Segoe UI"/>
          <w:color w:val="auto"/>
          <w:sz w:val="22"/>
          <w:szCs w:val="22"/>
          <w:lang w:eastAsia="en-US"/>
        </w:rPr>
        <w:t xml:space="preserve">Alternativas de Energia Elétrica </w:t>
      </w:r>
      <w:r w:rsidR="00472A51">
        <w:rPr>
          <w:rFonts w:ascii="Segoe UI" w:eastAsiaTheme="minorHAnsi" w:hAnsi="Segoe UI" w:cs="Segoe UI"/>
          <w:color w:val="auto"/>
          <w:sz w:val="22"/>
          <w:szCs w:val="22"/>
          <w:lang w:eastAsia="en-US"/>
        </w:rPr>
        <w:t>–</w:t>
      </w:r>
      <w:r w:rsidR="00437724" w:rsidRPr="000761D7">
        <w:rPr>
          <w:rFonts w:ascii="Segoe UI" w:eastAsiaTheme="minorHAnsi" w:hAnsi="Segoe UI" w:cs="Segoe UI"/>
          <w:color w:val="auto"/>
          <w:sz w:val="22"/>
          <w:szCs w:val="22"/>
          <w:lang w:eastAsia="en-US"/>
        </w:rPr>
        <w:t xml:space="preserve"> </w:t>
      </w:r>
      <w:r w:rsidR="00472A51">
        <w:rPr>
          <w:rFonts w:ascii="Segoe UI" w:eastAsiaTheme="minorHAnsi" w:hAnsi="Segoe UI" w:cs="Segoe UI"/>
          <w:color w:val="auto"/>
          <w:sz w:val="22"/>
          <w:szCs w:val="22"/>
          <w:lang w:eastAsia="en-US"/>
        </w:rPr>
        <w:t>(“</w:t>
      </w:r>
      <w:r w:rsidR="00437724" w:rsidRPr="000761D7">
        <w:rPr>
          <w:rFonts w:ascii="Segoe UI" w:eastAsiaTheme="minorHAnsi" w:hAnsi="Segoe UI" w:cs="Segoe UI"/>
          <w:color w:val="auto"/>
          <w:sz w:val="22"/>
          <w:szCs w:val="22"/>
          <w:lang w:eastAsia="en-US"/>
        </w:rPr>
        <w:t>Proinfa</w:t>
      </w:r>
      <w:r w:rsidR="00472A51">
        <w:rPr>
          <w:rFonts w:ascii="Segoe UI" w:eastAsiaTheme="minorHAnsi" w:hAnsi="Segoe UI" w:cs="Segoe UI"/>
          <w:color w:val="auto"/>
          <w:sz w:val="22"/>
          <w:szCs w:val="22"/>
          <w:lang w:eastAsia="en-US"/>
        </w:rPr>
        <w:t>”).</w:t>
      </w:r>
    </w:p>
    <w:p w14:paraId="0C0CA50E" w14:textId="09CB6486" w:rsidR="00723938" w:rsidRPr="00310BB8" w:rsidRDefault="00020B8F" w:rsidP="00AB133D">
      <w:pPr>
        <w:autoSpaceDE w:val="0"/>
        <w:autoSpaceDN w:val="0"/>
        <w:adjustRightInd w:val="0"/>
        <w:spacing w:before="240" w:afterLines="50" w:after="120"/>
        <w:jc w:val="both"/>
        <w:rPr>
          <w:rFonts w:ascii="Segoe UI" w:hAnsi="Segoe UI" w:cs="Segoe UI"/>
          <w:b/>
          <w:color w:val="1B80C4"/>
          <w:u w:val="single"/>
        </w:rPr>
      </w:pPr>
      <w:r w:rsidRPr="00310BB8">
        <w:rPr>
          <w:rFonts w:ascii="Segoe UI" w:hAnsi="Segoe UI" w:cs="Segoe UI"/>
          <w:b/>
          <w:color w:val="1B80C4"/>
          <w:u w:val="single"/>
        </w:rPr>
        <w:t>Desestatização da</w:t>
      </w:r>
      <w:r w:rsidR="005635AD" w:rsidRPr="00310BB8">
        <w:rPr>
          <w:rFonts w:ascii="Segoe UI" w:hAnsi="Segoe UI" w:cs="Segoe UI"/>
          <w:b/>
          <w:color w:val="1B80C4"/>
          <w:u w:val="single"/>
        </w:rPr>
        <w:t>s</w:t>
      </w:r>
      <w:r w:rsidRPr="00310BB8">
        <w:rPr>
          <w:rFonts w:ascii="Segoe UI" w:hAnsi="Segoe UI" w:cs="Segoe UI"/>
          <w:b/>
          <w:color w:val="1B80C4"/>
          <w:u w:val="single"/>
        </w:rPr>
        <w:t xml:space="preserve"> Centrais Elétricas Brasileiras S.A – </w:t>
      </w:r>
      <w:r w:rsidR="001729D7">
        <w:rPr>
          <w:rFonts w:ascii="Segoe UI" w:hAnsi="Segoe UI" w:cs="Segoe UI"/>
          <w:b/>
          <w:color w:val="1B80C4"/>
          <w:u w:val="single"/>
        </w:rPr>
        <w:t>(“</w:t>
      </w:r>
      <w:r w:rsidRPr="00310BB8">
        <w:rPr>
          <w:rFonts w:ascii="Segoe UI" w:hAnsi="Segoe UI" w:cs="Segoe UI"/>
          <w:b/>
          <w:color w:val="1B80C4"/>
          <w:u w:val="single"/>
        </w:rPr>
        <w:t>Eletrobras</w:t>
      </w:r>
      <w:r w:rsidR="001729D7">
        <w:rPr>
          <w:rFonts w:ascii="Segoe UI" w:hAnsi="Segoe UI" w:cs="Segoe UI"/>
          <w:b/>
          <w:color w:val="1B80C4"/>
          <w:u w:val="single"/>
        </w:rPr>
        <w:t>”)</w:t>
      </w:r>
      <w:r w:rsidRPr="00310BB8">
        <w:rPr>
          <w:rFonts w:ascii="Segoe UI" w:hAnsi="Segoe UI" w:cs="Segoe UI"/>
          <w:b/>
          <w:color w:val="1B80C4"/>
          <w:u w:val="single"/>
        </w:rPr>
        <w:t xml:space="preserve"> e reflexos na ENBP</w:t>
      </w:r>
      <w:r w:rsidR="005C611E" w:rsidRPr="00310BB8">
        <w:rPr>
          <w:rFonts w:ascii="Segoe UI" w:hAnsi="Segoe UI" w:cs="Segoe UI"/>
          <w:b/>
          <w:color w:val="1B80C4"/>
          <w:u w:val="single"/>
        </w:rPr>
        <w:t>ar</w:t>
      </w:r>
    </w:p>
    <w:p w14:paraId="09DF1F99" w14:textId="56FE23FC" w:rsidR="002E6364" w:rsidRDefault="00F16866" w:rsidP="00D67933">
      <w:pPr>
        <w:autoSpaceDE w:val="0"/>
        <w:autoSpaceDN w:val="0"/>
        <w:adjustRightInd w:val="0"/>
        <w:spacing w:after="120"/>
        <w:jc w:val="both"/>
        <w:rPr>
          <w:rFonts w:ascii="Segoe UI" w:hAnsi="Segoe UI" w:cs="Segoe UI"/>
        </w:rPr>
      </w:pPr>
      <w:r w:rsidRPr="000757BC">
        <w:rPr>
          <w:rFonts w:ascii="Segoe UI" w:hAnsi="Segoe UI" w:cs="Segoe UI"/>
        </w:rPr>
        <w:t xml:space="preserve">Nos termos da Lei nº 14.182/2021 e da Resolução </w:t>
      </w:r>
      <w:r w:rsidR="001729D7" w:rsidRPr="001729D7">
        <w:rPr>
          <w:rFonts w:ascii="Segoe UI" w:hAnsi="Segoe UI" w:cs="Segoe UI"/>
        </w:rPr>
        <w:t>Programa de Parcerias de Investimentos (</w:t>
      </w:r>
      <w:r w:rsidR="001729D7">
        <w:rPr>
          <w:rFonts w:ascii="Segoe UI" w:hAnsi="Segoe UI" w:cs="Segoe UI"/>
        </w:rPr>
        <w:t>“</w:t>
      </w:r>
      <w:r w:rsidR="001729D7" w:rsidRPr="001729D7">
        <w:rPr>
          <w:rFonts w:ascii="Segoe UI" w:hAnsi="Segoe UI" w:cs="Segoe UI"/>
        </w:rPr>
        <w:t>CPPI</w:t>
      </w:r>
      <w:r w:rsidR="001729D7">
        <w:rPr>
          <w:rFonts w:ascii="Segoe UI" w:hAnsi="Segoe UI" w:cs="Segoe UI"/>
        </w:rPr>
        <w:t>”</w:t>
      </w:r>
      <w:r w:rsidR="001729D7" w:rsidRPr="001729D7">
        <w:rPr>
          <w:rFonts w:ascii="Segoe UI" w:hAnsi="Segoe UI" w:cs="Segoe UI"/>
        </w:rPr>
        <w:t>)</w:t>
      </w:r>
      <w:r w:rsidRPr="000757BC">
        <w:rPr>
          <w:rFonts w:ascii="Segoe UI" w:hAnsi="Segoe UI" w:cs="Segoe UI"/>
        </w:rPr>
        <w:t xml:space="preserve"> nº 203/2021, com as alterações da Resolução CPPI nº 221/2021, a </w:t>
      </w:r>
      <w:r w:rsidR="002E6364" w:rsidRPr="000757BC">
        <w:rPr>
          <w:rFonts w:ascii="Segoe UI" w:hAnsi="Segoe UI" w:cs="Segoe UI"/>
        </w:rPr>
        <w:t xml:space="preserve">desestatização da Eletrobras ocorreu em </w:t>
      </w:r>
      <w:r w:rsidR="00B33B8B" w:rsidRPr="000757BC">
        <w:rPr>
          <w:rFonts w:ascii="Segoe UI" w:hAnsi="Segoe UI" w:cs="Segoe UI"/>
        </w:rPr>
        <w:t>17</w:t>
      </w:r>
      <w:r w:rsidR="002E6364" w:rsidRPr="000757BC">
        <w:rPr>
          <w:rFonts w:ascii="Segoe UI" w:hAnsi="Segoe UI" w:cs="Segoe UI"/>
        </w:rPr>
        <w:t xml:space="preserve"> de junho de 2022,</w:t>
      </w:r>
      <w:r w:rsidR="00020B8F" w:rsidRPr="000757BC">
        <w:rPr>
          <w:rFonts w:ascii="Segoe UI" w:hAnsi="Segoe UI" w:cs="Segoe UI"/>
        </w:rPr>
        <w:t xml:space="preserve"> conforme </w:t>
      </w:r>
      <w:r w:rsidR="00A129C5" w:rsidRPr="000757BC">
        <w:rPr>
          <w:rFonts w:ascii="Segoe UI" w:hAnsi="Segoe UI" w:cs="Segoe UI"/>
        </w:rPr>
        <w:t xml:space="preserve">a </w:t>
      </w:r>
      <w:r w:rsidR="00020B8F" w:rsidRPr="000757BC">
        <w:rPr>
          <w:rFonts w:ascii="Segoe UI" w:hAnsi="Segoe UI" w:cs="Segoe UI"/>
        </w:rPr>
        <w:t>181ª Assembleia Ger</w:t>
      </w:r>
      <w:r w:rsidR="00A129C5" w:rsidRPr="000757BC">
        <w:rPr>
          <w:rFonts w:ascii="Segoe UI" w:hAnsi="Segoe UI" w:cs="Segoe UI"/>
        </w:rPr>
        <w:t>al Extraordinária da Eletrobr</w:t>
      </w:r>
      <w:r w:rsidR="005C611E" w:rsidRPr="000757BC">
        <w:rPr>
          <w:rFonts w:ascii="Segoe UI" w:hAnsi="Segoe UI" w:cs="Segoe UI"/>
        </w:rPr>
        <w:t>a</w:t>
      </w:r>
      <w:r w:rsidR="00A129C5" w:rsidRPr="000757BC">
        <w:rPr>
          <w:rFonts w:ascii="Segoe UI" w:hAnsi="Segoe UI" w:cs="Segoe UI"/>
        </w:rPr>
        <w:t>s. C</w:t>
      </w:r>
      <w:r w:rsidR="002E6364" w:rsidRPr="000757BC">
        <w:rPr>
          <w:rFonts w:ascii="Segoe UI" w:hAnsi="Segoe UI" w:cs="Segoe UI"/>
        </w:rPr>
        <w:t>om isso</w:t>
      </w:r>
      <w:r w:rsidR="00A129C5" w:rsidRPr="000757BC">
        <w:rPr>
          <w:rFonts w:ascii="Segoe UI" w:hAnsi="Segoe UI" w:cs="Segoe UI"/>
        </w:rPr>
        <w:t>,</w:t>
      </w:r>
      <w:r w:rsidR="002E6364" w:rsidRPr="000757BC">
        <w:rPr>
          <w:rFonts w:ascii="Segoe UI" w:hAnsi="Segoe UI" w:cs="Segoe UI"/>
        </w:rPr>
        <w:t xml:space="preserve"> a </w:t>
      </w:r>
      <w:r w:rsidR="00E0105A" w:rsidRPr="000757BC">
        <w:rPr>
          <w:rFonts w:ascii="Segoe UI" w:hAnsi="Segoe UI" w:cs="Segoe UI"/>
        </w:rPr>
        <w:t xml:space="preserve">ENBPar </w:t>
      </w:r>
      <w:r w:rsidR="002E6364" w:rsidRPr="000757BC">
        <w:rPr>
          <w:rFonts w:ascii="Segoe UI" w:hAnsi="Segoe UI" w:cs="Segoe UI"/>
        </w:rPr>
        <w:t>assumiu as atividades de agente de comercialização de energia elétrica de Itaipu Binacional</w:t>
      </w:r>
      <w:r w:rsidR="00450137">
        <w:rPr>
          <w:rFonts w:ascii="Segoe UI" w:hAnsi="Segoe UI" w:cs="Segoe UI"/>
        </w:rPr>
        <w:t xml:space="preserve"> </w:t>
      </w:r>
      <w:r w:rsidR="00450137" w:rsidRPr="000757BC">
        <w:rPr>
          <w:rFonts w:ascii="Segoe UI" w:hAnsi="Segoe UI" w:cs="Segoe UI"/>
        </w:rPr>
        <w:t>(“Itaipu”)</w:t>
      </w:r>
      <w:r w:rsidR="002E6364" w:rsidRPr="000757BC">
        <w:rPr>
          <w:rFonts w:ascii="Segoe UI" w:hAnsi="Segoe UI" w:cs="Segoe UI"/>
        </w:rPr>
        <w:t xml:space="preserve"> atra</w:t>
      </w:r>
      <w:r w:rsidR="00AB0DD2" w:rsidRPr="000757BC">
        <w:rPr>
          <w:rFonts w:ascii="Segoe UI" w:hAnsi="Segoe UI" w:cs="Segoe UI"/>
        </w:rPr>
        <w:t>vés d</w:t>
      </w:r>
      <w:r w:rsidR="00CB7D2A">
        <w:rPr>
          <w:rFonts w:ascii="Segoe UI" w:hAnsi="Segoe UI" w:cs="Segoe UI"/>
        </w:rPr>
        <w:t xml:space="preserve">o </w:t>
      </w:r>
      <w:r w:rsidR="005331BC" w:rsidRPr="005331BC">
        <w:rPr>
          <w:rFonts w:ascii="Segoe UI" w:eastAsia="Times New Roman" w:hAnsi="Segoe UI" w:cs="Segoe UI"/>
          <w:lang w:eastAsia="pt-BR"/>
        </w:rPr>
        <w:t>Contrato de Transferência de Participação Societária e Outras Avenças</w:t>
      </w:r>
      <w:r w:rsidR="00CB7D2A">
        <w:rPr>
          <w:rFonts w:ascii="Segoe UI" w:hAnsi="Segoe UI" w:cs="Segoe UI"/>
        </w:rPr>
        <w:t xml:space="preserve"> e Decreto nº 11.027/2022, e também passou a ser o acionista controlador da Eletronuclear S.A</w:t>
      </w:r>
      <w:r w:rsidR="00472A51">
        <w:rPr>
          <w:rFonts w:ascii="Segoe UI" w:hAnsi="Segoe UI" w:cs="Segoe UI"/>
        </w:rPr>
        <w:t xml:space="preserve"> - (“Eletronuclear”)</w:t>
      </w:r>
      <w:r w:rsidR="00CB7D2A">
        <w:rPr>
          <w:rFonts w:ascii="Segoe UI" w:hAnsi="Segoe UI" w:cs="Segoe UI"/>
        </w:rPr>
        <w:t>, por meio de aquisições de ações ordinárias.</w:t>
      </w:r>
    </w:p>
    <w:p w14:paraId="2C4C6465" w14:textId="6EB0029E" w:rsidR="00842755" w:rsidRPr="001444E0" w:rsidRDefault="00152E57" w:rsidP="005579B1">
      <w:pPr>
        <w:spacing w:before="240" w:afterLines="50" w:after="120"/>
        <w:jc w:val="both"/>
        <w:rPr>
          <w:rFonts w:ascii="Segoe UI" w:hAnsi="Segoe UI" w:cs="Segoe UI"/>
          <w:b/>
          <w:color w:val="1B80C4"/>
          <w:u w:val="single"/>
        </w:rPr>
      </w:pPr>
      <w:r w:rsidRPr="001444E0">
        <w:rPr>
          <w:rFonts w:ascii="Segoe UI" w:hAnsi="Segoe UI" w:cs="Segoe UI"/>
          <w:b/>
          <w:color w:val="1B80C4"/>
          <w:u w:val="single"/>
        </w:rPr>
        <w:t>I</w:t>
      </w:r>
      <w:r w:rsidR="00020B8F" w:rsidRPr="001444E0">
        <w:rPr>
          <w:rFonts w:ascii="Segoe UI" w:hAnsi="Segoe UI" w:cs="Segoe UI"/>
          <w:b/>
          <w:color w:val="1B80C4"/>
          <w:u w:val="single"/>
        </w:rPr>
        <w:t>taipu</w:t>
      </w:r>
      <w:r w:rsidR="004A4B03">
        <w:rPr>
          <w:rFonts w:ascii="Segoe UI" w:hAnsi="Segoe UI" w:cs="Segoe UI"/>
          <w:b/>
          <w:color w:val="1B80C4"/>
          <w:u w:val="single"/>
        </w:rPr>
        <w:t xml:space="preserve"> Binacional</w:t>
      </w:r>
      <w:r w:rsidR="00974F72">
        <w:rPr>
          <w:rFonts w:ascii="Segoe UI" w:hAnsi="Segoe UI" w:cs="Segoe UI"/>
          <w:b/>
          <w:color w:val="1B80C4"/>
          <w:u w:val="single"/>
        </w:rPr>
        <w:t xml:space="preserve"> – (“Itaipu”)</w:t>
      </w:r>
    </w:p>
    <w:p w14:paraId="09B43004" w14:textId="5EB60E75" w:rsidR="00E0105A" w:rsidRPr="000757BC" w:rsidRDefault="00E0105A" w:rsidP="00D8024A">
      <w:pPr>
        <w:autoSpaceDE w:val="0"/>
        <w:autoSpaceDN w:val="0"/>
        <w:adjustRightInd w:val="0"/>
        <w:spacing w:before="240" w:after="120"/>
        <w:jc w:val="both"/>
        <w:rPr>
          <w:rFonts w:ascii="Segoe UI" w:eastAsia="Times New Roman" w:hAnsi="Segoe UI" w:cs="Segoe UI"/>
          <w:lang w:eastAsia="pt-BR"/>
        </w:rPr>
      </w:pPr>
      <w:r w:rsidRPr="005331BC">
        <w:rPr>
          <w:rFonts w:ascii="Segoe UI" w:eastAsia="Times New Roman" w:hAnsi="Segoe UI" w:cs="Segoe UI"/>
          <w:lang w:eastAsia="pt-BR"/>
        </w:rPr>
        <w:t>O Contrato de Transferência de Participação Societária</w:t>
      </w:r>
      <w:r w:rsidR="00C75614" w:rsidRPr="005331BC">
        <w:rPr>
          <w:rFonts w:ascii="Segoe UI" w:eastAsia="Times New Roman" w:hAnsi="Segoe UI" w:cs="Segoe UI"/>
          <w:lang w:eastAsia="pt-BR"/>
        </w:rPr>
        <w:t xml:space="preserve"> e </w:t>
      </w:r>
      <w:r w:rsidR="005331BC" w:rsidRPr="005331BC">
        <w:rPr>
          <w:rFonts w:ascii="Segoe UI" w:eastAsia="Times New Roman" w:hAnsi="Segoe UI" w:cs="Segoe UI"/>
          <w:lang w:eastAsia="pt-BR"/>
        </w:rPr>
        <w:t>O</w:t>
      </w:r>
      <w:r w:rsidR="00C75614" w:rsidRPr="005331BC">
        <w:rPr>
          <w:rFonts w:ascii="Segoe UI" w:eastAsia="Times New Roman" w:hAnsi="Segoe UI" w:cs="Segoe UI"/>
          <w:lang w:eastAsia="pt-BR"/>
        </w:rPr>
        <w:t xml:space="preserve">utras </w:t>
      </w:r>
      <w:r w:rsidR="005331BC" w:rsidRPr="005331BC">
        <w:rPr>
          <w:rFonts w:ascii="Segoe UI" w:eastAsia="Times New Roman" w:hAnsi="Segoe UI" w:cs="Segoe UI"/>
          <w:lang w:eastAsia="pt-BR"/>
        </w:rPr>
        <w:t>A</w:t>
      </w:r>
      <w:r w:rsidR="00C75614" w:rsidRPr="005331BC">
        <w:rPr>
          <w:rFonts w:ascii="Segoe UI" w:eastAsia="Times New Roman" w:hAnsi="Segoe UI" w:cs="Segoe UI"/>
          <w:lang w:eastAsia="pt-BR"/>
        </w:rPr>
        <w:t>venças</w:t>
      </w:r>
      <w:r w:rsidRPr="005331BC">
        <w:rPr>
          <w:rFonts w:ascii="Segoe UI" w:eastAsia="Times New Roman" w:hAnsi="Segoe UI" w:cs="Segoe UI"/>
          <w:lang w:eastAsia="pt-BR"/>
        </w:rPr>
        <w:t xml:space="preserve"> em Itaipu pela Eletrobras transferiu a totalidade de sua participação societária no capital social da Itaipu para a ENBPar. A transferência de Itaipu foi notificada pela Eletrobras, em conjunto com a União, à ANDE – </w:t>
      </w:r>
      <w:r w:rsidRPr="005331BC">
        <w:rPr>
          <w:rFonts w:ascii="Segoe UI" w:eastAsia="Times New Roman" w:hAnsi="Segoe UI" w:cs="Segoe UI"/>
          <w:i/>
          <w:lang w:eastAsia="pt-BR"/>
        </w:rPr>
        <w:t>Administración Nacional de Eletricidad</w:t>
      </w:r>
      <w:r w:rsidRPr="005331BC">
        <w:rPr>
          <w:rFonts w:ascii="Segoe UI" w:eastAsia="Times New Roman" w:hAnsi="Segoe UI" w:cs="Segoe UI"/>
          <w:lang w:eastAsia="pt-BR"/>
        </w:rPr>
        <w:t xml:space="preserve"> e ao Governo do Paraguai. O preço a ser pago pela ENBPar à Eletrobras pela aquisição da participação societária é de R$</w:t>
      </w:r>
      <w:r w:rsidR="00955D7C" w:rsidRPr="005331BC">
        <w:rPr>
          <w:rFonts w:ascii="Segoe UI" w:eastAsia="Times New Roman" w:hAnsi="Segoe UI" w:cs="Segoe UI"/>
          <w:lang w:eastAsia="pt-BR"/>
        </w:rPr>
        <w:t xml:space="preserve"> </w:t>
      </w:r>
      <w:r w:rsidRPr="005331BC">
        <w:rPr>
          <w:rFonts w:ascii="Segoe UI" w:eastAsia="Times New Roman" w:hAnsi="Segoe UI" w:cs="Segoe UI"/>
          <w:lang w:eastAsia="pt-BR"/>
        </w:rPr>
        <w:t>1.212.148</w:t>
      </w:r>
      <w:r w:rsidR="00D8024A">
        <w:rPr>
          <w:rFonts w:ascii="Segoe UI" w:eastAsia="Times New Roman" w:hAnsi="Segoe UI" w:cs="Segoe UI"/>
          <w:lang w:eastAsia="pt-BR"/>
        </w:rPr>
        <w:t>, corresponde a                      US$ 233,253,440.00 (duzentos e trinta e três milhões, duzentos e cinquenta e três mil e quatrocentos e quarenta dólares) na data base de 31 de dezembro de 2020.</w:t>
      </w:r>
    </w:p>
    <w:p w14:paraId="5DF4AB1B" w14:textId="77DD9452" w:rsidR="00E0105A" w:rsidRDefault="00E0105A" w:rsidP="001A2340">
      <w:pPr>
        <w:autoSpaceDE w:val="0"/>
        <w:autoSpaceDN w:val="0"/>
        <w:adjustRightInd w:val="0"/>
        <w:spacing w:before="240" w:after="120"/>
        <w:jc w:val="both"/>
        <w:rPr>
          <w:rFonts w:ascii="Segoe UI" w:eastAsia="Times New Roman" w:hAnsi="Segoe UI" w:cs="Segoe UI"/>
          <w:lang w:eastAsia="pt-BR"/>
        </w:rPr>
      </w:pPr>
      <w:r w:rsidRPr="000757BC">
        <w:rPr>
          <w:rFonts w:ascii="Segoe UI" w:eastAsia="Times New Roman" w:hAnsi="Segoe UI" w:cs="Segoe UI"/>
          <w:lang w:eastAsia="pt-BR"/>
        </w:rPr>
        <w:t xml:space="preserve">A responsabilidade pela gestão brasileira de Itaipu e a responsabilidade pela comercialização da energia elétrica produzida por Itaipu e consumida no Brasil foram imediatamente transferidas à ENBPar a partir da data da </w:t>
      </w:r>
      <w:r w:rsidR="00BF7C24" w:rsidRPr="000757BC">
        <w:rPr>
          <w:rFonts w:ascii="Segoe UI" w:eastAsia="Times New Roman" w:hAnsi="Segoe UI" w:cs="Segoe UI"/>
          <w:lang w:eastAsia="pt-BR"/>
        </w:rPr>
        <w:t xml:space="preserve">efetiva transferência </w:t>
      </w:r>
      <w:r w:rsidRPr="000757BC">
        <w:rPr>
          <w:rFonts w:ascii="Segoe UI" w:eastAsia="Times New Roman" w:hAnsi="Segoe UI" w:cs="Segoe UI"/>
          <w:lang w:eastAsia="pt-BR"/>
        </w:rPr>
        <w:t xml:space="preserve">de Itaipu. </w:t>
      </w:r>
    </w:p>
    <w:p w14:paraId="4FB2A645" w14:textId="240BF29D" w:rsidR="00A87A15" w:rsidRPr="001444E0" w:rsidRDefault="00A87A15" w:rsidP="00A87A15">
      <w:pPr>
        <w:spacing w:before="240" w:afterLines="50" w:after="120"/>
        <w:jc w:val="both"/>
        <w:rPr>
          <w:rFonts w:ascii="Segoe UI" w:hAnsi="Segoe UI" w:cs="Segoe UI"/>
          <w:b/>
          <w:color w:val="1B80C4"/>
          <w:u w:val="single"/>
        </w:rPr>
      </w:pPr>
      <w:r w:rsidRPr="001444E0">
        <w:rPr>
          <w:rFonts w:ascii="Segoe UI" w:hAnsi="Segoe UI" w:cs="Segoe UI"/>
          <w:b/>
          <w:color w:val="1B80C4"/>
          <w:u w:val="single"/>
        </w:rPr>
        <w:lastRenderedPageBreak/>
        <w:t>Eletronuclear</w:t>
      </w:r>
      <w:r>
        <w:rPr>
          <w:rFonts w:ascii="Segoe UI" w:hAnsi="Segoe UI" w:cs="Segoe UI"/>
          <w:b/>
          <w:color w:val="1B80C4"/>
          <w:u w:val="single"/>
        </w:rPr>
        <w:t xml:space="preserve"> S.A.</w:t>
      </w:r>
    </w:p>
    <w:p w14:paraId="13A17DEF" w14:textId="70908369" w:rsidR="00A87A15" w:rsidRPr="000757BC" w:rsidRDefault="00A87A15" w:rsidP="00A87A15">
      <w:pPr>
        <w:pStyle w:val="Corpodetexto"/>
        <w:spacing w:before="240" w:after="120" w:line="259" w:lineRule="auto"/>
        <w:ind w:left="20" w:right="17"/>
        <w:rPr>
          <w:rFonts w:ascii="Segoe UI" w:hAnsi="Segoe UI" w:cs="Segoe UI"/>
          <w:sz w:val="22"/>
          <w:szCs w:val="22"/>
        </w:rPr>
      </w:pPr>
      <w:r w:rsidRPr="000757BC">
        <w:rPr>
          <w:rFonts w:ascii="Segoe UI" w:eastAsiaTheme="minorHAnsi" w:hAnsi="Segoe UI" w:cs="Segoe UI"/>
          <w:sz w:val="22"/>
          <w:szCs w:val="22"/>
          <w:lang w:val="pt-BR" w:eastAsia="en-US"/>
        </w:rPr>
        <w:t xml:space="preserve">O controle societário detido pela Eletrobras na Eletronuclear foi transferido para a ENBPar mediante </w:t>
      </w:r>
      <w:r w:rsidR="009F3C41">
        <w:rPr>
          <w:rFonts w:ascii="Segoe UI" w:eastAsiaTheme="minorHAnsi" w:hAnsi="Segoe UI" w:cs="Segoe UI"/>
          <w:sz w:val="22"/>
          <w:szCs w:val="22"/>
          <w:lang w:val="pt-BR" w:eastAsia="en-US"/>
        </w:rPr>
        <w:t>aquisições</w:t>
      </w:r>
      <w:r w:rsidRPr="000757BC">
        <w:rPr>
          <w:rFonts w:ascii="Segoe UI" w:eastAsiaTheme="minorHAnsi" w:hAnsi="Segoe UI" w:cs="Segoe UI"/>
          <w:sz w:val="22"/>
          <w:szCs w:val="22"/>
          <w:lang w:val="pt-BR" w:eastAsia="en-US"/>
        </w:rPr>
        <w:t xml:space="preserve"> de novas ações</w:t>
      </w:r>
      <w:r w:rsidR="009F3C41">
        <w:rPr>
          <w:rFonts w:ascii="Segoe UI" w:eastAsiaTheme="minorHAnsi" w:hAnsi="Segoe UI" w:cs="Segoe UI"/>
          <w:sz w:val="22"/>
          <w:szCs w:val="22"/>
          <w:lang w:val="pt-BR" w:eastAsia="en-US"/>
        </w:rPr>
        <w:t xml:space="preserve"> ordinárias</w:t>
      </w:r>
      <w:r w:rsidRPr="000757BC">
        <w:rPr>
          <w:rFonts w:ascii="Segoe UI" w:eastAsiaTheme="minorHAnsi" w:hAnsi="Segoe UI" w:cs="Segoe UI"/>
          <w:sz w:val="22"/>
          <w:szCs w:val="22"/>
          <w:lang w:val="pt-BR" w:eastAsia="en-US"/>
        </w:rPr>
        <w:t xml:space="preserve">, realizada financeiramente por aporte de capital, no montante de R$ 3.500.000 </w:t>
      </w:r>
      <w:r w:rsidR="00D8024A">
        <w:rPr>
          <w:rFonts w:ascii="Segoe UI" w:eastAsiaTheme="minorHAnsi" w:hAnsi="Segoe UI" w:cs="Segoe UI"/>
          <w:sz w:val="22"/>
          <w:szCs w:val="22"/>
          <w:lang w:val="pt-BR" w:eastAsia="en-US"/>
        </w:rPr>
        <w:t xml:space="preserve">(Três bilhões, quinhentos milhões de reais) </w:t>
      </w:r>
      <w:r w:rsidRPr="000757BC">
        <w:rPr>
          <w:rFonts w:ascii="Segoe UI" w:eastAsiaTheme="minorHAnsi" w:hAnsi="Segoe UI" w:cs="Segoe UI"/>
          <w:sz w:val="22"/>
          <w:szCs w:val="22"/>
          <w:lang w:val="pt-BR" w:eastAsia="en-US"/>
        </w:rPr>
        <w:t xml:space="preserve">realizado em 20 de junho de 2022. Esse valor </w:t>
      </w:r>
      <w:r w:rsidR="00534AB8">
        <w:rPr>
          <w:rFonts w:ascii="Segoe UI" w:eastAsiaTheme="minorHAnsi" w:hAnsi="Segoe UI" w:cs="Segoe UI"/>
          <w:sz w:val="22"/>
          <w:szCs w:val="22"/>
          <w:lang w:val="pt-BR" w:eastAsia="en-US"/>
        </w:rPr>
        <w:t>consta</w:t>
      </w:r>
      <w:r w:rsidRPr="000757BC">
        <w:rPr>
          <w:rFonts w:ascii="Segoe UI" w:eastAsiaTheme="minorHAnsi" w:hAnsi="Segoe UI" w:cs="Segoe UI"/>
          <w:sz w:val="22"/>
          <w:szCs w:val="22"/>
          <w:lang w:val="pt-BR" w:eastAsia="en-US"/>
        </w:rPr>
        <w:t xml:space="preserve"> no Acordo de Investimento, celebrado entre a Eletrobras e a ENBPar, no âmbito do processo de desestatização da Eletrobras, com isso a ENBPar passou a ser a controladora da Eletronuclear. O Acordo de Investimentos </w:t>
      </w:r>
      <w:r w:rsidR="00534AB8">
        <w:rPr>
          <w:rFonts w:ascii="Segoe UI" w:eastAsiaTheme="minorHAnsi" w:hAnsi="Segoe UI" w:cs="Segoe UI"/>
          <w:sz w:val="22"/>
          <w:szCs w:val="22"/>
          <w:lang w:val="pt-BR" w:eastAsia="en-US"/>
        </w:rPr>
        <w:t xml:space="preserve">firmado entre Eletrobras e </w:t>
      </w:r>
      <w:r w:rsidRPr="000757BC">
        <w:rPr>
          <w:rFonts w:ascii="Segoe UI" w:eastAsiaTheme="minorHAnsi" w:hAnsi="Segoe UI" w:cs="Segoe UI"/>
          <w:sz w:val="22"/>
          <w:szCs w:val="22"/>
          <w:lang w:val="pt-BR" w:eastAsia="en-US"/>
        </w:rPr>
        <w:t>Eletronuclear defin</w:t>
      </w:r>
      <w:r w:rsidR="00534AB8">
        <w:rPr>
          <w:rFonts w:ascii="Segoe UI" w:eastAsiaTheme="minorHAnsi" w:hAnsi="Segoe UI" w:cs="Segoe UI"/>
          <w:sz w:val="22"/>
          <w:szCs w:val="22"/>
          <w:lang w:val="pt-BR" w:eastAsia="en-US"/>
        </w:rPr>
        <w:t>e</w:t>
      </w:r>
      <w:r w:rsidRPr="000757BC">
        <w:rPr>
          <w:rFonts w:ascii="Segoe UI" w:eastAsiaTheme="minorHAnsi" w:hAnsi="Segoe UI" w:cs="Segoe UI"/>
          <w:sz w:val="22"/>
          <w:szCs w:val="22"/>
          <w:lang w:val="pt-BR" w:eastAsia="en-US"/>
        </w:rPr>
        <w:t xml:space="preserve"> que:</w:t>
      </w:r>
    </w:p>
    <w:p w14:paraId="3568FDA3" w14:textId="66296E09" w:rsidR="00A87A15" w:rsidRPr="000757BC" w:rsidRDefault="00A87A15"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szCs w:val="22"/>
        </w:rPr>
      </w:pPr>
      <w:r w:rsidRPr="000757BC">
        <w:rPr>
          <w:rFonts w:ascii="Segoe UI" w:hAnsi="Segoe UI" w:cs="Segoe UI"/>
          <w:szCs w:val="22"/>
        </w:rPr>
        <w:t>a ENBPar deveria integralizar 141.916.224.437 Ações Ordinárias, no valor total de R$ 3.500.000 ("Integralização Eletronuclear – ENBPar")</w:t>
      </w:r>
      <w:r w:rsidR="009F3C41">
        <w:rPr>
          <w:rFonts w:ascii="Segoe UI" w:hAnsi="Segoe UI" w:cs="Segoe UI"/>
          <w:szCs w:val="22"/>
        </w:rPr>
        <w:t xml:space="preserve"> que representam </w:t>
      </w:r>
      <w:r w:rsidR="009F3C41" w:rsidRPr="00CD2D43">
        <w:rPr>
          <w:rFonts w:ascii="Segoe UI" w:hAnsi="Segoe UI" w:cs="Segoe UI"/>
          <w:szCs w:val="22"/>
        </w:rPr>
        <w:t>6</w:t>
      </w:r>
      <w:r w:rsidR="00CD2D43" w:rsidRPr="00CD2D43">
        <w:rPr>
          <w:rFonts w:ascii="Segoe UI" w:hAnsi="Segoe UI" w:cs="Segoe UI"/>
          <w:szCs w:val="22"/>
        </w:rPr>
        <w:t>4</w:t>
      </w:r>
      <w:r w:rsidR="009F3C41" w:rsidRPr="00CD2D43">
        <w:rPr>
          <w:rFonts w:ascii="Segoe UI" w:hAnsi="Segoe UI" w:cs="Segoe UI"/>
          <w:szCs w:val="22"/>
        </w:rPr>
        <w:t>,</w:t>
      </w:r>
      <w:r w:rsidR="00CD2D43" w:rsidRPr="00CD2D43">
        <w:rPr>
          <w:rFonts w:ascii="Segoe UI" w:hAnsi="Segoe UI" w:cs="Segoe UI"/>
          <w:szCs w:val="22"/>
        </w:rPr>
        <w:t>10</w:t>
      </w:r>
      <w:r w:rsidR="009F3C41">
        <w:rPr>
          <w:rFonts w:ascii="Segoe UI" w:hAnsi="Segoe UI" w:cs="Segoe UI"/>
          <w:szCs w:val="22"/>
        </w:rPr>
        <w:t>% das ações ordinárias e 32,05% das ações totais</w:t>
      </w:r>
      <w:r w:rsidRPr="000757BC">
        <w:rPr>
          <w:rFonts w:ascii="Segoe UI" w:hAnsi="Segoe UI" w:cs="Segoe UI"/>
          <w:szCs w:val="22"/>
        </w:rPr>
        <w:t>; e</w:t>
      </w:r>
    </w:p>
    <w:p w14:paraId="17D71874" w14:textId="3DBEC458" w:rsidR="00A87A15" w:rsidRPr="000757BC" w:rsidRDefault="00A87A15"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szCs w:val="22"/>
        </w:rPr>
      </w:pPr>
      <w:r w:rsidRPr="000757BC">
        <w:rPr>
          <w:rFonts w:ascii="Segoe UI" w:hAnsi="Segoe UI" w:cs="Segoe UI"/>
          <w:szCs w:val="22"/>
        </w:rPr>
        <w:t xml:space="preserve">a Eletrobras e a ENBPar devem participar, resguardada a proporção de suas ações, conforme previsto no Acordo de Acionistas </w:t>
      </w:r>
      <w:r>
        <w:rPr>
          <w:rFonts w:ascii="Segoe UI" w:hAnsi="Segoe UI" w:cs="Segoe UI"/>
          <w:szCs w:val="22"/>
        </w:rPr>
        <w:t xml:space="preserve">da </w:t>
      </w:r>
      <w:r w:rsidRPr="000757BC">
        <w:rPr>
          <w:rFonts w:ascii="Segoe UI" w:hAnsi="Segoe UI" w:cs="Segoe UI"/>
          <w:szCs w:val="22"/>
        </w:rPr>
        <w:t xml:space="preserve">Eletronuclear, na obtenção dos recursos necessários para a viabilização da construção de Angra 3. Esses recursos podem ser obtidos por meio de (i) capitalizações; e (ii) financiamentos na forma de mútuos. O volume necessário de novas capitalizações e novos financiamentos para viabilizar o empreendimento de Angra 3 será determinado por estudos conduzidos pelo </w:t>
      </w:r>
      <w:r w:rsidR="00472A51" w:rsidRPr="00472A51">
        <w:rPr>
          <w:rFonts w:ascii="Segoe UI" w:hAnsi="Segoe UI" w:cs="Segoe UI"/>
          <w:szCs w:val="22"/>
        </w:rPr>
        <w:t xml:space="preserve">Banco Nacional de Desenvolvimento Econômico e Social </w:t>
      </w:r>
      <w:r w:rsidR="00472A51">
        <w:rPr>
          <w:rFonts w:ascii="Segoe UI" w:hAnsi="Segoe UI" w:cs="Segoe UI"/>
          <w:szCs w:val="22"/>
        </w:rPr>
        <w:t>– (“</w:t>
      </w:r>
      <w:r w:rsidRPr="000757BC">
        <w:rPr>
          <w:rFonts w:ascii="Segoe UI" w:hAnsi="Segoe UI" w:cs="Segoe UI"/>
          <w:szCs w:val="22"/>
        </w:rPr>
        <w:t>BNDES</w:t>
      </w:r>
      <w:r w:rsidR="00472A51">
        <w:rPr>
          <w:rFonts w:ascii="Segoe UI" w:hAnsi="Segoe UI" w:cs="Segoe UI"/>
          <w:szCs w:val="22"/>
        </w:rPr>
        <w:t>”)</w:t>
      </w:r>
      <w:r w:rsidRPr="000757BC">
        <w:rPr>
          <w:rFonts w:ascii="Segoe UI" w:hAnsi="Segoe UI" w:cs="Segoe UI"/>
          <w:szCs w:val="22"/>
        </w:rPr>
        <w:t xml:space="preserve">. Para tanto, a Eletrobras e a ENBPar ficam obrigadas a (i) fazer com que a Eletronuclear emita novas ações de forma a viabilizar novas capitalizações; e (ii) fazer com que a diretoria da Eletronuclear submeta propostas de financiamento para aprovação do </w:t>
      </w:r>
      <w:r w:rsidR="00472A51" w:rsidRPr="00472A51">
        <w:rPr>
          <w:rFonts w:ascii="Segoe UI" w:hAnsi="Segoe UI" w:cs="Segoe UI"/>
          <w:szCs w:val="22"/>
        </w:rPr>
        <w:t xml:space="preserve">Comitê Estatutário de Acompanhamento do Projeto da </w:t>
      </w:r>
      <w:r w:rsidR="007C0256">
        <w:rPr>
          <w:rFonts w:ascii="Segoe UI" w:hAnsi="Segoe UI" w:cs="Segoe UI"/>
          <w:szCs w:val="22"/>
        </w:rPr>
        <w:t>u</w:t>
      </w:r>
      <w:r w:rsidR="00472A51" w:rsidRPr="00472A51">
        <w:rPr>
          <w:rFonts w:ascii="Segoe UI" w:hAnsi="Segoe UI" w:cs="Segoe UI"/>
          <w:szCs w:val="22"/>
        </w:rPr>
        <w:t>sina Termonuclear Angra 3</w:t>
      </w:r>
      <w:r w:rsidR="00472A51">
        <w:rPr>
          <w:rFonts w:ascii="Roboto" w:hAnsi="Roboto"/>
          <w:color w:val="5E5E5E"/>
          <w:shd w:val="clear" w:color="auto" w:fill="FFFFFF"/>
        </w:rPr>
        <w:t> </w:t>
      </w:r>
      <w:r w:rsidR="00472A51" w:rsidRPr="000757BC">
        <w:rPr>
          <w:rFonts w:ascii="Segoe UI" w:hAnsi="Segoe UI" w:cs="Segoe UI"/>
          <w:szCs w:val="22"/>
        </w:rPr>
        <w:t xml:space="preserve"> </w:t>
      </w:r>
      <w:r w:rsidR="00472A51">
        <w:rPr>
          <w:rFonts w:ascii="Segoe UI" w:hAnsi="Segoe UI" w:cs="Segoe UI"/>
          <w:szCs w:val="22"/>
        </w:rPr>
        <w:t>- (“</w:t>
      </w:r>
      <w:r w:rsidRPr="000757BC">
        <w:rPr>
          <w:rFonts w:ascii="Segoe UI" w:hAnsi="Segoe UI" w:cs="Segoe UI"/>
          <w:szCs w:val="22"/>
        </w:rPr>
        <w:t>COANGRA</w:t>
      </w:r>
      <w:r w:rsidR="00472A51">
        <w:rPr>
          <w:rFonts w:ascii="Segoe UI" w:hAnsi="Segoe UI" w:cs="Segoe UI"/>
          <w:szCs w:val="22"/>
        </w:rPr>
        <w:t>”)</w:t>
      </w:r>
      <w:r w:rsidRPr="000757BC">
        <w:rPr>
          <w:rFonts w:ascii="Segoe UI" w:hAnsi="Segoe UI" w:cs="Segoe UI"/>
          <w:szCs w:val="22"/>
        </w:rPr>
        <w:t xml:space="preserve">, podendo, a Eletronuclear, para tanto, outorgar garantias fidejussórias e/ou estruturar operações de repasse para obtenção de recursos, em todos os casos, conforme determinado pelos estudos do BNDES, observado que (a) cada parte somente será obrigada a honrar seu compromisso para obtenção de tais recursos na proporção de suas participações no capital social votante da Eletronuclear, conforme previsto no Acordo de Acionistas </w:t>
      </w:r>
      <w:r>
        <w:rPr>
          <w:rFonts w:ascii="Segoe UI" w:hAnsi="Segoe UI" w:cs="Segoe UI"/>
          <w:szCs w:val="22"/>
        </w:rPr>
        <w:t xml:space="preserve">da </w:t>
      </w:r>
      <w:r w:rsidRPr="000757BC">
        <w:rPr>
          <w:rFonts w:ascii="Segoe UI" w:hAnsi="Segoe UI" w:cs="Segoe UI"/>
          <w:szCs w:val="22"/>
        </w:rPr>
        <w:t>Eletronuclear; e (b) nenhuma das partes será obrigada a participar na obtenção de tais recursos em valores superiores ao previsto nos referidos estudos.</w:t>
      </w:r>
    </w:p>
    <w:p w14:paraId="654ACACB" w14:textId="1FF1B45E" w:rsidR="00AF10A9" w:rsidRPr="001444E0" w:rsidRDefault="00AF10A9" w:rsidP="005579B1">
      <w:pPr>
        <w:spacing w:before="240" w:afterLines="50" w:after="120"/>
        <w:jc w:val="both"/>
        <w:rPr>
          <w:rFonts w:ascii="Segoe UI" w:hAnsi="Segoe UI" w:cs="Segoe UI"/>
          <w:b/>
          <w:color w:val="1B80C4"/>
          <w:u w:val="single"/>
        </w:rPr>
      </w:pPr>
      <w:r w:rsidRPr="001444E0">
        <w:rPr>
          <w:rFonts w:ascii="Segoe UI" w:hAnsi="Segoe UI" w:cs="Segoe UI"/>
          <w:b/>
          <w:color w:val="1B80C4"/>
          <w:u w:val="single"/>
        </w:rPr>
        <w:t xml:space="preserve">Indústrias Nucleares do Brasil S.A – </w:t>
      </w:r>
      <w:r w:rsidR="00612BEC">
        <w:rPr>
          <w:rFonts w:ascii="Segoe UI" w:hAnsi="Segoe UI" w:cs="Segoe UI"/>
          <w:b/>
          <w:color w:val="1B80C4"/>
          <w:u w:val="single"/>
        </w:rPr>
        <w:t>(“I</w:t>
      </w:r>
      <w:r w:rsidRPr="001444E0">
        <w:rPr>
          <w:rFonts w:ascii="Segoe UI" w:hAnsi="Segoe UI" w:cs="Segoe UI"/>
          <w:b/>
          <w:color w:val="1B80C4"/>
          <w:u w:val="single"/>
        </w:rPr>
        <w:t>NB</w:t>
      </w:r>
      <w:r w:rsidR="00612BEC">
        <w:rPr>
          <w:rFonts w:ascii="Segoe UI" w:hAnsi="Segoe UI" w:cs="Segoe UI"/>
          <w:b/>
          <w:color w:val="1B80C4"/>
          <w:u w:val="single"/>
        </w:rPr>
        <w:t>”)</w:t>
      </w:r>
    </w:p>
    <w:p w14:paraId="465D57F4" w14:textId="70A82E43" w:rsidR="00227C33" w:rsidRPr="000757BC" w:rsidRDefault="007D03C3" w:rsidP="001A2340">
      <w:pPr>
        <w:pStyle w:val="Recuodecorpodetexto2"/>
        <w:spacing w:before="240" w:line="259" w:lineRule="auto"/>
        <w:ind w:left="0"/>
        <w:jc w:val="both"/>
        <w:rPr>
          <w:rFonts w:ascii="Segoe UI" w:hAnsi="Segoe UI" w:cs="Segoe UI"/>
        </w:rPr>
      </w:pPr>
      <w:r w:rsidRPr="000757BC">
        <w:rPr>
          <w:rFonts w:ascii="Segoe UI" w:eastAsia="Times New Roman" w:hAnsi="Segoe UI" w:cs="Segoe UI"/>
          <w:lang w:eastAsia="pt-BR"/>
        </w:rPr>
        <w:t xml:space="preserve">O controle acionário da INB foi transferido da União para a </w:t>
      </w:r>
      <w:r w:rsidR="00BF7C24" w:rsidRPr="000757BC">
        <w:rPr>
          <w:rFonts w:ascii="Segoe UI" w:eastAsia="Times New Roman" w:hAnsi="Segoe UI" w:cs="Segoe UI"/>
          <w:lang w:eastAsia="pt-BR"/>
        </w:rPr>
        <w:t>ENBPar</w:t>
      </w:r>
      <w:r w:rsidRPr="000757BC">
        <w:rPr>
          <w:rFonts w:ascii="Segoe UI" w:eastAsia="Times New Roman" w:hAnsi="Segoe UI" w:cs="Segoe UI"/>
          <w:lang w:eastAsia="pt-BR"/>
        </w:rPr>
        <w:t xml:space="preserve">, autorizado pela Medida Provisória nº 1.133, de 12 de agosto de 2022, convertida na Lei nº 14.514, de 29 de dezembro de 2022, por meio do aporte </w:t>
      </w:r>
      <w:r w:rsidR="009F3C41">
        <w:rPr>
          <w:rFonts w:ascii="Segoe UI" w:eastAsia="Times New Roman" w:hAnsi="Segoe UI" w:cs="Segoe UI"/>
          <w:lang w:eastAsia="pt-BR"/>
        </w:rPr>
        <w:t>da totalidade d</w:t>
      </w:r>
      <w:r w:rsidRPr="000757BC">
        <w:rPr>
          <w:rFonts w:ascii="Segoe UI" w:eastAsia="Times New Roman" w:hAnsi="Segoe UI" w:cs="Segoe UI"/>
          <w:lang w:eastAsia="pt-BR"/>
        </w:rPr>
        <w:t xml:space="preserve">as ações que a União detinha no capital social da </w:t>
      </w:r>
      <w:r w:rsidR="00BF7C24" w:rsidRPr="000757BC">
        <w:rPr>
          <w:rFonts w:ascii="Segoe UI" w:eastAsia="Times New Roman" w:hAnsi="Segoe UI" w:cs="Segoe UI"/>
          <w:lang w:eastAsia="pt-BR"/>
        </w:rPr>
        <w:t>INB</w:t>
      </w:r>
      <w:r w:rsidRPr="000757BC">
        <w:rPr>
          <w:rFonts w:ascii="Segoe UI" w:eastAsia="Times New Roman" w:hAnsi="Segoe UI" w:cs="Segoe UI"/>
          <w:lang w:eastAsia="pt-BR"/>
        </w:rPr>
        <w:t>, resultando no aumento do capital social da ENBPar,</w:t>
      </w:r>
      <w:r w:rsidR="00CD7D6F">
        <w:rPr>
          <w:rFonts w:ascii="Segoe UI" w:eastAsia="Times New Roman" w:hAnsi="Segoe UI" w:cs="Segoe UI"/>
          <w:lang w:eastAsia="pt-BR"/>
        </w:rPr>
        <w:t xml:space="preserve"> no valor de R$ </w:t>
      </w:r>
      <w:r w:rsidR="00CD7D6F" w:rsidRPr="00515246">
        <w:rPr>
          <w:rFonts w:ascii="Segoe UI" w:hAnsi="Segoe UI" w:cs="Segoe UI"/>
        </w:rPr>
        <w:t>1.111.344</w:t>
      </w:r>
      <w:r w:rsidR="00CD7D6F">
        <w:rPr>
          <w:rFonts w:ascii="Segoe UI" w:hAnsi="Segoe UI" w:cs="Segoe UI"/>
        </w:rPr>
        <w:t>,</w:t>
      </w:r>
      <w:r w:rsidRPr="000757BC">
        <w:rPr>
          <w:rFonts w:ascii="Segoe UI" w:eastAsia="Times New Roman" w:hAnsi="Segoe UI" w:cs="Segoe UI"/>
          <w:lang w:eastAsia="pt-BR"/>
        </w:rPr>
        <w:t xml:space="preserve"> autorizado com a edição do Decreto nº 11.235, de 13 de outubro de 2022. A partir da modificação no controle acionário, a INB se tornou uma estatal não dependente da União, passando a arcar com a integralidade das despesas com pessoal ou de custeio geral ou de capital, sem receber recursos financeiros do Tesouro. Uma das condicionantes impostas pelo Tesouro Nacional à ENBPar e </w:t>
      </w:r>
      <w:r w:rsidR="00BF7C24" w:rsidRPr="000757BC">
        <w:rPr>
          <w:rFonts w:ascii="Segoe UI" w:eastAsia="Times New Roman" w:hAnsi="Segoe UI" w:cs="Segoe UI"/>
          <w:lang w:eastAsia="pt-BR"/>
        </w:rPr>
        <w:t xml:space="preserve">à </w:t>
      </w:r>
      <w:r w:rsidRPr="000757BC">
        <w:rPr>
          <w:rFonts w:ascii="Segoe UI" w:eastAsia="Times New Roman" w:hAnsi="Segoe UI" w:cs="Segoe UI"/>
          <w:lang w:eastAsia="pt-BR"/>
        </w:rPr>
        <w:t xml:space="preserve">INB, </w:t>
      </w:r>
      <w:r w:rsidRPr="000757BC">
        <w:rPr>
          <w:rFonts w:ascii="Segoe UI" w:eastAsia="Times New Roman" w:hAnsi="Segoe UI" w:cs="Segoe UI"/>
          <w:lang w:eastAsia="pt-BR"/>
        </w:rPr>
        <w:lastRenderedPageBreak/>
        <w:t xml:space="preserve">quanto a sua saída do </w:t>
      </w:r>
      <w:r w:rsidR="00863157" w:rsidRPr="000757BC">
        <w:rPr>
          <w:rFonts w:ascii="Segoe UI" w:eastAsia="Times New Roman" w:hAnsi="Segoe UI" w:cs="Segoe UI"/>
          <w:lang w:eastAsia="pt-BR"/>
        </w:rPr>
        <w:t xml:space="preserve">Orçamento Fiscal </w:t>
      </w:r>
      <w:r w:rsidR="00612BEC">
        <w:rPr>
          <w:rFonts w:ascii="Segoe UI" w:eastAsia="Times New Roman" w:hAnsi="Segoe UI" w:cs="Segoe UI"/>
          <w:lang w:eastAsia="pt-BR"/>
        </w:rPr>
        <w:t>e da Seguridade Social</w:t>
      </w:r>
      <w:r w:rsidR="00863157" w:rsidRPr="000757BC">
        <w:rPr>
          <w:rFonts w:ascii="Segoe UI" w:eastAsia="Times New Roman" w:hAnsi="Segoe UI" w:cs="Segoe UI"/>
          <w:lang w:eastAsia="pt-BR"/>
        </w:rPr>
        <w:t xml:space="preserve"> </w:t>
      </w:r>
      <w:r w:rsidR="00612BEC">
        <w:rPr>
          <w:rFonts w:ascii="Segoe UI" w:eastAsia="Times New Roman" w:hAnsi="Segoe UI" w:cs="Segoe UI"/>
          <w:lang w:eastAsia="pt-BR"/>
        </w:rPr>
        <w:t>–</w:t>
      </w:r>
      <w:r w:rsidR="00863157" w:rsidRPr="000757BC">
        <w:rPr>
          <w:rFonts w:ascii="Segoe UI" w:eastAsia="Times New Roman" w:hAnsi="Segoe UI" w:cs="Segoe UI"/>
          <w:lang w:eastAsia="pt-BR"/>
        </w:rPr>
        <w:t xml:space="preserve"> </w:t>
      </w:r>
      <w:r w:rsidR="00612BEC">
        <w:rPr>
          <w:rFonts w:ascii="Segoe UI" w:eastAsia="Times New Roman" w:hAnsi="Segoe UI" w:cs="Segoe UI"/>
          <w:lang w:eastAsia="pt-BR"/>
        </w:rPr>
        <w:t>(“</w:t>
      </w:r>
      <w:r w:rsidRPr="000757BC">
        <w:rPr>
          <w:rFonts w:ascii="Segoe UI" w:eastAsia="Times New Roman" w:hAnsi="Segoe UI" w:cs="Segoe UI"/>
          <w:lang w:eastAsia="pt-BR"/>
        </w:rPr>
        <w:t>OFSS</w:t>
      </w:r>
      <w:r w:rsidR="00612BEC">
        <w:rPr>
          <w:rFonts w:ascii="Segoe UI" w:eastAsia="Times New Roman" w:hAnsi="Segoe UI" w:cs="Segoe UI"/>
          <w:lang w:eastAsia="pt-BR"/>
        </w:rPr>
        <w:t>”)</w:t>
      </w:r>
      <w:r w:rsidRPr="000757BC">
        <w:rPr>
          <w:rFonts w:ascii="Segoe UI" w:eastAsia="Times New Roman" w:hAnsi="Segoe UI" w:cs="Segoe UI"/>
          <w:lang w:eastAsia="pt-BR"/>
        </w:rPr>
        <w:t xml:space="preserve">, foi o compromisso de continuar empreendendo ações de </w:t>
      </w:r>
      <w:r w:rsidR="00BF7C24" w:rsidRPr="000757BC">
        <w:rPr>
          <w:rFonts w:ascii="Segoe UI" w:eastAsia="Times New Roman" w:hAnsi="Segoe UI" w:cs="Segoe UI"/>
          <w:lang w:eastAsia="pt-BR"/>
        </w:rPr>
        <w:t xml:space="preserve">descomissionamento </w:t>
      </w:r>
      <w:r w:rsidRPr="000757BC">
        <w:rPr>
          <w:rFonts w:ascii="Segoe UI" w:eastAsia="Times New Roman" w:hAnsi="Segoe UI" w:cs="Segoe UI"/>
          <w:lang w:eastAsia="pt-BR"/>
        </w:rPr>
        <w:t xml:space="preserve">e </w:t>
      </w:r>
      <w:r w:rsidR="00BF7C24" w:rsidRPr="000757BC">
        <w:rPr>
          <w:rFonts w:ascii="Segoe UI" w:eastAsia="Times New Roman" w:hAnsi="Segoe UI" w:cs="Segoe UI"/>
          <w:lang w:eastAsia="pt-BR"/>
        </w:rPr>
        <w:t xml:space="preserve">desmobilização </w:t>
      </w:r>
      <w:r w:rsidRPr="000757BC">
        <w:rPr>
          <w:rFonts w:ascii="Segoe UI" w:eastAsia="Times New Roman" w:hAnsi="Segoe UI" w:cs="Segoe UI"/>
          <w:lang w:eastAsia="pt-BR"/>
        </w:rPr>
        <w:t>em suas unidades industriais.</w:t>
      </w:r>
      <w:bookmarkStart w:id="1" w:name="_Hlk125453761"/>
    </w:p>
    <w:p w14:paraId="638171D0" w14:textId="15D496EC" w:rsidR="00227C33" w:rsidRPr="000757BC" w:rsidRDefault="00227C33" w:rsidP="001A2340">
      <w:pPr>
        <w:pStyle w:val="Recuodecorpodetexto2"/>
        <w:spacing w:before="240" w:line="259" w:lineRule="auto"/>
        <w:ind w:left="0"/>
        <w:jc w:val="both"/>
        <w:rPr>
          <w:rFonts w:ascii="Segoe UI" w:hAnsi="Segoe UI" w:cs="Segoe UI"/>
        </w:rPr>
      </w:pPr>
      <w:r w:rsidRPr="000757BC">
        <w:rPr>
          <w:rFonts w:ascii="Segoe UI" w:hAnsi="Segoe UI" w:cs="Segoe UI"/>
        </w:rPr>
        <w:t>O principal cliente da INB é a</w:t>
      </w:r>
      <w:r w:rsidR="00DC3647">
        <w:rPr>
          <w:rFonts w:ascii="Segoe UI" w:hAnsi="Segoe UI" w:cs="Segoe UI"/>
        </w:rPr>
        <w:t xml:space="preserve"> </w:t>
      </w:r>
      <w:r w:rsidRPr="000757BC">
        <w:rPr>
          <w:rFonts w:ascii="Segoe UI" w:hAnsi="Segoe UI" w:cs="Segoe UI"/>
        </w:rPr>
        <w:t xml:space="preserve">Eletronuclear, </w:t>
      </w:r>
      <w:r w:rsidR="00884F43" w:rsidRPr="000757BC">
        <w:rPr>
          <w:rFonts w:ascii="Segoe UI" w:hAnsi="Segoe UI" w:cs="Segoe UI"/>
        </w:rPr>
        <w:t xml:space="preserve">a qual </w:t>
      </w:r>
      <w:r w:rsidR="009F3C41">
        <w:rPr>
          <w:rFonts w:ascii="Segoe UI" w:hAnsi="Segoe UI" w:cs="Segoe UI"/>
        </w:rPr>
        <w:t>representa</w:t>
      </w:r>
      <w:r w:rsidR="00884F43" w:rsidRPr="000757BC">
        <w:rPr>
          <w:rFonts w:ascii="Segoe UI" w:hAnsi="Segoe UI" w:cs="Segoe UI"/>
        </w:rPr>
        <w:t xml:space="preserve"> por 95% da</w:t>
      </w:r>
      <w:r w:rsidR="009F3C41">
        <w:rPr>
          <w:rFonts w:ascii="Segoe UI" w:hAnsi="Segoe UI" w:cs="Segoe UI"/>
        </w:rPr>
        <w:t>s</w:t>
      </w:r>
      <w:r w:rsidR="00884F43" w:rsidRPr="000757BC">
        <w:rPr>
          <w:rFonts w:ascii="Segoe UI" w:hAnsi="Segoe UI" w:cs="Segoe UI"/>
        </w:rPr>
        <w:t xml:space="preserve"> receita</w:t>
      </w:r>
      <w:r w:rsidR="009F3C41">
        <w:rPr>
          <w:rFonts w:ascii="Segoe UI" w:hAnsi="Segoe UI" w:cs="Segoe UI"/>
        </w:rPr>
        <w:t>s</w:t>
      </w:r>
      <w:r w:rsidR="00884F43" w:rsidRPr="000757BC">
        <w:rPr>
          <w:rFonts w:ascii="Segoe UI" w:hAnsi="Segoe UI" w:cs="Segoe UI"/>
        </w:rPr>
        <w:t xml:space="preserve"> da INB</w:t>
      </w:r>
      <w:bookmarkEnd w:id="1"/>
      <w:r w:rsidR="00884F43" w:rsidRPr="000757BC">
        <w:rPr>
          <w:rFonts w:ascii="Segoe UI" w:hAnsi="Segoe UI" w:cs="Segoe UI"/>
        </w:rPr>
        <w:t>.</w:t>
      </w:r>
    </w:p>
    <w:p w14:paraId="7143A795" w14:textId="306D34C4" w:rsidR="00904BDB" w:rsidRPr="00114864" w:rsidRDefault="00904BDB" w:rsidP="00114864">
      <w:pPr>
        <w:rPr>
          <w:rFonts w:ascii="Segoe UI" w:hAnsi="Segoe UI" w:cs="Segoe UI"/>
        </w:rPr>
      </w:pPr>
      <w:r w:rsidRPr="001444E0">
        <w:rPr>
          <w:rFonts w:ascii="Segoe UI" w:hAnsi="Segoe UI" w:cs="Segoe UI"/>
          <w:b/>
          <w:color w:val="1B80C4"/>
          <w:u w:val="single"/>
        </w:rPr>
        <w:t>Gestão dos recursos relativos a fundos setoriais e programas governamentais</w:t>
      </w:r>
    </w:p>
    <w:p w14:paraId="2D57A27E" w14:textId="0049EFA7" w:rsidR="00904BDB" w:rsidRPr="000757BC" w:rsidRDefault="005B29A5" w:rsidP="001A2340">
      <w:pPr>
        <w:autoSpaceDE w:val="0"/>
        <w:autoSpaceDN w:val="0"/>
        <w:adjustRightInd w:val="0"/>
        <w:spacing w:before="240" w:after="120"/>
        <w:jc w:val="both"/>
        <w:rPr>
          <w:rFonts w:ascii="Segoe UI" w:hAnsi="Segoe UI" w:cs="Segoe UI"/>
        </w:rPr>
      </w:pPr>
      <w:r w:rsidRPr="000757BC">
        <w:rPr>
          <w:rFonts w:ascii="Segoe UI" w:hAnsi="Segoe UI" w:cs="Segoe UI"/>
        </w:rPr>
        <w:t xml:space="preserve">A ENBPar passará a ser a gestora dos </w:t>
      </w:r>
      <w:r w:rsidR="00904BDB" w:rsidRPr="000757BC">
        <w:rPr>
          <w:rFonts w:ascii="Segoe UI" w:hAnsi="Segoe UI" w:cs="Segoe UI"/>
        </w:rPr>
        <w:t>programas governamentais</w:t>
      </w:r>
      <w:r w:rsidR="004165C4" w:rsidRPr="000757BC">
        <w:rPr>
          <w:rFonts w:ascii="Segoe UI" w:hAnsi="Segoe UI" w:cs="Segoe UI"/>
        </w:rPr>
        <w:t xml:space="preserve"> do setor elétrico</w:t>
      </w:r>
      <w:r w:rsidRPr="000757BC">
        <w:rPr>
          <w:rFonts w:ascii="Segoe UI" w:hAnsi="Segoe UI" w:cs="Segoe UI"/>
        </w:rPr>
        <w:t>,</w:t>
      </w:r>
      <w:r w:rsidR="00534AB8">
        <w:rPr>
          <w:rFonts w:ascii="Segoe UI" w:hAnsi="Segoe UI" w:cs="Segoe UI"/>
        </w:rPr>
        <w:t xml:space="preserve"> abaixo relacionados,</w:t>
      </w:r>
      <w:r w:rsidR="00904BDB" w:rsidRPr="000757BC">
        <w:rPr>
          <w:rFonts w:ascii="Segoe UI" w:hAnsi="Segoe UI" w:cs="Segoe UI"/>
        </w:rPr>
        <w:t xml:space="preserve"> que serão transferidos </w:t>
      </w:r>
      <w:r w:rsidRPr="000757BC">
        <w:rPr>
          <w:rFonts w:ascii="Segoe UI" w:hAnsi="Segoe UI" w:cs="Segoe UI"/>
        </w:rPr>
        <w:t>da</w:t>
      </w:r>
      <w:r w:rsidR="00904BDB" w:rsidRPr="000757BC">
        <w:rPr>
          <w:rFonts w:ascii="Segoe UI" w:hAnsi="Segoe UI" w:cs="Segoe UI"/>
        </w:rPr>
        <w:t xml:space="preserve"> </w:t>
      </w:r>
      <w:r w:rsidRPr="000757BC">
        <w:rPr>
          <w:rFonts w:ascii="Segoe UI" w:hAnsi="Segoe UI" w:cs="Segoe UI"/>
        </w:rPr>
        <w:t>Eletrobras</w:t>
      </w:r>
      <w:r w:rsidR="00904BDB" w:rsidRPr="000757BC">
        <w:rPr>
          <w:rFonts w:ascii="Segoe UI" w:hAnsi="Segoe UI" w:cs="Segoe UI"/>
        </w:rPr>
        <w:t xml:space="preserve"> </w:t>
      </w:r>
      <w:r w:rsidR="00534AB8">
        <w:rPr>
          <w:rFonts w:ascii="Segoe UI" w:hAnsi="Segoe UI" w:cs="Segoe UI"/>
        </w:rPr>
        <w:t xml:space="preserve">para a ENBPar </w:t>
      </w:r>
      <w:r w:rsidRPr="000757BC">
        <w:rPr>
          <w:rFonts w:ascii="Segoe UI" w:hAnsi="Segoe UI" w:cs="Segoe UI"/>
        </w:rPr>
        <w:t>dentro do</w:t>
      </w:r>
      <w:r w:rsidR="00904BDB" w:rsidRPr="000757BC">
        <w:rPr>
          <w:rFonts w:ascii="Segoe UI" w:hAnsi="Segoe UI" w:cs="Segoe UI"/>
        </w:rPr>
        <w:t xml:space="preserve"> período de 12 meses contados </w:t>
      </w:r>
      <w:r w:rsidR="00CD7D6F">
        <w:rPr>
          <w:rFonts w:ascii="Segoe UI" w:hAnsi="Segoe UI" w:cs="Segoe UI"/>
        </w:rPr>
        <w:t xml:space="preserve">a partir </w:t>
      </w:r>
      <w:r w:rsidR="00904BDB" w:rsidRPr="000757BC">
        <w:rPr>
          <w:rFonts w:ascii="Segoe UI" w:hAnsi="Segoe UI" w:cs="Segoe UI"/>
        </w:rPr>
        <w:t xml:space="preserve">da </w:t>
      </w:r>
      <w:r w:rsidRPr="000757BC">
        <w:rPr>
          <w:rFonts w:ascii="Segoe UI" w:hAnsi="Segoe UI" w:cs="Segoe UI"/>
        </w:rPr>
        <w:t xml:space="preserve">sua </w:t>
      </w:r>
      <w:r w:rsidR="00904BDB" w:rsidRPr="000757BC">
        <w:rPr>
          <w:rFonts w:ascii="Segoe UI" w:hAnsi="Segoe UI" w:cs="Segoe UI"/>
        </w:rPr>
        <w:t>privatização</w:t>
      </w:r>
      <w:r w:rsidRPr="000757BC">
        <w:rPr>
          <w:rFonts w:ascii="Segoe UI" w:hAnsi="Segoe UI" w:cs="Segoe UI"/>
        </w:rPr>
        <w:t xml:space="preserve">, ocorrida em junho de 2022. </w:t>
      </w:r>
      <w:r w:rsidR="000F022D" w:rsidRPr="000757BC">
        <w:rPr>
          <w:rFonts w:ascii="Segoe UI" w:hAnsi="Segoe UI" w:cs="Segoe UI"/>
        </w:rPr>
        <w:t>Tais</w:t>
      </w:r>
      <w:r w:rsidRPr="000757BC">
        <w:rPr>
          <w:rFonts w:ascii="Segoe UI" w:hAnsi="Segoe UI" w:cs="Segoe UI"/>
        </w:rPr>
        <w:t xml:space="preserve"> programas descrevemos a seguir:</w:t>
      </w:r>
    </w:p>
    <w:p w14:paraId="562E95B2" w14:textId="4448195F" w:rsidR="00904BDB" w:rsidRPr="001444E0" w:rsidRDefault="00904BDB"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Luz para Todos</w:t>
      </w:r>
      <w:r w:rsidR="001A625C">
        <w:rPr>
          <w:rFonts w:ascii="Segoe UI" w:hAnsi="Segoe UI" w:cs="Segoe UI"/>
          <w:b/>
          <w:color w:val="1B80C4"/>
          <w:szCs w:val="22"/>
        </w:rPr>
        <w:t xml:space="preserve"> – (“LPT”)</w:t>
      </w:r>
    </w:p>
    <w:p w14:paraId="13BC85F5" w14:textId="381008A7" w:rsidR="00A610F5" w:rsidRDefault="00320384" w:rsidP="001A2340">
      <w:pPr>
        <w:spacing w:before="240" w:after="120"/>
        <w:ind w:left="426"/>
        <w:jc w:val="both"/>
        <w:rPr>
          <w:rFonts w:ascii="Segoe UI" w:hAnsi="Segoe UI" w:cs="Segoe UI"/>
          <w:bdr w:val="nil"/>
        </w:rPr>
      </w:pPr>
      <w:r w:rsidRPr="000757BC">
        <w:rPr>
          <w:rFonts w:ascii="Segoe UI" w:hAnsi="Segoe UI" w:cs="Segoe UI"/>
          <w:bdr w:val="nil"/>
        </w:rPr>
        <w:t xml:space="preserve">De acordo com o Decreto </w:t>
      </w:r>
      <w:r w:rsidR="00955D7C" w:rsidRPr="000757BC">
        <w:rPr>
          <w:rFonts w:ascii="Segoe UI" w:hAnsi="Segoe UI" w:cs="Segoe UI"/>
          <w:bdr w:val="nil"/>
        </w:rPr>
        <w:t>nº</w:t>
      </w:r>
      <w:r w:rsidRPr="000757BC">
        <w:rPr>
          <w:rFonts w:ascii="Segoe UI" w:hAnsi="Segoe UI" w:cs="Segoe UI"/>
          <w:bdr w:val="nil"/>
        </w:rPr>
        <w:t xml:space="preserve"> 4.873, de 11 de novembro de 2003, o programa </w:t>
      </w:r>
      <w:r w:rsidR="001A625C">
        <w:rPr>
          <w:rFonts w:ascii="Segoe UI" w:hAnsi="Segoe UI" w:cs="Segoe UI"/>
          <w:bdr w:val="nil"/>
        </w:rPr>
        <w:t xml:space="preserve">LPT </w:t>
      </w:r>
      <w:r w:rsidRPr="000757BC">
        <w:rPr>
          <w:rFonts w:ascii="Segoe UI" w:hAnsi="Segoe UI" w:cs="Segoe UI"/>
          <w:bdr w:val="nil"/>
        </w:rPr>
        <w:t xml:space="preserve">tem como objetivo propiciar o atendimento </w:t>
      </w:r>
      <w:r w:rsidR="00EE7C31" w:rsidRPr="000757BC">
        <w:rPr>
          <w:rFonts w:ascii="Segoe UI" w:hAnsi="Segoe UI" w:cs="Segoe UI"/>
          <w:bdr w:val="nil"/>
        </w:rPr>
        <w:t xml:space="preserve">de </w:t>
      </w:r>
      <w:r w:rsidRPr="000757BC">
        <w:rPr>
          <w:rFonts w:ascii="Segoe UI" w:hAnsi="Segoe UI" w:cs="Segoe UI"/>
          <w:bdr w:val="nil"/>
        </w:rPr>
        <w:t xml:space="preserve">energia elétrica à parcela da população do meio rural brasileiro que ainda não possui acesso a </w:t>
      </w:r>
      <w:r w:rsidR="002936A4" w:rsidRPr="000757BC">
        <w:rPr>
          <w:rFonts w:ascii="Segoe UI" w:hAnsi="Segoe UI" w:cs="Segoe UI"/>
          <w:bdr w:val="nil"/>
        </w:rPr>
        <w:t xml:space="preserve">esse </w:t>
      </w:r>
      <w:r w:rsidRPr="000757BC">
        <w:rPr>
          <w:rFonts w:ascii="Segoe UI" w:hAnsi="Segoe UI" w:cs="Segoe UI"/>
          <w:bdr w:val="nil"/>
        </w:rPr>
        <w:t xml:space="preserve">serviço público. Para tanto, por força do Decreto </w:t>
      </w:r>
      <w:r w:rsidR="00450137" w:rsidRPr="000757BC">
        <w:rPr>
          <w:rFonts w:ascii="Segoe UI" w:hAnsi="Segoe UI" w:cs="Segoe UI"/>
          <w:bdr w:val="nil"/>
        </w:rPr>
        <w:t>nº</w:t>
      </w:r>
      <w:r w:rsidR="00450137">
        <w:rPr>
          <w:rFonts w:ascii="Segoe UI" w:hAnsi="Segoe UI" w:cs="Segoe UI"/>
          <w:bdr w:val="nil"/>
        </w:rPr>
        <w:t xml:space="preserve"> </w:t>
      </w:r>
      <w:r w:rsidRPr="000757BC">
        <w:rPr>
          <w:rFonts w:ascii="Segoe UI" w:hAnsi="Segoe UI" w:cs="Segoe UI"/>
          <w:bdr w:val="nil"/>
        </w:rPr>
        <w:t>4.873</w:t>
      </w:r>
      <w:r w:rsidR="002936A4" w:rsidRPr="000757BC">
        <w:rPr>
          <w:rFonts w:ascii="Segoe UI" w:hAnsi="Segoe UI" w:cs="Segoe UI"/>
          <w:bdr w:val="nil"/>
        </w:rPr>
        <w:t>/2003</w:t>
      </w:r>
      <w:r w:rsidRPr="000757BC">
        <w:rPr>
          <w:rFonts w:ascii="Segoe UI" w:hAnsi="Segoe UI" w:cs="Segoe UI"/>
          <w:bdr w:val="nil"/>
        </w:rPr>
        <w:t xml:space="preserve">, a </w:t>
      </w:r>
      <w:r w:rsidR="00797F93" w:rsidRPr="000757BC">
        <w:rPr>
          <w:rFonts w:ascii="Segoe UI" w:hAnsi="Segoe UI" w:cs="Segoe UI"/>
          <w:bdr w:val="nil"/>
        </w:rPr>
        <w:t>E</w:t>
      </w:r>
      <w:r w:rsidR="00E11DF3" w:rsidRPr="000757BC">
        <w:rPr>
          <w:rFonts w:ascii="Segoe UI" w:hAnsi="Segoe UI" w:cs="Segoe UI"/>
          <w:bdr w:val="nil"/>
        </w:rPr>
        <w:t>le</w:t>
      </w:r>
      <w:r w:rsidR="00797F93" w:rsidRPr="000757BC">
        <w:rPr>
          <w:rFonts w:ascii="Segoe UI" w:hAnsi="Segoe UI" w:cs="Segoe UI"/>
          <w:bdr w:val="nil"/>
        </w:rPr>
        <w:t>trobras</w:t>
      </w:r>
      <w:r w:rsidR="00074400" w:rsidRPr="000757BC">
        <w:rPr>
          <w:rFonts w:ascii="Segoe UI" w:hAnsi="Segoe UI" w:cs="Segoe UI"/>
          <w:bdr w:val="nil"/>
        </w:rPr>
        <w:t>, por ainda não ter transferido o programa para a ENBPar,</w:t>
      </w:r>
      <w:r w:rsidRPr="000757BC">
        <w:rPr>
          <w:rFonts w:ascii="Segoe UI" w:hAnsi="Segoe UI" w:cs="Segoe UI"/>
          <w:bdr w:val="nil"/>
        </w:rPr>
        <w:t xml:space="preserve"> é </w:t>
      </w:r>
      <w:r w:rsidR="00074400" w:rsidRPr="000757BC">
        <w:rPr>
          <w:rFonts w:ascii="Segoe UI" w:hAnsi="Segoe UI" w:cs="Segoe UI"/>
          <w:bdr w:val="nil"/>
        </w:rPr>
        <w:t xml:space="preserve">a </w:t>
      </w:r>
      <w:r w:rsidRPr="000757BC">
        <w:rPr>
          <w:rFonts w:ascii="Segoe UI" w:hAnsi="Segoe UI" w:cs="Segoe UI"/>
          <w:bdr w:val="nil"/>
        </w:rPr>
        <w:t xml:space="preserve">responsável pela gestão do programa </w:t>
      </w:r>
      <w:r w:rsidR="001A625C">
        <w:rPr>
          <w:rFonts w:ascii="Segoe UI" w:hAnsi="Segoe UI" w:cs="Segoe UI"/>
          <w:bdr w:val="nil"/>
        </w:rPr>
        <w:t>LPT</w:t>
      </w:r>
      <w:r w:rsidRPr="000757BC">
        <w:rPr>
          <w:rFonts w:ascii="Segoe UI" w:hAnsi="Segoe UI" w:cs="Segoe UI"/>
          <w:bdr w:val="nil"/>
        </w:rPr>
        <w:t xml:space="preserve"> e, nessa condição, deve celebrar contratos de operacionalização com as distribuidoras executoras do programa, fazer a análise técnico-orçamentária dos programas de obras propostos pelos agentes executores e gerenciar a execução dos contratos celebrados, fornecendo informações para subsidiar a liberação dos recursos financeiros setoriais e realizando a comprovação da aplicação des</w:t>
      </w:r>
      <w:r w:rsidR="00EE7C31" w:rsidRPr="000757BC">
        <w:rPr>
          <w:rFonts w:ascii="Segoe UI" w:hAnsi="Segoe UI" w:cs="Segoe UI"/>
          <w:bdr w:val="nil"/>
        </w:rPr>
        <w:t>s</w:t>
      </w:r>
      <w:r w:rsidRPr="000757BC">
        <w:rPr>
          <w:rFonts w:ascii="Segoe UI" w:hAnsi="Segoe UI" w:cs="Segoe UI"/>
          <w:bdr w:val="nil"/>
        </w:rPr>
        <w:t>es recursos.</w:t>
      </w:r>
    </w:p>
    <w:p w14:paraId="69C37358" w14:textId="77777777" w:rsidR="009F3C41" w:rsidRPr="00BA4CC0" w:rsidRDefault="009F3C41" w:rsidP="009F3C41">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14864">
        <w:rPr>
          <w:rFonts w:ascii="Segoe UI" w:hAnsi="Segoe UI" w:cs="Segoe UI"/>
          <w:b/>
          <w:color w:val="1B80C4"/>
          <w:szCs w:val="22"/>
        </w:rPr>
        <w:t xml:space="preserve">Mais Luz para a Amazônia </w:t>
      </w:r>
      <w:r>
        <w:rPr>
          <w:rFonts w:ascii="Segoe UI" w:hAnsi="Segoe UI" w:cs="Segoe UI"/>
          <w:b/>
          <w:color w:val="1B80C4"/>
          <w:szCs w:val="22"/>
        </w:rPr>
        <w:t>– (“MLA”)</w:t>
      </w:r>
    </w:p>
    <w:p w14:paraId="0A2CEBA3" w14:textId="77777777" w:rsidR="009F3C41" w:rsidRPr="000757BC" w:rsidRDefault="009F3C41" w:rsidP="009F3C41">
      <w:pPr>
        <w:spacing w:before="240" w:after="120"/>
        <w:ind w:left="426"/>
        <w:jc w:val="both"/>
        <w:rPr>
          <w:rFonts w:ascii="Segoe UI" w:hAnsi="Segoe UI" w:cs="Segoe UI"/>
          <w:bdr w:val="nil"/>
        </w:rPr>
      </w:pPr>
      <w:r w:rsidRPr="000757BC">
        <w:rPr>
          <w:rFonts w:ascii="Segoe UI" w:hAnsi="Segoe UI" w:cs="Segoe UI"/>
          <w:bdr w:val="nil"/>
        </w:rPr>
        <w:t>De acordo com o Decreto nº 10.221, de 5 de fevereiro de 2020,</w:t>
      </w:r>
      <w:r>
        <w:rPr>
          <w:rFonts w:ascii="Segoe UI" w:hAnsi="Segoe UI" w:cs="Segoe UI"/>
          <w:bdr w:val="nil"/>
        </w:rPr>
        <w:t xml:space="preserve"> e Portaria MME nº86/2020,</w:t>
      </w:r>
      <w:r w:rsidRPr="000757BC">
        <w:rPr>
          <w:rFonts w:ascii="Segoe UI" w:hAnsi="Segoe UI" w:cs="Segoe UI"/>
          <w:bdr w:val="nil"/>
        </w:rPr>
        <w:t xml:space="preserve"> o programa governamental "Mais Luz para a Amazônia" tem como objetivo fornecer o atendimento com energia elétrica à população brasileira residente em regiões remotas da Amazônia Legal. </w:t>
      </w:r>
    </w:p>
    <w:p w14:paraId="426BB350" w14:textId="77777777" w:rsidR="00904BDB" w:rsidRPr="001444E0" w:rsidRDefault="00320384"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 xml:space="preserve"> </w:t>
      </w:r>
      <w:r w:rsidR="00904BDB" w:rsidRPr="001444E0">
        <w:rPr>
          <w:rFonts w:ascii="Segoe UI" w:hAnsi="Segoe UI" w:cs="Segoe UI"/>
          <w:b/>
          <w:color w:val="1B80C4"/>
          <w:szCs w:val="22"/>
        </w:rPr>
        <w:t xml:space="preserve">Programa de Incentivo </w:t>
      </w:r>
      <w:r w:rsidR="003C2E07" w:rsidRPr="001444E0">
        <w:rPr>
          <w:rFonts w:ascii="Segoe UI" w:hAnsi="Segoe UI" w:cs="Segoe UI"/>
          <w:b/>
          <w:color w:val="1B80C4"/>
          <w:szCs w:val="22"/>
        </w:rPr>
        <w:t>às</w:t>
      </w:r>
      <w:r w:rsidR="00904BDB" w:rsidRPr="001444E0">
        <w:rPr>
          <w:rFonts w:ascii="Segoe UI" w:hAnsi="Segoe UI" w:cs="Segoe UI"/>
          <w:b/>
          <w:color w:val="1B80C4"/>
          <w:szCs w:val="22"/>
        </w:rPr>
        <w:t xml:space="preserve"> Fontes Alternativas de Energia Elétrica ("Proinfa")</w:t>
      </w:r>
    </w:p>
    <w:p w14:paraId="599E795D" w14:textId="176585D7" w:rsidR="007D5904" w:rsidRDefault="002D60D7" w:rsidP="001A2340">
      <w:pPr>
        <w:spacing w:before="240" w:after="120"/>
        <w:ind w:left="426"/>
        <w:jc w:val="both"/>
        <w:rPr>
          <w:rFonts w:ascii="Segoe UI" w:hAnsi="Segoe UI" w:cs="Segoe UI"/>
          <w:bdr w:val="nil"/>
        </w:rPr>
      </w:pPr>
      <w:r w:rsidRPr="000757BC">
        <w:rPr>
          <w:rFonts w:ascii="Segoe UI" w:hAnsi="Segoe UI" w:cs="Segoe UI"/>
          <w:bdr w:val="nil"/>
        </w:rPr>
        <w:t>O Proinfa foi criado, em 26</w:t>
      </w:r>
      <w:r w:rsidR="00955D7C" w:rsidRPr="000757BC">
        <w:rPr>
          <w:rFonts w:ascii="Segoe UI" w:hAnsi="Segoe UI" w:cs="Segoe UI"/>
          <w:bdr w:val="nil"/>
        </w:rPr>
        <w:t xml:space="preserve"> de abril de 2002, pela Lei nº</w:t>
      </w:r>
      <w:r w:rsidRPr="000757BC">
        <w:rPr>
          <w:rFonts w:ascii="Segoe UI" w:hAnsi="Segoe UI" w:cs="Segoe UI"/>
          <w:bdr w:val="nil"/>
        </w:rPr>
        <w:t xml:space="preserve"> 10.438 de 26 de abril de 2002</w:t>
      </w:r>
      <w:r w:rsidR="00E0105A" w:rsidRPr="000757BC">
        <w:rPr>
          <w:rFonts w:ascii="Segoe UI" w:hAnsi="Segoe UI" w:cs="Segoe UI"/>
          <w:bdr w:val="nil"/>
        </w:rPr>
        <w:t xml:space="preserve"> </w:t>
      </w:r>
      <w:r w:rsidR="00556881" w:rsidRPr="000757BC">
        <w:rPr>
          <w:rFonts w:ascii="Segoe UI" w:hAnsi="Segoe UI" w:cs="Segoe UI"/>
          <w:bdr w:val="nil"/>
        </w:rPr>
        <w:t>e suas alterações</w:t>
      </w:r>
      <w:r w:rsidRPr="000757BC">
        <w:rPr>
          <w:rFonts w:ascii="Segoe UI" w:hAnsi="Segoe UI" w:cs="Segoe UI"/>
          <w:bdr w:val="nil"/>
        </w:rPr>
        <w:t>, e reg</w:t>
      </w:r>
      <w:r w:rsidR="000F022D" w:rsidRPr="000757BC">
        <w:rPr>
          <w:rFonts w:ascii="Segoe UI" w:hAnsi="Segoe UI" w:cs="Segoe UI"/>
          <w:bdr w:val="nil"/>
        </w:rPr>
        <w:t>ulamentado através do Decreto n</w:t>
      </w:r>
      <w:r w:rsidRPr="000757BC">
        <w:rPr>
          <w:rFonts w:ascii="Segoe UI" w:hAnsi="Segoe UI" w:cs="Segoe UI"/>
          <w:bdr w:val="nil"/>
        </w:rPr>
        <w:t xml:space="preserve">º 5.025/2004, iniciando o processo de sua implantação em 2004. O Proinfa tem cumprido seu objetivo de promover a diversificação da matriz energética brasileira a partir do aumento da participação de empreendimentos com base em fontes eólica, Pequena Central Hidrelétrica ("PCH") e biomassa. </w:t>
      </w:r>
      <w:r w:rsidR="00074400" w:rsidRPr="000757BC">
        <w:rPr>
          <w:rFonts w:ascii="Segoe UI" w:hAnsi="Segoe UI" w:cs="Segoe UI"/>
          <w:bdr w:val="nil"/>
        </w:rPr>
        <w:t>O administrador do Proinfa</w:t>
      </w:r>
      <w:r w:rsidRPr="000757BC">
        <w:rPr>
          <w:rFonts w:ascii="Segoe UI" w:hAnsi="Segoe UI" w:cs="Segoe UI"/>
          <w:bdr w:val="nil"/>
        </w:rPr>
        <w:t xml:space="preserve"> </w:t>
      </w:r>
      <w:r w:rsidR="00074400" w:rsidRPr="000757BC">
        <w:rPr>
          <w:rFonts w:ascii="Segoe UI" w:hAnsi="Segoe UI" w:cs="Segoe UI"/>
          <w:bdr w:val="nil"/>
        </w:rPr>
        <w:t xml:space="preserve">tem o direito assegurado </w:t>
      </w:r>
      <w:r w:rsidRPr="000757BC">
        <w:rPr>
          <w:rFonts w:ascii="Segoe UI" w:hAnsi="Segoe UI" w:cs="Segoe UI"/>
          <w:bdr w:val="nil"/>
        </w:rPr>
        <w:t>à compra e comercialização da energia contratada das usinas do Proinfa pelo período de 20 anos a partir da data de entrada em operação comercial dos empreendimentos. A realização do Proinfa contribuiu para a diversificação da matriz energética do país por meio do aproveitamento de fontes energéticas locais, proporcionando grandes demandas industriais e internalização de tecnologia de ponta.</w:t>
      </w:r>
    </w:p>
    <w:p w14:paraId="2FA2D6E7" w14:textId="77777777" w:rsidR="00904BDB" w:rsidRPr="001444E0" w:rsidRDefault="00904BDB"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lastRenderedPageBreak/>
        <w:t>Programa Nacional de Conservação de Energia Elétrica ("Procel")</w:t>
      </w:r>
    </w:p>
    <w:p w14:paraId="4DD65D13" w14:textId="39FD05F5" w:rsidR="000F4984" w:rsidRPr="000757BC" w:rsidRDefault="000F4984" w:rsidP="001A2340">
      <w:pPr>
        <w:spacing w:before="240" w:after="120"/>
        <w:ind w:left="426"/>
        <w:jc w:val="both"/>
        <w:rPr>
          <w:rFonts w:ascii="Segoe UI" w:hAnsi="Segoe UI" w:cs="Segoe UI"/>
          <w:bdr w:val="nil"/>
        </w:rPr>
      </w:pPr>
      <w:r w:rsidRPr="000757BC">
        <w:rPr>
          <w:rFonts w:ascii="Segoe UI" w:hAnsi="Segoe UI" w:cs="Segoe UI"/>
          <w:bdr w:val="nil"/>
        </w:rPr>
        <w:t>De acordo com a Port</w:t>
      </w:r>
      <w:r w:rsidR="000F022D" w:rsidRPr="000757BC">
        <w:rPr>
          <w:rFonts w:ascii="Segoe UI" w:hAnsi="Segoe UI" w:cs="Segoe UI"/>
          <w:bdr w:val="nil"/>
        </w:rPr>
        <w:t>aria Interministerial n</w:t>
      </w:r>
      <w:r w:rsidRPr="000757BC">
        <w:rPr>
          <w:rFonts w:ascii="Segoe UI" w:hAnsi="Segoe UI" w:cs="Segoe UI"/>
          <w:bdr w:val="nil"/>
        </w:rPr>
        <w:t xml:space="preserve">º 1.877, de 30 de dezembro de 1985, o </w:t>
      </w:r>
      <w:r w:rsidR="007876D8">
        <w:rPr>
          <w:rFonts w:ascii="Segoe UI" w:hAnsi="Segoe UI" w:cs="Segoe UI"/>
          <w:bdr w:val="nil"/>
        </w:rPr>
        <w:t>Procel</w:t>
      </w:r>
      <w:r w:rsidRPr="000757BC">
        <w:rPr>
          <w:rFonts w:ascii="Segoe UI" w:hAnsi="Segoe UI" w:cs="Segoe UI"/>
          <w:bdr w:val="nil"/>
        </w:rPr>
        <w:t xml:space="preserve"> é um programa governamental criado com o objetivo de promover ações de eficiência energética em diversas áreas, tais como equipamentos, edificações, iluminação pública, indústrias e comércios. </w:t>
      </w:r>
    </w:p>
    <w:p w14:paraId="3CD332E9" w14:textId="7B1423AA" w:rsidR="00993BDF" w:rsidRPr="009F3C41" w:rsidRDefault="00993BDF">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9F3C41">
        <w:rPr>
          <w:rFonts w:ascii="Segoe UI" w:hAnsi="Segoe UI" w:cs="Segoe UI"/>
          <w:b/>
          <w:color w:val="1B80C4"/>
          <w:szCs w:val="22"/>
        </w:rPr>
        <w:t xml:space="preserve">Reserva Geral de Reversão </w:t>
      </w:r>
      <w:r w:rsidR="00A610F5" w:rsidRPr="009F3C41">
        <w:rPr>
          <w:rFonts w:ascii="Segoe UI" w:hAnsi="Segoe UI" w:cs="Segoe UI"/>
          <w:b/>
          <w:color w:val="1B80C4"/>
          <w:szCs w:val="22"/>
        </w:rPr>
        <w:t>–</w:t>
      </w:r>
      <w:r w:rsidRPr="009F3C41">
        <w:rPr>
          <w:rFonts w:ascii="Segoe UI" w:hAnsi="Segoe UI" w:cs="Segoe UI"/>
          <w:b/>
          <w:color w:val="1B80C4"/>
          <w:szCs w:val="22"/>
        </w:rPr>
        <w:t xml:space="preserve"> </w:t>
      </w:r>
      <w:r w:rsidR="001A625C" w:rsidRPr="009F3C41">
        <w:rPr>
          <w:rFonts w:ascii="Segoe UI" w:hAnsi="Segoe UI" w:cs="Segoe UI"/>
          <w:b/>
          <w:color w:val="1B80C4"/>
          <w:szCs w:val="22"/>
        </w:rPr>
        <w:t>(“</w:t>
      </w:r>
      <w:r w:rsidRPr="009F3C41">
        <w:rPr>
          <w:rFonts w:ascii="Segoe UI" w:hAnsi="Segoe UI" w:cs="Segoe UI"/>
          <w:b/>
          <w:color w:val="1B80C4"/>
          <w:szCs w:val="22"/>
        </w:rPr>
        <w:t>RGR</w:t>
      </w:r>
      <w:r w:rsidR="001A625C" w:rsidRPr="009F3C41">
        <w:rPr>
          <w:rFonts w:ascii="Segoe UI" w:hAnsi="Segoe UI" w:cs="Segoe UI"/>
          <w:b/>
          <w:color w:val="1B80C4"/>
          <w:szCs w:val="22"/>
        </w:rPr>
        <w:t>”)</w:t>
      </w:r>
    </w:p>
    <w:p w14:paraId="0C2E952A" w14:textId="3020E40F" w:rsidR="00993BDF" w:rsidRPr="000757BC" w:rsidRDefault="00993BDF" w:rsidP="001A2340">
      <w:pPr>
        <w:spacing w:before="240" w:after="120"/>
        <w:ind w:left="426"/>
        <w:jc w:val="both"/>
        <w:rPr>
          <w:rFonts w:ascii="Segoe UI" w:hAnsi="Segoe UI" w:cs="Segoe UI"/>
          <w:bdr w:val="nil"/>
        </w:rPr>
      </w:pPr>
      <w:r w:rsidRPr="000757BC">
        <w:rPr>
          <w:rFonts w:ascii="Segoe UI" w:hAnsi="Segoe UI" w:cs="Segoe UI"/>
          <w:bdr w:val="nil"/>
        </w:rPr>
        <w:t xml:space="preserve">Criada originalmente pelo Decreto </w:t>
      </w:r>
      <w:r w:rsidR="003C2E07" w:rsidRPr="000757BC">
        <w:rPr>
          <w:rFonts w:ascii="Segoe UI" w:hAnsi="Segoe UI" w:cs="Segoe UI"/>
          <w:bdr w:val="nil"/>
        </w:rPr>
        <w:t>nº</w:t>
      </w:r>
      <w:r w:rsidRPr="000757BC">
        <w:rPr>
          <w:rFonts w:ascii="Segoe UI" w:hAnsi="Segoe UI" w:cs="Segoe UI"/>
          <w:bdr w:val="nil"/>
        </w:rPr>
        <w:t xml:space="preserve"> 41.019 de 26 de fevereiro de 1957</w:t>
      </w:r>
      <w:r w:rsidR="00450137">
        <w:rPr>
          <w:rFonts w:ascii="Segoe UI" w:hAnsi="Segoe UI" w:cs="Segoe UI"/>
          <w:bdr w:val="nil"/>
        </w:rPr>
        <w:t>,</w:t>
      </w:r>
      <w:r w:rsidRPr="000757BC">
        <w:rPr>
          <w:rFonts w:ascii="Segoe UI" w:hAnsi="Segoe UI" w:cs="Segoe UI"/>
          <w:bdr w:val="nil"/>
        </w:rPr>
        <w:t xml:space="preserve"> e posteriormente regulada pela Lei </w:t>
      </w:r>
      <w:r w:rsidR="00955D7C" w:rsidRPr="000757BC">
        <w:rPr>
          <w:rFonts w:ascii="Segoe UI" w:hAnsi="Segoe UI" w:cs="Segoe UI"/>
          <w:bdr w:val="nil"/>
        </w:rPr>
        <w:t>n</w:t>
      </w:r>
      <w:r w:rsidR="003C2E07" w:rsidRPr="000757BC">
        <w:rPr>
          <w:rFonts w:ascii="Segoe UI" w:hAnsi="Segoe UI" w:cs="Segoe UI"/>
          <w:bdr w:val="nil"/>
        </w:rPr>
        <w:t>º</w:t>
      </w:r>
      <w:r w:rsidRPr="000757BC">
        <w:rPr>
          <w:rFonts w:ascii="Segoe UI" w:hAnsi="Segoe UI" w:cs="Segoe UI"/>
          <w:bdr w:val="nil"/>
        </w:rPr>
        <w:t xml:space="preserve"> 5.655 de 20 de maio de 1971, </w:t>
      </w:r>
      <w:r w:rsidR="00003AEC" w:rsidRPr="000757BC">
        <w:rPr>
          <w:rFonts w:ascii="Segoe UI" w:hAnsi="Segoe UI" w:cs="Segoe UI"/>
          <w:bdr w:val="nil"/>
        </w:rPr>
        <w:t>e suas alterações</w:t>
      </w:r>
      <w:r w:rsidRPr="000757BC">
        <w:rPr>
          <w:rFonts w:ascii="Segoe UI" w:hAnsi="Segoe UI" w:cs="Segoe UI"/>
          <w:bdr w:val="nil"/>
        </w:rPr>
        <w:t xml:space="preserve">, a RGR constitui recursos arrecadados por meio de encargos setoriais pagos pelas concessionárias de serviço público de energia elétrica. Tal arrecadação tem como objetivo prover recursos para a reversão, encampação, expansão e melhoria dos serviços públicos de energia elétrica. Os recursos são depositados em conta que, até o advento da publicação da Lei </w:t>
      </w:r>
      <w:r w:rsidR="00955D7C" w:rsidRPr="000757BC">
        <w:rPr>
          <w:rFonts w:ascii="Segoe UI" w:hAnsi="Segoe UI" w:cs="Segoe UI"/>
          <w:bdr w:val="nil"/>
        </w:rPr>
        <w:t>n</w:t>
      </w:r>
      <w:r w:rsidR="003C2E07" w:rsidRPr="000757BC">
        <w:rPr>
          <w:rFonts w:ascii="Segoe UI" w:hAnsi="Segoe UI" w:cs="Segoe UI"/>
          <w:bdr w:val="nil"/>
        </w:rPr>
        <w:t>º</w:t>
      </w:r>
      <w:r w:rsidRPr="000757BC">
        <w:rPr>
          <w:rFonts w:ascii="Segoe UI" w:hAnsi="Segoe UI" w:cs="Segoe UI"/>
          <w:bdr w:val="nil"/>
        </w:rPr>
        <w:t xml:space="preserve"> 13.360/</w:t>
      </w:r>
      <w:r w:rsidR="000673BC" w:rsidRPr="000757BC">
        <w:rPr>
          <w:rFonts w:ascii="Segoe UI" w:hAnsi="Segoe UI" w:cs="Segoe UI"/>
          <w:bdr w:val="nil"/>
        </w:rPr>
        <w:t>20</w:t>
      </w:r>
      <w:r w:rsidRPr="000757BC">
        <w:rPr>
          <w:rFonts w:ascii="Segoe UI" w:hAnsi="Segoe UI" w:cs="Segoe UI"/>
          <w:bdr w:val="nil"/>
        </w:rPr>
        <w:t xml:space="preserve">16, </w:t>
      </w:r>
      <w:r w:rsidR="00003AEC" w:rsidRPr="000757BC">
        <w:rPr>
          <w:rFonts w:ascii="Segoe UI" w:hAnsi="Segoe UI" w:cs="Segoe UI"/>
          <w:bdr w:val="nil"/>
        </w:rPr>
        <w:t>eram administrados</w:t>
      </w:r>
      <w:r w:rsidRPr="000757BC">
        <w:rPr>
          <w:rFonts w:ascii="Segoe UI" w:hAnsi="Segoe UI" w:cs="Segoe UI"/>
          <w:bdr w:val="nil"/>
        </w:rPr>
        <w:t xml:space="preserve"> pela Eletrobras e, posteriormente à sua publicação, </w:t>
      </w:r>
      <w:r w:rsidR="00003AEC" w:rsidRPr="000757BC">
        <w:rPr>
          <w:rFonts w:ascii="Segoe UI" w:hAnsi="Segoe UI" w:cs="Segoe UI"/>
          <w:bdr w:val="nil"/>
        </w:rPr>
        <w:t xml:space="preserve">passaram a ser administrados </w:t>
      </w:r>
      <w:r w:rsidRPr="000757BC">
        <w:rPr>
          <w:rFonts w:ascii="Segoe UI" w:hAnsi="Segoe UI" w:cs="Segoe UI"/>
          <w:bdr w:val="nil"/>
        </w:rPr>
        <w:t xml:space="preserve">pela </w:t>
      </w:r>
      <w:r w:rsidR="00EE7C31" w:rsidRPr="000757BC">
        <w:rPr>
          <w:rFonts w:ascii="Segoe UI" w:hAnsi="Segoe UI" w:cs="Segoe UI"/>
          <w:bdr w:val="nil"/>
        </w:rPr>
        <w:t xml:space="preserve">Câmara de Comercialização de Energia Elétrica </w:t>
      </w:r>
      <w:r w:rsidR="001A625C">
        <w:rPr>
          <w:rFonts w:ascii="Segoe UI" w:hAnsi="Segoe UI" w:cs="Segoe UI"/>
          <w:bdr w:val="nil"/>
        </w:rPr>
        <w:t>–</w:t>
      </w:r>
      <w:r w:rsidR="00EE7C31" w:rsidRPr="000757BC">
        <w:rPr>
          <w:rFonts w:ascii="Segoe UI" w:hAnsi="Segoe UI" w:cs="Segoe UI"/>
          <w:bdr w:val="nil"/>
        </w:rPr>
        <w:t xml:space="preserve"> </w:t>
      </w:r>
      <w:r w:rsidR="001A625C">
        <w:rPr>
          <w:rFonts w:ascii="Segoe UI" w:hAnsi="Segoe UI" w:cs="Segoe UI"/>
          <w:bdr w:val="nil"/>
        </w:rPr>
        <w:t>(“</w:t>
      </w:r>
      <w:r w:rsidRPr="000757BC">
        <w:rPr>
          <w:rFonts w:ascii="Segoe UI" w:hAnsi="Segoe UI" w:cs="Segoe UI"/>
          <w:bdr w:val="nil"/>
        </w:rPr>
        <w:t>CCEE</w:t>
      </w:r>
      <w:r w:rsidR="001A625C">
        <w:rPr>
          <w:rFonts w:ascii="Segoe UI" w:hAnsi="Segoe UI" w:cs="Segoe UI"/>
          <w:bdr w:val="nil"/>
        </w:rPr>
        <w:t>”)</w:t>
      </w:r>
      <w:r w:rsidRPr="000757BC">
        <w:rPr>
          <w:rFonts w:ascii="Segoe UI" w:hAnsi="Segoe UI" w:cs="Segoe UI"/>
          <w:bdr w:val="nil"/>
        </w:rPr>
        <w:t xml:space="preserve">. A </w:t>
      </w:r>
      <w:r w:rsidR="00001D24" w:rsidRPr="000757BC">
        <w:rPr>
          <w:rFonts w:ascii="Segoe UI" w:hAnsi="Segoe UI" w:cs="Segoe UI"/>
          <w:bdr w:val="nil"/>
        </w:rPr>
        <w:t>ENBPar será</w:t>
      </w:r>
      <w:r w:rsidRPr="000757BC">
        <w:rPr>
          <w:rFonts w:ascii="Segoe UI" w:hAnsi="Segoe UI" w:cs="Segoe UI"/>
          <w:bdr w:val="nil"/>
        </w:rPr>
        <w:t xml:space="preserve"> responsável pela gestão dos contratos de financiamento que utilizem recursos da RGR, celebrados com as concessionárias até 17 de novembro de 2016, devendo fiscalizar o cumprimento das obrigações dos respectivos devedores no âmbito desses contratos de financiamento. </w:t>
      </w:r>
    </w:p>
    <w:p w14:paraId="087F8537" w14:textId="150CBB0B" w:rsidR="00EE7C31" w:rsidRPr="00BA4CC0" w:rsidRDefault="00EE7C31"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BA4CC0">
        <w:rPr>
          <w:rFonts w:ascii="Segoe UI" w:hAnsi="Segoe UI" w:cs="Segoe UI"/>
          <w:b/>
          <w:color w:val="1B80C4"/>
          <w:szCs w:val="22"/>
        </w:rPr>
        <w:t>Bens da União</w:t>
      </w:r>
      <w:r w:rsidR="007E7976">
        <w:rPr>
          <w:rFonts w:ascii="Segoe UI" w:hAnsi="Segoe UI" w:cs="Segoe UI"/>
          <w:b/>
          <w:color w:val="1B80C4"/>
          <w:szCs w:val="22"/>
        </w:rPr>
        <w:t xml:space="preserve"> sob Administração</w:t>
      </w:r>
      <w:r w:rsidRPr="00BA4CC0">
        <w:rPr>
          <w:rFonts w:ascii="Segoe UI" w:hAnsi="Segoe UI" w:cs="Segoe UI"/>
          <w:b/>
          <w:color w:val="1B80C4"/>
          <w:szCs w:val="22"/>
        </w:rPr>
        <w:t xml:space="preserve"> – </w:t>
      </w:r>
      <w:r w:rsidR="001A625C">
        <w:rPr>
          <w:rFonts w:ascii="Segoe UI" w:hAnsi="Segoe UI" w:cs="Segoe UI"/>
          <w:b/>
          <w:color w:val="1B80C4"/>
          <w:szCs w:val="22"/>
        </w:rPr>
        <w:t>(“</w:t>
      </w:r>
      <w:r w:rsidRPr="00BA4CC0">
        <w:rPr>
          <w:rFonts w:ascii="Segoe UI" w:hAnsi="Segoe UI" w:cs="Segoe UI"/>
          <w:b/>
          <w:color w:val="1B80C4"/>
          <w:szCs w:val="22"/>
        </w:rPr>
        <w:t>BUSA</w:t>
      </w:r>
      <w:r w:rsidR="001A625C">
        <w:rPr>
          <w:rFonts w:ascii="Segoe UI" w:hAnsi="Segoe UI" w:cs="Segoe UI"/>
          <w:b/>
          <w:color w:val="1B80C4"/>
          <w:szCs w:val="22"/>
        </w:rPr>
        <w:t>”)</w:t>
      </w:r>
    </w:p>
    <w:p w14:paraId="27A19A2C" w14:textId="51A36E67" w:rsidR="00CD7D6F" w:rsidRPr="00CD7D6F" w:rsidRDefault="00EA1FE6" w:rsidP="006661AD">
      <w:pPr>
        <w:spacing w:before="240" w:after="120"/>
        <w:ind w:left="426"/>
        <w:jc w:val="both"/>
        <w:rPr>
          <w:rFonts w:ascii="Segoe UI" w:hAnsi="Segoe UI" w:cs="Segoe UI"/>
          <w:bdr w:val="nil"/>
        </w:rPr>
      </w:pPr>
      <w:r w:rsidRPr="00EA1FE6">
        <w:rPr>
          <w:rFonts w:ascii="Segoe UI" w:hAnsi="Segoe UI" w:cs="Segoe UI"/>
          <w:bdr w:val="nil"/>
        </w:rPr>
        <w:t>O Decreto-Lei nº 1.383, de 1974, alterado pela MP n°998/2020 convertida na Lei n° 14.120, de 2021, por meio do novo art. 2°, inciso III, determinou que os bens e instalações encampados e desapropriados com recursos da conta de Reserva Global de Reversão – RGR, ficariam integrados à mesma conta como patrimônio da União em regime especial de utilização no serviço público de energia elétrica, sob a administração da Centrais Elétricas Brasileira S.A. (Eletrobras), até que sejam: I - alienados; II - transferidos à administração dos concessionários, dos permissionários ou dos autorizados de geração, de transmissão ou de distribuição de energia elétrica; ou III - transferidos à gestão da Secretaria de Coordenação e Governança do Patrimônio da União da Secretaria Especial de Desestatização, Desinvestimento e Mercados do Ministério da Economia.  </w:t>
      </w:r>
      <w:r w:rsidR="0023780C">
        <w:rPr>
          <w:rFonts w:ascii="Segoe UI" w:hAnsi="Segoe UI" w:cs="Segoe UI"/>
          <w:bdr w:val="nil"/>
        </w:rPr>
        <w:t xml:space="preserve">Essa </w:t>
      </w:r>
      <w:r w:rsidR="006661AD">
        <w:rPr>
          <w:rFonts w:ascii="Segoe UI" w:hAnsi="Segoe UI" w:cs="Segoe UI"/>
          <w:bdr w:val="nil"/>
        </w:rPr>
        <w:t xml:space="preserve">administração </w:t>
      </w:r>
      <w:r w:rsidR="0005751D">
        <w:rPr>
          <w:rFonts w:ascii="Segoe UI" w:hAnsi="Segoe UI" w:cs="Segoe UI"/>
          <w:bdr w:val="nil"/>
        </w:rPr>
        <w:t>passará</w:t>
      </w:r>
      <w:r w:rsidR="00006B6D">
        <w:rPr>
          <w:rFonts w:ascii="Segoe UI" w:hAnsi="Segoe UI" w:cs="Segoe UI"/>
          <w:bdr w:val="nil"/>
        </w:rPr>
        <w:t xml:space="preserve"> a ser</w:t>
      </w:r>
      <w:r w:rsidR="00EE7C31" w:rsidRPr="00CD7D6F">
        <w:rPr>
          <w:rFonts w:ascii="Segoe UI" w:hAnsi="Segoe UI" w:cs="Segoe UI"/>
          <w:bdr w:val="nil"/>
        </w:rPr>
        <w:t xml:space="preserve"> </w:t>
      </w:r>
      <w:r w:rsidR="006661AD">
        <w:rPr>
          <w:rFonts w:ascii="Segoe UI" w:hAnsi="Segoe UI" w:cs="Segoe UI"/>
          <w:bdr w:val="nil"/>
        </w:rPr>
        <w:t>feita</w:t>
      </w:r>
      <w:r w:rsidR="00EE7C31" w:rsidRPr="00CD7D6F">
        <w:rPr>
          <w:rFonts w:ascii="Segoe UI" w:hAnsi="Segoe UI" w:cs="Segoe UI"/>
          <w:bdr w:val="nil"/>
        </w:rPr>
        <w:t xml:space="preserve"> pela ENBPar</w:t>
      </w:r>
      <w:r w:rsidR="002E3DDF">
        <w:rPr>
          <w:rFonts w:ascii="Segoe UI" w:hAnsi="Segoe UI" w:cs="Segoe UI"/>
          <w:bdr w:val="nil"/>
        </w:rPr>
        <w:t xml:space="preserve"> em até </w:t>
      </w:r>
      <w:r w:rsidR="00CD7D6F" w:rsidRPr="009F3C41">
        <w:rPr>
          <w:rFonts w:ascii="Segoe UI" w:hAnsi="Segoe UI" w:cs="Segoe UI"/>
          <w:bdr w:val="nil"/>
        </w:rPr>
        <w:t xml:space="preserve">12 (doze) meses contados da </w:t>
      </w:r>
      <w:r w:rsidR="009F3C41" w:rsidRPr="009F3C41">
        <w:rPr>
          <w:rFonts w:ascii="Segoe UI" w:hAnsi="Segoe UI" w:cs="Segoe UI"/>
          <w:bdr w:val="nil"/>
        </w:rPr>
        <w:t>d</w:t>
      </w:r>
      <w:r w:rsidR="00CD7D6F" w:rsidRPr="009F3C41">
        <w:rPr>
          <w:rFonts w:ascii="Segoe UI" w:hAnsi="Segoe UI" w:cs="Segoe UI"/>
          <w:bdr w:val="nil"/>
        </w:rPr>
        <w:t xml:space="preserve">ata de Início da </w:t>
      </w:r>
      <w:r w:rsidR="009F3C41" w:rsidRPr="009F3C41">
        <w:rPr>
          <w:rFonts w:ascii="Segoe UI" w:hAnsi="Segoe UI" w:cs="Segoe UI"/>
          <w:bdr w:val="nil"/>
        </w:rPr>
        <w:t>t</w:t>
      </w:r>
      <w:r w:rsidR="00CD7D6F" w:rsidRPr="009F3C41">
        <w:rPr>
          <w:rFonts w:ascii="Segoe UI" w:hAnsi="Segoe UI" w:cs="Segoe UI"/>
          <w:bdr w:val="nil"/>
        </w:rPr>
        <w:t>ransição, nos termos do artigo 3º da Resolução CPPI nº 203/2021.</w:t>
      </w:r>
      <w:r w:rsidR="00CD7D6F" w:rsidRPr="00CD7D6F">
        <w:rPr>
          <w:rFonts w:ascii="Segoe UI" w:hAnsi="Segoe UI" w:cs="Segoe UI"/>
          <w:bdr w:val="nil"/>
        </w:rPr>
        <w:t xml:space="preserve"> </w:t>
      </w:r>
    </w:p>
    <w:p w14:paraId="05CF3838" w14:textId="77777777" w:rsidR="002C19C5" w:rsidRDefault="002C19C5">
      <w:pPr>
        <w:rPr>
          <w:rFonts w:ascii="Segoe UI" w:hAnsi="Segoe UI" w:cs="Segoe UI"/>
          <w:bdr w:val="nil"/>
        </w:rPr>
      </w:pPr>
      <w:r>
        <w:rPr>
          <w:rFonts w:ascii="Segoe UI" w:hAnsi="Segoe UI" w:cs="Segoe UI"/>
          <w:bdr w:val="nil"/>
        </w:rPr>
        <w:br w:type="page"/>
      </w:r>
    </w:p>
    <w:p w14:paraId="64038DB3" w14:textId="164026FA" w:rsidR="00A3332E" w:rsidRPr="001444E0" w:rsidRDefault="00A3332E" w:rsidP="00BA4CC0">
      <w:pPr>
        <w:tabs>
          <w:tab w:val="left" w:pos="567"/>
          <w:tab w:val="left" w:pos="1134"/>
          <w:tab w:val="left" w:pos="1701"/>
          <w:tab w:val="left" w:pos="2268"/>
          <w:tab w:val="left" w:pos="2835"/>
        </w:tabs>
        <w:spacing w:before="240" w:after="120"/>
        <w:jc w:val="both"/>
        <w:outlineLvl w:val="0"/>
        <w:rPr>
          <w:rFonts w:ascii="Segoe UI" w:hAnsi="Segoe UI" w:cs="Segoe UI"/>
          <w:b/>
          <w:color w:val="1B80C4"/>
        </w:rPr>
      </w:pPr>
      <w:r w:rsidRPr="001444E0">
        <w:rPr>
          <w:rFonts w:ascii="Segoe UI" w:hAnsi="Segoe UI" w:cs="Segoe UI"/>
          <w:b/>
          <w:color w:val="1B80C4"/>
        </w:rPr>
        <w:lastRenderedPageBreak/>
        <w:t>2 – BASE DE ELABORAÇÃO E APRESENTAÇÃO DAS DEMONSTRAÇÕES FINANCEIRAS</w:t>
      </w:r>
      <w:r w:rsidR="00370394" w:rsidRPr="001444E0">
        <w:rPr>
          <w:rFonts w:ascii="Segoe UI" w:hAnsi="Segoe UI" w:cs="Segoe UI"/>
          <w:b/>
          <w:color w:val="1B80C4"/>
        </w:rPr>
        <w:t xml:space="preserve"> </w:t>
      </w:r>
      <w:r w:rsidR="00230730">
        <w:rPr>
          <w:rFonts w:ascii="Segoe UI" w:hAnsi="Segoe UI" w:cs="Segoe UI"/>
          <w:b/>
          <w:color w:val="1B80C4"/>
        </w:rPr>
        <w:t xml:space="preserve">INDIVIDUAIS </w:t>
      </w:r>
      <w:r w:rsidR="00370394" w:rsidRPr="001444E0">
        <w:rPr>
          <w:rFonts w:ascii="Segoe UI" w:hAnsi="Segoe UI" w:cs="Segoe UI"/>
          <w:b/>
          <w:color w:val="1B80C4"/>
        </w:rPr>
        <w:t>E CONSOLIDADAS</w:t>
      </w:r>
    </w:p>
    <w:p w14:paraId="775FE544" w14:textId="77777777" w:rsidR="00A3332E" w:rsidRPr="000757BC" w:rsidRDefault="00A3332E" w:rsidP="00BA4CC0">
      <w:pPr>
        <w:spacing w:before="240" w:after="120"/>
        <w:jc w:val="both"/>
        <w:rPr>
          <w:rFonts w:ascii="Segoe UI" w:hAnsi="Segoe UI" w:cs="Segoe UI"/>
          <w:b/>
          <w:vanish/>
          <w:color w:val="0070C0"/>
          <w:bdr w:val="nil"/>
        </w:rPr>
      </w:pPr>
      <w:r w:rsidRPr="000757BC">
        <w:rPr>
          <w:rFonts w:ascii="Segoe UI" w:hAnsi="Segoe UI" w:cs="Segoe UI"/>
          <w:b/>
          <w:color w:val="0070C0"/>
          <w:bdr w:val="nil"/>
        </w:rPr>
        <w:t xml:space="preserve">2.1 </w:t>
      </w:r>
    </w:p>
    <w:p w14:paraId="34EB485B"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41439F34"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5A3F670E"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4D6163C5" w14:textId="77777777" w:rsidR="00A3332E" w:rsidRPr="000757BC" w:rsidRDefault="00A3332E" w:rsidP="00BA4CC0">
      <w:pPr>
        <w:pStyle w:val="PargrafodaLista"/>
        <w:numPr>
          <w:ilvl w:val="1"/>
          <w:numId w:val="1"/>
        </w:numPr>
        <w:spacing w:before="240" w:after="120" w:line="259" w:lineRule="auto"/>
        <w:ind w:left="426"/>
        <w:rPr>
          <w:rFonts w:ascii="Segoe UI" w:hAnsi="Segoe UI" w:cs="Segoe UI"/>
          <w:b/>
          <w:color w:val="0070C0"/>
          <w:szCs w:val="22"/>
          <w:bdr w:val="nil"/>
        </w:rPr>
      </w:pPr>
      <w:r w:rsidRPr="000757BC">
        <w:rPr>
          <w:rFonts w:ascii="Segoe UI" w:hAnsi="Segoe UI" w:cs="Segoe UI"/>
          <w:b/>
          <w:color w:val="0070C0"/>
          <w:szCs w:val="22"/>
          <w:bdr w:val="nil"/>
        </w:rPr>
        <w:t>– Declaração de conformidade</w:t>
      </w:r>
    </w:p>
    <w:p w14:paraId="7AF9E9C3" w14:textId="56751321" w:rsidR="00AF7F48" w:rsidRPr="009F3C41" w:rsidRDefault="00AF7F48" w:rsidP="00AF7F48">
      <w:pPr>
        <w:jc w:val="both"/>
        <w:rPr>
          <w:rFonts w:ascii="Segoe UI" w:hAnsi="Segoe UI" w:cs="Segoe UI"/>
          <w:bdr w:val="nil"/>
        </w:rPr>
      </w:pPr>
      <w:r w:rsidRPr="00A619FA">
        <w:rPr>
          <w:rFonts w:ascii="Segoe UI" w:hAnsi="Segoe UI" w:cs="Segoe UI"/>
          <w:bdr w:val="nil"/>
        </w:rPr>
        <w:t xml:space="preserve">As demonstrações financeiras da Companhia </w:t>
      </w:r>
      <w:r w:rsidR="009F3C41">
        <w:rPr>
          <w:rFonts w:ascii="Segoe UI" w:hAnsi="Segoe UI" w:cs="Segoe UI"/>
          <w:bdr w:val="nil"/>
        </w:rPr>
        <w:t>foram</w:t>
      </w:r>
      <w:r w:rsidRPr="00A619FA">
        <w:rPr>
          <w:rFonts w:ascii="Segoe UI" w:hAnsi="Segoe UI" w:cs="Segoe UI"/>
          <w:bdr w:val="nil"/>
        </w:rPr>
        <w:t xml:space="preserve"> preparadas de acordo com as práticas contábeis adotadas no Brasil e com as Normas Internacionais de Relatório Financeiro </w:t>
      </w:r>
      <w:r w:rsidR="001A625C">
        <w:rPr>
          <w:rFonts w:ascii="Segoe UI" w:hAnsi="Segoe UI" w:cs="Segoe UI"/>
          <w:bdr w:val="nil"/>
        </w:rPr>
        <w:t>–</w:t>
      </w:r>
      <w:r w:rsid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IFRS</w:t>
      </w:r>
      <w:r w:rsidR="001A625C">
        <w:rPr>
          <w:rFonts w:ascii="Segoe UI" w:hAnsi="Segoe UI" w:cs="Segoe UI"/>
          <w:bdr w:val="nil"/>
        </w:rPr>
        <w:t>”)</w:t>
      </w:r>
      <w:r w:rsidRPr="00A619FA">
        <w:rPr>
          <w:rFonts w:ascii="Segoe UI" w:hAnsi="Segoe UI" w:cs="Segoe UI"/>
          <w:bdr w:val="nil"/>
        </w:rPr>
        <w:t xml:space="preserve"> emitidas pelo </w:t>
      </w:r>
      <w:r w:rsidRPr="001A625C">
        <w:rPr>
          <w:rFonts w:ascii="Segoe UI" w:hAnsi="Segoe UI" w:cs="Segoe UI"/>
          <w:i/>
          <w:iCs/>
          <w:bdr w:val="nil"/>
        </w:rPr>
        <w:t>International Accounting Standards Board</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IASB</w:t>
      </w:r>
      <w:r w:rsidR="001A625C">
        <w:rPr>
          <w:rFonts w:ascii="Segoe UI" w:hAnsi="Segoe UI" w:cs="Segoe UI"/>
          <w:bdr w:val="nil"/>
        </w:rPr>
        <w:t>”)</w:t>
      </w:r>
      <w:r w:rsidRPr="00A619FA">
        <w:rPr>
          <w:rFonts w:ascii="Segoe UI" w:hAnsi="Segoe UI" w:cs="Segoe UI"/>
          <w:bdr w:val="nil"/>
        </w:rPr>
        <w:t xml:space="preserve">. As práticas contábeis adotadas no Brasil compreendem os pronunciamentos, interpretações e orientações expedidos pelo Comitê de Pronunciamentos Contábeis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CPC</w:t>
      </w:r>
      <w:r w:rsidR="001A625C">
        <w:rPr>
          <w:rFonts w:ascii="Segoe UI" w:hAnsi="Segoe UI" w:cs="Segoe UI"/>
          <w:bdr w:val="nil"/>
        </w:rPr>
        <w:t>”)</w:t>
      </w:r>
      <w:r w:rsidRPr="00A619FA">
        <w:rPr>
          <w:rFonts w:ascii="Segoe UI" w:hAnsi="Segoe UI" w:cs="Segoe UI"/>
          <w:bdr w:val="nil"/>
        </w:rPr>
        <w:t xml:space="preserve">, aprovados pelo Conselho Federal de Contabilidade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CFC</w:t>
      </w:r>
      <w:r w:rsidR="001A625C">
        <w:rPr>
          <w:rFonts w:ascii="Segoe UI" w:hAnsi="Segoe UI" w:cs="Segoe UI"/>
          <w:bdr w:val="nil"/>
        </w:rPr>
        <w:t>”)</w:t>
      </w:r>
      <w:r w:rsidRPr="00A619FA">
        <w:rPr>
          <w:rFonts w:ascii="Segoe UI" w:hAnsi="Segoe UI" w:cs="Segoe UI"/>
          <w:bdr w:val="nil"/>
        </w:rPr>
        <w:t xml:space="preserve"> e pela Comissão de Valores Mobiliários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CVM</w:t>
      </w:r>
      <w:r w:rsidR="001A625C">
        <w:rPr>
          <w:rFonts w:ascii="Segoe UI" w:hAnsi="Segoe UI" w:cs="Segoe UI"/>
          <w:bdr w:val="nil"/>
        </w:rPr>
        <w:t>”)</w:t>
      </w:r>
      <w:r w:rsidRPr="00A619FA">
        <w:rPr>
          <w:rFonts w:ascii="Segoe UI" w:hAnsi="Segoe UI" w:cs="Segoe UI"/>
          <w:bdr w:val="nil"/>
        </w:rPr>
        <w:t xml:space="preserve">, e as disposições contidas na legislação societária brasileira. Todas as informações relevantes próprias das demonstrações financeiras, individuais e consolidadas, e apenas essas informações, estão sendo evidenciadas e </w:t>
      </w:r>
      <w:r w:rsidRPr="009F3C41">
        <w:rPr>
          <w:rFonts w:ascii="Segoe UI" w:hAnsi="Segoe UI" w:cs="Segoe UI"/>
          <w:bdr w:val="nil"/>
        </w:rPr>
        <w:t>correspondem às utilizadas na gestão da Administração da Companhia.</w:t>
      </w:r>
    </w:p>
    <w:p w14:paraId="7238C874" w14:textId="30C24BD9" w:rsidR="00C65031" w:rsidRPr="009F3C41" w:rsidRDefault="00C65031" w:rsidP="00C65031">
      <w:pPr>
        <w:autoSpaceDE w:val="0"/>
        <w:autoSpaceDN w:val="0"/>
        <w:adjustRightInd w:val="0"/>
        <w:spacing w:after="0" w:line="240" w:lineRule="auto"/>
        <w:rPr>
          <w:rFonts w:ascii="Segoe UI" w:hAnsi="Segoe UI" w:cs="Segoe UI"/>
          <w:bdr w:val="nil"/>
        </w:rPr>
      </w:pPr>
      <w:r w:rsidRPr="009F3C41">
        <w:rPr>
          <w:rFonts w:ascii="Segoe UI" w:hAnsi="Segoe UI" w:cs="Segoe UI"/>
          <w:bdr w:val="nil"/>
        </w:rPr>
        <w:t>A emissão das demonstrações financeiras individuais e consolidadas d</w:t>
      </w:r>
      <w:r w:rsidR="009F3C41" w:rsidRPr="009F3C41">
        <w:rPr>
          <w:rFonts w:ascii="Segoe UI" w:hAnsi="Segoe UI" w:cs="Segoe UI"/>
          <w:bdr w:val="nil"/>
        </w:rPr>
        <w:t>a ENBPar</w:t>
      </w:r>
      <w:r w:rsidRPr="009F3C41">
        <w:rPr>
          <w:rFonts w:ascii="Segoe UI" w:hAnsi="Segoe UI" w:cs="Segoe UI"/>
          <w:bdr w:val="nil"/>
        </w:rPr>
        <w:t xml:space="preserve"> foi autorizada pelo Conselho de Administração em </w:t>
      </w:r>
      <w:r w:rsidR="009F3C41" w:rsidRPr="009F3C41">
        <w:rPr>
          <w:rFonts w:ascii="Segoe UI" w:hAnsi="Segoe UI" w:cs="Segoe UI"/>
          <w:bdr w:val="nil"/>
        </w:rPr>
        <w:t>22</w:t>
      </w:r>
      <w:r w:rsidRPr="009F3C41">
        <w:rPr>
          <w:rFonts w:ascii="Segoe UI" w:hAnsi="Segoe UI" w:cs="Segoe UI"/>
          <w:bdr w:val="nil"/>
        </w:rPr>
        <w:t xml:space="preserve"> de </w:t>
      </w:r>
      <w:r w:rsidR="009F3C41" w:rsidRPr="009F3C41">
        <w:rPr>
          <w:rFonts w:ascii="Segoe UI" w:hAnsi="Segoe UI" w:cs="Segoe UI"/>
          <w:bdr w:val="nil"/>
        </w:rPr>
        <w:t>março</w:t>
      </w:r>
      <w:r w:rsidRPr="009F3C41">
        <w:rPr>
          <w:rFonts w:ascii="Segoe UI" w:hAnsi="Segoe UI" w:cs="Segoe UI"/>
          <w:bdr w:val="nil"/>
        </w:rPr>
        <w:t xml:space="preserve"> de 2023.</w:t>
      </w:r>
    </w:p>
    <w:p w14:paraId="720CA90B" w14:textId="77777777" w:rsidR="00A3332E" w:rsidRPr="000E42EE" w:rsidRDefault="00A3332E" w:rsidP="00BA4CC0">
      <w:pPr>
        <w:spacing w:before="240" w:after="120"/>
        <w:jc w:val="both"/>
        <w:rPr>
          <w:rFonts w:ascii="Segoe UI" w:hAnsi="Segoe UI" w:cs="Segoe UI"/>
          <w:b/>
          <w:color w:val="1B80C4"/>
          <w:bdr w:val="nil"/>
        </w:rPr>
      </w:pPr>
      <w:r w:rsidRPr="009F3C41">
        <w:rPr>
          <w:rFonts w:ascii="Segoe UI" w:hAnsi="Segoe UI" w:cs="Segoe UI"/>
          <w:b/>
          <w:color w:val="0070C0"/>
          <w:bdr w:val="nil"/>
        </w:rPr>
        <w:t xml:space="preserve">2.2 – Base de </w:t>
      </w:r>
      <w:r w:rsidRPr="009F3C41">
        <w:rPr>
          <w:rFonts w:ascii="Segoe UI" w:hAnsi="Segoe UI" w:cs="Segoe UI"/>
          <w:b/>
          <w:color w:val="1B80C4"/>
          <w:bdr w:val="nil"/>
        </w:rPr>
        <w:t>preparação e mensuração</w:t>
      </w:r>
    </w:p>
    <w:p w14:paraId="6ABDF6F7" w14:textId="5D3052AF" w:rsidR="00A3332E" w:rsidRPr="000757BC" w:rsidRDefault="00A3332E" w:rsidP="00BA4CC0">
      <w:pPr>
        <w:spacing w:before="240" w:after="120"/>
        <w:jc w:val="both"/>
        <w:rPr>
          <w:rFonts w:ascii="Segoe UI" w:hAnsi="Segoe UI" w:cs="Segoe UI"/>
          <w:highlight w:val="cyan"/>
          <w:bdr w:val="nil"/>
        </w:rPr>
      </w:pPr>
      <w:r w:rsidRPr="000757BC">
        <w:rPr>
          <w:rFonts w:ascii="Segoe UI" w:hAnsi="Segoe UI" w:cs="Segoe UI"/>
          <w:bdr w:val="nil"/>
        </w:rPr>
        <w:t xml:space="preserve">A preparação das demonstrações financeiras </w:t>
      </w:r>
      <w:r w:rsidR="00370394" w:rsidRPr="000757BC">
        <w:rPr>
          <w:rFonts w:ascii="Segoe UI" w:hAnsi="Segoe UI" w:cs="Segoe UI"/>
          <w:bdr w:val="nil"/>
        </w:rPr>
        <w:t>individuais e consolidadas,</w:t>
      </w:r>
      <w:r w:rsidR="00CD2365" w:rsidRPr="000757BC">
        <w:rPr>
          <w:rFonts w:ascii="Segoe UI" w:hAnsi="Segoe UI" w:cs="Segoe UI"/>
          <w:bdr w:val="nil"/>
        </w:rPr>
        <w:t xml:space="preserve"> </w:t>
      </w:r>
      <w:r w:rsidRPr="000757BC">
        <w:rPr>
          <w:rFonts w:ascii="Segoe UI" w:hAnsi="Segoe UI" w:cs="Segoe UI"/>
          <w:bdr w:val="nil"/>
        </w:rPr>
        <w:t xml:space="preserve">requer o uso de certas estimativas contábeis críticas e, também, o exercício de julgamento por parte da Administração da Companhia, no processo de aplicação das práticas contábeis, as quais são apresentadas nas respectivas notas explicativas que tratam dos temas de suas aplicações. Aquelas transações, divulgações ou saldos que requerem maior nível de julgamento, que possuem maior complexidade e para as quais premissas e estimativas são significativas, estão divulgadas na </w:t>
      </w:r>
      <w:r w:rsidR="00C65031">
        <w:rPr>
          <w:rFonts w:ascii="Segoe UI" w:hAnsi="Segoe UI" w:cs="Segoe UI"/>
          <w:bdr w:val="nil"/>
        </w:rPr>
        <w:t>n</w:t>
      </w:r>
      <w:r w:rsidRPr="000757BC">
        <w:rPr>
          <w:rFonts w:ascii="Segoe UI" w:hAnsi="Segoe UI" w:cs="Segoe UI"/>
          <w:bdr w:val="nil"/>
        </w:rPr>
        <w:t>ota</w:t>
      </w:r>
      <w:r w:rsidR="00C65031">
        <w:rPr>
          <w:rFonts w:ascii="Segoe UI" w:hAnsi="Segoe UI" w:cs="Segoe UI"/>
          <w:bdr w:val="nil"/>
        </w:rPr>
        <w:t xml:space="preserve"> explicativa</w:t>
      </w:r>
      <w:r w:rsidRPr="000757BC">
        <w:rPr>
          <w:rFonts w:ascii="Segoe UI" w:hAnsi="Segoe UI" w:cs="Segoe UI"/>
          <w:bdr w:val="nil"/>
        </w:rPr>
        <w:t xml:space="preserve"> </w:t>
      </w:r>
      <w:r w:rsidR="00CD2365" w:rsidRPr="000757BC">
        <w:rPr>
          <w:rFonts w:ascii="Segoe UI" w:hAnsi="Segoe UI" w:cs="Segoe UI"/>
          <w:bdr w:val="nil"/>
        </w:rPr>
        <w:t>3</w:t>
      </w:r>
      <w:r w:rsidRPr="000757BC">
        <w:rPr>
          <w:rFonts w:ascii="Segoe UI" w:hAnsi="Segoe UI" w:cs="Segoe UI"/>
          <w:bdr w:val="nil"/>
        </w:rPr>
        <w:t xml:space="preserve">. </w:t>
      </w:r>
    </w:p>
    <w:p w14:paraId="14B85832" w14:textId="280D1AB5" w:rsidR="00A3332E" w:rsidRPr="000757BC" w:rsidRDefault="00A3332E" w:rsidP="00BA4CC0">
      <w:pPr>
        <w:spacing w:before="240" w:after="120"/>
        <w:jc w:val="both"/>
        <w:rPr>
          <w:rFonts w:ascii="Segoe UI" w:hAnsi="Segoe UI" w:cs="Segoe UI"/>
          <w:bdr w:val="nil"/>
        </w:rPr>
      </w:pPr>
      <w:r w:rsidRPr="000757BC">
        <w:rPr>
          <w:rFonts w:ascii="Segoe UI" w:hAnsi="Segoe UI" w:cs="Segoe UI"/>
          <w:bdr w:val="nil"/>
        </w:rPr>
        <w:t>As demonstrações financeiras</w:t>
      </w:r>
      <w:r w:rsidR="00D94BC7" w:rsidRPr="000757BC">
        <w:rPr>
          <w:rFonts w:ascii="Segoe UI" w:hAnsi="Segoe UI" w:cs="Segoe UI"/>
          <w:bdr w:val="nil"/>
        </w:rPr>
        <w:t>,</w:t>
      </w:r>
      <w:r w:rsidR="00370394" w:rsidRPr="000757BC">
        <w:rPr>
          <w:rFonts w:ascii="Segoe UI" w:hAnsi="Segoe UI" w:cs="Segoe UI"/>
          <w:bdr w:val="nil"/>
        </w:rPr>
        <w:t xml:space="preserve"> individuais e consolidadas,</w:t>
      </w:r>
      <w:r w:rsidR="00CD2365" w:rsidRPr="000757BC">
        <w:rPr>
          <w:rFonts w:ascii="Segoe UI" w:hAnsi="Segoe UI" w:cs="Segoe UI"/>
          <w:bdr w:val="nil"/>
        </w:rPr>
        <w:t xml:space="preserve"> </w:t>
      </w:r>
      <w:r w:rsidRPr="000757BC">
        <w:rPr>
          <w:rFonts w:ascii="Segoe UI" w:hAnsi="Segoe UI" w:cs="Segoe UI"/>
          <w:bdr w:val="nil"/>
        </w:rPr>
        <w:t xml:space="preserve">foram elaboradas com base no custo histórico, exceto por determinados instrumentos financeiros mensurados pelos seus valores justos. O custo histórico geralmente é baseado no valor justo das contraprestações pagas na data das transações </w:t>
      </w:r>
      <w:r w:rsidRPr="000757BC">
        <w:rPr>
          <w:rFonts w:ascii="Segoe UI" w:hAnsi="Segoe UI" w:cs="Segoe UI"/>
        </w:rPr>
        <w:t>e o valor justo é o preço que seria recebido pela venda de um ativo ou pago pela transferência de um passivo em uma transação organizada entre participantes do mercado na data de mensuração, independentemente de esse preço ser diretamente observável ou estimado usando outra técnica de avaliação</w:t>
      </w:r>
      <w:r w:rsidRPr="000757BC">
        <w:rPr>
          <w:rFonts w:ascii="Segoe UI" w:hAnsi="Segoe UI" w:cs="Segoe UI"/>
          <w:bdr w:val="nil"/>
        </w:rPr>
        <w:t>.</w:t>
      </w:r>
    </w:p>
    <w:p w14:paraId="7F1C304E" w14:textId="4ADE62A6" w:rsidR="00A3332E" w:rsidRPr="000757BC" w:rsidRDefault="00FB13E4"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2.3</w:t>
      </w:r>
      <w:r w:rsidR="00CD2365" w:rsidRPr="000757BC">
        <w:rPr>
          <w:rFonts w:ascii="Segoe UI" w:hAnsi="Segoe UI" w:cs="Segoe UI"/>
          <w:b/>
          <w:color w:val="0070C0"/>
          <w:bdr w:val="nil"/>
        </w:rPr>
        <w:t xml:space="preserve"> – </w:t>
      </w:r>
      <w:r w:rsidR="00A3332E" w:rsidRPr="000757BC">
        <w:rPr>
          <w:rFonts w:ascii="Segoe UI" w:hAnsi="Segoe UI" w:cs="Segoe UI"/>
          <w:b/>
          <w:color w:val="0070C0"/>
          <w:bdr w:val="nil"/>
        </w:rPr>
        <w:t>Moeda funcional e de apresentação das demonstrações financeiras</w:t>
      </w:r>
      <w:r w:rsidR="00D94BC7" w:rsidRPr="000757BC">
        <w:rPr>
          <w:rFonts w:ascii="Segoe UI" w:hAnsi="Segoe UI" w:cs="Segoe UI"/>
          <w:b/>
          <w:color w:val="0070C0"/>
          <w:bdr w:val="nil"/>
        </w:rPr>
        <w:t xml:space="preserve"> individuais e consolidadas</w:t>
      </w:r>
      <w:r w:rsidR="00A3332E" w:rsidRPr="000757BC">
        <w:rPr>
          <w:rFonts w:ascii="Segoe UI" w:hAnsi="Segoe UI" w:cs="Segoe UI"/>
          <w:b/>
          <w:color w:val="0070C0"/>
          <w:bdr w:val="nil"/>
        </w:rPr>
        <w:t xml:space="preserve"> </w:t>
      </w:r>
    </w:p>
    <w:p w14:paraId="77761EBD" w14:textId="64D2490B" w:rsidR="00A3332E" w:rsidRPr="000757BC" w:rsidRDefault="00A3332E" w:rsidP="00BA4CC0">
      <w:pPr>
        <w:spacing w:before="240" w:after="120"/>
        <w:jc w:val="both"/>
        <w:rPr>
          <w:rFonts w:ascii="Segoe UI" w:hAnsi="Segoe UI" w:cs="Segoe UI"/>
          <w:bdr w:val="nil"/>
        </w:rPr>
      </w:pPr>
      <w:r w:rsidRPr="000757BC">
        <w:rPr>
          <w:rFonts w:ascii="Segoe UI" w:hAnsi="Segoe UI" w:cs="Segoe UI"/>
          <w:bdr w:val="nil"/>
        </w:rPr>
        <w:t>Essas demonstrações financeiras</w:t>
      </w:r>
      <w:r w:rsidR="00D94BC7" w:rsidRPr="000757BC">
        <w:rPr>
          <w:rFonts w:ascii="Segoe UI" w:hAnsi="Segoe UI" w:cs="Segoe UI"/>
          <w:bdr w:val="nil"/>
        </w:rPr>
        <w:t>, individuais e consolidadas,</w:t>
      </w:r>
      <w:r w:rsidR="00CD2365" w:rsidRPr="000757BC">
        <w:rPr>
          <w:rFonts w:ascii="Segoe UI" w:hAnsi="Segoe UI" w:cs="Segoe UI"/>
          <w:bdr w:val="nil"/>
        </w:rPr>
        <w:t xml:space="preserve"> </w:t>
      </w:r>
      <w:r w:rsidR="009F3C41">
        <w:rPr>
          <w:rFonts w:ascii="Segoe UI" w:hAnsi="Segoe UI" w:cs="Segoe UI"/>
          <w:bdr w:val="nil"/>
        </w:rPr>
        <w:t>e</w:t>
      </w:r>
      <w:r w:rsidRPr="000757BC">
        <w:rPr>
          <w:rFonts w:ascii="Segoe UI" w:hAnsi="Segoe UI" w:cs="Segoe UI"/>
          <w:bdr w:val="nil"/>
        </w:rPr>
        <w:t>s</w:t>
      </w:r>
      <w:r w:rsidR="009F3C41">
        <w:rPr>
          <w:rFonts w:ascii="Segoe UI" w:hAnsi="Segoe UI" w:cs="Segoe UI"/>
          <w:bdr w:val="nil"/>
        </w:rPr>
        <w:t>t</w:t>
      </w:r>
      <w:r w:rsidRPr="000757BC">
        <w:rPr>
          <w:rFonts w:ascii="Segoe UI" w:hAnsi="Segoe UI" w:cs="Segoe UI"/>
          <w:bdr w:val="nil"/>
        </w:rPr>
        <w:t>ão apresentadas em Real</w:t>
      </w:r>
      <w:r w:rsidR="00822033" w:rsidRPr="000757BC">
        <w:rPr>
          <w:rFonts w:ascii="Segoe UI" w:hAnsi="Segoe UI" w:cs="Segoe UI"/>
          <w:bdr w:val="nil"/>
        </w:rPr>
        <w:t xml:space="preserve"> (R$)</w:t>
      </w:r>
      <w:r w:rsidRPr="000757BC">
        <w:rPr>
          <w:rFonts w:ascii="Segoe UI" w:hAnsi="Segoe UI" w:cs="Segoe UI"/>
          <w:bdr w:val="nil"/>
        </w:rPr>
        <w:t xml:space="preserve">, que é a moeda funcional da </w:t>
      </w:r>
      <w:r w:rsidR="00397D36" w:rsidRPr="000757BC">
        <w:rPr>
          <w:rFonts w:ascii="Segoe UI" w:hAnsi="Segoe UI" w:cs="Segoe UI"/>
          <w:bdr w:val="nil"/>
        </w:rPr>
        <w:t>Companhia</w:t>
      </w:r>
      <w:r w:rsidRPr="000757BC">
        <w:rPr>
          <w:rFonts w:ascii="Segoe UI" w:hAnsi="Segoe UI" w:cs="Segoe UI"/>
          <w:bdr w:val="nil"/>
        </w:rPr>
        <w:t>, exceto quando indicado de outra forma.</w:t>
      </w:r>
    </w:p>
    <w:p w14:paraId="0B2E4CC5" w14:textId="77777777" w:rsidR="002C19C5" w:rsidRDefault="002C19C5">
      <w:pPr>
        <w:rPr>
          <w:rFonts w:ascii="Segoe UI" w:hAnsi="Segoe UI" w:cs="Segoe UI"/>
          <w:b/>
          <w:color w:val="0070C0"/>
          <w:bdr w:val="nil"/>
        </w:rPr>
      </w:pPr>
      <w:r>
        <w:rPr>
          <w:rFonts w:ascii="Segoe UI" w:hAnsi="Segoe UI" w:cs="Segoe UI"/>
          <w:b/>
          <w:color w:val="0070C0"/>
          <w:bdr w:val="nil"/>
        </w:rPr>
        <w:br w:type="page"/>
      </w:r>
    </w:p>
    <w:p w14:paraId="098622FD" w14:textId="620594E7"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lastRenderedPageBreak/>
        <w:t>2.4 – Principais políticas contábeis</w:t>
      </w:r>
    </w:p>
    <w:p w14:paraId="79F8EDCB" w14:textId="21E0E030" w:rsidR="007B4BE1" w:rsidRPr="000757BC" w:rsidRDefault="007B4BE1" w:rsidP="00BA4CC0">
      <w:pPr>
        <w:spacing w:before="240" w:after="120"/>
        <w:jc w:val="both"/>
        <w:rPr>
          <w:rFonts w:ascii="Segoe UI" w:hAnsi="Segoe UI" w:cs="Segoe UI"/>
        </w:rPr>
      </w:pPr>
      <w:r w:rsidRPr="000757BC">
        <w:rPr>
          <w:rFonts w:ascii="Segoe UI" w:hAnsi="Segoe UI" w:cs="Segoe UI"/>
        </w:rPr>
        <w:t>As principais políticas contábeis aplicadas na preparação destas demonstrações financeiras</w:t>
      </w:r>
      <w:r w:rsidR="00D94BC7" w:rsidRPr="000757BC">
        <w:rPr>
          <w:rFonts w:ascii="Segoe UI" w:hAnsi="Segoe UI" w:cs="Segoe UI"/>
          <w:bdr w:val="nil"/>
        </w:rPr>
        <w:t xml:space="preserve"> individuais e consolidadas</w:t>
      </w:r>
      <w:r w:rsidRPr="000757BC">
        <w:rPr>
          <w:rFonts w:ascii="Segoe UI" w:hAnsi="Segoe UI" w:cs="Segoe UI"/>
          <w:bdr w:val="nil"/>
        </w:rPr>
        <w:t xml:space="preserve"> </w:t>
      </w:r>
      <w:r w:rsidRPr="000757BC">
        <w:rPr>
          <w:rFonts w:ascii="Segoe UI" w:hAnsi="Segoe UI" w:cs="Segoe UI"/>
        </w:rPr>
        <w:t>estão relacionadas a seguir</w:t>
      </w:r>
      <w:r w:rsidR="005C611E" w:rsidRPr="000757BC">
        <w:rPr>
          <w:rFonts w:ascii="Segoe UI" w:hAnsi="Segoe UI" w:cs="Segoe UI"/>
        </w:rPr>
        <w:t>:</w:t>
      </w:r>
    </w:p>
    <w:p w14:paraId="5DC77330" w14:textId="77777777" w:rsidR="007B4BE1" w:rsidRPr="001D1C65" w:rsidRDefault="007B4BE1" w:rsidP="00BA4CC0">
      <w:pPr>
        <w:spacing w:before="240" w:after="120"/>
        <w:jc w:val="both"/>
        <w:rPr>
          <w:rFonts w:ascii="Segoe UI" w:hAnsi="Segoe UI" w:cs="Segoe UI"/>
          <w:b/>
          <w:color w:val="0070C0"/>
          <w:bdr w:val="nil"/>
        </w:rPr>
      </w:pPr>
      <w:r w:rsidRPr="001D1C65">
        <w:rPr>
          <w:rFonts w:ascii="Segoe UI" w:hAnsi="Segoe UI" w:cs="Segoe UI"/>
          <w:b/>
          <w:color w:val="0070C0"/>
          <w:bdr w:val="nil"/>
        </w:rPr>
        <w:t>2.4.1 – Caixa e equivalentes de caixa</w:t>
      </w:r>
    </w:p>
    <w:p w14:paraId="479AEEC0" w14:textId="77777777"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Caixa e equivalentes de caixa incluem o caixa, os depósitos bancários e outros investimentos de curto prazo de alta liquidez com vencimentos originais de até três meses. </w:t>
      </w:r>
    </w:p>
    <w:p w14:paraId="1DC60E53" w14:textId="162E6CF6"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Os saldos considerados como equivalentes de caixa são aplicações financeiras de curto prazo, de liquidez imediata, prontamente conversíveis em montante conhecido de caixa, sujeitos a</w:t>
      </w:r>
      <w:r w:rsidR="003C0CAA">
        <w:rPr>
          <w:rFonts w:ascii="Segoe UI" w:hAnsi="Segoe UI" w:cs="Segoe UI"/>
        </w:rPr>
        <w:t xml:space="preserve"> </w:t>
      </w:r>
      <w:r w:rsidRPr="000757BC">
        <w:rPr>
          <w:rFonts w:ascii="Segoe UI" w:hAnsi="Segoe UI" w:cs="Segoe UI"/>
        </w:rPr>
        <w:t xml:space="preserve">insignificante risco de mudança de valor e mantidos com a finalidade de atender a compromissos de caixa de curto prazo e </w:t>
      </w:r>
      <w:r w:rsidR="00C65031">
        <w:rPr>
          <w:rFonts w:ascii="Segoe UI" w:hAnsi="Segoe UI" w:cs="Segoe UI"/>
        </w:rPr>
        <w:t>a</w:t>
      </w:r>
      <w:r w:rsidRPr="000757BC">
        <w:rPr>
          <w:rFonts w:ascii="Segoe UI" w:hAnsi="Segoe UI" w:cs="Segoe UI"/>
        </w:rPr>
        <w:t xml:space="preserve"> gestão de caixa da Companhia.</w:t>
      </w:r>
    </w:p>
    <w:p w14:paraId="52204012" w14:textId="66CD6FE0"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9405D1" w:rsidRPr="000757BC">
        <w:rPr>
          <w:rFonts w:ascii="Segoe UI" w:hAnsi="Segoe UI" w:cs="Segoe UI"/>
          <w:b/>
          <w:color w:val="0070C0"/>
          <w:bdr w:val="nil"/>
        </w:rPr>
        <w:t>1.1</w:t>
      </w:r>
      <w:r w:rsidRPr="000757BC">
        <w:rPr>
          <w:rFonts w:ascii="Segoe UI" w:hAnsi="Segoe UI" w:cs="Segoe UI"/>
          <w:b/>
          <w:color w:val="0070C0"/>
          <w:bdr w:val="nil"/>
        </w:rPr>
        <w:t xml:space="preserve"> – Caixa restrito</w:t>
      </w:r>
    </w:p>
    <w:p w14:paraId="3A46DC0A" w14:textId="683C1893" w:rsidR="00BC719D"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O caixa restrito é composto por aplicações financeiras mensuradas ao valor justo, sendo os recursos arrecadados pelos respectivos fundos que são utilizados exclusivamente para atender às suas disposições regulamentares não estando disponíveis para a Companhia</w:t>
      </w:r>
      <w:r w:rsidR="001C36E1" w:rsidRPr="000757BC">
        <w:rPr>
          <w:rFonts w:ascii="Segoe UI" w:hAnsi="Segoe UI" w:cs="Segoe UI"/>
        </w:rPr>
        <w:t xml:space="preserve">. </w:t>
      </w:r>
      <w:r w:rsidR="00231A98">
        <w:rPr>
          <w:rFonts w:ascii="Segoe UI" w:hAnsi="Segoe UI" w:cs="Segoe UI"/>
        </w:rPr>
        <w:t>Estão</w:t>
      </w:r>
      <w:r w:rsidR="001C36E1" w:rsidRPr="000757BC">
        <w:rPr>
          <w:rFonts w:ascii="Segoe UI" w:hAnsi="Segoe UI" w:cs="Segoe UI"/>
        </w:rPr>
        <w:t xml:space="preserve"> disponíveis para operações designadas da conta de comercialização</w:t>
      </w:r>
      <w:r w:rsidR="005577AA">
        <w:rPr>
          <w:rFonts w:ascii="Segoe UI" w:hAnsi="Segoe UI" w:cs="Segoe UI"/>
        </w:rPr>
        <w:t xml:space="preserve"> de energia elétrica</w:t>
      </w:r>
      <w:r w:rsidR="001C36E1" w:rsidRPr="000757BC">
        <w:rPr>
          <w:rFonts w:ascii="Segoe UI" w:hAnsi="Segoe UI" w:cs="Segoe UI"/>
        </w:rPr>
        <w:t xml:space="preserve"> de Itaipu.</w:t>
      </w:r>
    </w:p>
    <w:p w14:paraId="452A152F" w14:textId="4B57F3F8" w:rsidR="007B4BE1" w:rsidRPr="000757BC" w:rsidRDefault="007B4BE1" w:rsidP="00BA4CC0">
      <w:pPr>
        <w:autoSpaceDE w:val="0"/>
        <w:autoSpaceDN w:val="0"/>
        <w:adjustRightInd w:val="0"/>
        <w:spacing w:before="240" w:after="120"/>
        <w:jc w:val="both"/>
        <w:rPr>
          <w:rFonts w:ascii="Segoe UI" w:hAnsi="Segoe UI" w:cs="Segoe UI"/>
          <w:b/>
          <w:color w:val="0070C0"/>
          <w:bdr w:val="nil"/>
        </w:rPr>
      </w:pPr>
      <w:r w:rsidRPr="000757BC">
        <w:rPr>
          <w:rFonts w:ascii="Segoe UI" w:hAnsi="Segoe UI" w:cs="Segoe UI"/>
          <w:b/>
          <w:color w:val="0070C0"/>
          <w:bdr w:val="nil"/>
        </w:rPr>
        <w:t>2.4.</w:t>
      </w:r>
      <w:r w:rsidR="00E62A95">
        <w:rPr>
          <w:rFonts w:ascii="Segoe UI" w:hAnsi="Segoe UI" w:cs="Segoe UI"/>
          <w:b/>
          <w:color w:val="0070C0"/>
          <w:bdr w:val="nil"/>
        </w:rPr>
        <w:t>2</w:t>
      </w:r>
      <w:r w:rsidRPr="000757BC">
        <w:rPr>
          <w:rFonts w:ascii="Segoe UI" w:hAnsi="Segoe UI" w:cs="Segoe UI"/>
          <w:b/>
          <w:color w:val="0070C0"/>
          <w:bdr w:val="nil"/>
        </w:rPr>
        <w:t xml:space="preserve"> – Títulos e valores mobiliários</w:t>
      </w:r>
    </w:p>
    <w:p w14:paraId="7A7B7BDF" w14:textId="6A085246" w:rsidR="007B4BE1" w:rsidRPr="000757BC" w:rsidRDefault="00C8035E" w:rsidP="00BA4CC0">
      <w:pPr>
        <w:pStyle w:val="Corpodetexto"/>
        <w:spacing w:before="240" w:after="120" w:line="259" w:lineRule="auto"/>
        <w:rPr>
          <w:rFonts w:ascii="Segoe UI" w:eastAsiaTheme="minorHAnsi" w:hAnsi="Segoe UI" w:cs="Segoe UI"/>
          <w:sz w:val="22"/>
          <w:szCs w:val="22"/>
          <w:lang w:val="pt-BR" w:eastAsia="en-US"/>
        </w:rPr>
      </w:pPr>
      <w:r w:rsidRPr="000757BC">
        <w:rPr>
          <w:rFonts w:ascii="Segoe UI" w:eastAsiaTheme="minorHAnsi" w:hAnsi="Segoe UI" w:cs="Segoe UI"/>
          <w:sz w:val="22"/>
          <w:szCs w:val="22"/>
          <w:lang w:val="pt-BR" w:eastAsia="en-US"/>
        </w:rPr>
        <w:t>São referente</w:t>
      </w:r>
      <w:r w:rsidR="00136264">
        <w:rPr>
          <w:rFonts w:ascii="Segoe UI" w:eastAsiaTheme="minorHAnsi" w:hAnsi="Segoe UI" w:cs="Segoe UI"/>
          <w:sz w:val="22"/>
          <w:szCs w:val="22"/>
          <w:lang w:val="pt-BR" w:eastAsia="en-US"/>
        </w:rPr>
        <w:t>s</w:t>
      </w:r>
      <w:r w:rsidRPr="000757BC">
        <w:rPr>
          <w:rFonts w:ascii="Segoe UI" w:eastAsiaTheme="minorHAnsi" w:hAnsi="Segoe UI" w:cs="Segoe UI"/>
          <w:sz w:val="22"/>
          <w:szCs w:val="22"/>
          <w:lang w:val="pt-BR" w:eastAsia="en-US"/>
        </w:rPr>
        <w:t xml:space="preserve"> </w:t>
      </w:r>
      <w:r w:rsidR="007B4BE1" w:rsidRPr="000757BC">
        <w:rPr>
          <w:rFonts w:ascii="Segoe UI" w:eastAsiaTheme="minorHAnsi" w:hAnsi="Segoe UI" w:cs="Segoe UI"/>
          <w:sz w:val="22"/>
          <w:szCs w:val="22"/>
          <w:lang w:val="pt-BR" w:eastAsia="en-US"/>
        </w:rPr>
        <w:t>as aplicações financeiras destinadas à compra de ativo fixo</w:t>
      </w:r>
      <w:r w:rsidRPr="000757BC">
        <w:rPr>
          <w:rFonts w:ascii="Segoe UI" w:eastAsiaTheme="minorHAnsi" w:hAnsi="Segoe UI" w:cs="Segoe UI"/>
          <w:sz w:val="22"/>
          <w:szCs w:val="22"/>
          <w:lang w:val="pt-BR" w:eastAsia="en-US"/>
        </w:rPr>
        <w:t xml:space="preserve">, </w:t>
      </w:r>
      <w:r w:rsidR="005237DA">
        <w:rPr>
          <w:rFonts w:ascii="Segoe UI" w:eastAsiaTheme="minorHAnsi" w:hAnsi="Segoe UI" w:cs="Segoe UI"/>
          <w:sz w:val="22"/>
          <w:szCs w:val="22"/>
          <w:lang w:val="pt-BR" w:eastAsia="en-US"/>
        </w:rPr>
        <w:t>fundo de descomissionamento</w:t>
      </w:r>
      <w:r w:rsidR="007B4BE1" w:rsidRPr="000757BC">
        <w:rPr>
          <w:rFonts w:ascii="Segoe UI" w:eastAsiaTheme="minorHAnsi" w:hAnsi="Segoe UI" w:cs="Segoe UI"/>
          <w:sz w:val="22"/>
          <w:szCs w:val="22"/>
          <w:lang w:val="pt-BR" w:eastAsia="en-US"/>
        </w:rPr>
        <w:t xml:space="preserve"> e outras atividades de investimento. São inicialmente mensurados a valor justo e, posteriormente, pelo valor justo por meio do resultado. </w:t>
      </w:r>
    </w:p>
    <w:p w14:paraId="01A8DA81" w14:textId="7CFE40B1" w:rsidR="00DD51D7" w:rsidRPr="000757BC" w:rsidRDefault="00DD51D7" w:rsidP="00DD51D7">
      <w:pPr>
        <w:autoSpaceDE w:val="0"/>
        <w:autoSpaceDN w:val="0"/>
        <w:adjustRightInd w:val="0"/>
        <w:spacing w:before="240" w:after="120"/>
        <w:jc w:val="both"/>
        <w:rPr>
          <w:rFonts w:ascii="Segoe UI" w:hAnsi="Segoe UI" w:cs="Segoe UI"/>
          <w:b/>
          <w:color w:val="0070C0"/>
          <w:bdr w:val="nil"/>
        </w:rPr>
      </w:pPr>
      <w:r w:rsidRPr="000757BC">
        <w:rPr>
          <w:rFonts w:ascii="Segoe UI" w:hAnsi="Segoe UI" w:cs="Segoe UI"/>
          <w:b/>
          <w:color w:val="0070C0"/>
          <w:bdr w:val="nil"/>
        </w:rPr>
        <w:t>2.4.</w:t>
      </w:r>
      <w:r>
        <w:rPr>
          <w:rFonts w:ascii="Segoe UI" w:hAnsi="Segoe UI" w:cs="Segoe UI"/>
          <w:b/>
          <w:color w:val="0070C0"/>
          <w:bdr w:val="nil"/>
        </w:rPr>
        <w:t xml:space="preserve">2.1 </w:t>
      </w:r>
      <w:r w:rsidRPr="000757BC">
        <w:rPr>
          <w:rFonts w:ascii="Segoe UI" w:hAnsi="Segoe UI" w:cs="Segoe UI"/>
          <w:b/>
          <w:color w:val="0070C0"/>
          <w:bdr w:val="nil"/>
        </w:rPr>
        <w:t xml:space="preserve">– </w:t>
      </w:r>
      <w:r w:rsidR="005237DA">
        <w:rPr>
          <w:rFonts w:ascii="Segoe UI" w:hAnsi="Segoe UI" w:cs="Segoe UI"/>
          <w:b/>
          <w:color w:val="0070C0"/>
          <w:bdr w:val="nil"/>
        </w:rPr>
        <w:t>Fundo de descomissionamento</w:t>
      </w:r>
      <w:r w:rsidR="001331D7" w:rsidRPr="000757BC">
        <w:rPr>
          <w:rFonts w:ascii="Segoe UI" w:hAnsi="Segoe UI" w:cs="Segoe UI"/>
          <w:b/>
          <w:color w:val="0070C0"/>
          <w:bdr w:val="nil"/>
        </w:rPr>
        <w:t xml:space="preserve"> </w:t>
      </w:r>
      <w:r w:rsidR="001331D7">
        <w:rPr>
          <w:rFonts w:ascii="Segoe UI" w:hAnsi="Segoe UI" w:cs="Segoe UI"/>
          <w:b/>
          <w:color w:val="0070C0"/>
          <w:bdr w:val="nil"/>
        </w:rPr>
        <w:t xml:space="preserve">- </w:t>
      </w:r>
      <w:r w:rsidRPr="000757BC">
        <w:rPr>
          <w:rFonts w:ascii="Segoe UI" w:hAnsi="Segoe UI" w:cs="Segoe UI"/>
          <w:b/>
          <w:color w:val="0070C0"/>
          <w:bdr w:val="nil"/>
        </w:rPr>
        <w:t>Títulos e valores mobiliários</w:t>
      </w:r>
      <w:r>
        <w:rPr>
          <w:rFonts w:ascii="Segoe UI" w:hAnsi="Segoe UI" w:cs="Segoe UI"/>
          <w:b/>
          <w:color w:val="0070C0"/>
          <w:bdr w:val="nil"/>
        </w:rPr>
        <w:t xml:space="preserve"> </w:t>
      </w:r>
    </w:p>
    <w:p w14:paraId="196D3389" w14:textId="6E1801DA" w:rsidR="00A01396" w:rsidRPr="00A01396" w:rsidRDefault="00A01396" w:rsidP="00A01396">
      <w:pPr>
        <w:pStyle w:val="Corpodetexto"/>
        <w:spacing w:before="240" w:after="120" w:line="259" w:lineRule="auto"/>
        <w:rPr>
          <w:rFonts w:ascii="Segoe UI" w:eastAsiaTheme="minorHAnsi" w:hAnsi="Segoe UI" w:cs="Segoe UI"/>
          <w:sz w:val="22"/>
          <w:szCs w:val="22"/>
          <w:lang w:val="pt-BR" w:eastAsia="en-US"/>
        </w:rPr>
      </w:pPr>
      <w:r w:rsidRPr="00A01396">
        <w:rPr>
          <w:rFonts w:ascii="Segoe UI" w:eastAsiaTheme="minorHAnsi" w:hAnsi="Segoe UI" w:cs="Segoe UI"/>
          <w:sz w:val="22"/>
          <w:szCs w:val="22"/>
          <w:lang w:val="pt-BR" w:eastAsia="en-US"/>
        </w:rPr>
        <w:t xml:space="preserve">O </w:t>
      </w:r>
      <w:r w:rsidR="005237DA">
        <w:rPr>
          <w:rFonts w:ascii="Segoe UI" w:eastAsiaTheme="minorHAnsi" w:hAnsi="Segoe UI" w:cs="Segoe UI"/>
          <w:sz w:val="22"/>
          <w:szCs w:val="22"/>
          <w:lang w:val="pt-BR" w:eastAsia="en-US"/>
        </w:rPr>
        <w:t>Fundo de descomissionamento</w:t>
      </w:r>
      <w:r w:rsidRPr="00A01396">
        <w:rPr>
          <w:rFonts w:ascii="Segoe UI" w:eastAsiaTheme="minorHAnsi" w:hAnsi="Segoe UI" w:cs="Segoe UI"/>
          <w:sz w:val="22"/>
          <w:szCs w:val="22"/>
          <w:lang w:val="pt-BR" w:eastAsia="en-US"/>
        </w:rPr>
        <w:t xml:space="preserve"> é um ativo financeiro mensurado a valor justo por meio do resultado</w:t>
      </w:r>
      <w:r w:rsidR="001331D7">
        <w:rPr>
          <w:rFonts w:ascii="Segoe UI" w:eastAsiaTheme="minorHAnsi" w:hAnsi="Segoe UI" w:cs="Segoe UI"/>
          <w:sz w:val="22"/>
          <w:szCs w:val="22"/>
          <w:lang w:val="pt-BR" w:eastAsia="en-US"/>
        </w:rPr>
        <w:t>, registrado no não ativo não circulante</w:t>
      </w:r>
      <w:r w:rsidRPr="00A01396">
        <w:rPr>
          <w:rFonts w:ascii="Segoe UI" w:eastAsiaTheme="minorHAnsi" w:hAnsi="Segoe UI" w:cs="Segoe UI"/>
          <w:sz w:val="22"/>
          <w:szCs w:val="22"/>
          <w:lang w:val="pt-BR" w:eastAsia="en-US"/>
        </w:rPr>
        <w:t>. Os ganhos e perdas são reconhecidos no resultado</w:t>
      </w:r>
      <w:r w:rsidR="000656CC">
        <w:rPr>
          <w:rFonts w:ascii="Segoe UI" w:eastAsiaTheme="minorHAnsi" w:hAnsi="Segoe UI" w:cs="Segoe UI"/>
          <w:sz w:val="22"/>
          <w:szCs w:val="22"/>
          <w:lang w:val="pt-BR" w:eastAsia="en-US"/>
        </w:rPr>
        <w:t>.</w:t>
      </w:r>
    </w:p>
    <w:p w14:paraId="6E4C0502" w14:textId="4B53EF3B"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E62A95">
        <w:rPr>
          <w:rFonts w:ascii="Segoe UI" w:hAnsi="Segoe UI" w:cs="Segoe UI"/>
          <w:b/>
          <w:color w:val="0070C0"/>
          <w:bdr w:val="nil"/>
        </w:rPr>
        <w:t>3</w:t>
      </w:r>
      <w:r w:rsidRPr="000757BC">
        <w:rPr>
          <w:rFonts w:ascii="Segoe UI" w:hAnsi="Segoe UI" w:cs="Segoe UI"/>
          <w:b/>
          <w:color w:val="0070C0"/>
          <w:bdr w:val="nil"/>
        </w:rPr>
        <w:t xml:space="preserve"> – Clientes</w:t>
      </w:r>
    </w:p>
    <w:p w14:paraId="75690640" w14:textId="45DC8C10" w:rsidR="007B4BE1" w:rsidRPr="000757BC" w:rsidRDefault="007B4BE1" w:rsidP="0008133A">
      <w:pPr>
        <w:jc w:val="both"/>
        <w:rPr>
          <w:rFonts w:ascii="Segoe UI" w:hAnsi="Segoe UI" w:cs="Segoe UI"/>
        </w:rPr>
      </w:pPr>
      <w:r w:rsidRPr="000757BC">
        <w:rPr>
          <w:rFonts w:ascii="Segoe UI" w:hAnsi="Segoe UI" w:cs="Segoe UI"/>
        </w:rPr>
        <w:t xml:space="preserve">As contas </w:t>
      </w:r>
      <w:r w:rsidR="00230730">
        <w:rPr>
          <w:rFonts w:ascii="Segoe UI" w:hAnsi="Segoe UI" w:cs="Segoe UI"/>
        </w:rPr>
        <w:t xml:space="preserve">a receber </w:t>
      </w:r>
      <w:r w:rsidRPr="000757BC">
        <w:rPr>
          <w:rFonts w:ascii="Segoe UI" w:hAnsi="Segoe UI" w:cs="Segoe UI"/>
        </w:rPr>
        <w:t>de clientes correspondem ao</w:t>
      </w:r>
      <w:r w:rsidR="00230730">
        <w:rPr>
          <w:rFonts w:ascii="Segoe UI" w:hAnsi="Segoe UI" w:cs="Segoe UI"/>
        </w:rPr>
        <w:t>s</w:t>
      </w:r>
      <w:r w:rsidRPr="000757BC">
        <w:rPr>
          <w:rFonts w:ascii="Segoe UI" w:hAnsi="Segoe UI" w:cs="Segoe UI"/>
        </w:rPr>
        <w:t xml:space="preserve"> valor</w:t>
      </w:r>
      <w:r w:rsidR="00230730">
        <w:rPr>
          <w:rFonts w:ascii="Segoe UI" w:hAnsi="Segoe UI" w:cs="Segoe UI"/>
        </w:rPr>
        <w:t>es</w:t>
      </w:r>
      <w:r w:rsidRPr="000757BC">
        <w:rPr>
          <w:rFonts w:ascii="Segoe UI" w:hAnsi="Segoe UI" w:cs="Segoe UI"/>
        </w:rPr>
        <w:t xml:space="preserve"> a receber das concessionárias, permissionárias ou autorizadas de serviço público de distribuição no Sistema Interligado Nacional – </w:t>
      </w:r>
      <w:r w:rsidR="0008133A">
        <w:rPr>
          <w:rFonts w:ascii="Segoe UI" w:hAnsi="Segoe UI" w:cs="Segoe UI"/>
        </w:rPr>
        <w:t>(“</w:t>
      </w:r>
      <w:r w:rsidRPr="000757BC">
        <w:rPr>
          <w:rFonts w:ascii="Segoe UI" w:hAnsi="Segoe UI" w:cs="Segoe UI"/>
        </w:rPr>
        <w:t>SIN</w:t>
      </w:r>
      <w:r w:rsidR="0008133A">
        <w:rPr>
          <w:rFonts w:ascii="Segoe UI" w:hAnsi="Segoe UI" w:cs="Segoe UI"/>
        </w:rPr>
        <w:t>”)</w:t>
      </w:r>
      <w:r w:rsidRPr="000757BC">
        <w:rPr>
          <w:rFonts w:ascii="Segoe UI" w:hAnsi="Segoe UI" w:cs="Segoe UI"/>
        </w:rPr>
        <w:t xml:space="preserve">, pela venda de energia </w:t>
      </w:r>
      <w:r w:rsidR="00230730">
        <w:rPr>
          <w:rFonts w:ascii="Segoe UI" w:hAnsi="Segoe UI" w:cs="Segoe UI"/>
        </w:rPr>
        <w:t xml:space="preserve">elétrica </w:t>
      </w:r>
      <w:r w:rsidRPr="000757BC">
        <w:rPr>
          <w:rFonts w:ascii="Segoe UI" w:hAnsi="Segoe UI" w:cs="Segoe UI"/>
        </w:rPr>
        <w:t xml:space="preserve">no decurso normal das atividades da Companhia. </w:t>
      </w:r>
    </w:p>
    <w:p w14:paraId="5921AE13" w14:textId="5E00B767" w:rsidR="007B4BE1" w:rsidRPr="000757BC" w:rsidRDefault="007B4BE1" w:rsidP="0008133A">
      <w:pPr>
        <w:autoSpaceDE w:val="0"/>
        <w:autoSpaceDN w:val="0"/>
        <w:adjustRightInd w:val="0"/>
        <w:spacing w:before="240" w:after="120"/>
        <w:jc w:val="both"/>
        <w:rPr>
          <w:rFonts w:ascii="Segoe UI" w:hAnsi="Segoe UI" w:cs="Segoe UI"/>
        </w:rPr>
      </w:pPr>
      <w:r w:rsidRPr="000757BC">
        <w:rPr>
          <w:rFonts w:ascii="Segoe UI" w:hAnsi="Segoe UI" w:cs="Segoe UI"/>
        </w:rPr>
        <w:t>As contas a receber de clientes são contabilizadas com base no regime de competência, sendo reconhecidas inicialmente pelo valor justo e, subsequentemente, mensuradas pelo custo amortizado menos a</w:t>
      </w:r>
      <w:r w:rsidR="0008133A">
        <w:rPr>
          <w:rFonts w:ascii="Segoe UI" w:hAnsi="Segoe UI" w:cs="Segoe UI"/>
        </w:rPr>
        <w:t>s</w:t>
      </w:r>
      <w:r w:rsidRPr="000757BC">
        <w:rPr>
          <w:rFonts w:ascii="Segoe UI" w:hAnsi="Segoe UI" w:cs="Segoe UI"/>
        </w:rPr>
        <w:t xml:space="preserve"> </w:t>
      </w:r>
      <w:r w:rsidR="0008133A" w:rsidRPr="000757BC">
        <w:rPr>
          <w:rFonts w:ascii="Segoe UI" w:hAnsi="Segoe UI" w:cs="Segoe UI"/>
        </w:rPr>
        <w:t>Perdas Estimadas em Créditos de Liquidação Duvidosa (</w:t>
      </w:r>
      <w:r w:rsidR="0008133A">
        <w:rPr>
          <w:rFonts w:ascii="Segoe UI" w:hAnsi="Segoe UI" w:cs="Segoe UI"/>
        </w:rPr>
        <w:t>“</w:t>
      </w:r>
      <w:r w:rsidR="0008133A" w:rsidRPr="000757BC">
        <w:rPr>
          <w:rFonts w:ascii="Segoe UI" w:hAnsi="Segoe UI" w:cs="Segoe UI"/>
        </w:rPr>
        <w:t>PECLD</w:t>
      </w:r>
      <w:r w:rsidR="0008133A">
        <w:rPr>
          <w:rFonts w:ascii="Segoe UI" w:hAnsi="Segoe UI" w:cs="Segoe UI"/>
        </w:rPr>
        <w:t>”</w:t>
      </w:r>
      <w:r w:rsidR="0008133A" w:rsidRPr="000757BC">
        <w:rPr>
          <w:rFonts w:ascii="Segoe UI" w:hAnsi="Segoe UI" w:cs="Segoe UI"/>
        </w:rPr>
        <w:t>)</w:t>
      </w:r>
      <w:r w:rsidRPr="000757BC">
        <w:rPr>
          <w:rFonts w:ascii="Segoe UI" w:hAnsi="Segoe UI" w:cs="Segoe UI"/>
        </w:rPr>
        <w:t xml:space="preserve">. Os valores </w:t>
      </w:r>
      <w:r w:rsidRPr="000757BC">
        <w:rPr>
          <w:rFonts w:ascii="Segoe UI" w:hAnsi="Segoe UI" w:cs="Segoe UI"/>
        </w:rPr>
        <w:lastRenderedPageBreak/>
        <w:t>são baixados da provisão e reconhecidos como perda definitiva quando não há mais expectativa de recuperação dos recursos.</w:t>
      </w:r>
    </w:p>
    <w:p w14:paraId="7C1FED3C" w14:textId="3908B644" w:rsidR="007B4BE1" w:rsidRPr="000757BC" w:rsidRDefault="007B4BE1" w:rsidP="00BA4CC0">
      <w:pPr>
        <w:autoSpaceDE w:val="0"/>
        <w:autoSpaceDN w:val="0"/>
        <w:adjustRightInd w:val="0"/>
        <w:spacing w:before="240" w:after="120"/>
        <w:jc w:val="both"/>
        <w:rPr>
          <w:rFonts w:ascii="Segoe UI" w:hAnsi="Segoe UI" w:cs="Segoe UI"/>
          <w:bdr w:val="nil"/>
        </w:rPr>
      </w:pPr>
      <w:r w:rsidRPr="000757BC">
        <w:rPr>
          <w:rFonts w:ascii="Segoe UI" w:hAnsi="Segoe UI" w:cs="Segoe UI"/>
        </w:rPr>
        <w:t>As contas a receber são normalmente liquidadas no vencimento</w:t>
      </w:r>
      <w:r w:rsidRPr="000757BC">
        <w:rPr>
          <w:rFonts w:ascii="Segoe UI" w:hAnsi="Segoe UI" w:cs="Segoe UI"/>
          <w:bdr w:val="nil"/>
        </w:rPr>
        <w:t>.</w:t>
      </w:r>
    </w:p>
    <w:p w14:paraId="1E452074" w14:textId="39DD0146" w:rsidR="003D554A" w:rsidRDefault="009F3C41" w:rsidP="00BA4CC0">
      <w:pPr>
        <w:autoSpaceDE w:val="0"/>
        <w:autoSpaceDN w:val="0"/>
        <w:adjustRightInd w:val="0"/>
        <w:spacing w:before="240" w:after="120"/>
        <w:jc w:val="both"/>
        <w:rPr>
          <w:rFonts w:ascii="Segoe UI" w:hAnsi="Segoe UI" w:cs="Segoe UI"/>
        </w:rPr>
      </w:pPr>
      <w:r>
        <w:rPr>
          <w:rFonts w:ascii="Segoe UI" w:hAnsi="Segoe UI" w:cs="Segoe UI"/>
        </w:rPr>
        <w:t>A</w:t>
      </w:r>
      <w:r w:rsidR="0008133A">
        <w:rPr>
          <w:rFonts w:ascii="Segoe UI" w:hAnsi="Segoe UI" w:cs="Segoe UI"/>
        </w:rPr>
        <w:t xml:space="preserve"> </w:t>
      </w:r>
      <w:r w:rsidR="003D554A" w:rsidRPr="000757BC">
        <w:rPr>
          <w:rFonts w:ascii="Segoe UI" w:hAnsi="Segoe UI" w:cs="Segoe UI"/>
        </w:rPr>
        <w:t xml:space="preserve">PECLD </w:t>
      </w:r>
      <w:r w:rsidR="0008133A">
        <w:rPr>
          <w:rFonts w:ascii="Segoe UI" w:hAnsi="Segoe UI" w:cs="Segoe UI"/>
        </w:rPr>
        <w:t xml:space="preserve">é </w:t>
      </w:r>
      <w:r w:rsidR="003D554A" w:rsidRPr="000757BC">
        <w:rPr>
          <w:rFonts w:ascii="Segoe UI" w:hAnsi="Segoe UI" w:cs="Segoe UI"/>
        </w:rPr>
        <w:t>fundamentad</w:t>
      </w:r>
      <w:r>
        <w:rPr>
          <w:rFonts w:ascii="Segoe UI" w:hAnsi="Segoe UI" w:cs="Segoe UI"/>
        </w:rPr>
        <w:t>a</w:t>
      </w:r>
      <w:r w:rsidR="003D554A" w:rsidRPr="000757BC">
        <w:rPr>
          <w:rFonts w:ascii="Segoe UI" w:hAnsi="Segoe UI" w:cs="Segoe UI"/>
        </w:rPr>
        <w:t xml:space="preserve"> em análise dos créditos, que leva em consideração o histórico e os riscos envolvidos em cada operação, sendo constituída em montante considerado suficiente para cobrir as prováveis perdas na realização dos créditos.</w:t>
      </w:r>
    </w:p>
    <w:p w14:paraId="08473526" w14:textId="646B352F" w:rsidR="00230730" w:rsidRDefault="00230730" w:rsidP="00230730">
      <w:pPr>
        <w:spacing w:before="240" w:after="120"/>
        <w:jc w:val="both"/>
        <w:rPr>
          <w:rFonts w:ascii="Segoe UI" w:hAnsi="Segoe UI" w:cs="Segoe UI"/>
          <w:b/>
          <w:color w:val="0070C0"/>
          <w:bdr w:val="nil"/>
        </w:rPr>
      </w:pPr>
      <w:r w:rsidRPr="00123124">
        <w:rPr>
          <w:rFonts w:ascii="Segoe UI" w:hAnsi="Segoe UI" w:cs="Segoe UI"/>
          <w:b/>
          <w:color w:val="0070C0"/>
          <w:bdr w:val="nil"/>
        </w:rPr>
        <w:t xml:space="preserve">2.4.4 – Tributos a </w:t>
      </w:r>
      <w:r w:rsidR="00C90A29">
        <w:rPr>
          <w:rFonts w:ascii="Segoe UI" w:hAnsi="Segoe UI" w:cs="Segoe UI"/>
          <w:b/>
          <w:color w:val="0070C0"/>
          <w:bdr w:val="nil"/>
        </w:rPr>
        <w:t>c</w:t>
      </w:r>
      <w:r w:rsidRPr="00123124">
        <w:rPr>
          <w:rFonts w:ascii="Segoe UI" w:hAnsi="Segoe UI" w:cs="Segoe UI"/>
          <w:b/>
          <w:color w:val="0070C0"/>
          <w:bdr w:val="nil"/>
        </w:rPr>
        <w:t>ompensar</w:t>
      </w:r>
    </w:p>
    <w:p w14:paraId="00E61BB9" w14:textId="03EC1B12" w:rsidR="00123124" w:rsidRPr="00123124" w:rsidRDefault="00123124" w:rsidP="00230730">
      <w:pPr>
        <w:spacing w:before="240" w:after="120"/>
        <w:jc w:val="both"/>
        <w:rPr>
          <w:rFonts w:ascii="Segoe UI" w:hAnsi="Segoe UI" w:cs="Segoe UI"/>
        </w:rPr>
      </w:pPr>
      <w:r w:rsidRPr="00123124">
        <w:rPr>
          <w:rFonts w:ascii="Segoe UI" w:hAnsi="Segoe UI" w:cs="Segoe UI"/>
        </w:rPr>
        <w:t>Tributo a compensar é o crédito que constitui moeda de pagamento de tributos da mesma espécie ou não e que, se não houver débito com o qual compensar, pode gerar solicitação de restituição em dinheiro.</w:t>
      </w:r>
    </w:p>
    <w:p w14:paraId="6FDD0AEF" w14:textId="5220F507"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230730">
        <w:rPr>
          <w:rFonts w:ascii="Segoe UI" w:hAnsi="Segoe UI" w:cs="Segoe UI"/>
          <w:b/>
          <w:color w:val="0070C0"/>
          <w:bdr w:val="nil"/>
        </w:rPr>
        <w:t>5</w:t>
      </w:r>
      <w:r w:rsidRPr="000757BC">
        <w:rPr>
          <w:rFonts w:ascii="Segoe UI" w:hAnsi="Segoe UI" w:cs="Segoe UI"/>
          <w:b/>
          <w:color w:val="0070C0"/>
          <w:bdr w:val="nil"/>
        </w:rPr>
        <w:t xml:space="preserve"> – Imposto de renda e contribuição social</w:t>
      </w:r>
      <w:r w:rsidR="0008133A">
        <w:rPr>
          <w:rFonts w:ascii="Segoe UI" w:hAnsi="Segoe UI" w:cs="Segoe UI"/>
          <w:b/>
          <w:color w:val="0070C0"/>
          <w:bdr w:val="nil"/>
        </w:rPr>
        <w:t xml:space="preserve"> </w:t>
      </w:r>
    </w:p>
    <w:p w14:paraId="0DF961A6" w14:textId="65FA6F2A" w:rsidR="007B4BE1" w:rsidRPr="000757BC" w:rsidRDefault="007B4BE1" w:rsidP="00BA4CC0">
      <w:pPr>
        <w:spacing w:before="240" w:after="120"/>
        <w:jc w:val="both"/>
        <w:rPr>
          <w:rFonts w:ascii="Segoe UI" w:hAnsi="Segoe UI" w:cs="Segoe UI"/>
        </w:rPr>
      </w:pPr>
      <w:r w:rsidRPr="000757BC">
        <w:rPr>
          <w:rFonts w:ascii="Segoe UI" w:hAnsi="Segoe UI" w:cs="Segoe UI"/>
        </w:rPr>
        <w:t xml:space="preserve">As despesas de Imposto de Renda e Contribuição Social do </w:t>
      </w:r>
      <w:r w:rsidR="00D94BC7" w:rsidRPr="000757BC">
        <w:rPr>
          <w:rFonts w:ascii="Segoe UI" w:hAnsi="Segoe UI" w:cs="Segoe UI"/>
        </w:rPr>
        <w:t xml:space="preserve">período </w:t>
      </w:r>
      <w:r w:rsidRPr="000757BC">
        <w:rPr>
          <w:rFonts w:ascii="Segoe UI" w:hAnsi="Segoe UI" w:cs="Segoe UI"/>
        </w:rPr>
        <w:t xml:space="preserve">compreendem os impostos corrente e diferido. Os impostos sobre a renda são reconhecidos na demonstração do resultado, exceto </w:t>
      </w:r>
      <w:r w:rsidR="00230730">
        <w:rPr>
          <w:rFonts w:ascii="Segoe UI" w:hAnsi="Segoe UI" w:cs="Segoe UI"/>
        </w:rPr>
        <w:t>se</w:t>
      </w:r>
      <w:r w:rsidRPr="000757BC">
        <w:rPr>
          <w:rFonts w:ascii="Segoe UI" w:hAnsi="Segoe UI" w:cs="Segoe UI"/>
        </w:rPr>
        <w:t xml:space="preserve"> estiverem relacionados com itens reconhecidos diretamente no patrimônio líquido ou no resultado abrangente. Nesse caso, o imposto também é reconhecido no patrimônio líquido ou no resultado abrangente</w:t>
      </w:r>
      <w:r w:rsidR="00802830">
        <w:rPr>
          <w:rFonts w:ascii="Segoe UI" w:hAnsi="Segoe UI" w:cs="Segoe UI"/>
        </w:rPr>
        <w:t>, se aplicável.</w:t>
      </w:r>
    </w:p>
    <w:p w14:paraId="3323C34B" w14:textId="0A43C0C2" w:rsidR="007B4BE1" w:rsidRPr="000757BC" w:rsidRDefault="007B4BE1" w:rsidP="00BA4CC0">
      <w:pPr>
        <w:spacing w:before="240" w:after="120"/>
        <w:jc w:val="both"/>
        <w:rPr>
          <w:rFonts w:ascii="Segoe UI" w:hAnsi="Segoe UI" w:cs="Segoe UI"/>
        </w:rPr>
      </w:pPr>
      <w:r w:rsidRPr="000757BC">
        <w:rPr>
          <w:rFonts w:ascii="Segoe UI" w:hAnsi="Segoe UI" w:cs="Segoe UI"/>
        </w:rPr>
        <w:t xml:space="preserve">O encargo de Imposto de </w:t>
      </w:r>
      <w:r w:rsidR="005C611E" w:rsidRPr="000757BC">
        <w:rPr>
          <w:rFonts w:ascii="Segoe UI" w:hAnsi="Segoe UI" w:cs="Segoe UI"/>
        </w:rPr>
        <w:t>R</w:t>
      </w:r>
      <w:r w:rsidRPr="000757BC">
        <w:rPr>
          <w:rFonts w:ascii="Segoe UI" w:hAnsi="Segoe UI" w:cs="Segoe UI"/>
        </w:rPr>
        <w:t xml:space="preserve">enda corrente e diferido </w:t>
      </w:r>
      <w:r w:rsidR="00230730">
        <w:rPr>
          <w:rFonts w:ascii="Segoe UI" w:hAnsi="Segoe UI" w:cs="Segoe UI"/>
        </w:rPr>
        <w:t>é</w:t>
      </w:r>
      <w:r w:rsidRPr="000757BC">
        <w:rPr>
          <w:rFonts w:ascii="Segoe UI" w:hAnsi="Segoe UI" w:cs="Segoe UI"/>
        </w:rPr>
        <w:t xml:space="preserve"> calculado com base nas alíquotas de 15%, acrescid</w:t>
      </w:r>
      <w:r w:rsidR="002B500B">
        <w:rPr>
          <w:rFonts w:ascii="Segoe UI" w:hAnsi="Segoe UI" w:cs="Segoe UI"/>
        </w:rPr>
        <w:t>o</w:t>
      </w:r>
      <w:r w:rsidRPr="000757BC">
        <w:rPr>
          <w:rFonts w:ascii="Segoe UI" w:hAnsi="Segoe UI" w:cs="Segoe UI"/>
        </w:rPr>
        <w:t>s do adicional de IRPJ de 10% sobre o lucro tributável</w:t>
      </w:r>
      <w:r w:rsidR="005645B7">
        <w:rPr>
          <w:rFonts w:ascii="Segoe UI" w:hAnsi="Segoe UI" w:cs="Segoe UI"/>
        </w:rPr>
        <w:t>.</w:t>
      </w:r>
      <w:r w:rsidRPr="000757BC">
        <w:rPr>
          <w:rFonts w:ascii="Segoe UI" w:hAnsi="Segoe UI" w:cs="Segoe UI"/>
        </w:rPr>
        <w:t xml:space="preserve"> </w:t>
      </w:r>
      <w:r w:rsidR="005645B7">
        <w:rPr>
          <w:rFonts w:ascii="Segoe UI" w:hAnsi="Segoe UI" w:cs="Segoe UI"/>
        </w:rPr>
        <w:t>A Contribuição Social co</w:t>
      </w:r>
      <w:r w:rsidR="005645B7" w:rsidRPr="000757BC">
        <w:rPr>
          <w:rFonts w:ascii="Segoe UI" w:hAnsi="Segoe UI" w:cs="Segoe UI"/>
        </w:rPr>
        <w:t xml:space="preserve">rrente e diferido </w:t>
      </w:r>
      <w:r w:rsidR="005645B7">
        <w:rPr>
          <w:rFonts w:ascii="Segoe UI" w:hAnsi="Segoe UI" w:cs="Segoe UI"/>
        </w:rPr>
        <w:t>é de</w:t>
      </w:r>
      <w:r w:rsidRPr="000757BC">
        <w:rPr>
          <w:rFonts w:ascii="Segoe UI" w:hAnsi="Segoe UI" w:cs="Segoe UI"/>
        </w:rPr>
        <w:t xml:space="preserve"> 9%, considerando-se a compensação de prejuízos fiscais e base negativa de contribuição social, limitada a 30% do lucro tributável do exercício</w:t>
      </w:r>
      <w:r w:rsidR="005645B7">
        <w:rPr>
          <w:rFonts w:ascii="Segoe UI" w:hAnsi="Segoe UI" w:cs="Segoe UI"/>
        </w:rPr>
        <w:t>, quando aplicável.</w:t>
      </w:r>
    </w:p>
    <w:p w14:paraId="31CF19D8" w14:textId="77777777" w:rsidR="00802830" w:rsidRDefault="004E4410" w:rsidP="00BA4CC0">
      <w:pPr>
        <w:widowControl w:val="0"/>
        <w:autoSpaceDE w:val="0"/>
        <w:autoSpaceDN w:val="0"/>
        <w:spacing w:before="240" w:after="120"/>
        <w:jc w:val="both"/>
        <w:rPr>
          <w:rFonts w:ascii="Segoe UI" w:hAnsi="Segoe UI" w:cs="Segoe UI"/>
        </w:rPr>
      </w:pPr>
      <w:r w:rsidRPr="00802830">
        <w:rPr>
          <w:rStyle w:val="ui-provider"/>
          <w:rFonts w:ascii="Segoe UI" w:hAnsi="Segoe UI" w:cs="Segoe UI"/>
        </w:rPr>
        <w:t xml:space="preserve">O imposto de renda e da contribuição social diferidos ativos são reconhecidos somente na proporção da </w:t>
      </w:r>
      <w:r w:rsidRPr="00802830">
        <w:rPr>
          <w:rFonts w:ascii="Segoe UI" w:hAnsi="Segoe UI" w:cs="Segoe UI"/>
        </w:rPr>
        <w:t>probabilidade de que o lucro tributável futuro esteja disponível para compensação.</w:t>
      </w:r>
    </w:p>
    <w:p w14:paraId="38B003A3" w14:textId="27813511" w:rsidR="004E4410" w:rsidRPr="00802830" w:rsidRDefault="004E4410" w:rsidP="00BA4CC0">
      <w:pPr>
        <w:widowControl w:val="0"/>
        <w:autoSpaceDE w:val="0"/>
        <w:autoSpaceDN w:val="0"/>
        <w:spacing w:before="240" w:after="120"/>
        <w:jc w:val="both"/>
        <w:rPr>
          <w:rFonts w:ascii="Segoe UI" w:hAnsi="Segoe UI" w:cs="Segoe UI"/>
        </w:rPr>
      </w:pPr>
      <w:r w:rsidRPr="00802830">
        <w:rPr>
          <w:rFonts w:ascii="Segoe UI" w:hAnsi="Segoe UI" w:cs="Segoe UI"/>
        </w:rPr>
        <w:t xml:space="preserve"> Os tributos diferidos ativos e passivos são apresentados pelo líquido no balanço quando há o direito legal e a intenção de compensá-los quando da apuração dos tributos correntes</w:t>
      </w:r>
      <w:r w:rsidR="004D4AB8">
        <w:rPr>
          <w:rFonts w:ascii="Segoe UI" w:hAnsi="Segoe UI" w:cs="Segoe UI"/>
        </w:rPr>
        <w:t>.</w:t>
      </w:r>
    </w:p>
    <w:p w14:paraId="39267CE5" w14:textId="4DE948B2"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230730">
        <w:rPr>
          <w:rFonts w:ascii="Segoe UI" w:hAnsi="Segoe UI" w:cs="Segoe UI"/>
          <w:b/>
          <w:color w:val="0070C0"/>
          <w:bdr w:val="nil"/>
        </w:rPr>
        <w:t>6</w:t>
      </w:r>
      <w:r w:rsidRPr="000757BC">
        <w:rPr>
          <w:rFonts w:ascii="Segoe UI" w:hAnsi="Segoe UI" w:cs="Segoe UI"/>
          <w:b/>
          <w:color w:val="0070C0"/>
          <w:bdr w:val="nil"/>
        </w:rPr>
        <w:t xml:space="preserve"> – Estoque de combustível nuclear</w:t>
      </w:r>
    </w:p>
    <w:p w14:paraId="1492202E" w14:textId="2F03A785" w:rsidR="007B4BE1" w:rsidRPr="000757BC" w:rsidRDefault="007B4BE1" w:rsidP="00BA4CC0">
      <w:pPr>
        <w:pStyle w:val="PargrafodaLista"/>
        <w:spacing w:before="240" w:after="120" w:line="259" w:lineRule="auto"/>
        <w:ind w:left="0"/>
        <w:rPr>
          <w:rFonts w:ascii="Segoe UI" w:eastAsiaTheme="minorHAnsi" w:hAnsi="Segoe UI" w:cs="Segoe UI"/>
          <w:szCs w:val="22"/>
          <w:lang w:eastAsia="en-US"/>
        </w:rPr>
      </w:pPr>
      <w:r w:rsidRPr="000757BC">
        <w:rPr>
          <w:rFonts w:ascii="Segoe UI" w:eastAsiaTheme="minorHAnsi" w:hAnsi="Segoe UI" w:cs="Segoe UI"/>
          <w:szCs w:val="22"/>
          <w:lang w:eastAsia="en-US"/>
        </w:rPr>
        <w:t>Os materiais em estoque de combustível são classificados no ativo circulante e não circulante, de acordo com o prazo e</w:t>
      </w:r>
      <w:r w:rsidR="002B500B">
        <w:rPr>
          <w:rFonts w:ascii="Segoe UI" w:eastAsiaTheme="minorHAnsi" w:hAnsi="Segoe UI" w:cs="Segoe UI"/>
          <w:szCs w:val="22"/>
          <w:lang w:eastAsia="en-US"/>
        </w:rPr>
        <w:t>stimado</w:t>
      </w:r>
      <w:r w:rsidRPr="000757BC">
        <w:rPr>
          <w:rFonts w:ascii="Segoe UI" w:eastAsiaTheme="minorHAnsi" w:hAnsi="Segoe UI" w:cs="Segoe UI"/>
          <w:szCs w:val="22"/>
          <w:lang w:eastAsia="en-US"/>
        </w:rPr>
        <w:t xml:space="preserve"> de consumo. São apresentados ao custo médio de aquisição ou pelo valor líquido de mercado/realização, dos dois o menor. Os elementos de combustível nuclear estão disponíveis no núcleo do reator e no estoque da Piscina de Combustível Usado – </w:t>
      </w:r>
      <w:r w:rsidR="00BA0441">
        <w:rPr>
          <w:rFonts w:ascii="Segoe UI" w:eastAsiaTheme="minorHAnsi" w:hAnsi="Segoe UI" w:cs="Segoe UI"/>
          <w:szCs w:val="22"/>
          <w:lang w:eastAsia="en-US"/>
        </w:rPr>
        <w:t>(“</w:t>
      </w:r>
      <w:r w:rsidRPr="000757BC">
        <w:rPr>
          <w:rFonts w:ascii="Segoe UI" w:eastAsiaTheme="minorHAnsi" w:hAnsi="Segoe UI" w:cs="Segoe UI"/>
          <w:szCs w:val="22"/>
          <w:lang w:eastAsia="en-US"/>
        </w:rPr>
        <w:t>PCU</w:t>
      </w:r>
      <w:r w:rsidR="00BA0441">
        <w:rPr>
          <w:rFonts w:ascii="Segoe UI" w:eastAsiaTheme="minorHAnsi" w:hAnsi="Segoe UI" w:cs="Segoe UI"/>
          <w:szCs w:val="22"/>
          <w:lang w:eastAsia="en-US"/>
        </w:rPr>
        <w:t>”)</w:t>
      </w:r>
      <w:r w:rsidRPr="000757BC">
        <w:rPr>
          <w:rFonts w:ascii="Segoe UI" w:eastAsiaTheme="minorHAnsi" w:hAnsi="Segoe UI" w:cs="Segoe UI"/>
          <w:szCs w:val="22"/>
          <w:lang w:eastAsia="en-US"/>
        </w:rPr>
        <w:t xml:space="preserve"> e são apropriados ao resultado do exercício em função da sua utilização no processo da geração de energia elétrica. O estoque de combustível é composto pelo concentrado de urânio em estoque, os serviços correspondentes e os elementos de combustível nuclear utilizados nas </w:t>
      </w:r>
      <w:r w:rsidR="007C0256">
        <w:rPr>
          <w:rFonts w:ascii="Segoe UI" w:eastAsiaTheme="minorHAnsi" w:hAnsi="Segoe UI" w:cs="Segoe UI"/>
          <w:szCs w:val="22"/>
          <w:lang w:eastAsia="en-US"/>
        </w:rPr>
        <w:t>u</w:t>
      </w:r>
      <w:r w:rsidRPr="000757BC">
        <w:rPr>
          <w:rFonts w:ascii="Segoe UI" w:eastAsiaTheme="minorHAnsi" w:hAnsi="Segoe UI" w:cs="Segoe UI"/>
          <w:szCs w:val="22"/>
          <w:lang w:eastAsia="en-US"/>
        </w:rPr>
        <w:t>sinas Angra 1 e 2.</w:t>
      </w:r>
    </w:p>
    <w:p w14:paraId="44E94706" w14:textId="7352AC4F"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lastRenderedPageBreak/>
        <w:t>2.4.</w:t>
      </w:r>
      <w:r w:rsidR="00230730">
        <w:rPr>
          <w:rFonts w:ascii="Segoe UI" w:hAnsi="Segoe UI" w:cs="Segoe UI"/>
          <w:b/>
          <w:color w:val="0070C0"/>
          <w:bdr w:val="nil"/>
        </w:rPr>
        <w:t>7</w:t>
      </w:r>
      <w:r w:rsidRPr="000757BC">
        <w:rPr>
          <w:rFonts w:ascii="Segoe UI" w:hAnsi="Segoe UI" w:cs="Segoe UI"/>
          <w:b/>
          <w:color w:val="0070C0"/>
          <w:bdr w:val="nil"/>
        </w:rPr>
        <w:t xml:space="preserve"> – Almoxarifado</w:t>
      </w:r>
    </w:p>
    <w:p w14:paraId="44568181" w14:textId="355F8B11" w:rsidR="007B4BE1" w:rsidRPr="00B868F0" w:rsidRDefault="007B4BE1" w:rsidP="00BA4CC0">
      <w:pPr>
        <w:pStyle w:val="Corpodetexto"/>
        <w:spacing w:before="240" w:after="120" w:line="259" w:lineRule="auto"/>
        <w:rPr>
          <w:rFonts w:ascii="Segoe UI" w:eastAsiaTheme="minorHAnsi" w:hAnsi="Segoe UI" w:cs="Segoe UI"/>
          <w:sz w:val="22"/>
          <w:szCs w:val="22"/>
          <w:lang w:val="pt-BR" w:eastAsia="en-US"/>
        </w:rPr>
      </w:pPr>
      <w:r w:rsidRPr="000757BC">
        <w:rPr>
          <w:rFonts w:ascii="Segoe UI" w:eastAsiaTheme="minorHAnsi" w:hAnsi="Segoe UI" w:cs="Segoe UI"/>
          <w:sz w:val="22"/>
          <w:szCs w:val="22"/>
          <w:lang w:val="pt-BR" w:eastAsia="en-US"/>
        </w:rPr>
        <w:t>O Almoxarifado está registrado ao custo médio de aquisição</w:t>
      </w:r>
      <w:r w:rsidR="00B868F0">
        <w:rPr>
          <w:rFonts w:ascii="Segoe UI" w:hAnsi="Segoe UI" w:cs="Segoe UI"/>
          <w:sz w:val="22"/>
          <w:szCs w:val="22"/>
          <w:lang w:val="pt-BR"/>
        </w:rPr>
        <w:t xml:space="preserve"> o saldo</w:t>
      </w:r>
      <w:r w:rsidR="00B868F0" w:rsidRPr="00B868F0">
        <w:t xml:space="preserve"> </w:t>
      </w:r>
      <w:r w:rsidR="00B868F0" w:rsidRPr="00B868F0">
        <w:rPr>
          <w:rFonts w:ascii="Segoe UI" w:eastAsiaTheme="minorHAnsi" w:hAnsi="Segoe UI" w:cs="Segoe UI"/>
          <w:sz w:val="22"/>
          <w:szCs w:val="22"/>
          <w:lang w:val="pt-BR" w:eastAsia="en-US"/>
        </w:rPr>
        <w:t xml:space="preserve">é composto por materiais utilizados para consumo das </w:t>
      </w:r>
      <w:r w:rsidR="006E1F26">
        <w:rPr>
          <w:rFonts w:ascii="Segoe UI" w:eastAsiaTheme="minorHAnsi" w:hAnsi="Segoe UI" w:cs="Segoe UI"/>
          <w:sz w:val="22"/>
          <w:szCs w:val="22"/>
          <w:lang w:val="pt-BR" w:eastAsia="en-US"/>
        </w:rPr>
        <w:t>u</w:t>
      </w:r>
      <w:r w:rsidR="00B868F0" w:rsidRPr="00B868F0">
        <w:rPr>
          <w:rFonts w:ascii="Segoe UI" w:eastAsiaTheme="minorHAnsi" w:hAnsi="Segoe UI" w:cs="Segoe UI"/>
          <w:sz w:val="22"/>
          <w:szCs w:val="22"/>
          <w:lang w:val="pt-BR" w:eastAsia="en-US"/>
        </w:rPr>
        <w:t>sinas</w:t>
      </w:r>
      <w:r w:rsidR="00B868F0">
        <w:rPr>
          <w:rFonts w:ascii="Segoe UI" w:eastAsiaTheme="minorHAnsi" w:hAnsi="Segoe UI" w:cs="Segoe UI"/>
          <w:sz w:val="22"/>
          <w:szCs w:val="22"/>
          <w:lang w:val="pt-BR" w:eastAsia="en-US"/>
        </w:rPr>
        <w:t>.</w:t>
      </w:r>
    </w:p>
    <w:p w14:paraId="45B300EA" w14:textId="04ADB9AE"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230730">
        <w:rPr>
          <w:rFonts w:ascii="Segoe UI" w:hAnsi="Segoe UI" w:cs="Segoe UI"/>
          <w:b/>
          <w:color w:val="0070C0"/>
          <w:bdr w:val="nil"/>
        </w:rPr>
        <w:t>8</w:t>
      </w:r>
      <w:r w:rsidRPr="000757BC">
        <w:rPr>
          <w:rFonts w:ascii="Segoe UI" w:hAnsi="Segoe UI" w:cs="Segoe UI"/>
          <w:b/>
          <w:color w:val="0070C0"/>
          <w:bdr w:val="nil"/>
        </w:rPr>
        <w:t xml:space="preserve"> – </w:t>
      </w:r>
      <w:r w:rsidR="00FB2664">
        <w:rPr>
          <w:rFonts w:ascii="Segoe UI" w:hAnsi="Segoe UI" w:cs="Segoe UI"/>
          <w:b/>
          <w:color w:val="0070C0"/>
          <w:bdr w:val="nil"/>
        </w:rPr>
        <w:t>D</w:t>
      </w:r>
      <w:r w:rsidRPr="000757BC">
        <w:rPr>
          <w:rFonts w:ascii="Segoe UI" w:hAnsi="Segoe UI" w:cs="Segoe UI"/>
          <w:b/>
          <w:color w:val="0070C0"/>
          <w:bdr w:val="nil"/>
        </w:rPr>
        <w:t>epósitos vinculados</w:t>
      </w:r>
    </w:p>
    <w:p w14:paraId="7F36DCAF" w14:textId="5D4E77F5" w:rsidR="007B4BE1" w:rsidRPr="000757BC" w:rsidRDefault="007B4BE1" w:rsidP="00BA4CC0">
      <w:pPr>
        <w:pStyle w:val="PargrafodaLista"/>
        <w:tabs>
          <w:tab w:val="left" w:pos="284"/>
        </w:tabs>
        <w:spacing w:before="240" w:after="120" w:line="259" w:lineRule="auto"/>
        <w:ind w:left="0"/>
        <w:rPr>
          <w:rFonts w:ascii="Segoe UI" w:eastAsiaTheme="minorHAnsi" w:hAnsi="Segoe UI" w:cs="Segoe UI"/>
          <w:szCs w:val="22"/>
          <w:lang w:eastAsia="en-US"/>
        </w:rPr>
      </w:pPr>
      <w:r w:rsidRPr="000757BC">
        <w:rPr>
          <w:rFonts w:ascii="Segoe UI" w:eastAsiaTheme="minorHAnsi" w:hAnsi="Segoe UI" w:cs="Segoe UI"/>
          <w:szCs w:val="22"/>
          <w:lang w:eastAsia="en-US"/>
        </w:rPr>
        <w:t>Os depósitos vinculados estão registrados ao custo histórico, acrescidos das respectivas atualizações monetárias (atualizações e reversões)</w:t>
      </w:r>
      <w:r w:rsidR="00BC719D" w:rsidRPr="000757BC">
        <w:rPr>
          <w:rFonts w:ascii="Segoe UI" w:eastAsiaTheme="minorHAnsi" w:hAnsi="Segoe UI" w:cs="Segoe UI"/>
          <w:szCs w:val="22"/>
          <w:lang w:eastAsia="en-US"/>
        </w:rPr>
        <w:t>, quando aplicáveis</w:t>
      </w:r>
      <w:r w:rsidRPr="000757BC">
        <w:rPr>
          <w:rFonts w:ascii="Segoe UI" w:eastAsiaTheme="minorHAnsi" w:hAnsi="Segoe UI" w:cs="Segoe UI"/>
          <w:szCs w:val="22"/>
          <w:lang w:eastAsia="en-US"/>
        </w:rPr>
        <w:t>.</w:t>
      </w:r>
    </w:p>
    <w:p w14:paraId="76BD10F2" w14:textId="5DF46DF1" w:rsidR="007B4BE1" w:rsidRPr="000757BC" w:rsidRDefault="007B4BE1" w:rsidP="002C19C5">
      <w:pPr>
        <w:rPr>
          <w:rFonts w:ascii="Segoe UI" w:hAnsi="Segoe UI" w:cs="Segoe UI"/>
          <w:b/>
          <w:color w:val="0070C0"/>
          <w:bdr w:val="nil"/>
        </w:rPr>
      </w:pPr>
      <w:r w:rsidRPr="000757BC">
        <w:rPr>
          <w:rFonts w:ascii="Segoe UI" w:hAnsi="Segoe UI" w:cs="Segoe UI"/>
          <w:b/>
          <w:color w:val="0070C0"/>
          <w:bdr w:val="nil"/>
        </w:rPr>
        <w:t>2.4.</w:t>
      </w:r>
      <w:r w:rsidR="00230730">
        <w:rPr>
          <w:rFonts w:ascii="Segoe UI" w:hAnsi="Segoe UI" w:cs="Segoe UI"/>
          <w:b/>
          <w:color w:val="0070C0"/>
          <w:bdr w:val="nil"/>
        </w:rPr>
        <w:t>9</w:t>
      </w:r>
      <w:r w:rsidRPr="000757BC">
        <w:rPr>
          <w:rFonts w:ascii="Segoe UI" w:hAnsi="Segoe UI" w:cs="Segoe UI"/>
          <w:b/>
          <w:color w:val="0070C0"/>
          <w:bdr w:val="nil"/>
        </w:rPr>
        <w:t xml:space="preserve"> – Ativos e passivos financeiros</w:t>
      </w:r>
    </w:p>
    <w:p w14:paraId="4E3FF8FE" w14:textId="6EA05EFA"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A Companhia </w:t>
      </w:r>
      <w:r w:rsidR="00596779">
        <w:rPr>
          <w:rFonts w:ascii="Segoe UI" w:hAnsi="Segoe UI" w:cs="Segoe UI"/>
        </w:rPr>
        <w:t xml:space="preserve">e suas controladas </w:t>
      </w:r>
      <w:r w:rsidRPr="000757BC">
        <w:rPr>
          <w:rFonts w:ascii="Segoe UI" w:hAnsi="Segoe UI" w:cs="Segoe UI"/>
        </w:rPr>
        <w:t xml:space="preserve">reconhece um ativo financeiro quando recebe </w:t>
      </w:r>
      <w:r w:rsidR="00F44DEE">
        <w:rPr>
          <w:rFonts w:ascii="Segoe UI" w:hAnsi="Segoe UI" w:cs="Segoe UI"/>
        </w:rPr>
        <w:t>o</w:t>
      </w:r>
      <w:r w:rsidRPr="000757BC">
        <w:rPr>
          <w:rFonts w:ascii="Segoe UI" w:hAnsi="Segoe UI" w:cs="Segoe UI"/>
        </w:rPr>
        <w:t xml:space="preserve"> caixa ou outro ativo financeiro, do poder concedente, em troca da construção ou melhoria, operação e manutenção do ativo do setor público por um </w:t>
      </w:r>
      <w:r w:rsidR="00732B41" w:rsidRPr="000757BC">
        <w:rPr>
          <w:rFonts w:ascii="Segoe UI" w:hAnsi="Segoe UI" w:cs="Segoe UI"/>
        </w:rPr>
        <w:t>período especificado</w:t>
      </w:r>
      <w:r w:rsidR="00680E2E">
        <w:rPr>
          <w:rFonts w:ascii="Segoe UI" w:hAnsi="Segoe UI" w:cs="Segoe UI"/>
        </w:rPr>
        <w:t xml:space="preserve"> de tempo.</w:t>
      </w:r>
    </w:p>
    <w:p w14:paraId="07400377" w14:textId="51EE6FD1" w:rsidR="007B4BE1" w:rsidRPr="000757BC" w:rsidRDefault="007B4BE1" w:rsidP="00BA4CC0">
      <w:pPr>
        <w:spacing w:before="240" w:after="120"/>
        <w:jc w:val="both"/>
        <w:rPr>
          <w:rFonts w:ascii="Segoe UI" w:hAnsi="Segoe UI" w:cs="Segoe UI"/>
          <w:b/>
          <w:color w:val="0070C0"/>
          <w:bdr w:val="nil"/>
        </w:rPr>
      </w:pPr>
      <w:r w:rsidRPr="00AD50BE">
        <w:rPr>
          <w:rFonts w:ascii="Segoe UI" w:hAnsi="Segoe UI" w:cs="Segoe UI"/>
          <w:b/>
          <w:color w:val="0070C0"/>
          <w:bdr w:val="nil"/>
        </w:rPr>
        <w:t>2.4.</w:t>
      </w:r>
      <w:r w:rsidR="00230730">
        <w:rPr>
          <w:rFonts w:ascii="Segoe UI" w:hAnsi="Segoe UI" w:cs="Segoe UI"/>
          <w:b/>
          <w:color w:val="0070C0"/>
          <w:bdr w:val="nil"/>
        </w:rPr>
        <w:t>10</w:t>
      </w:r>
      <w:r w:rsidRPr="00AD50BE">
        <w:rPr>
          <w:rFonts w:ascii="Segoe UI" w:hAnsi="Segoe UI" w:cs="Segoe UI"/>
          <w:b/>
          <w:color w:val="0070C0"/>
          <w:bdr w:val="nil"/>
        </w:rPr>
        <w:t xml:space="preserve"> – I</w:t>
      </w:r>
      <w:r w:rsidRPr="004E7F40">
        <w:rPr>
          <w:rFonts w:ascii="Segoe UI" w:hAnsi="Segoe UI" w:cs="Segoe UI"/>
          <w:b/>
          <w:color w:val="1B80C4"/>
          <w:bdr w:val="nil"/>
        </w:rPr>
        <w:t>nvestimentos</w:t>
      </w:r>
    </w:p>
    <w:p w14:paraId="3DD1A1E1" w14:textId="6AD4B6EA"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A Companhia avalia seus investimentos pelo método de equivalência patrimonial, quando detém o poder de influência nas decisões das suas investidas.</w:t>
      </w:r>
    </w:p>
    <w:p w14:paraId="2E3C10AD" w14:textId="434EB0F8"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No método de equivalência patrimonial, o reconhecimento é </w:t>
      </w:r>
      <w:r w:rsidR="002B500B" w:rsidRPr="000757BC">
        <w:rPr>
          <w:rFonts w:ascii="Segoe UI" w:hAnsi="Segoe UI" w:cs="Segoe UI"/>
        </w:rPr>
        <w:t xml:space="preserve">inicialmente </w:t>
      </w:r>
      <w:r w:rsidRPr="000757BC">
        <w:rPr>
          <w:rFonts w:ascii="Segoe UI" w:hAnsi="Segoe UI" w:cs="Segoe UI"/>
        </w:rPr>
        <w:t xml:space="preserve">realizado pelo custo, </w:t>
      </w:r>
      <w:r w:rsidR="002B500B">
        <w:rPr>
          <w:rFonts w:ascii="Segoe UI" w:hAnsi="Segoe UI" w:cs="Segoe UI"/>
        </w:rPr>
        <w:t>mensa</w:t>
      </w:r>
      <w:r w:rsidRPr="000757BC">
        <w:rPr>
          <w:rFonts w:ascii="Segoe UI" w:hAnsi="Segoe UI" w:cs="Segoe UI"/>
        </w:rPr>
        <w:t>lmente atualizado conforme patrimônio líquido da investida proporcionalmente ao percentual da ENBPar e em caso de recebimento de dividendos é realizado crédito no ativo na conta de investimentos.</w:t>
      </w:r>
    </w:p>
    <w:p w14:paraId="4DDED804" w14:textId="393F601C"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As empresas </w:t>
      </w:r>
      <w:r w:rsidR="00546002">
        <w:rPr>
          <w:rFonts w:ascii="Segoe UI" w:hAnsi="Segoe UI" w:cs="Segoe UI"/>
        </w:rPr>
        <w:t>controlada</w:t>
      </w:r>
      <w:r w:rsidRPr="000757BC">
        <w:rPr>
          <w:rFonts w:ascii="Segoe UI" w:hAnsi="Segoe UI" w:cs="Segoe UI"/>
        </w:rPr>
        <w:t xml:space="preserve">s são consolidadas a partir </w:t>
      </w:r>
      <w:r w:rsidR="00C950DE" w:rsidRPr="000757BC">
        <w:rPr>
          <w:rFonts w:ascii="Segoe UI" w:hAnsi="Segoe UI" w:cs="Segoe UI"/>
        </w:rPr>
        <w:t>do mês</w:t>
      </w:r>
      <w:r w:rsidRPr="000757BC">
        <w:rPr>
          <w:rFonts w:ascii="Segoe UI" w:hAnsi="Segoe UI" w:cs="Segoe UI"/>
        </w:rPr>
        <w:t xml:space="preserve"> em que o controle é obtido até a data em que esse controle deixa de existir, utilizando práticas contábeis consistentes às adotadas pela Companhia. As transações e saldos entre as empresas da Companhia, incluindo lucro não realizado oriundo dessas transações, são eliminados no processo de consolidação.</w:t>
      </w:r>
    </w:p>
    <w:p w14:paraId="7911EA2A" w14:textId="77777777"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Tal controle é obtido quando a ENBPar possui:</w:t>
      </w:r>
    </w:p>
    <w:p w14:paraId="3F514FDC" w14:textId="77777777" w:rsidR="007B4BE1" w:rsidRPr="00BA0441" w:rsidRDefault="007B4BE1" w:rsidP="00BA0441">
      <w:pPr>
        <w:tabs>
          <w:tab w:val="left" w:pos="426"/>
        </w:tabs>
        <w:autoSpaceDE w:val="0"/>
        <w:autoSpaceDN w:val="0"/>
        <w:adjustRightInd w:val="0"/>
        <w:spacing w:after="120"/>
        <w:ind w:firstLine="284"/>
        <w:jc w:val="both"/>
        <w:rPr>
          <w:rFonts w:ascii="Segoe UI" w:hAnsi="Segoe UI" w:cs="Segoe UI"/>
          <w:sz w:val="20"/>
          <w:szCs w:val="20"/>
        </w:rPr>
      </w:pPr>
      <w:r w:rsidRPr="00BA0441">
        <w:rPr>
          <w:rFonts w:ascii="Segoe UI" w:hAnsi="Segoe UI" w:cs="Segoe UI"/>
          <w:sz w:val="20"/>
          <w:szCs w:val="20"/>
        </w:rPr>
        <w:t>i) poder</w:t>
      </w:r>
      <w:r w:rsidR="00955D7C" w:rsidRPr="00BA0441">
        <w:rPr>
          <w:rFonts w:ascii="Segoe UI" w:hAnsi="Segoe UI" w:cs="Segoe UI"/>
          <w:sz w:val="20"/>
          <w:szCs w:val="20"/>
        </w:rPr>
        <w:t>es</w:t>
      </w:r>
      <w:r w:rsidRPr="00BA0441">
        <w:rPr>
          <w:rFonts w:ascii="Segoe UI" w:hAnsi="Segoe UI" w:cs="Segoe UI"/>
          <w:sz w:val="20"/>
          <w:szCs w:val="20"/>
        </w:rPr>
        <w:t xml:space="preserve"> sobre a investida;</w:t>
      </w:r>
      <w:r w:rsidR="00BC719D" w:rsidRPr="00BA0441">
        <w:rPr>
          <w:rFonts w:ascii="Segoe UI" w:hAnsi="Segoe UI" w:cs="Segoe UI"/>
          <w:sz w:val="20"/>
          <w:szCs w:val="20"/>
        </w:rPr>
        <w:t xml:space="preserve"> e</w:t>
      </w:r>
    </w:p>
    <w:p w14:paraId="2D71757A" w14:textId="22F09E73" w:rsidR="007B4BE1" w:rsidRPr="00BA0441" w:rsidRDefault="007B4BE1" w:rsidP="00BA0441">
      <w:pPr>
        <w:tabs>
          <w:tab w:val="left" w:pos="426"/>
        </w:tabs>
        <w:autoSpaceDE w:val="0"/>
        <w:autoSpaceDN w:val="0"/>
        <w:adjustRightInd w:val="0"/>
        <w:spacing w:after="120"/>
        <w:ind w:firstLine="284"/>
        <w:jc w:val="both"/>
        <w:rPr>
          <w:rFonts w:ascii="Segoe UI" w:hAnsi="Segoe UI" w:cs="Segoe UI"/>
          <w:sz w:val="20"/>
          <w:szCs w:val="20"/>
        </w:rPr>
      </w:pPr>
      <w:r w:rsidRPr="00BA0441">
        <w:rPr>
          <w:rFonts w:ascii="Segoe UI" w:hAnsi="Segoe UI" w:cs="Segoe UI"/>
          <w:sz w:val="20"/>
          <w:szCs w:val="20"/>
        </w:rPr>
        <w:t xml:space="preserve">ii) a capacidade de utilizar seu poder sobre a investida </w:t>
      </w:r>
      <w:r w:rsidR="002B500B" w:rsidRPr="00BA0441">
        <w:rPr>
          <w:rFonts w:ascii="Segoe UI" w:hAnsi="Segoe UI" w:cs="Segoe UI"/>
          <w:sz w:val="20"/>
          <w:szCs w:val="20"/>
        </w:rPr>
        <w:t>a fim de</w:t>
      </w:r>
      <w:r w:rsidRPr="00BA0441">
        <w:rPr>
          <w:rFonts w:ascii="Segoe UI" w:hAnsi="Segoe UI" w:cs="Segoe UI"/>
          <w:sz w:val="20"/>
          <w:szCs w:val="20"/>
        </w:rPr>
        <w:t xml:space="preserve"> afetar o valor de seus retornos.</w:t>
      </w:r>
    </w:p>
    <w:p w14:paraId="4AE0CEEC" w14:textId="514400AC" w:rsidR="002B500B" w:rsidRPr="000757BC" w:rsidRDefault="002B500B" w:rsidP="002B500B">
      <w:pPr>
        <w:autoSpaceDE w:val="0"/>
        <w:autoSpaceDN w:val="0"/>
        <w:adjustRightInd w:val="0"/>
        <w:spacing w:before="240" w:after="120"/>
        <w:jc w:val="both"/>
        <w:rPr>
          <w:rFonts w:ascii="Segoe UI" w:hAnsi="Segoe UI" w:cs="Segoe UI"/>
        </w:rPr>
      </w:pPr>
      <w:r w:rsidRPr="000757BC">
        <w:rPr>
          <w:rFonts w:ascii="Segoe UI" w:hAnsi="Segoe UI" w:cs="Segoe UI"/>
        </w:rPr>
        <w:t>As demonstrações financeiras consolidadas abrangem informações da ENBPar, Eletronuclear e INB.</w:t>
      </w:r>
      <w:r w:rsidR="004D4AB8">
        <w:rPr>
          <w:rFonts w:ascii="Segoe UI" w:hAnsi="Segoe UI" w:cs="Segoe UI"/>
        </w:rPr>
        <w:t xml:space="preserve"> A ENBPar possui a Itaipu como investimento classificada como controle em conjunto.</w:t>
      </w:r>
    </w:p>
    <w:p w14:paraId="74B498E4" w14:textId="38C53416"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2.4.1</w:t>
      </w:r>
      <w:r w:rsidR="00230730">
        <w:rPr>
          <w:rFonts w:ascii="Segoe UI" w:hAnsi="Segoe UI" w:cs="Segoe UI"/>
          <w:b/>
          <w:color w:val="0070C0"/>
          <w:bdr w:val="nil"/>
        </w:rPr>
        <w:t>1</w:t>
      </w:r>
      <w:r w:rsidRPr="000757BC">
        <w:rPr>
          <w:rFonts w:ascii="Segoe UI" w:hAnsi="Segoe UI" w:cs="Segoe UI"/>
          <w:b/>
          <w:color w:val="0070C0"/>
          <w:bdr w:val="nil"/>
        </w:rPr>
        <w:t xml:space="preserve"> – Imobilizado</w:t>
      </w:r>
    </w:p>
    <w:p w14:paraId="4F5A5F49" w14:textId="77777777" w:rsidR="007B4BE1" w:rsidRPr="000757BC" w:rsidRDefault="007B4BE1" w:rsidP="00BA4CC0">
      <w:pPr>
        <w:widowControl w:val="0"/>
        <w:autoSpaceDE w:val="0"/>
        <w:autoSpaceDN w:val="0"/>
        <w:spacing w:before="240" w:after="120"/>
        <w:jc w:val="both"/>
        <w:rPr>
          <w:rFonts w:ascii="Segoe UI" w:hAnsi="Segoe UI" w:cs="Segoe UI"/>
        </w:rPr>
      </w:pPr>
      <w:r w:rsidRPr="000757BC">
        <w:rPr>
          <w:rFonts w:ascii="Segoe UI" w:hAnsi="Segoe UI" w:cs="Segoe UI"/>
        </w:rPr>
        <w:t xml:space="preserve">O imobilizado é mensurado pelo custo histórico deduzido da depreciação acumulada. O custo histórico inclui os gastos diretamente atribuídos à aquisição dos ativos e, no caso de ativos qualificáveis, também inclui os custos de empréstimos capitalizados de acordo com a política contábil da Companhia. Tais imobilizações são classificadas nas categorias adequadas do </w:t>
      </w:r>
      <w:r w:rsidRPr="000757BC">
        <w:rPr>
          <w:rFonts w:ascii="Segoe UI" w:hAnsi="Segoe UI" w:cs="Segoe UI"/>
        </w:rPr>
        <w:lastRenderedPageBreak/>
        <w:t xml:space="preserve">imobilizado quando concluídas e prontas para o uso pretendido. </w:t>
      </w:r>
    </w:p>
    <w:p w14:paraId="5906421E" w14:textId="77777777" w:rsidR="007B4BE1" w:rsidRPr="000757BC" w:rsidRDefault="007B4BE1" w:rsidP="00BA4CC0">
      <w:pPr>
        <w:tabs>
          <w:tab w:val="left" w:pos="1134"/>
          <w:tab w:val="left" w:pos="1418"/>
          <w:tab w:val="left" w:pos="1701"/>
          <w:tab w:val="left" w:pos="1985"/>
          <w:tab w:val="left" w:pos="2268"/>
        </w:tabs>
        <w:spacing w:before="240" w:after="120"/>
        <w:jc w:val="both"/>
        <w:rPr>
          <w:rFonts w:ascii="Segoe UI" w:hAnsi="Segoe UI" w:cs="Segoe UI"/>
        </w:rPr>
      </w:pPr>
      <w:r w:rsidRPr="000757BC">
        <w:rPr>
          <w:rFonts w:ascii="Segoe UI" w:hAnsi="Segoe UI" w:cs="Segoe UI"/>
        </w:rPr>
        <w:t xml:space="preserve">Os itens do ativo imobilizado referem-se substancialmente à infraestrutura para geração de energia elétrica e ativos corporativos. </w:t>
      </w:r>
    </w:p>
    <w:p w14:paraId="6023677E" w14:textId="7E0D7EE1" w:rsidR="007B4BE1" w:rsidRPr="00534AB8" w:rsidRDefault="007B4BE1" w:rsidP="00BA4CC0">
      <w:pPr>
        <w:widowControl w:val="0"/>
        <w:autoSpaceDE w:val="0"/>
        <w:autoSpaceDN w:val="0"/>
        <w:spacing w:before="240" w:after="120"/>
        <w:jc w:val="both"/>
        <w:rPr>
          <w:rFonts w:ascii="Segoe UI" w:hAnsi="Segoe UI" w:cs="Segoe UI"/>
        </w:rPr>
      </w:pPr>
      <w:r w:rsidRPr="000757BC">
        <w:rPr>
          <w:rFonts w:ascii="Segoe UI" w:hAnsi="Segoe UI" w:cs="Segoe UI"/>
        </w:rPr>
        <w:t xml:space="preserve">A depreciação desses ativos inicia-se quando estão prontos para o uso e em operação. A depreciação reconhecida é mensurada com base na vida útil estimada de cada ativo pelo método linear, </w:t>
      </w:r>
      <w:r w:rsidR="006E1F26">
        <w:rPr>
          <w:rFonts w:ascii="Segoe UI" w:hAnsi="Segoe UI" w:cs="Segoe UI"/>
        </w:rPr>
        <w:t>ao final da</w:t>
      </w:r>
      <w:r w:rsidRPr="000757BC">
        <w:rPr>
          <w:rFonts w:ascii="Segoe UI" w:hAnsi="Segoe UI" w:cs="Segoe UI"/>
        </w:rPr>
        <w:t xml:space="preserve"> sua vida útil </w:t>
      </w:r>
      <w:r w:rsidR="006E1F26">
        <w:rPr>
          <w:rFonts w:ascii="Segoe UI" w:hAnsi="Segoe UI" w:cs="Segoe UI"/>
        </w:rPr>
        <w:t>os ativos estarão</w:t>
      </w:r>
      <w:r w:rsidRPr="000757BC">
        <w:rPr>
          <w:rFonts w:ascii="Segoe UI" w:hAnsi="Segoe UI" w:cs="Segoe UI"/>
        </w:rPr>
        <w:t xml:space="preserve"> integralmente baixado</w:t>
      </w:r>
      <w:r w:rsidR="006E1F26">
        <w:rPr>
          <w:rFonts w:ascii="Segoe UI" w:hAnsi="Segoe UI" w:cs="Segoe UI"/>
        </w:rPr>
        <w:t>s</w:t>
      </w:r>
      <w:r w:rsidRPr="000757BC">
        <w:rPr>
          <w:rFonts w:ascii="Segoe UI" w:hAnsi="Segoe UI" w:cs="Segoe UI"/>
        </w:rPr>
        <w:t>. A</w:t>
      </w:r>
      <w:r w:rsidR="00CB1D9E">
        <w:rPr>
          <w:rFonts w:ascii="Segoe UI" w:hAnsi="Segoe UI" w:cs="Segoe UI"/>
        </w:rPr>
        <w:t xml:space="preserve"> </w:t>
      </w:r>
      <w:r w:rsidR="00516EAC">
        <w:rPr>
          <w:rFonts w:ascii="Segoe UI" w:hAnsi="Segoe UI" w:cs="Segoe UI"/>
        </w:rPr>
        <w:t>Eletronuclear</w:t>
      </w:r>
      <w:r w:rsidR="00040BAC">
        <w:rPr>
          <w:rFonts w:ascii="Segoe UI" w:hAnsi="Segoe UI" w:cs="Segoe UI"/>
        </w:rPr>
        <w:t xml:space="preserve"> </w:t>
      </w:r>
      <w:r w:rsidRPr="000757BC">
        <w:rPr>
          <w:rFonts w:ascii="Segoe UI" w:hAnsi="Segoe UI" w:cs="Segoe UI"/>
        </w:rPr>
        <w:t xml:space="preserve">considera que a vida útil estimada de cada ativo é semelhante às taxas de depreciação determinadas pela </w:t>
      </w:r>
      <w:r w:rsidR="00BA0441" w:rsidRPr="00534AB8">
        <w:rPr>
          <w:rFonts w:ascii="Segoe UI" w:hAnsi="Segoe UI" w:cs="Segoe UI"/>
        </w:rPr>
        <w:t>Agência Nacional de Energia Elétrica – (“</w:t>
      </w:r>
      <w:r w:rsidR="00700C06" w:rsidRPr="00534AB8">
        <w:rPr>
          <w:rFonts w:ascii="Segoe UI" w:hAnsi="Segoe UI" w:cs="Segoe UI"/>
        </w:rPr>
        <w:t>ANEEL</w:t>
      </w:r>
      <w:r w:rsidR="00BA0441" w:rsidRPr="00534AB8">
        <w:rPr>
          <w:rFonts w:ascii="Segoe UI" w:hAnsi="Segoe UI" w:cs="Segoe UI"/>
        </w:rPr>
        <w:t>”)</w:t>
      </w:r>
      <w:r w:rsidRPr="00534AB8">
        <w:rPr>
          <w:rFonts w:ascii="Segoe UI" w:hAnsi="Segoe UI" w:cs="Segoe UI"/>
        </w:rPr>
        <w:t>, as quais são tidas pelo mercado como aceitáveis por expressar adequadamente o tempo de vida útil dos bens</w:t>
      </w:r>
      <w:r w:rsidR="00CB1D9E" w:rsidRPr="00534AB8">
        <w:rPr>
          <w:rFonts w:ascii="Segoe UI" w:hAnsi="Segoe UI" w:cs="Segoe UI"/>
        </w:rPr>
        <w:t xml:space="preserve"> e </w:t>
      </w:r>
      <w:r w:rsidR="00CB1D9E" w:rsidRPr="00534AB8">
        <w:rPr>
          <w:rFonts w:ascii="Segoe UI" w:eastAsia="Segoe UI" w:hAnsi="Segoe UI" w:cs="Segoe UI"/>
          <w:lang w:val="pt-PT"/>
        </w:rPr>
        <w:t>registra também a depreciação acelerada sobre o</w:t>
      </w:r>
      <w:r w:rsidR="001A0B0C" w:rsidRPr="00534AB8">
        <w:rPr>
          <w:rFonts w:ascii="Segoe UI" w:eastAsia="Segoe UI" w:hAnsi="Segoe UI" w:cs="Segoe UI"/>
          <w:lang w:val="pt-PT"/>
        </w:rPr>
        <w:t>s</w:t>
      </w:r>
      <w:r w:rsidR="00CB1D9E" w:rsidRPr="00534AB8">
        <w:rPr>
          <w:rFonts w:ascii="Segoe UI" w:eastAsia="Segoe UI" w:hAnsi="Segoe UI" w:cs="Segoe UI"/>
          <w:lang w:val="pt-PT"/>
        </w:rPr>
        <w:t xml:space="preserve"> ativos da Usina Angra 1, visto que a</w:t>
      </w:r>
      <w:r w:rsidR="00CB1D9E" w:rsidRPr="00534AB8">
        <w:rPr>
          <w:rFonts w:ascii="Segoe UI" w:eastAsia="Segoe UI" w:hAnsi="Segoe UI" w:cs="Segoe UI"/>
          <w:lang w:val="it-IT"/>
        </w:rPr>
        <w:t xml:space="preserve"> licen</w:t>
      </w:r>
      <w:r w:rsidR="00CB1D9E" w:rsidRPr="00534AB8">
        <w:rPr>
          <w:rFonts w:ascii="Segoe UI" w:eastAsia="Segoe UI" w:hAnsi="Segoe UI" w:cs="Segoe UI"/>
          <w:lang w:val="pt-PT"/>
        </w:rPr>
        <w:t>ça de operação terminará em dezembro de 2024. A INB</w:t>
      </w:r>
      <w:r w:rsidR="00EB7F6C" w:rsidRPr="00534AB8">
        <w:rPr>
          <w:rFonts w:ascii="Segoe UI" w:eastAsia="Segoe UI" w:hAnsi="Segoe UI" w:cs="Segoe UI"/>
          <w:lang w:val="pt-PT"/>
        </w:rPr>
        <w:t xml:space="preserve"> </w:t>
      </w:r>
      <w:r w:rsidR="00F52337" w:rsidRPr="00534AB8">
        <w:rPr>
          <w:rFonts w:ascii="Segoe UI" w:eastAsia="Segoe UI" w:hAnsi="Segoe UI" w:cs="Segoe UI"/>
          <w:lang w:val="pt-PT"/>
        </w:rPr>
        <w:t xml:space="preserve">a depreciação é calculada </w:t>
      </w:r>
      <w:r w:rsidR="009314C9" w:rsidRPr="00534AB8">
        <w:rPr>
          <w:rFonts w:ascii="Segoe UI" w:eastAsia="Segoe UI" w:hAnsi="Segoe UI" w:cs="Segoe UI"/>
          <w:lang w:val="pt-PT"/>
        </w:rPr>
        <w:t>pelo medodo linear com base na vida útil estimada</w:t>
      </w:r>
      <w:r w:rsidR="00E377E2" w:rsidRPr="00534AB8">
        <w:rPr>
          <w:rFonts w:ascii="Segoe UI" w:eastAsia="Segoe UI" w:hAnsi="Segoe UI" w:cs="Segoe UI"/>
          <w:lang w:val="pt-PT"/>
        </w:rPr>
        <w:t>.</w:t>
      </w:r>
    </w:p>
    <w:p w14:paraId="49462A82" w14:textId="2F0EE332" w:rsidR="007B4BE1" w:rsidRPr="000757BC" w:rsidRDefault="007B4BE1" w:rsidP="00BA4CC0">
      <w:pPr>
        <w:widowControl w:val="0"/>
        <w:autoSpaceDE w:val="0"/>
        <w:autoSpaceDN w:val="0"/>
        <w:spacing w:before="240" w:after="120"/>
        <w:jc w:val="both"/>
        <w:rPr>
          <w:rFonts w:ascii="Segoe UI" w:hAnsi="Segoe UI" w:cs="Segoe UI"/>
        </w:rPr>
      </w:pPr>
      <w:r w:rsidRPr="000757BC">
        <w:rPr>
          <w:rFonts w:ascii="Segoe UI" w:hAnsi="Segoe UI" w:cs="Segoe UI"/>
        </w:rPr>
        <w:t xml:space="preserve">Os ativos de Direito de </w:t>
      </w:r>
      <w:r w:rsidR="006E1F26">
        <w:rPr>
          <w:rFonts w:ascii="Segoe UI" w:hAnsi="Segoe UI" w:cs="Segoe UI"/>
        </w:rPr>
        <w:t>u</w:t>
      </w:r>
      <w:r w:rsidRPr="000757BC">
        <w:rPr>
          <w:rFonts w:ascii="Segoe UI" w:hAnsi="Segoe UI" w:cs="Segoe UI"/>
        </w:rPr>
        <w:t>so são depreciados pela vida útil esperada da mesma forma que os ativos próprios ou por um período inferior, se aplicável, conforme termos do contrato de arrendamento em questão.</w:t>
      </w:r>
    </w:p>
    <w:p w14:paraId="6EDB4975" w14:textId="2BB85546" w:rsidR="007B4BE1" w:rsidRPr="000757BC" w:rsidRDefault="007B4BE1" w:rsidP="00BA4CC0">
      <w:pPr>
        <w:spacing w:before="240" w:after="120"/>
        <w:jc w:val="both"/>
        <w:rPr>
          <w:rFonts w:ascii="Segoe UI" w:hAnsi="Segoe UI" w:cs="Segoe UI"/>
        </w:rPr>
      </w:pPr>
      <w:r w:rsidRPr="000757BC">
        <w:rPr>
          <w:rFonts w:ascii="Segoe UI" w:hAnsi="Segoe UI" w:cs="Segoe UI"/>
        </w:rPr>
        <w:t>Os custos subsequentes são incluídos no valor contábil do ativo ou reconhecidos como um ativo separado somente quando forem prováveis que fluam benefícios econômicos futuros associados ao item e que o custo do item possa ser mensurado com segurança. O valor contábil de itens ou peças substituíd</w:t>
      </w:r>
      <w:r w:rsidR="00385A93" w:rsidRPr="000757BC">
        <w:rPr>
          <w:rFonts w:ascii="Segoe UI" w:hAnsi="Segoe UI" w:cs="Segoe UI"/>
        </w:rPr>
        <w:t>a</w:t>
      </w:r>
      <w:r w:rsidRPr="000757BC">
        <w:rPr>
          <w:rFonts w:ascii="Segoe UI" w:hAnsi="Segoe UI" w:cs="Segoe UI"/>
        </w:rPr>
        <w:t>s é baixado. Todos os outros reparos e manutenções são lançados em contrapartida ao resultado do exercício, quando incorridos.</w:t>
      </w:r>
    </w:p>
    <w:p w14:paraId="6D9DEF35" w14:textId="1DA0204A" w:rsidR="007B4BE1" w:rsidRPr="000757BC" w:rsidRDefault="007B4BE1" w:rsidP="00BA4CC0">
      <w:pPr>
        <w:spacing w:before="240" w:after="120"/>
        <w:jc w:val="both"/>
        <w:rPr>
          <w:rFonts w:ascii="Segoe UI" w:hAnsi="Segoe UI" w:cs="Segoe UI"/>
        </w:rPr>
      </w:pPr>
      <w:r w:rsidRPr="00D9359B">
        <w:rPr>
          <w:rFonts w:ascii="Segoe UI" w:hAnsi="Segoe UI" w:cs="Segoe UI"/>
        </w:rPr>
        <w:t>Os custos do imobilizado incluem a estimativa de custos de desmobilização de suas unidades operativas, nos termos do que estabelece o Pronunciamento Técnico CPC 27 - Ativo imobilizado (</w:t>
      </w:r>
      <w:r w:rsidR="00955D7C" w:rsidRPr="00D9359B">
        <w:rPr>
          <w:rFonts w:ascii="Segoe UI" w:hAnsi="Segoe UI" w:cs="Segoe UI"/>
        </w:rPr>
        <w:t>N</w:t>
      </w:r>
      <w:r w:rsidRPr="00D9359B">
        <w:rPr>
          <w:rFonts w:ascii="Segoe UI" w:hAnsi="Segoe UI" w:cs="Segoe UI"/>
        </w:rPr>
        <w:t>ota</w:t>
      </w:r>
      <w:r w:rsidR="00430E6E">
        <w:rPr>
          <w:rFonts w:ascii="Segoe UI" w:hAnsi="Segoe UI" w:cs="Segoe UI"/>
        </w:rPr>
        <w:t xml:space="preserve"> explicativa</w:t>
      </w:r>
      <w:r w:rsidRPr="00D9359B">
        <w:rPr>
          <w:rFonts w:ascii="Segoe UI" w:hAnsi="Segoe UI" w:cs="Segoe UI"/>
        </w:rPr>
        <w:t xml:space="preserve"> </w:t>
      </w:r>
      <w:r w:rsidR="00F06879" w:rsidRPr="00D9359B">
        <w:rPr>
          <w:rFonts w:ascii="Segoe UI" w:hAnsi="Segoe UI" w:cs="Segoe UI"/>
        </w:rPr>
        <w:t>1</w:t>
      </w:r>
      <w:r w:rsidR="008B1B1F" w:rsidRPr="00D9359B">
        <w:rPr>
          <w:rFonts w:ascii="Segoe UI" w:hAnsi="Segoe UI" w:cs="Segoe UI"/>
        </w:rPr>
        <w:t>3</w:t>
      </w:r>
      <w:r w:rsidRPr="00D9359B">
        <w:rPr>
          <w:rFonts w:ascii="Segoe UI" w:hAnsi="Segoe UI" w:cs="Segoe UI"/>
        </w:rPr>
        <w:t>).</w:t>
      </w:r>
    </w:p>
    <w:p w14:paraId="5EEEBF0F" w14:textId="352E8E5F" w:rsidR="007B4BE1" w:rsidRPr="000757BC" w:rsidRDefault="007B4BE1" w:rsidP="00BA4CC0">
      <w:pPr>
        <w:widowControl w:val="0"/>
        <w:autoSpaceDE w:val="0"/>
        <w:autoSpaceDN w:val="0"/>
        <w:spacing w:before="240" w:after="120"/>
        <w:jc w:val="both"/>
        <w:rPr>
          <w:rFonts w:ascii="Segoe UI" w:hAnsi="Segoe UI" w:cs="Segoe UI"/>
        </w:rPr>
      </w:pPr>
      <w:r w:rsidRPr="000757BC">
        <w:rPr>
          <w:rFonts w:ascii="Segoe UI" w:hAnsi="Segoe UI" w:cs="Segoe UI"/>
        </w:rPr>
        <w:t>Os ganhos e as perdas de alienações são determinados pela comparação dos resultados com o valor contábil e são reconhecidos em "outras receitas (despesas) operacionais, líquid</w:t>
      </w:r>
      <w:r w:rsidR="004D4AB8">
        <w:rPr>
          <w:rFonts w:ascii="Segoe UI" w:hAnsi="Segoe UI" w:cs="Segoe UI"/>
        </w:rPr>
        <w:t>a</w:t>
      </w:r>
      <w:r w:rsidRPr="000757BC">
        <w:rPr>
          <w:rFonts w:ascii="Segoe UI" w:hAnsi="Segoe UI" w:cs="Segoe UI"/>
        </w:rPr>
        <w:t>s" na demonstração do resultado.</w:t>
      </w:r>
    </w:p>
    <w:p w14:paraId="08249791" w14:textId="4C491BF9"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2.4.1</w:t>
      </w:r>
      <w:r w:rsidR="00230730">
        <w:rPr>
          <w:rFonts w:ascii="Segoe UI" w:hAnsi="Segoe UI" w:cs="Segoe UI"/>
          <w:b/>
          <w:color w:val="0070C0"/>
          <w:bdr w:val="nil"/>
        </w:rPr>
        <w:t>2</w:t>
      </w:r>
      <w:r w:rsidRPr="000757BC">
        <w:rPr>
          <w:rFonts w:ascii="Segoe UI" w:hAnsi="Segoe UI" w:cs="Segoe UI"/>
          <w:b/>
          <w:color w:val="0070C0"/>
          <w:bdr w:val="nil"/>
        </w:rPr>
        <w:t xml:space="preserve"> – Intangível</w:t>
      </w:r>
    </w:p>
    <w:p w14:paraId="7ED7457A" w14:textId="77777777" w:rsidR="007B4BE1" w:rsidRDefault="007B4BE1" w:rsidP="00BA4CC0">
      <w:pPr>
        <w:widowControl w:val="0"/>
        <w:autoSpaceDE w:val="0"/>
        <w:autoSpaceDN w:val="0"/>
        <w:spacing w:before="240" w:after="120"/>
        <w:jc w:val="both"/>
        <w:rPr>
          <w:rFonts w:ascii="Segoe UI" w:hAnsi="Segoe UI" w:cs="Segoe UI"/>
        </w:rPr>
      </w:pPr>
      <w:r w:rsidRPr="000757BC">
        <w:rPr>
          <w:rFonts w:ascii="Segoe UI" w:hAnsi="Segoe UI" w:cs="Segoe UI"/>
        </w:rPr>
        <w:t>Ativos intangíveis com vida útil definida adquiridos separadamente são registrados ao custo, deduzido da amortização e das perdas por redução ao valor recuperável acumuladas. A amortização é reconhecida pelo método linear com base na vida útil estimada dos ativos. A vida útil estimada e o método de amortização são revisados no fim de cada exercício e o efeito de eventuais mudanças nas estimativas é contabilizado prospectivamente. Ativos intangíveis com vida útil indefinida adquiridos separadamente são registrados ao custo, deduzidos das perdas por redução ao valor recuperável acumuladas.</w:t>
      </w:r>
    </w:p>
    <w:p w14:paraId="609B3938" w14:textId="77777777" w:rsidR="002C19C5" w:rsidRDefault="002C19C5">
      <w:pPr>
        <w:rPr>
          <w:rFonts w:ascii="Segoe UI" w:hAnsi="Segoe UI" w:cs="Segoe UI"/>
          <w:b/>
          <w:color w:val="0070C0"/>
          <w:bdr w:val="nil"/>
        </w:rPr>
      </w:pPr>
      <w:r>
        <w:rPr>
          <w:rFonts w:ascii="Segoe UI" w:hAnsi="Segoe UI" w:cs="Segoe UI"/>
          <w:b/>
          <w:color w:val="0070C0"/>
          <w:bdr w:val="nil"/>
        </w:rPr>
        <w:br w:type="page"/>
      </w:r>
    </w:p>
    <w:p w14:paraId="0C698E17" w14:textId="0134C5F7" w:rsidR="00775A48" w:rsidRPr="000757BC" w:rsidRDefault="007B4BE1" w:rsidP="00775A48">
      <w:pPr>
        <w:spacing w:before="240" w:after="120"/>
        <w:jc w:val="both"/>
        <w:rPr>
          <w:rFonts w:ascii="Segoe UI" w:hAnsi="Segoe UI" w:cs="Segoe UI"/>
          <w:b/>
          <w:color w:val="0070C0"/>
          <w:bdr w:val="nil"/>
        </w:rPr>
      </w:pPr>
      <w:r w:rsidRPr="000757BC">
        <w:rPr>
          <w:rFonts w:ascii="Segoe UI" w:hAnsi="Segoe UI" w:cs="Segoe UI"/>
          <w:b/>
          <w:color w:val="0070C0"/>
          <w:bdr w:val="nil"/>
        </w:rPr>
        <w:lastRenderedPageBreak/>
        <w:t>2.4.1</w:t>
      </w:r>
      <w:r w:rsidR="00230730">
        <w:rPr>
          <w:rFonts w:ascii="Segoe UI" w:hAnsi="Segoe UI" w:cs="Segoe UI"/>
          <w:b/>
          <w:color w:val="0070C0"/>
          <w:bdr w:val="nil"/>
        </w:rPr>
        <w:t>3</w:t>
      </w:r>
      <w:r w:rsidRPr="000757BC">
        <w:rPr>
          <w:rFonts w:ascii="Segoe UI" w:hAnsi="Segoe UI" w:cs="Segoe UI"/>
          <w:b/>
          <w:color w:val="0070C0"/>
          <w:bdr w:val="nil"/>
        </w:rPr>
        <w:t xml:space="preserve"> – </w:t>
      </w:r>
      <w:r w:rsidR="00841C34" w:rsidRPr="008905E1">
        <w:rPr>
          <w:rFonts w:ascii="Segoe UI" w:hAnsi="Segoe UI" w:cs="Segoe UI"/>
          <w:b/>
          <w:color w:val="0070C0"/>
          <w:bdr w:val="nil"/>
        </w:rPr>
        <w:t>Valor</w:t>
      </w:r>
      <w:r w:rsidR="00841C34">
        <w:rPr>
          <w:rFonts w:ascii="Segoe UI" w:hAnsi="Segoe UI" w:cs="Segoe UI"/>
          <w:b/>
          <w:color w:val="0070C0"/>
          <w:bdr w:val="nil"/>
        </w:rPr>
        <w:t xml:space="preserve"> recuperável dos ativos de longo p</w:t>
      </w:r>
      <w:r w:rsidR="008D61DB">
        <w:rPr>
          <w:rFonts w:ascii="Segoe UI" w:hAnsi="Segoe UI" w:cs="Segoe UI"/>
          <w:b/>
          <w:color w:val="0070C0"/>
          <w:bdr w:val="nil"/>
        </w:rPr>
        <w:t>razo</w:t>
      </w:r>
    </w:p>
    <w:p w14:paraId="66063EFD" w14:textId="77777777" w:rsidR="00841C34" w:rsidRPr="00841C34" w:rsidDel="009203BD" w:rsidRDefault="00841C34" w:rsidP="00841C34">
      <w:pPr>
        <w:spacing w:before="240" w:after="120"/>
        <w:jc w:val="both"/>
        <w:rPr>
          <w:rFonts w:ascii="Segoe UI" w:hAnsi="Segoe UI" w:cs="Segoe UI"/>
        </w:rPr>
      </w:pPr>
      <w:r w:rsidRPr="00841C34" w:rsidDel="009203BD">
        <w:rPr>
          <w:rFonts w:ascii="Segoe UI" w:hAnsi="Segoe UI" w:cs="Segoe UI"/>
        </w:rPr>
        <w:t xml:space="preserve">A Companhia avalia periodicamente se há alguma indicação de que seus ativos não financeiros (Unidades Geradoras de Caixa - UGCs) tenham sofrido alguma perda por redução ao valor recuperável. Se houver tal indicação, o montante recuperável do ativo é estimado com a finalidade de mensurar o montante dessa perda. </w:t>
      </w:r>
    </w:p>
    <w:p w14:paraId="033E029E" w14:textId="77777777" w:rsidR="00841C34" w:rsidRPr="00841C34" w:rsidDel="009203BD" w:rsidRDefault="00841C34" w:rsidP="00841C34">
      <w:pPr>
        <w:spacing w:before="240" w:after="120"/>
        <w:jc w:val="both"/>
        <w:rPr>
          <w:rFonts w:ascii="Segoe UI" w:hAnsi="Segoe UI" w:cs="Segoe UI"/>
        </w:rPr>
      </w:pPr>
      <w:r w:rsidRPr="00841C34" w:rsidDel="009203BD">
        <w:rPr>
          <w:rFonts w:ascii="Segoe UI" w:hAnsi="Segoe UI" w:cs="Segoe UI"/>
        </w:rPr>
        <w:t>Na avaliação do valor em uso, os fluxos de caixa futuros estimados são descontados ao valor presente por uma taxa que reflete uma avaliação atual de mercado e/ou custo de oportunidade da Companhia, do valor da moeda no tempo e dos riscos específicos do ativo para o qual a estimativa de fluxos de caixa futuros foi efetuada.</w:t>
      </w:r>
    </w:p>
    <w:p w14:paraId="2391552E" w14:textId="505C523F" w:rsidR="007B4BE1" w:rsidRPr="000757BC" w:rsidRDefault="007B4BE1" w:rsidP="00BA4CC0">
      <w:pPr>
        <w:autoSpaceDE w:val="0"/>
        <w:autoSpaceDN w:val="0"/>
        <w:adjustRightInd w:val="0"/>
        <w:spacing w:before="240" w:after="120"/>
        <w:jc w:val="both"/>
        <w:rPr>
          <w:rFonts w:ascii="Segoe UI" w:hAnsi="Segoe UI" w:cs="Segoe UI"/>
          <w:b/>
          <w:color w:val="0070C0"/>
        </w:rPr>
      </w:pPr>
      <w:r w:rsidRPr="000757BC">
        <w:rPr>
          <w:rFonts w:ascii="Segoe UI" w:hAnsi="Segoe UI" w:cs="Segoe UI"/>
          <w:b/>
          <w:color w:val="0070C0"/>
          <w:bdr w:val="nil"/>
        </w:rPr>
        <w:t>2.4.1</w:t>
      </w:r>
      <w:r w:rsidR="008905E1">
        <w:rPr>
          <w:rFonts w:ascii="Segoe UI" w:hAnsi="Segoe UI" w:cs="Segoe UI"/>
          <w:b/>
          <w:color w:val="0070C0"/>
          <w:bdr w:val="nil"/>
        </w:rPr>
        <w:t>4</w:t>
      </w:r>
      <w:r w:rsidRPr="000757BC">
        <w:rPr>
          <w:rFonts w:ascii="Segoe UI" w:hAnsi="Segoe UI" w:cs="Segoe UI"/>
          <w:b/>
          <w:color w:val="0070C0"/>
          <w:bdr w:val="nil"/>
        </w:rPr>
        <w:t xml:space="preserve"> – Fornecedores</w:t>
      </w:r>
    </w:p>
    <w:p w14:paraId="197D82EE" w14:textId="27B25172" w:rsidR="007B4BE1" w:rsidRPr="000757BC" w:rsidRDefault="007B4BE1" w:rsidP="00BA4CC0">
      <w:pPr>
        <w:widowControl w:val="0"/>
        <w:autoSpaceDE w:val="0"/>
        <w:autoSpaceDN w:val="0"/>
        <w:spacing w:before="240" w:after="120"/>
        <w:jc w:val="both"/>
        <w:rPr>
          <w:rFonts w:ascii="Segoe UI" w:hAnsi="Segoe UI" w:cs="Segoe UI"/>
        </w:rPr>
      </w:pPr>
      <w:r w:rsidRPr="000757BC">
        <w:rPr>
          <w:rFonts w:ascii="Segoe UI" w:hAnsi="Segoe UI" w:cs="Segoe UI"/>
        </w:rPr>
        <w:t xml:space="preserve">São reconhecidas as obrigações relacionadas com encargos de uso da rede elétrica, </w:t>
      </w:r>
      <w:r w:rsidR="00571728">
        <w:rPr>
          <w:rFonts w:ascii="Segoe UI" w:hAnsi="Segoe UI" w:cs="Segoe UI"/>
        </w:rPr>
        <w:t>c</w:t>
      </w:r>
      <w:r w:rsidRPr="000757BC">
        <w:rPr>
          <w:rFonts w:ascii="Segoe UI" w:hAnsi="Segoe UI" w:cs="Segoe UI"/>
        </w:rPr>
        <w:t>ompras de bens, mercadorias (material, combustível nuclear</w:t>
      </w:r>
      <w:r w:rsidR="00394247">
        <w:rPr>
          <w:rFonts w:ascii="Segoe UI" w:hAnsi="Segoe UI" w:cs="Segoe UI"/>
        </w:rPr>
        <w:t xml:space="preserve">, </w:t>
      </w:r>
      <w:r w:rsidRPr="000757BC">
        <w:rPr>
          <w:rFonts w:ascii="Segoe UI" w:hAnsi="Segoe UI" w:cs="Segoe UI"/>
        </w:rPr>
        <w:t xml:space="preserve">etc.) e de serviços. A rubrica de fornecedores é mensurada </w:t>
      </w:r>
      <w:r w:rsidR="004D4AB8">
        <w:rPr>
          <w:rFonts w:ascii="Segoe UI" w:hAnsi="Segoe UI" w:cs="Segoe UI"/>
        </w:rPr>
        <w:t>pelo</w:t>
      </w:r>
      <w:r w:rsidRPr="000757BC">
        <w:rPr>
          <w:rFonts w:ascii="Segoe UI" w:hAnsi="Segoe UI" w:cs="Segoe UI"/>
        </w:rPr>
        <w:t xml:space="preserve"> custo amortizado, os passivos são baixados mediante a liquidação do título e as variações cambiais/monetárias são reconhecidas no resultado financeiro.</w:t>
      </w:r>
    </w:p>
    <w:p w14:paraId="7F14A74B" w14:textId="2FD3DA4A" w:rsidR="007B4BE1" w:rsidRPr="000757BC" w:rsidRDefault="007B4BE1" w:rsidP="00BA4CC0">
      <w:pPr>
        <w:autoSpaceDE w:val="0"/>
        <w:autoSpaceDN w:val="0"/>
        <w:adjustRightInd w:val="0"/>
        <w:spacing w:before="240" w:after="120"/>
        <w:jc w:val="both"/>
        <w:rPr>
          <w:rFonts w:ascii="Segoe UI" w:hAnsi="Segoe UI" w:cs="Segoe UI"/>
          <w:b/>
          <w:color w:val="0070C0"/>
        </w:rPr>
      </w:pPr>
      <w:r w:rsidRPr="000757BC">
        <w:rPr>
          <w:rFonts w:ascii="Segoe UI" w:hAnsi="Segoe UI" w:cs="Segoe UI"/>
          <w:b/>
          <w:color w:val="0070C0"/>
          <w:bdr w:val="nil"/>
        </w:rPr>
        <w:t>2.4.1</w:t>
      </w:r>
      <w:r w:rsidR="008905E1">
        <w:rPr>
          <w:rFonts w:ascii="Segoe UI" w:hAnsi="Segoe UI" w:cs="Segoe UI"/>
          <w:b/>
          <w:color w:val="0070C0"/>
          <w:bdr w:val="nil"/>
        </w:rPr>
        <w:t>5</w:t>
      </w:r>
      <w:r w:rsidRPr="000757BC">
        <w:rPr>
          <w:rFonts w:ascii="Segoe UI" w:hAnsi="Segoe UI" w:cs="Segoe UI"/>
          <w:b/>
          <w:color w:val="0070C0"/>
          <w:bdr w:val="nil"/>
        </w:rPr>
        <w:t xml:space="preserve"> – Empréstimos e financiamentos</w:t>
      </w:r>
    </w:p>
    <w:p w14:paraId="5662E959" w14:textId="4F8887FB" w:rsidR="007B4BE1" w:rsidRDefault="007B4BE1" w:rsidP="00BA4CC0">
      <w:pPr>
        <w:widowControl w:val="0"/>
        <w:autoSpaceDE w:val="0"/>
        <w:autoSpaceDN w:val="0"/>
        <w:spacing w:before="240" w:after="120"/>
        <w:jc w:val="both"/>
        <w:rPr>
          <w:rFonts w:ascii="Segoe UI" w:hAnsi="Segoe UI" w:cs="Segoe UI"/>
        </w:rPr>
      </w:pPr>
      <w:r w:rsidRPr="000757BC">
        <w:rPr>
          <w:rFonts w:ascii="Segoe UI" w:hAnsi="Segoe UI" w:cs="Segoe UI"/>
        </w:rPr>
        <w:t xml:space="preserve">Os empréstimos e financiamentos são reconhecidos incialmente pelo valor justo menos os custos de transação diretamente atribuíveis, e subsequentemente mensurados ao custo amortizado, utilizando o método dos juros efetivos. Quando os seus termos contratuais são modificados e tal modificação não for substancial, seus saldos contábeis refletirão o valor presente dos seus fluxos de caixa sob os novos termos, utilizando a taxa de juros efetiva original. A diferença entre o saldo contábil do instrumento remensurado quando da modificação não substancial dos seus termos e seu saldo contábil imediatamente anterior a tal modificação é reconhecida como ganho ou perda no resultado do exercício. Quando tal modificação for substancial, o financiamento original é extinto e reconhecido um novo passivo financeiro, com impacto no resultado do </w:t>
      </w:r>
      <w:r w:rsidR="00A40733" w:rsidRPr="000757BC">
        <w:rPr>
          <w:rFonts w:ascii="Segoe UI" w:hAnsi="Segoe UI" w:cs="Segoe UI"/>
        </w:rPr>
        <w:t>período</w:t>
      </w:r>
      <w:r w:rsidRPr="000757BC">
        <w:rPr>
          <w:rFonts w:ascii="Segoe UI" w:hAnsi="Segoe UI" w:cs="Segoe UI"/>
        </w:rPr>
        <w:t>.</w:t>
      </w:r>
    </w:p>
    <w:p w14:paraId="43D578F5" w14:textId="1708C6D4" w:rsidR="00D9359B" w:rsidRDefault="00D9359B" w:rsidP="00D9359B">
      <w:pPr>
        <w:autoSpaceDE w:val="0"/>
        <w:autoSpaceDN w:val="0"/>
        <w:adjustRightInd w:val="0"/>
        <w:spacing w:before="240" w:after="120"/>
        <w:jc w:val="both"/>
        <w:rPr>
          <w:rFonts w:ascii="Segoe UI" w:hAnsi="Segoe UI" w:cs="Segoe UI"/>
          <w:b/>
          <w:color w:val="0070C0"/>
          <w:bdr w:val="nil"/>
        </w:rPr>
      </w:pPr>
      <w:r w:rsidRPr="00A74236">
        <w:rPr>
          <w:rFonts w:ascii="Segoe UI" w:hAnsi="Segoe UI" w:cs="Segoe UI"/>
          <w:b/>
          <w:color w:val="0070C0"/>
          <w:bdr w:val="nil"/>
        </w:rPr>
        <w:t>2.4.1</w:t>
      </w:r>
      <w:r w:rsidR="008905E1">
        <w:rPr>
          <w:rFonts w:ascii="Segoe UI" w:hAnsi="Segoe UI" w:cs="Segoe UI"/>
          <w:b/>
          <w:color w:val="0070C0"/>
          <w:bdr w:val="nil"/>
        </w:rPr>
        <w:t>6</w:t>
      </w:r>
      <w:r w:rsidRPr="00A74236">
        <w:rPr>
          <w:rFonts w:ascii="Segoe UI" w:hAnsi="Segoe UI" w:cs="Segoe UI"/>
          <w:b/>
          <w:color w:val="0070C0"/>
          <w:bdr w:val="nil"/>
        </w:rPr>
        <w:t xml:space="preserve"> – Tributos a recolher</w:t>
      </w:r>
      <w:r>
        <w:rPr>
          <w:rFonts w:ascii="Segoe UI" w:hAnsi="Segoe UI" w:cs="Segoe UI"/>
          <w:b/>
          <w:color w:val="0070C0"/>
          <w:bdr w:val="nil"/>
        </w:rPr>
        <w:t xml:space="preserve"> </w:t>
      </w:r>
    </w:p>
    <w:p w14:paraId="44C56988" w14:textId="4A192A09" w:rsidR="00A74236" w:rsidRPr="00B6636B" w:rsidRDefault="00A74236" w:rsidP="00D9359B">
      <w:pPr>
        <w:autoSpaceDE w:val="0"/>
        <w:autoSpaceDN w:val="0"/>
        <w:adjustRightInd w:val="0"/>
        <w:spacing w:before="240" w:after="120"/>
        <w:jc w:val="both"/>
        <w:rPr>
          <w:rFonts w:ascii="Segoe UI" w:hAnsi="Segoe UI" w:cs="Segoe UI"/>
        </w:rPr>
      </w:pPr>
      <w:r w:rsidRPr="000757BC">
        <w:rPr>
          <w:rFonts w:ascii="Segoe UI" w:hAnsi="Segoe UI" w:cs="Segoe UI"/>
        </w:rPr>
        <w:t xml:space="preserve">Os </w:t>
      </w:r>
      <w:r>
        <w:rPr>
          <w:rFonts w:ascii="Segoe UI" w:hAnsi="Segoe UI" w:cs="Segoe UI"/>
        </w:rPr>
        <w:t>tributos a recolher</w:t>
      </w:r>
      <w:r w:rsidR="00B6636B">
        <w:rPr>
          <w:rFonts w:ascii="Segoe UI" w:hAnsi="Segoe UI" w:cs="Segoe UI"/>
        </w:rPr>
        <w:t xml:space="preserve">, </w:t>
      </w:r>
      <w:r>
        <w:rPr>
          <w:rFonts w:ascii="Segoe UI" w:hAnsi="Segoe UI" w:cs="Segoe UI"/>
        </w:rPr>
        <w:t>retidos e próprios</w:t>
      </w:r>
      <w:r w:rsidR="00B6636B">
        <w:rPr>
          <w:rFonts w:ascii="Segoe UI" w:hAnsi="Segoe UI" w:cs="Segoe UI"/>
        </w:rPr>
        <w:t>,</w:t>
      </w:r>
      <w:r>
        <w:rPr>
          <w:rFonts w:ascii="Segoe UI" w:hAnsi="Segoe UI" w:cs="Segoe UI"/>
        </w:rPr>
        <w:t xml:space="preserve"> são </w:t>
      </w:r>
      <w:r w:rsidRPr="000757BC">
        <w:rPr>
          <w:rFonts w:ascii="Segoe UI" w:hAnsi="Segoe UI" w:cs="Segoe UI"/>
        </w:rPr>
        <w:t xml:space="preserve">reconhecidos mensalmente respeitando </w:t>
      </w:r>
      <w:r w:rsidR="00B6636B">
        <w:rPr>
          <w:rFonts w:ascii="Segoe UI" w:hAnsi="Segoe UI" w:cs="Segoe UI"/>
        </w:rPr>
        <w:t>a</w:t>
      </w:r>
      <w:r w:rsidRPr="000757BC">
        <w:rPr>
          <w:rFonts w:ascii="Segoe UI" w:hAnsi="Segoe UI" w:cs="Segoe UI"/>
        </w:rPr>
        <w:t xml:space="preserve"> competência</w:t>
      </w:r>
      <w:r w:rsidR="00B6636B">
        <w:rPr>
          <w:rFonts w:ascii="Segoe UI" w:hAnsi="Segoe UI" w:cs="Segoe UI"/>
        </w:rPr>
        <w:t xml:space="preserve"> de apuração e a </w:t>
      </w:r>
      <w:r>
        <w:rPr>
          <w:rFonts w:ascii="Segoe UI" w:hAnsi="Segoe UI" w:cs="Segoe UI"/>
        </w:rPr>
        <w:t>legislação vigente</w:t>
      </w:r>
      <w:r w:rsidR="00B6636B">
        <w:rPr>
          <w:rFonts w:ascii="Segoe UI" w:hAnsi="Segoe UI" w:cs="Segoe UI"/>
        </w:rPr>
        <w:t>.</w:t>
      </w:r>
    </w:p>
    <w:p w14:paraId="2B9ED3F9" w14:textId="619859DF" w:rsidR="007B4BE1" w:rsidRPr="000757BC" w:rsidRDefault="007B4BE1" w:rsidP="00BA4CC0">
      <w:pPr>
        <w:spacing w:before="240" w:after="120"/>
        <w:jc w:val="both"/>
        <w:rPr>
          <w:rFonts w:ascii="Segoe UI" w:hAnsi="Segoe UI" w:cs="Segoe UI"/>
          <w:b/>
          <w:color w:val="0070C0"/>
          <w:bdr w:val="nil"/>
        </w:rPr>
      </w:pPr>
      <w:r w:rsidRPr="00F70935">
        <w:rPr>
          <w:rFonts w:ascii="Segoe UI" w:hAnsi="Segoe UI" w:cs="Segoe UI"/>
          <w:b/>
          <w:color w:val="0070C0"/>
          <w:bdr w:val="nil"/>
        </w:rPr>
        <w:t>2.4.1</w:t>
      </w:r>
      <w:r w:rsidR="008905E1">
        <w:rPr>
          <w:rFonts w:ascii="Segoe UI" w:hAnsi="Segoe UI" w:cs="Segoe UI"/>
          <w:b/>
          <w:color w:val="0070C0"/>
          <w:bdr w:val="nil"/>
        </w:rPr>
        <w:t>7</w:t>
      </w:r>
      <w:r w:rsidRPr="00F70935">
        <w:rPr>
          <w:rFonts w:ascii="Segoe UI" w:hAnsi="Segoe UI" w:cs="Segoe UI"/>
          <w:b/>
          <w:color w:val="0070C0"/>
          <w:bdr w:val="nil"/>
        </w:rPr>
        <w:t xml:space="preserve"> – </w:t>
      </w:r>
      <w:r w:rsidR="00D9359B">
        <w:rPr>
          <w:rFonts w:ascii="Segoe UI" w:hAnsi="Segoe UI" w:cs="Segoe UI"/>
          <w:b/>
          <w:color w:val="0070C0"/>
          <w:bdr w:val="nil"/>
        </w:rPr>
        <w:t>Folha de pagamento e o</w:t>
      </w:r>
      <w:r w:rsidRPr="00F70935">
        <w:rPr>
          <w:rFonts w:ascii="Segoe UI" w:hAnsi="Segoe UI" w:cs="Segoe UI"/>
          <w:b/>
          <w:color w:val="0070C0"/>
          <w:bdr w:val="nil"/>
        </w:rPr>
        <w:t>brigações estimadas</w:t>
      </w:r>
    </w:p>
    <w:p w14:paraId="0736CCBB" w14:textId="74E61712"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Os pagamentos de benefícios tais como salário </w:t>
      </w:r>
      <w:r w:rsidR="00D9359B">
        <w:rPr>
          <w:rFonts w:ascii="Segoe UI" w:hAnsi="Segoe UI" w:cs="Segoe UI"/>
        </w:rPr>
        <w:t>e</w:t>
      </w:r>
      <w:r w:rsidRPr="000757BC">
        <w:rPr>
          <w:rFonts w:ascii="Segoe UI" w:hAnsi="Segoe UI" w:cs="Segoe UI"/>
        </w:rPr>
        <w:t xml:space="preserve"> férias, bem como os respectivos encargos trabalhistas incidentes sobre es</w:t>
      </w:r>
      <w:r w:rsidR="00EE7C31" w:rsidRPr="000757BC">
        <w:rPr>
          <w:rFonts w:ascii="Segoe UI" w:hAnsi="Segoe UI" w:cs="Segoe UI"/>
        </w:rPr>
        <w:t>s</w:t>
      </w:r>
      <w:r w:rsidRPr="000757BC">
        <w:rPr>
          <w:rFonts w:ascii="Segoe UI" w:hAnsi="Segoe UI" w:cs="Segoe UI"/>
        </w:rPr>
        <w:t>es benefícios são reconhecidos mensalmente no resultado, respeitando o regime de competência.</w:t>
      </w:r>
    </w:p>
    <w:p w14:paraId="1597B0D2" w14:textId="77777777" w:rsidR="002C19C5" w:rsidRDefault="002C19C5">
      <w:pPr>
        <w:rPr>
          <w:rFonts w:ascii="Segoe UI" w:hAnsi="Segoe UI" w:cs="Segoe UI"/>
          <w:b/>
          <w:color w:val="0070C0"/>
          <w:bdr w:val="nil"/>
        </w:rPr>
      </w:pPr>
      <w:r>
        <w:rPr>
          <w:rFonts w:ascii="Segoe UI" w:hAnsi="Segoe UI" w:cs="Segoe UI"/>
          <w:b/>
          <w:color w:val="0070C0"/>
          <w:bdr w:val="nil"/>
        </w:rPr>
        <w:br w:type="page"/>
      </w:r>
    </w:p>
    <w:p w14:paraId="5C58CA2B" w14:textId="3DEF04CB"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lastRenderedPageBreak/>
        <w:t>2.4.1</w:t>
      </w:r>
      <w:r w:rsidR="008905E1">
        <w:rPr>
          <w:rFonts w:ascii="Segoe UI" w:hAnsi="Segoe UI" w:cs="Segoe UI"/>
          <w:b/>
          <w:color w:val="0070C0"/>
          <w:bdr w:val="nil"/>
        </w:rPr>
        <w:t>8</w:t>
      </w:r>
      <w:r w:rsidRPr="000757BC">
        <w:rPr>
          <w:rFonts w:ascii="Segoe UI" w:hAnsi="Segoe UI" w:cs="Segoe UI"/>
          <w:b/>
          <w:color w:val="0070C0"/>
          <w:bdr w:val="nil"/>
        </w:rPr>
        <w:t xml:space="preserve"> – Encargos setoriais</w:t>
      </w:r>
    </w:p>
    <w:p w14:paraId="5550C237" w14:textId="4D5B164C" w:rsidR="007B4BE1"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Os encargos setoriais são reconhecidos como obrigações a recolher, derivadas dos encargos estabelecidos em lei e são registrados na rubrica de passivo circulante</w:t>
      </w:r>
      <w:r w:rsidR="00D9359B">
        <w:rPr>
          <w:rFonts w:ascii="Segoe UI" w:hAnsi="Segoe UI" w:cs="Segoe UI"/>
          <w:bdr w:val="nil"/>
        </w:rPr>
        <w:t>, obedecendo o princípio da</w:t>
      </w:r>
      <w:r w:rsidRPr="000757BC">
        <w:rPr>
          <w:rFonts w:ascii="Segoe UI" w:hAnsi="Segoe UI" w:cs="Segoe UI"/>
          <w:bdr w:val="nil"/>
        </w:rPr>
        <w:t xml:space="preserve"> competência.</w:t>
      </w:r>
    </w:p>
    <w:p w14:paraId="7185DEE7" w14:textId="5A9F5906" w:rsidR="00373985" w:rsidRPr="000757BC" w:rsidRDefault="00373985" w:rsidP="00373985">
      <w:pPr>
        <w:spacing w:before="240" w:after="120"/>
        <w:jc w:val="both"/>
        <w:rPr>
          <w:rFonts w:ascii="Segoe UI" w:hAnsi="Segoe UI" w:cs="Segoe UI"/>
          <w:b/>
          <w:color w:val="0070C0"/>
          <w:bdr w:val="nil"/>
        </w:rPr>
      </w:pPr>
      <w:r w:rsidRPr="000757BC">
        <w:rPr>
          <w:rFonts w:ascii="Segoe UI" w:hAnsi="Segoe UI" w:cs="Segoe UI"/>
          <w:b/>
          <w:color w:val="0070C0"/>
          <w:bdr w:val="nil"/>
        </w:rPr>
        <w:t>2.4.</w:t>
      </w:r>
      <w:r>
        <w:rPr>
          <w:rFonts w:ascii="Segoe UI" w:hAnsi="Segoe UI" w:cs="Segoe UI"/>
          <w:b/>
          <w:color w:val="0070C0"/>
          <w:bdr w:val="nil"/>
        </w:rPr>
        <w:t>1</w:t>
      </w:r>
      <w:r w:rsidR="008905E1">
        <w:rPr>
          <w:rFonts w:ascii="Segoe UI" w:hAnsi="Segoe UI" w:cs="Segoe UI"/>
          <w:b/>
          <w:color w:val="0070C0"/>
          <w:bdr w:val="nil"/>
        </w:rPr>
        <w:t>9</w:t>
      </w:r>
      <w:r w:rsidRPr="000757BC">
        <w:rPr>
          <w:rFonts w:ascii="Segoe UI" w:hAnsi="Segoe UI" w:cs="Segoe UI"/>
          <w:b/>
          <w:color w:val="0070C0"/>
          <w:bdr w:val="nil"/>
        </w:rPr>
        <w:t xml:space="preserve"> – Provisões para litígios e passivos contingentes</w:t>
      </w:r>
    </w:p>
    <w:p w14:paraId="25FE4925" w14:textId="35AC5A73" w:rsidR="00373985" w:rsidRPr="004D4AB8" w:rsidRDefault="00373985" w:rsidP="00373985">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As provisões são reconhecidas para obrigações presentes resultantes de eventos passados, cuja liquidação seja provável e que seja possível estimar os valores de forma confiável. O valor reconhecido como provisão é a melhor estimativa das considerações requeridas para liquidar a obrigação no final de cada período de relatório, considerando-se os riscos e as incertezas relativos à obrigação. Quando a provisão é mensurada com base nos fluxos de caixa estimados para liquidar a obrigação, seu valor contábil corresponde ao valor presente desses fluxos de </w:t>
      </w:r>
      <w:r w:rsidRPr="004D4AB8">
        <w:rPr>
          <w:rFonts w:ascii="Segoe UI" w:hAnsi="Segoe UI" w:cs="Segoe UI"/>
          <w:bdr w:val="nil"/>
        </w:rPr>
        <w:t>caixa</w:t>
      </w:r>
      <w:r w:rsidR="0073548D" w:rsidRPr="004D4AB8">
        <w:rPr>
          <w:rFonts w:ascii="Segoe UI" w:hAnsi="Segoe UI" w:cs="Segoe UI"/>
          <w:bdr w:val="nil"/>
        </w:rPr>
        <w:t xml:space="preserve"> </w:t>
      </w:r>
      <w:r w:rsidR="0073548D" w:rsidRPr="004D4AB8">
        <w:rPr>
          <w:rFonts w:ascii="Segoe UI" w:hAnsi="Segoe UI" w:cs="Segoe UI"/>
        </w:rPr>
        <w:t>(em que o efeito do valor temporal do dinheiro é relevante)</w:t>
      </w:r>
      <w:r w:rsidRPr="004D4AB8">
        <w:rPr>
          <w:rFonts w:ascii="Segoe UI" w:hAnsi="Segoe UI" w:cs="Segoe UI"/>
          <w:bdr w:val="nil"/>
        </w:rPr>
        <w:t>.</w:t>
      </w:r>
    </w:p>
    <w:p w14:paraId="2748E051" w14:textId="3F11A44D" w:rsidR="00373985" w:rsidRPr="000757BC" w:rsidRDefault="00373985" w:rsidP="00373985">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As provisões para contingências judiciais são reconhecidas quando </w:t>
      </w:r>
      <w:r>
        <w:rPr>
          <w:rFonts w:ascii="Segoe UI" w:hAnsi="Segoe UI" w:cs="Segoe UI"/>
          <w:bdr w:val="nil"/>
        </w:rPr>
        <w:t xml:space="preserve">uma </w:t>
      </w:r>
      <w:r w:rsidRPr="000757BC">
        <w:rPr>
          <w:rFonts w:ascii="Segoe UI" w:hAnsi="Segoe UI" w:cs="Segoe UI"/>
          <w:bdr w:val="nil"/>
        </w:rPr>
        <w:t>contingência representa uma provável saída de recursos para a liquidação das obrigações e os montantes envolvidos seriam mensuráveis com suficiente segurança, levando em conta a opinião dos assessores jurídicos, a natureza das ações, similaridade com processos anteriores, complexidade e o posicionamento de tribunais (jurisprudência).</w:t>
      </w:r>
    </w:p>
    <w:p w14:paraId="163795B8" w14:textId="278F99AD" w:rsidR="007B4BE1" w:rsidRPr="000757BC" w:rsidRDefault="007B4BE1" w:rsidP="00BA4CC0">
      <w:pPr>
        <w:spacing w:before="240" w:after="120"/>
        <w:jc w:val="both"/>
        <w:rPr>
          <w:rFonts w:ascii="Segoe UI" w:hAnsi="Segoe UI" w:cs="Segoe UI"/>
          <w:b/>
          <w:color w:val="0070C0"/>
          <w:bdr w:val="nil"/>
        </w:rPr>
      </w:pPr>
      <w:r w:rsidRPr="00A85831">
        <w:rPr>
          <w:rFonts w:ascii="Segoe UI" w:hAnsi="Segoe UI" w:cs="Segoe UI"/>
          <w:b/>
          <w:color w:val="0070C0"/>
          <w:bdr w:val="nil"/>
        </w:rPr>
        <w:t>2.4.</w:t>
      </w:r>
      <w:r w:rsidR="008905E1">
        <w:rPr>
          <w:rFonts w:ascii="Segoe UI" w:hAnsi="Segoe UI" w:cs="Segoe UI"/>
          <w:b/>
          <w:color w:val="0070C0"/>
          <w:bdr w:val="nil"/>
        </w:rPr>
        <w:t>20</w:t>
      </w:r>
      <w:r w:rsidRPr="00A85831">
        <w:rPr>
          <w:rFonts w:ascii="Segoe UI" w:hAnsi="Segoe UI" w:cs="Segoe UI"/>
          <w:b/>
          <w:color w:val="0070C0"/>
          <w:bdr w:val="nil"/>
        </w:rPr>
        <w:t xml:space="preserve"> – Benefício pós-emprego</w:t>
      </w:r>
    </w:p>
    <w:p w14:paraId="22A26A70" w14:textId="18DF1870" w:rsidR="001B159E" w:rsidRPr="001444E0" w:rsidRDefault="00E61DF6" w:rsidP="001B159E">
      <w:pPr>
        <w:spacing w:before="240" w:afterLines="50" w:after="120"/>
        <w:jc w:val="both"/>
        <w:rPr>
          <w:rFonts w:ascii="Segoe UI" w:hAnsi="Segoe UI" w:cs="Segoe UI"/>
          <w:b/>
          <w:color w:val="1B80C4"/>
          <w:u w:val="single"/>
        </w:rPr>
      </w:pPr>
      <w:r w:rsidRPr="00571728">
        <w:rPr>
          <w:rFonts w:ascii="Segoe UI" w:hAnsi="Segoe UI" w:cs="Segoe UI"/>
          <w:b/>
          <w:color w:val="0070C0"/>
          <w:bdr w:val="nil"/>
        </w:rPr>
        <w:t>2.4.</w:t>
      </w:r>
      <w:r w:rsidR="008905E1">
        <w:rPr>
          <w:rFonts w:ascii="Segoe UI" w:hAnsi="Segoe UI" w:cs="Segoe UI"/>
          <w:b/>
          <w:color w:val="0070C0"/>
          <w:bdr w:val="nil"/>
        </w:rPr>
        <w:t>20</w:t>
      </w:r>
      <w:r w:rsidRPr="00571728">
        <w:rPr>
          <w:rFonts w:ascii="Segoe UI" w:hAnsi="Segoe UI" w:cs="Segoe UI"/>
          <w:b/>
          <w:color w:val="0070C0"/>
          <w:bdr w:val="nil"/>
        </w:rPr>
        <w:t xml:space="preserve">.1 – </w:t>
      </w:r>
      <w:r w:rsidR="001B159E" w:rsidRPr="00C709BD">
        <w:rPr>
          <w:rFonts w:ascii="Segoe UI" w:hAnsi="Segoe UI" w:cs="Segoe UI"/>
          <w:b/>
          <w:color w:val="1B80C4"/>
        </w:rPr>
        <w:t>Eletronuclear S.A.</w:t>
      </w:r>
    </w:p>
    <w:p w14:paraId="6D77703C" w14:textId="33A09F18"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8905E1">
        <w:rPr>
          <w:rFonts w:ascii="Segoe UI" w:hAnsi="Segoe UI" w:cs="Segoe UI"/>
          <w:b/>
          <w:color w:val="0070C0"/>
          <w:bdr w:val="nil"/>
        </w:rPr>
        <w:t>20</w:t>
      </w:r>
      <w:r w:rsidRPr="000757BC">
        <w:rPr>
          <w:rFonts w:ascii="Segoe UI" w:hAnsi="Segoe UI" w:cs="Segoe UI"/>
          <w:b/>
          <w:color w:val="0070C0"/>
          <w:bdr w:val="nil"/>
        </w:rPr>
        <w:t>.1</w:t>
      </w:r>
      <w:r w:rsidR="00E61DF6" w:rsidRPr="000757BC">
        <w:rPr>
          <w:rFonts w:ascii="Segoe UI" w:hAnsi="Segoe UI" w:cs="Segoe UI"/>
          <w:b/>
          <w:color w:val="0070C0"/>
          <w:bdr w:val="nil"/>
        </w:rPr>
        <w:t>.1</w:t>
      </w:r>
      <w:r w:rsidRPr="000757BC">
        <w:rPr>
          <w:rFonts w:ascii="Segoe UI" w:hAnsi="Segoe UI" w:cs="Segoe UI"/>
          <w:b/>
          <w:color w:val="0070C0"/>
          <w:bdr w:val="nil"/>
        </w:rPr>
        <w:t xml:space="preserve"> – Obrigações de aposentadoria</w:t>
      </w:r>
    </w:p>
    <w:p w14:paraId="0B209961" w14:textId="060F7BA4"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A </w:t>
      </w:r>
      <w:r w:rsidR="004D4AB8">
        <w:rPr>
          <w:rFonts w:ascii="Segoe UI" w:hAnsi="Segoe UI" w:cs="Segoe UI"/>
          <w:bdr w:val="nil"/>
        </w:rPr>
        <w:t>Eletronuclear</w:t>
      </w:r>
      <w:r w:rsidRPr="000757BC">
        <w:rPr>
          <w:rFonts w:ascii="Segoe UI" w:hAnsi="Segoe UI" w:cs="Segoe UI"/>
          <w:bdr w:val="nil"/>
        </w:rPr>
        <w:t xml:space="preserve"> patrocina planos de pensão, os quais são geralmente financiados por pagamentos a </w:t>
      </w:r>
      <w:r w:rsidR="005C5C66" w:rsidRPr="005C5C66">
        <w:rPr>
          <w:rFonts w:ascii="Segoe UI" w:hAnsi="Segoe UI" w:cs="Segoe UI"/>
          <w:bdr w:val="nil"/>
        </w:rPr>
        <w:t>estes</w:t>
      </w:r>
      <w:r w:rsidRPr="000757BC">
        <w:rPr>
          <w:rFonts w:ascii="Segoe UI" w:hAnsi="Segoe UI" w:cs="Segoe UI"/>
          <w:bdr w:val="nil"/>
        </w:rPr>
        <w:t xml:space="preserve"> fundos de pensão, determinados por cálculos atuariais periódicos. </w:t>
      </w:r>
      <w:r w:rsidR="005C5C66" w:rsidRPr="005C5C66">
        <w:rPr>
          <w:rFonts w:ascii="Segoe UI" w:hAnsi="Segoe UI" w:cs="Segoe UI"/>
          <w:bdr w:val="nil"/>
        </w:rPr>
        <w:t xml:space="preserve">A </w:t>
      </w:r>
      <w:r w:rsidR="004D4AB8">
        <w:rPr>
          <w:rFonts w:ascii="Segoe UI" w:hAnsi="Segoe UI" w:cs="Segoe UI"/>
          <w:bdr w:val="nil"/>
        </w:rPr>
        <w:t>Eletronuclear</w:t>
      </w:r>
      <w:r w:rsidRPr="000757BC">
        <w:rPr>
          <w:rFonts w:ascii="Segoe UI" w:hAnsi="Segoe UI" w:cs="Segoe UI"/>
          <w:bdr w:val="nil"/>
        </w:rPr>
        <w:t xml:space="preserve"> possui planos de benefício definido e, também, de contribuição definida. Nos planos de contribuição definida, a </w:t>
      </w:r>
      <w:r w:rsidR="004D4AB8">
        <w:rPr>
          <w:rFonts w:ascii="Segoe UI" w:hAnsi="Segoe UI" w:cs="Segoe UI"/>
          <w:bdr w:val="nil"/>
        </w:rPr>
        <w:t>Eletronuclear</w:t>
      </w:r>
      <w:r w:rsidRPr="000757BC">
        <w:rPr>
          <w:rFonts w:ascii="Segoe UI" w:hAnsi="Segoe UI" w:cs="Segoe UI"/>
          <w:bdr w:val="nil"/>
        </w:rPr>
        <w:t xml:space="preserve"> faz contribuições fixas a uma entidade separada. Adicionalmente, não tem obrigações legais nem construtivas de fazer contribuições, se o fundo não possuir ativos suficientes para pagar, a todos os empregados, os benefícios relacionados com os serviços prestados nos exercícios correntes e anteriores atrelados a essa modalidade de plano. Um plano de benefício definido é diferente de um plano de contribuição definida, visto que, em tais planos de benefício definido, é estabelecido um valor de benefício de aposentadoria que um empregado receberá em sua aposentadoria, normalmente dependente de um ou mais fatores, como idade, tempo de serviço e remuneração. </w:t>
      </w:r>
      <w:r w:rsidR="005C5C66" w:rsidRPr="005C5C66">
        <w:rPr>
          <w:rFonts w:ascii="Segoe UI" w:hAnsi="Segoe UI" w:cs="Segoe UI"/>
          <w:bdr w:val="nil"/>
        </w:rPr>
        <w:t xml:space="preserve">Nesse tipo de plano, a </w:t>
      </w:r>
      <w:r w:rsidR="004D4AB8">
        <w:rPr>
          <w:rFonts w:ascii="Segoe UI" w:hAnsi="Segoe UI" w:cs="Segoe UI"/>
          <w:bdr w:val="nil"/>
        </w:rPr>
        <w:t>Eletronuclear</w:t>
      </w:r>
      <w:r w:rsidRPr="000757BC">
        <w:rPr>
          <w:rFonts w:ascii="Segoe UI" w:hAnsi="Segoe UI" w:cs="Segoe UI"/>
          <w:bdr w:val="nil"/>
        </w:rPr>
        <w:t xml:space="preserve"> tem a obrigação de honrar com o compromisso assumido, caso o fundo não possua ativos suficientes para pagar, a todos os empregados, os benefícios relacionados com os serviços prestados nos exercícios correntes e anteriores atrelados a essa modalidade de plano.</w:t>
      </w:r>
    </w:p>
    <w:p w14:paraId="725458BB" w14:textId="7777777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lastRenderedPageBreak/>
        <w:t xml:space="preserve">O passivo reconhecido no Balanço Patrimonial, com relação aos planos de benefício definido, é o valor presente da obrigação de benefício definido na data do balanço, menos o valor justo dos ativos do plano. A obrigação de benefício definido é calculada anualmente por atuários independentes, usando o método do crédito unitário projetado. O valor presente da obrigação de benefício definido é determinado mediante o desconto das saídas futuras estimadas de caixa. As taxas de juros utilizadas nesse desconto são condizentes com os títulos de mercado, os quais são denominados na moeda em que os benefícios serão pagos e que tenham prazos de vencimento próximos daqueles da respectiva obrigação do plano de pensão. </w:t>
      </w:r>
    </w:p>
    <w:p w14:paraId="3CDB46D4" w14:textId="7777777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Os ganhos e as perdas atuariais são decorrentes substancialmente de ajustes, nas mudanças das premissas atuariais e nos rendimentos dos ativos do plano, e são debitados ou creditados em outros resultados abrangentes.</w:t>
      </w:r>
    </w:p>
    <w:p w14:paraId="00ABC858" w14:textId="7777777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Os custos de serviços passados são imediatamente reconhecidos no resultado no período de ocorrência de uma alteração do plano. </w:t>
      </w:r>
    </w:p>
    <w:p w14:paraId="21493879" w14:textId="7F1C5131" w:rsidR="005C5C66" w:rsidRDefault="005C5C66" w:rsidP="0002509A">
      <w:pPr>
        <w:widowControl w:val="0"/>
        <w:autoSpaceDE w:val="0"/>
        <w:autoSpaceDN w:val="0"/>
        <w:spacing w:before="240" w:after="120"/>
        <w:jc w:val="both"/>
        <w:rPr>
          <w:rFonts w:ascii="Segoe UI" w:hAnsi="Segoe UI" w:cs="Segoe UI"/>
          <w:bdr w:val="nil"/>
        </w:rPr>
      </w:pPr>
      <w:r w:rsidRPr="005C5C66">
        <w:rPr>
          <w:rFonts w:ascii="Segoe UI" w:hAnsi="Segoe UI" w:cs="Segoe UI"/>
          <w:bdr w:val="nil"/>
        </w:rPr>
        <w:t xml:space="preserve">Com relação aos planos de contribuição definida, a </w:t>
      </w:r>
      <w:r w:rsidR="004D4AB8">
        <w:rPr>
          <w:rFonts w:ascii="Segoe UI" w:hAnsi="Segoe UI" w:cs="Segoe UI"/>
          <w:bdr w:val="nil"/>
        </w:rPr>
        <w:t>Eletronuclear</w:t>
      </w:r>
      <w:r w:rsidRPr="005C5C66">
        <w:rPr>
          <w:rFonts w:ascii="Segoe UI" w:hAnsi="Segoe UI" w:cs="Segoe UI"/>
          <w:bdr w:val="nil"/>
        </w:rPr>
        <w:t xml:space="preserve"> efetua o pagamento das contribuições de forma obrigatória, contratual ou voluntária. A </w:t>
      </w:r>
      <w:r w:rsidR="004D4AB8">
        <w:rPr>
          <w:rFonts w:ascii="Segoe UI" w:hAnsi="Segoe UI" w:cs="Segoe UI"/>
          <w:bdr w:val="nil"/>
        </w:rPr>
        <w:t>Eletronuclear</w:t>
      </w:r>
      <w:r w:rsidRPr="005C5C66">
        <w:rPr>
          <w:rFonts w:ascii="Segoe UI" w:hAnsi="Segoe UI" w:cs="Segoe UI"/>
          <w:bdr w:val="nil"/>
        </w:rPr>
        <w:t xml:space="preserve"> não tem qualquer obrigação adicional de pagamento depois que a contribuição é efetuada. As contribuições são reconhecidas como despesa de benefícios a empregados, quando devidas. As contribuições feitas antecipadamente são reconhecidas como um ativo na proporção em que um reembolso em dinheiro ou uma redução dos pagamentos futuros estiver disponível.</w:t>
      </w:r>
    </w:p>
    <w:p w14:paraId="234EE901" w14:textId="5A9034E3" w:rsidR="007B4BE1" w:rsidRPr="000757BC" w:rsidRDefault="00E61DF6"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8905E1">
        <w:rPr>
          <w:rFonts w:ascii="Segoe UI" w:hAnsi="Segoe UI" w:cs="Segoe UI"/>
          <w:b/>
          <w:color w:val="0070C0"/>
          <w:bdr w:val="nil"/>
        </w:rPr>
        <w:t>20</w:t>
      </w:r>
      <w:r w:rsidRPr="000757BC">
        <w:rPr>
          <w:rFonts w:ascii="Segoe UI" w:hAnsi="Segoe UI" w:cs="Segoe UI"/>
          <w:b/>
          <w:color w:val="0070C0"/>
          <w:bdr w:val="nil"/>
        </w:rPr>
        <w:t>.1.2</w:t>
      </w:r>
      <w:r w:rsidR="007B4BE1" w:rsidRPr="000757BC">
        <w:rPr>
          <w:rFonts w:ascii="Segoe UI" w:hAnsi="Segoe UI" w:cs="Segoe UI"/>
          <w:b/>
          <w:color w:val="0070C0"/>
          <w:bdr w:val="nil"/>
        </w:rPr>
        <w:t xml:space="preserve"> – Outras obrigações pós-emprego </w:t>
      </w:r>
    </w:p>
    <w:p w14:paraId="254D99E4" w14:textId="60708982"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A Eletronuclear oferece benefício de assistência médica pós-aposentadoria a seus empregados, além de seguro de vida para ativos e inativos. O direito a esses benefícios é, geralmente, condicionado à permanência do empregado no emprego até a idade de aposentadoria e à conclusão de um tempo mínimo de serviço, ou à sua invalidez enquanto funcionário ativo.</w:t>
      </w:r>
    </w:p>
    <w:p w14:paraId="2D158118" w14:textId="7777777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Os custos esperados desses benefícios são acumulados durante o período do emprego, dispondo da mesma metodologia contábil que é usada para os planos de pensão de benefício definido. Os ganhos e as perdas atuariais, decorrentes de ajustes com base na experiência e nas mudanças das premissas atuariais, são debitados ou creditados em outros resultados abrangentes, no período esperado de serviço remanescente dos funcionários. Essas obrigações são avaliadas, anualmente, por atuários independentes qualificados.</w:t>
      </w:r>
    </w:p>
    <w:p w14:paraId="2D063137" w14:textId="7FA3F782" w:rsidR="007B4BE1" w:rsidRPr="000757BC" w:rsidRDefault="00E61DF6"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410C56">
        <w:rPr>
          <w:rFonts w:ascii="Segoe UI" w:hAnsi="Segoe UI" w:cs="Segoe UI"/>
          <w:b/>
          <w:color w:val="0070C0"/>
          <w:bdr w:val="nil"/>
        </w:rPr>
        <w:t>20</w:t>
      </w:r>
      <w:r w:rsidRPr="000757BC">
        <w:rPr>
          <w:rFonts w:ascii="Segoe UI" w:hAnsi="Segoe UI" w:cs="Segoe UI"/>
          <w:b/>
          <w:color w:val="0070C0"/>
          <w:bdr w:val="nil"/>
        </w:rPr>
        <w:t>.1.3</w:t>
      </w:r>
      <w:r w:rsidR="007B4BE1" w:rsidRPr="000757BC">
        <w:rPr>
          <w:rFonts w:ascii="Segoe UI" w:hAnsi="Segoe UI" w:cs="Segoe UI"/>
          <w:b/>
          <w:color w:val="0070C0"/>
          <w:bdr w:val="nil"/>
        </w:rPr>
        <w:t xml:space="preserve"> – Benefícios de </w:t>
      </w:r>
      <w:r w:rsidR="00A90A2C">
        <w:rPr>
          <w:rFonts w:ascii="Segoe UI" w:hAnsi="Segoe UI" w:cs="Segoe UI"/>
          <w:b/>
          <w:color w:val="0070C0"/>
          <w:bdr w:val="nil"/>
        </w:rPr>
        <w:t>r</w:t>
      </w:r>
      <w:r w:rsidR="007B4BE1" w:rsidRPr="000757BC">
        <w:rPr>
          <w:rFonts w:ascii="Segoe UI" w:hAnsi="Segoe UI" w:cs="Segoe UI"/>
          <w:b/>
          <w:color w:val="0070C0"/>
          <w:bdr w:val="nil"/>
        </w:rPr>
        <w:t>escisão</w:t>
      </w:r>
    </w:p>
    <w:p w14:paraId="619AC6FF" w14:textId="24A7D75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Os benefícios de rescisão são exigíveis quando o vínculo empregatício é encerrado antes da data normal de aposentadoria, ou sempre que um empregado aceitar a demissão voluntária em troca desses benefícios. A Eletronuclear reconhece os benefícios de rescisão na primeira das seguintes datas: (i) quando a Eletronuclear não mais puder retirar a oferta desses benefícios; e (ii) quando a </w:t>
      </w:r>
      <w:r w:rsidRPr="000757BC">
        <w:rPr>
          <w:rFonts w:ascii="Segoe UI" w:hAnsi="Segoe UI" w:cs="Segoe UI"/>
          <w:bdr w:val="nil"/>
        </w:rPr>
        <w:lastRenderedPageBreak/>
        <w:t>Eletronuclear reconhecer custos de reestruturação que estejam no escopo do CPC 25/IAS 37 e envolvam o pagamento de benefícios de rescisão. No caso de uma oferta efetuada para incentivar a demissão voluntária, os benefícios de rescisão são mensurados com base no número de empregados que, segundo se espera, aceitarão a oferta. Os benefícios que vencerem após 12 meses da data do balanço são descontados a valor presente.</w:t>
      </w:r>
    </w:p>
    <w:p w14:paraId="4BF45BAF" w14:textId="746C3AB9" w:rsidR="001D3533" w:rsidRPr="001444E0" w:rsidRDefault="00E61DF6" w:rsidP="001D3533">
      <w:pPr>
        <w:spacing w:before="240" w:afterLines="50" w:after="120"/>
        <w:jc w:val="both"/>
        <w:rPr>
          <w:rFonts w:ascii="Segoe UI" w:hAnsi="Segoe UI" w:cs="Segoe UI"/>
          <w:b/>
          <w:color w:val="1B80C4"/>
          <w:u w:val="single"/>
        </w:rPr>
      </w:pPr>
      <w:r w:rsidRPr="000757BC">
        <w:rPr>
          <w:rFonts w:ascii="Segoe UI" w:hAnsi="Segoe UI" w:cs="Segoe UI"/>
          <w:b/>
          <w:color w:val="0070C0"/>
          <w:bdr w:val="nil"/>
        </w:rPr>
        <w:t>2.4.</w:t>
      </w:r>
      <w:r w:rsidR="00410C56">
        <w:rPr>
          <w:rFonts w:ascii="Segoe UI" w:hAnsi="Segoe UI" w:cs="Segoe UI"/>
          <w:b/>
          <w:color w:val="0070C0"/>
          <w:bdr w:val="nil"/>
        </w:rPr>
        <w:t>20</w:t>
      </w:r>
      <w:r w:rsidRPr="000757BC">
        <w:rPr>
          <w:rFonts w:ascii="Segoe UI" w:hAnsi="Segoe UI" w:cs="Segoe UI"/>
          <w:b/>
          <w:color w:val="0070C0"/>
          <w:bdr w:val="nil"/>
        </w:rPr>
        <w:t xml:space="preserve">.2 – </w:t>
      </w:r>
      <w:r w:rsidR="001D3533" w:rsidRPr="004C78A2">
        <w:rPr>
          <w:rFonts w:ascii="Segoe UI" w:hAnsi="Segoe UI" w:cs="Segoe UI"/>
          <w:b/>
          <w:color w:val="0070C0"/>
          <w:u w:val="single"/>
          <w:bdr w:val="nil"/>
        </w:rPr>
        <w:t>Indústrias Nucleares do Brasil S.A – INB</w:t>
      </w:r>
    </w:p>
    <w:p w14:paraId="5D1C95D4" w14:textId="0465A029" w:rsidR="00E61DF6" w:rsidRPr="000757BC" w:rsidRDefault="00E61DF6"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410C56">
        <w:rPr>
          <w:rFonts w:ascii="Segoe UI" w:hAnsi="Segoe UI" w:cs="Segoe UI"/>
          <w:b/>
          <w:color w:val="0070C0"/>
          <w:bdr w:val="nil"/>
        </w:rPr>
        <w:t>20</w:t>
      </w:r>
      <w:r w:rsidRPr="000757BC">
        <w:rPr>
          <w:rFonts w:ascii="Segoe UI" w:hAnsi="Segoe UI" w:cs="Segoe UI"/>
          <w:b/>
          <w:color w:val="0070C0"/>
          <w:bdr w:val="nil"/>
        </w:rPr>
        <w:t>.</w:t>
      </w:r>
      <w:r w:rsidR="00DA6DB7">
        <w:rPr>
          <w:rFonts w:ascii="Segoe UI" w:hAnsi="Segoe UI" w:cs="Segoe UI"/>
          <w:b/>
          <w:color w:val="0070C0"/>
          <w:bdr w:val="nil"/>
        </w:rPr>
        <w:t>2</w:t>
      </w:r>
      <w:r w:rsidRPr="000757BC">
        <w:rPr>
          <w:rFonts w:ascii="Segoe UI" w:hAnsi="Segoe UI" w:cs="Segoe UI"/>
          <w:b/>
          <w:color w:val="0070C0"/>
          <w:bdr w:val="nil"/>
        </w:rPr>
        <w:t xml:space="preserve">.1 – </w:t>
      </w:r>
      <w:r w:rsidR="00900798" w:rsidRPr="000757BC">
        <w:rPr>
          <w:rFonts w:ascii="Segoe UI" w:hAnsi="Segoe UI" w:cs="Segoe UI"/>
          <w:b/>
          <w:color w:val="0070C0"/>
          <w:bdr w:val="nil"/>
        </w:rPr>
        <w:t xml:space="preserve">Plano de </w:t>
      </w:r>
      <w:r w:rsidR="00CF5F12">
        <w:rPr>
          <w:rFonts w:ascii="Segoe UI" w:hAnsi="Segoe UI" w:cs="Segoe UI"/>
          <w:b/>
          <w:color w:val="0070C0"/>
          <w:bdr w:val="nil"/>
        </w:rPr>
        <w:t>b</w:t>
      </w:r>
      <w:r w:rsidR="00900798" w:rsidRPr="000757BC">
        <w:rPr>
          <w:rFonts w:ascii="Segoe UI" w:hAnsi="Segoe UI" w:cs="Segoe UI"/>
          <w:b/>
          <w:color w:val="0070C0"/>
          <w:bdr w:val="nil"/>
        </w:rPr>
        <w:t xml:space="preserve">enefícios </w:t>
      </w:r>
      <w:r w:rsidR="00CF5F12">
        <w:rPr>
          <w:rFonts w:ascii="Segoe UI" w:hAnsi="Segoe UI" w:cs="Segoe UI"/>
          <w:b/>
          <w:color w:val="0070C0"/>
          <w:bdr w:val="nil"/>
        </w:rPr>
        <w:t>d</w:t>
      </w:r>
      <w:r w:rsidR="00900798" w:rsidRPr="000757BC">
        <w:rPr>
          <w:rFonts w:ascii="Segoe UI" w:hAnsi="Segoe UI" w:cs="Segoe UI"/>
          <w:b/>
          <w:color w:val="0070C0"/>
          <w:bdr w:val="nil"/>
        </w:rPr>
        <w:t>efinido</w:t>
      </w:r>
    </w:p>
    <w:p w14:paraId="02227D4E" w14:textId="7775AB0C" w:rsidR="00900798" w:rsidRPr="000757BC" w:rsidRDefault="00900798" w:rsidP="00BA4CC0">
      <w:pPr>
        <w:pStyle w:val="Recuodecorpodetexto2"/>
        <w:tabs>
          <w:tab w:val="num" w:pos="567"/>
        </w:tabs>
        <w:spacing w:before="240" w:line="259" w:lineRule="auto"/>
        <w:ind w:left="0"/>
        <w:jc w:val="both"/>
        <w:rPr>
          <w:rFonts w:ascii="Segoe UI" w:hAnsi="Segoe UI" w:cs="Segoe UI"/>
          <w:bdr w:val="nil"/>
        </w:rPr>
      </w:pPr>
      <w:r w:rsidRPr="000757BC">
        <w:rPr>
          <w:rFonts w:ascii="Segoe UI" w:hAnsi="Segoe UI" w:cs="Segoe UI"/>
          <w:bdr w:val="nil"/>
        </w:rPr>
        <w:t xml:space="preserve">A INB mantém o Plano de Benefícios Definido – </w:t>
      </w:r>
      <w:r w:rsidR="00571728">
        <w:rPr>
          <w:rFonts w:ascii="Segoe UI" w:hAnsi="Segoe UI" w:cs="Segoe UI"/>
          <w:bdr w:val="nil"/>
        </w:rPr>
        <w:t>(“</w:t>
      </w:r>
      <w:r w:rsidRPr="000757BC">
        <w:rPr>
          <w:rFonts w:ascii="Segoe UI" w:hAnsi="Segoe UI" w:cs="Segoe UI"/>
          <w:bdr w:val="nil"/>
        </w:rPr>
        <w:t>BD</w:t>
      </w:r>
      <w:r w:rsidR="00571728">
        <w:rPr>
          <w:rFonts w:ascii="Segoe UI" w:hAnsi="Segoe UI" w:cs="Segoe UI"/>
          <w:bdr w:val="nil"/>
        </w:rPr>
        <w:t>”)</w:t>
      </w:r>
      <w:r w:rsidRPr="000757BC">
        <w:rPr>
          <w:rFonts w:ascii="Segoe UI" w:hAnsi="Segoe UI" w:cs="Segoe UI"/>
          <w:bdr w:val="nil"/>
        </w:rPr>
        <w:t>, que visa garantir aos participantes uma renda vitalícia pós-emprego em níveis semelhantes à da atividade, mediante a complementação dos benefícios concedidos pela previdência social e o pagamento de pensão aos dependentes.</w:t>
      </w:r>
    </w:p>
    <w:p w14:paraId="002DBCC8" w14:textId="77777777" w:rsidR="00900798" w:rsidRPr="000757BC" w:rsidRDefault="00900798" w:rsidP="00BA4CC0">
      <w:pPr>
        <w:pStyle w:val="Recuodecorpodetexto2"/>
        <w:tabs>
          <w:tab w:val="num" w:pos="567"/>
        </w:tabs>
        <w:spacing w:before="240" w:line="259" w:lineRule="auto"/>
        <w:ind w:left="0"/>
        <w:jc w:val="both"/>
        <w:rPr>
          <w:rFonts w:ascii="Segoe UI" w:hAnsi="Segoe UI" w:cs="Segoe UI"/>
          <w:bdr w:val="nil"/>
        </w:rPr>
      </w:pPr>
      <w:r w:rsidRPr="000757BC">
        <w:rPr>
          <w:rFonts w:ascii="Segoe UI" w:hAnsi="Segoe UI" w:cs="Segoe UI"/>
          <w:bdr w:val="nil"/>
        </w:rPr>
        <w:t>Os benefícios garantidos pelo programa são os seguintes: auxílio-doença, aposentadorias por invalidez, por idade, por tempo de contribuição, especial, por tempo de contribuição antecipada, especial antecipada, abono anual e pensão.</w:t>
      </w:r>
    </w:p>
    <w:p w14:paraId="75AFF4E9" w14:textId="77777777" w:rsidR="00900798" w:rsidRPr="000757BC" w:rsidRDefault="00900798" w:rsidP="00BA4CC0">
      <w:pPr>
        <w:pStyle w:val="Recuodecorpodetexto2"/>
        <w:tabs>
          <w:tab w:val="num" w:pos="567"/>
        </w:tabs>
        <w:spacing w:before="240" w:line="259" w:lineRule="auto"/>
        <w:ind w:left="0"/>
        <w:jc w:val="both"/>
        <w:rPr>
          <w:rFonts w:ascii="Segoe UI" w:hAnsi="Segoe UI" w:cs="Segoe UI"/>
          <w:bdr w:val="nil"/>
        </w:rPr>
      </w:pPr>
      <w:r w:rsidRPr="000757BC">
        <w:rPr>
          <w:rFonts w:ascii="Segoe UI" w:hAnsi="Segoe UI" w:cs="Segoe UI"/>
          <w:bdr w:val="nil"/>
        </w:rPr>
        <w:t>As fontes de custeio do plano são as contribuições dos participantes (ativos e assistidos) e das patrocinadoras. As referidas contribuições formam as provisões necessárias para a garantia do pagamento dos benefícios contratados.</w:t>
      </w:r>
    </w:p>
    <w:p w14:paraId="7A537E94" w14:textId="51B256F0" w:rsidR="00900798" w:rsidRDefault="00900798" w:rsidP="00BA4CC0">
      <w:pPr>
        <w:pStyle w:val="Recuodecorpodetexto2"/>
        <w:tabs>
          <w:tab w:val="num" w:pos="567"/>
        </w:tabs>
        <w:spacing w:before="240" w:line="259" w:lineRule="auto"/>
        <w:ind w:left="0"/>
        <w:jc w:val="both"/>
        <w:rPr>
          <w:rFonts w:ascii="Segoe UI" w:hAnsi="Segoe UI" w:cs="Segoe UI"/>
          <w:bdr w:val="nil"/>
        </w:rPr>
      </w:pPr>
      <w:r w:rsidRPr="000757BC">
        <w:rPr>
          <w:rFonts w:ascii="Segoe UI" w:hAnsi="Segoe UI" w:cs="Segoe UI"/>
          <w:bdr w:val="nil"/>
        </w:rPr>
        <w:t xml:space="preserve">Os recursos arrecadados e os resultados decorrentes da administração desse patrimônio integram um fundo pertencente a uma coletividade. A aplicação desses recursos é realizada de acordo com as diretrizes estabelecidas pelo Conselho Monetário Nacional </w:t>
      </w:r>
      <w:r w:rsidR="00571728">
        <w:rPr>
          <w:rFonts w:ascii="Segoe UI" w:hAnsi="Segoe UI" w:cs="Segoe UI"/>
          <w:bdr w:val="nil"/>
        </w:rPr>
        <w:t xml:space="preserve">- </w:t>
      </w:r>
      <w:r w:rsidRPr="000757BC">
        <w:rPr>
          <w:rFonts w:ascii="Segoe UI" w:hAnsi="Segoe UI" w:cs="Segoe UI"/>
          <w:bdr w:val="nil"/>
        </w:rPr>
        <w:t>(</w:t>
      </w:r>
      <w:r w:rsidR="00571728">
        <w:rPr>
          <w:rFonts w:ascii="Segoe UI" w:hAnsi="Segoe UI" w:cs="Segoe UI"/>
          <w:bdr w:val="nil"/>
        </w:rPr>
        <w:t>“</w:t>
      </w:r>
      <w:r w:rsidRPr="000757BC">
        <w:rPr>
          <w:rFonts w:ascii="Segoe UI" w:hAnsi="Segoe UI" w:cs="Segoe UI"/>
          <w:bdr w:val="nil"/>
        </w:rPr>
        <w:t>CMN</w:t>
      </w:r>
      <w:r w:rsidR="00571728">
        <w:rPr>
          <w:rFonts w:ascii="Segoe UI" w:hAnsi="Segoe UI" w:cs="Segoe UI"/>
          <w:bdr w:val="nil"/>
        </w:rPr>
        <w:t>”</w:t>
      </w:r>
      <w:r w:rsidRPr="000757BC">
        <w:rPr>
          <w:rFonts w:ascii="Segoe UI" w:hAnsi="Segoe UI" w:cs="Segoe UI"/>
          <w:bdr w:val="nil"/>
        </w:rPr>
        <w:t>), por meio da Resolução n° 4.994, de 02</w:t>
      </w:r>
      <w:r w:rsidR="00373985">
        <w:rPr>
          <w:rFonts w:ascii="Segoe UI" w:hAnsi="Segoe UI" w:cs="Segoe UI"/>
          <w:bdr w:val="nil"/>
        </w:rPr>
        <w:t xml:space="preserve"> de maio de </w:t>
      </w:r>
      <w:r w:rsidRPr="000757BC">
        <w:rPr>
          <w:rFonts w:ascii="Segoe UI" w:hAnsi="Segoe UI" w:cs="Segoe UI"/>
          <w:bdr w:val="nil"/>
        </w:rPr>
        <w:t>2022.</w:t>
      </w:r>
    </w:p>
    <w:p w14:paraId="6068E7AE" w14:textId="19F38EE8" w:rsidR="00373985" w:rsidRDefault="00373985" w:rsidP="00D109A9">
      <w:pPr>
        <w:rPr>
          <w:rFonts w:ascii="Segoe UI" w:hAnsi="Segoe UI" w:cs="Segoe UI"/>
          <w:b/>
          <w:color w:val="0070C0"/>
          <w:bdr w:val="nil"/>
        </w:rPr>
      </w:pPr>
      <w:r w:rsidRPr="005A656A">
        <w:rPr>
          <w:rFonts w:ascii="Segoe UI" w:hAnsi="Segoe UI" w:cs="Segoe UI"/>
          <w:b/>
          <w:color w:val="0070C0"/>
          <w:bdr w:val="nil"/>
        </w:rPr>
        <w:t>2.4.2</w:t>
      </w:r>
      <w:r w:rsidR="00410C56" w:rsidRPr="005A656A">
        <w:rPr>
          <w:rFonts w:ascii="Segoe UI" w:hAnsi="Segoe UI" w:cs="Segoe UI"/>
          <w:b/>
          <w:color w:val="0070C0"/>
          <w:bdr w:val="nil"/>
        </w:rPr>
        <w:t>1</w:t>
      </w:r>
      <w:r w:rsidRPr="005A656A">
        <w:rPr>
          <w:rFonts w:ascii="Segoe UI" w:hAnsi="Segoe UI" w:cs="Segoe UI"/>
          <w:b/>
          <w:color w:val="0070C0"/>
          <w:bdr w:val="nil"/>
        </w:rPr>
        <w:t xml:space="preserve"> – </w:t>
      </w:r>
      <w:bookmarkStart w:id="2" w:name="_Hlk129599550"/>
      <w:r w:rsidRPr="005A656A">
        <w:rPr>
          <w:rFonts w:ascii="Segoe UI" w:hAnsi="Segoe UI" w:cs="Segoe UI"/>
          <w:b/>
          <w:color w:val="0070C0"/>
          <w:bdr w:val="nil"/>
        </w:rPr>
        <w:t>Incentivo de desligamento de pessoal</w:t>
      </w:r>
    </w:p>
    <w:bookmarkEnd w:id="2"/>
    <w:p w14:paraId="2F3BD980" w14:textId="77777777" w:rsidR="005A656A" w:rsidRPr="005A656A" w:rsidRDefault="005A656A" w:rsidP="005A656A">
      <w:pPr>
        <w:autoSpaceDE w:val="0"/>
        <w:autoSpaceDN w:val="0"/>
        <w:jc w:val="both"/>
        <w:rPr>
          <w:rFonts w:ascii="Segoe UI" w:hAnsi="Segoe UI" w:cs="Segoe UI"/>
          <w:bdr w:val="nil"/>
        </w:rPr>
      </w:pPr>
      <w:r w:rsidRPr="005A656A">
        <w:rPr>
          <w:rFonts w:ascii="Segoe UI" w:hAnsi="Segoe UI" w:cs="Segoe UI"/>
          <w:bdr w:val="nil"/>
        </w:rPr>
        <w:t>As provisões para plano de incentivo de desligamento são reconhecidas no momento da adesão dos empregados, com base na previsão de desembolsos com as obrigações decorrentes das indenizações financeiras, bem como nas estimativas de desembolsos com a cobertura de gastos médicos, com a prorrogação da utilização do plano de saúde pelo ex-empregado, incluindo os respectivos dependentes, pelo prazo definido no programa.</w:t>
      </w:r>
    </w:p>
    <w:p w14:paraId="5C706F41" w14:textId="122C85DF" w:rsidR="00373985" w:rsidRDefault="00373985" w:rsidP="00C92033">
      <w:pPr>
        <w:rPr>
          <w:rFonts w:ascii="Segoe UI" w:hAnsi="Segoe UI" w:cs="Segoe UI"/>
          <w:b/>
          <w:color w:val="0070C0"/>
          <w:bdr w:val="nil"/>
        </w:rPr>
      </w:pPr>
      <w:r w:rsidRPr="00A85831">
        <w:rPr>
          <w:rFonts w:ascii="Segoe UI" w:hAnsi="Segoe UI" w:cs="Segoe UI"/>
          <w:b/>
          <w:color w:val="0070C0"/>
          <w:bdr w:val="nil"/>
        </w:rPr>
        <w:t>2.4.2</w:t>
      </w:r>
      <w:r w:rsidR="00410C56">
        <w:rPr>
          <w:rFonts w:ascii="Segoe UI" w:hAnsi="Segoe UI" w:cs="Segoe UI"/>
          <w:b/>
          <w:color w:val="0070C0"/>
          <w:bdr w:val="nil"/>
        </w:rPr>
        <w:t>2</w:t>
      </w:r>
      <w:r w:rsidRPr="00A85831">
        <w:rPr>
          <w:rFonts w:ascii="Segoe UI" w:hAnsi="Segoe UI" w:cs="Segoe UI"/>
          <w:b/>
          <w:color w:val="0070C0"/>
          <w:bdr w:val="nil"/>
        </w:rPr>
        <w:t xml:space="preserve"> – Conta a pagar aquisição de investimento</w:t>
      </w:r>
    </w:p>
    <w:p w14:paraId="139D7FC2" w14:textId="31D9DA78" w:rsidR="00A85831" w:rsidRPr="00A85831" w:rsidRDefault="003E0291" w:rsidP="00A85831">
      <w:pPr>
        <w:jc w:val="both"/>
        <w:rPr>
          <w:rFonts w:ascii="Segoe UI" w:hAnsi="Segoe UI" w:cs="Segoe UI"/>
        </w:rPr>
      </w:pPr>
      <w:r>
        <w:rPr>
          <w:rFonts w:ascii="Segoe UI" w:hAnsi="Segoe UI" w:cs="Segoe UI"/>
        </w:rPr>
        <w:t>Trata-se dos valores</w:t>
      </w:r>
      <w:r w:rsidR="00A85831" w:rsidRPr="00A85831">
        <w:rPr>
          <w:rFonts w:ascii="Segoe UI" w:hAnsi="Segoe UI" w:cs="Segoe UI"/>
        </w:rPr>
        <w:t xml:space="preserve"> </w:t>
      </w:r>
      <w:r>
        <w:rPr>
          <w:rFonts w:ascii="Segoe UI" w:hAnsi="Segoe UI" w:cs="Segoe UI"/>
        </w:rPr>
        <w:t xml:space="preserve">a pagar referente a </w:t>
      </w:r>
      <w:r w:rsidR="00A85831" w:rsidRPr="00A85831">
        <w:rPr>
          <w:rFonts w:ascii="Segoe UI" w:hAnsi="Segoe UI" w:cs="Segoe UI"/>
        </w:rPr>
        <w:t>aquisição do investimento em Itaipu, sendo classificadas no passivo circulante se o pagamento for devido no período de até um ano e no não circulante os demais vencimentos</w:t>
      </w:r>
      <w:r>
        <w:rPr>
          <w:rFonts w:ascii="Segoe UI" w:hAnsi="Segoe UI" w:cs="Segoe UI"/>
        </w:rPr>
        <w:t>, além do referido período.</w:t>
      </w:r>
    </w:p>
    <w:p w14:paraId="09D11170" w14:textId="3134FA11"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373985">
        <w:rPr>
          <w:rFonts w:ascii="Segoe UI" w:hAnsi="Segoe UI" w:cs="Segoe UI"/>
          <w:b/>
          <w:color w:val="0070C0"/>
          <w:bdr w:val="nil"/>
        </w:rPr>
        <w:t>2</w:t>
      </w:r>
      <w:r w:rsidR="007D3890">
        <w:rPr>
          <w:rFonts w:ascii="Segoe UI" w:hAnsi="Segoe UI" w:cs="Segoe UI"/>
          <w:b/>
          <w:color w:val="0070C0"/>
          <w:bdr w:val="nil"/>
        </w:rPr>
        <w:t>3</w:t>
      </w:r>
      <w:r w:rsidRPr="000757BC">
        <w:rPr>
          <w:rFonts w:ascii="Segoe UI" w:hAnsi="Segoe UI" w:cs="Segoe UI"/>
          <w:b/>
          <w:color w:val="0070C0"/>
          <w:bdr w:val="nil"/>
        </w:rPr>
        <w:t xml:space="preserve"> – Arrendamentos</w:t>
      </w:r>
    </w:p>
    <w:p w14:paraId="34969F46" w14:textId="46D2A927"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A Companhia</w:t>
      </w:r>
      <w:r w:rsidR="006F3166" w:rsidRPr="000757BC">
        <w:rPr>
          <w:rFonts w:ascii="Segoe UI" w:hAnsi="Segoe UI" w:cs="Segoe UI"/>
        </w:rPr>
        <w:t xml:space="preserve"> e </w:t>
      </w:r>
      <w:r w:rsidR="00900798" w:rsidRPr="000757BC">
        <w:rPr>
          <w:rFonts w:ascii="Segoe UI" w:hAnsi="Segoe UI" w:cs="Segoe UI"/>
        </w:rPr>
        <w:t xml:space="preserve">suas </w:t>
      </w:r>
      <w:r w:rsidR="00546002">
        <w:rPr>
          <w:rFonts w:ascii="Segoe UI" w:hAnsi="Segoe UI" w:cs="Segoe UI"/>
        </w:rPr>
        <w:t>controlada</w:t>
      </w:r>
      <w:r w:rsidR="00900798" w:rsidRPr="000757BC">
        <w:rPr>
          <w:rFonts w:ascii="Segoe UI" w:hAnsi="Segoe UI" w:cs="Segoe UI"/>
        </w:rPr>
        <w:t>s</w:t>
      </w:r>
      <w:r w:rsidRPr="000757BC">
        <w:rPr>
          <w:rFonts w:ascii="Segoe UI" w:hAnsi="Segoe UI" w:cs="Segoe UI"/>
        </w:rPr>
        <w:t xml:space="preserve"> reconhece</w:t>
      </w:r>
      <w:r w:rsidR="00900798" w:rsidRPr="000757BC">
        <w:rPr>
          <w:rFonts w:ascii="Segoe UI" w:hAnsi="Segoe UI" w:cs="Segoe UI"/>
        </w:rPr>
        <w:t>m</w:t>
      </w:r>
      <w:r w:rsidRPr="000757BC">
        <w:rPr>
          <w:rFonts w:ascii="Segoe UI" w:hAnsi="Segoe UI" w:cs="Segoe UI"/>
        </w:rPr>
        <w:t xml:space="preserve"> os passivos de arrendamentos mensurados pelo valor presente dos pagamentos dos arrendamentos sem refletir a inflação futura projetada. Os </w:t>
      </w:r>
      <w:r w:rsidRPr="000757BC">
        <w:rPr>
          <w:rFonts w:ascii="Segoe UI" w:hAnsi="Segoe UI" w:cs="Segoe UI"/>
        </w:rPr>
        <w:lastRenderedPageBreak/>
        <w:t xml:space="preserve">pagamentos são descontados pela taxa incremental sobre empréstimos da </w:t>
      </w:r>
      <w:r w:rsidR="00BC3AEE">
        <w:rPr>
          <w:rFonts w:ascii="Segoe UI" w:hAnsi="Segoe UI" w:cs="Segoe UI"/>
        </w:rPr>
        <w:t>Eletronuclear</w:t>
      </w:r>
      <w:r w:rsidRPr="000757BC">
        <w:rPr>
          <w:rFonts w:ascii="Segoe UI" w:hAnsi="Segoe UI" w:cs="Segoe UI"/>
        </w:rPr>
        <w:t>, visto que as taxas de juros implícitas nos contratos de arrendamento com terceiros normalmente não podem ser prontamente determinadas.</w:t>
      </w:r>
      <w:r w:rsidR="005A0E4B">
        <w:rPr>
          <w:rFonts w:ascii="Segoe UI" w:hAnsi="Segoe UI" w:cs="Segoe UI"/>
        </w:rPr>
        <w:t xml:space="preserve"> Na Controladora </w:t>
      </w:r>
      <w:r w:rsidR="00F67FE9">
        <w:rPr>
          <w:rFonts w:ascii="Segoe UI" w:hAnsi="Segoe UI" w:cs="Segoe UI"/>
        </w:rPr>
        <w:t>a taxa aplicada é com base na inflação projetada da época.</w:t>
      </w:r>
    </w:p>
    <w:p w14:paraId="11691301" w14:textId="6AB24089"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Remensurações refletem alterações oriundas de índices ou taxas contratuais, bem como nos prazos dos arrendamentos devido a novas expectativas de prorrogações ou rescisões do arrendamento (com correspondente ajuste no dire</w:t>
      </w:r>
      <w:r w:rsidR="00EE7C31" w:rsidRPr="000757BC">
        <w:rPr>
          <w:rFonts w:ascii="Segoe UI" w:hAnsi="Segoe UI" w:cs="Segoe UI"/>
        </w:rPr>
        <w:t>i</w:t>
      </w:r>
      <w:r w:rsidRPr="000757BC">
        <w:rPr>
          <w:rFonts w:ascii="Segoe UI" w:hAnsi="Segoe UI" w:cs="Segoe UI"/>
        </w:rPr>
        <w:t>to de uso relacionado). As remensurações são reconhecidas no passivo de arrendamento como ajuste ao ativo de direito de uso.</w:t>
      </w:r>
    </w:p>
    <w:p w14:paraId="070AC749" w14:textId="10005695"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Os juros e outras despesas financeiras são reconhecidos na demonstração do resultado durante o período do arrendamento, para produzir uma taxa periódica constante de juros sobre o saldo remanescente do passivo para cada período, enquanto os pagamentos reduzem o seu valor contábil. O direito de uso adquirido por meio de arrendamento financeiro está classificado no </w:t>
      </w:r>
      <w:r w:rsidR="0075489E">
        <w:rPr>
          <w:rFonts w:ascii="Segoe UI" w:hAnsi="Segoe UI" w:cs="Segoe UI"/>
        </w:rPr>
        <w:t>a</w:t>
      </w:r>
      <w:r w:rsidRPr="000757BC">
        <w:rPr>
          <w:rFonts w:ascii="Segoe UI" w:hAnsi="Segoe UI" w:cs="Segoe UI"/>
        </w:rPr>
        <w:t xml:space="preserve">tivo </w:t>
      </w:r>
      <w:r w:rsidR="0075489E">
        <w:rPr>
          <w:rFonts w:ascii="Segoe UI" w:hAnsi="Segoe UI" w:cs="Segoe UI"/>
        </w:rPr>
        <w:t>n</w:t>
      </w:r>
      <w:r w:rsidRPr="000757BC">
        <w:rPr>
          <w:rFonts w:ascii="Segoe UI" w:hAnsi="Segoe UI" w:cs="Segoe UI"/>
        </w:rPr>
        <w:t xml:space="preserve">ão </w:t>
      </w:r>
      <w:r w:rsidR="0075489E">
        <w:rPr>
          <w:rFonts w:ascii="Segoe UI" w:hAnsi="Segoe UI" w:cs="Segoe UI"/>
        </w:rPr>
        <w:t>c</w:t>
      </w:r>
      <w:r w:rsidRPr="000757BC">
        <w:rPr>
          <w:rFonts w:ascii="Segoe UI" w:hAnsi="Segoe UI" w:cs="Segoe UI"/>
        </w:rPr>
        <w:t>irculante sendo depreciado pelo prazo do arrendamento.</w:t>
      </w:r>
    </w:p>
    <w:p w14:paraId="438BFEA8" w14:textId="7BEE5A66" w:rsidR="007B4BE1" w:rsidRPr="002C4F36" w:rsidRDefault="007B4BE1" w:rsidP="00BA4CC0">
      <w:pPr>
        <w:spacing w:before="240" w:after="120"/>
        <w:jc w:val="both"/>
        <w:rPr>
          <w:rFonts w:ascii="Segoe UI" w:hAnsi="Segoe UI" w:cs="Segoe UI"/>
          <w:b/>
          <w:color w:val="0070C0"/>
          <w:bdr w:val="nil"/>
        </w:rPr>
      </w:pPr>
      <w:r w:rsidRPr="002C4F36">
        <w:rPr>
          <w:rFonts w:ascii="Segoe UI" w:hAnsi="Segoe UI" w:cs="Segoe UI"/>
          <w:b/>
          <w:color w:val="0070C0"/>
          <w:bdr w:val="nil"/>
        </w:rPr>
        <w:t>2.4.</w:t>
      </w:r>
      <w:r w:rsidR="00D9359B" w:rsidRPr="002C4F36">
        <w:rPr>
          <w:rFonts w:ascii="Segoe UI" w:hAnsi="Segoe UI" w:cs="Segoe UI"/>
          <w:b/>
          <w:color w:val="0070C0"/>
          <w:bdr w:val="nil"/>
        </w:rPr>
        <w:t>2</w:t>
      </w:r>
      <w:r w:rsidR="007D3890" w:rsidRPr="002C4F36">
        <w:rPr>
          <w:rFonts w:ascii="Segoe UI" w:hAnsi="Segoe UI" w:cs="Segoe UI"/>
          <w:b/>
          <w:color w:val="0070C0"/>
          <w:bdr w:val="nil"/>
        </w:rPr>
        <w:t>4</w:t>
      </w:r>
      <w:r w:rsidRPr="002C4F36">
        <w:rPr>
          <w:rFonts w:ascii="Segoe UI" w:hAnsi="Segoe UI" w:cs="Segoe UI"/>
          <w:b/>
          <w:color w:val="0070C0"/>
          <w:bdr w:val="nil"/>
        </w:rPr>
        <w:t xml:space="preserve"> – </w:t>
      </w:r>
      <w:r w:rsidR="00373985" w:rsidRPr="002C4F36">
        <w:rPr>
          <w:rFonts w:ascii="Segoe UI" w:hAnsi="Segoe UI" w:cs="Segoe UI"/>
          <w:b/>
          <w:color w:val="0070C0"/>
          <w:bdr w:val="nil"/>
        </w:rPr>
        <w:t>Previdência privada</w:t>
      </w:r>
    </w:p>
    <w:p w14:paraId="2C530855" w14:textId="28A25BDF" w:rsidR="002C4F36" w:rsidRPr="002C4F36" w:rsidRDefault="002C4F36" w:rsidP="002C4F36">
      <w:pPr>
        <w:autoSpaceDE w:val="0"/>
        <w:autoSpaceDN w:val="0"/>
        <w:adjustRightInd w:val="0"/>
        <w:spacing w:after="0" w:line="240" w:lineRule="auto"/>
        <w:jc w:val="both"/>
        <w:rPr>
          <w:rFonts w:ascii="Segoe UI" w:hAnsi="Segoe UI" w:cs="Segoe UI"/>
        </w:rPr>
      </w:pPr>
      <w:r w:rsidRPr="002C4F36">
        <w:rPr>
          <w:rFonts w:ascii="Segoe UI" w:hAnsi="Segoe UI" w:cs="Segoe UI"/>
        </w:rPr>
        <w:t>Representa a dívida consolidada da Companhia oriunda da reestruturação do Programa Nuclear Brasileiro</w:t>
      </w:r>
      <w:r>
        <w:rPr>
          <w:rFonts w:ascii="Segoe UI" w:hAnsi="Segoe UI" w:cs="Segoe UI"/>
        </w:rPr>
        <w:t xml:space="preserve">. O saldo é </w:t>
      </w:r>
      <w:r w:rsidRPr="002C4F36">
        <w:rPr>
          <w:rFonts w:ascii="Segoe UI" w:hAnsi="Segoe UI" w:cs="Segoe UI"/>
        </w:rPr>
        <w:t>atualizad</w:t>
      </w:r>
      <w:r>
        <w:rPr>
          <w:rFonts w:ascii="Segoe UI" w:hAnsi="Segoe UI" w:cs="Segoe UI"/>
        </w:rPr>
        <w:t>o</w:t>
      </w:r>
      <w:r w:rsidRPr="002C4F36">
        <w:rPr>
          <w:rFonts w:ascii="Segoe UI" w:hAnsi="Segoe UI" w:cs="Segoe UI"/>
        </w:rPr>
        <w:t xml:space="preserve"> pela variação do Índice Nacional de Preços ao Consumidor (INPC), acrescida de juros de 6% ao ano. </w:t>
      </w:r>
    </w:p>
    <w:p w14:paraId="1358E979" w14:textId="63BE6BA9" w:rsidR="00373985" w:rsidRPr="00831DED" w:rsidRDefault="00373985" w:rsidP="002C4F36">
      <w:pPr>
        <w:spacing w:before="240" w:after="120"/>
        <w:jc w:val="both"/>
        <w:rPr>
          <w:rFonts w:ascii="Segoe UI" w:hAnsi="Segoe UI" w:cs="Segoe UI"/>
          <w:b/>
          <w:color w:val="0070C0"/>
          <w:bdr w:val="nil"/>
        </w:rPr>
      </w:pPr>
      <w:r w:rsidRPr="00831DED">
        <w:rPr>
          <w:rFonts w:ascii="Segoe UI" w:hAnsi="Segoe UI" w:cs="Segoe UI"/>
          <w:b/>
          <w:color w:val="0070C0"/>
          <w:bdr w:val="nil"/>
        </w:rPr>
        <w:t>2.4.2</w:t>
      </w:r>
      <w:r w:rsidR="00CE69A9" w:rsidRPr="00831DED">
        <w:rPr>
          <w:rFonts w:ascii="Segoe UI" w:hAnsi="Segoe UI" w:cs="Segoe UI"/>
          <w:b/>
          <w:color w:val="0070C0"/>
          <w:bdr w:val="nil"/>
        </w:rPr>
        <w:t>5</w:t>
      </w:r>
      <w:r w:rsidRPr="00831DED">
        <w:rPr>
          <w:rFonts w:ascii="Segoe UI" w:hAnsi="Segoe UI" w:cs="Segoe UI"/>
          <w:b/>
          <w:color w:val="0070C0"/>
          <w:bdr w:val="nil"/>
        </w:rPr>
        <w:t xml:space="preserve"> – Energia Itaipu</w:t>
      </w:r>
    </w:p>
    <w:p w14:paraId="2E86F7FA" w14:textId="7A792237" w:rsidR="00831DED" w:rsidRDefault="00831DED" w:rsidP="00831DED">
      <w:pPr>
        <w:jc w:val="both"/>
        <w:rPr>
          <w:rFonts w:ascii="Segoe UI" w:hAnsi="Segoe UI" w:cs="Segoe UI"/>
          <w:bCs/>
        </w:rPr>
      </w:pPr>
      <w:r w:rsidRPr="000757BC">
        <w:rPr>
          <w:rFonts w:ascii="Segoe UI" w:hAnsi="Segoe UI" w:cs="Segoe UI"/>
          <w:bCs/>
        </w:rPr>
        <w:t>Conforme Decreto nº</w:t>
      </w:r>
      <w:r>
        <w:rPr>
          <w:rFonts w:ascii="Segoe UI" w:hAnsi="Segoe UI" w:cs="Segoe UI"/>
          <w:bCs/>
        </w:rPr>
        <w:t xml:space="preserve"> </w:t>
      </w:r>
      <w:r w:rsidRPr="000757BC">
        <w:rPr>
          <w:rFonts w:ascii="Segoe UI" w:hAnsi="Segoe UI" w:cs="Segoe UI"/>
          <w:bCs/>
        </w:rPr>
        <w:t>11.027</w:t>
      </w:r>
      <w:r w:rsidR="003E0291">
        <w:rPr>
          <w:rFonts w:ascii="Segoe UI" w:hAnsi="Segoe UI" w:cs="Segoe UI"/>
          <w:bCs/>
        </w:rPr>
        <w:t>,</w:t>
      </w:r>
      <w:r w:rsidRPr="000757BC">
        <w:rPr>
          <w:rFonts w:ascii="Segoe UI" w:hAnsi="Segoe UI" w:cs="Segoe UI"/>
          <w:bCs/>
        </w:rPr>
        <w:t xml:space="preserve"> a Companhia é responsável pela comercialização da energia elétrica de Itaipu</w:t>
      </w:r>
      <w:r>
        <w:rPr>
          <w:rFonts w:ascii="Segoe UI" w:hAnsi="Segoe UI" w:cs="Segoe UI"/>
          <w:bCs/>
        </w:rPr>
        <w:t xml:space="preserve"> </w:t>
      </w:r>
      <w:r w:rsidRPr="000757BC">
        <w:rPr>
          <w:rFonts w:ascii="Segoe UI" w:hAnsi="Segoe UI" w:cs="Segoe UI"/>
          <w:bCs/>
        </w:rPr>
        <w:t xml:space="preserve">consumida no Brasil, tal operação tem o saldo apurado mensalmente conforme art. 14 </w:t>
      </w:r>
      <w:r w:rsidR="003E0291">
        <w:rPr>
          <w:rFonts w:ascii="Segoe UI" w:hAnsi="Segoe UI" w:cs="Segoe UI"/>
          <w:bCs/>
        </w:rPr>
        <w:t>do referido</w:t>
      </w:r>
      <w:r w:rsidRPr="000757BC">
        <w:rPr>
          <w:rFonts w:ascii="Segoe UI" w:hAnsi="Segoe UI" w:cs="Segoe UI"/>
          <w:bCs/>
        </w:rPr>
        <w:t xml:space="preserve"> Decreto</w:t>
      </w:r>
      <w:r>
        <w:rPr>
          <w:rFonts w:ascii="Segoe UI" w:hAnsi="Segoe UI" w:cs="Segoe UI"/>
          <w:bCs/>
        </w:rPr>
        <w:t xml:space="preserve"> e </w:t>
      </w:r>
      <w:r w:rsidR="003E0291">
        <w:rPr>
          <w:rFonts w:ascii="Segoe UI" w:hAnsi="Segoe UI" w:cs="Segoe UI"/>
          <w:bCs/>
        </w:rPr>
        <w:t xml:space="preserve">referendado no </w:t>
      </w:r>
      <w:r>
        <w:rPr>
          <w:rFonts w:ascii="Segoe UI" w:hAnsi="Segoe UI" w:cs="Segoe UI"/>
          <w:bCs/>
        </w:rPr>
        <w:t>manual da ANEEL</w:t>
      </w:r>
      <w:r w:rsidRPr="000757BC">
        <w:rPr>
          <w:rFonts w:ascii="Segoe UI" w:hAnsi="Segoe UI" w:cs="Segoe UI"/>
          <w:bCs/>
        </w:rPr>
        <w:t>.</w:t>
      </w:r>
    </w:p>
    <w:p w14:paraId="437099BE" w14:textId="54BA8846"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230730">
        <w:rPr>
          <w:rFonts w:ascii="Segoe UI" w:hAnsi="Segoe UI" w:cs="Segoe UI"/>
          <w:b/>
          <w:color w:val="0070C0"/>
          <w:bdr w:val="nil"/>
        </w:rPr>
        <w:t>2</w:t>
      </w:r>
      <w:r w:rsidR="00DC465E">
        <w:rPr>
          <w:rFonts w:ascii="Segoe UI" w:hAnsi="Segoe UI" w:cs="Segoe UI"/>
          <w:b/>
          <w:color w:val="0070C0"/>
          <w:bdr w:val="nil"/>
        </w:rPr>
        <w:t>6</w:t>
      </w:r>
      <w:r w:rsidRPr="000757BC">
        <w:rPr>
          <w:rFonts w:ascii="Segoe UI" w:hAnsi="Segoe UI" w:cs="Segoe UI"/>
          <w:b/>
          <w:color w:val="0070C0"/>
          <w:bdr w:val="nil"/>
        </w:rPr>
        <w:t xml:space="preserve"> – Obrigação para desmobilização de ativos</w:t>
      </w:r>
    </w:p>
    <w:p w14:paraId="51C6F9CF" w14:textId="7777777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O descomissionamento de usinas nucleares pode ser entendido como um conjunto de medidas tomadas para retirar de serviço, com segurança, uma instalação nuclear, reduzindo a radioatividade residual a níveis que permitam liberar o local para uso restrito ou irrestrito.</w:t>
      </w:r>
    </w:p>
    <w:p w14:paraId="596A4C05" w14:textId="7777777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É premissa fundamental para a formação desse passivo para o descomissionamento,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5DF34324" w14:textId="5AB17EEB"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Conforme previsto no pronunciamento IAS 37 – Provisões, Passivos Contingentes e Ativos Contingentes (equivalente ao CPC 25), é constituída provisão ao longo do tempo de vida útil econômica de usinas termonucleares. O objetivo de tal provisão é alocar ao respectivo período de operação os custos a serem incorridos com sua desativação técnico-operacional, ao término da sua </w:t>
      </w:r>
      <w:r w:rsidRPr="000757BC">
        <w:rPr>
          <w:rFonts w:ascii="Segoe UI" w:hAnsi="Segoe UI" w:cs="Segoe UI"/>
          <w:bdr w:val="nil"/>
        </w:rPr>
        <w:lastRenderedPageBreak/>
        <w:t xml:space="preserve">vida útil, estimada em quarenta anos. </w:t>
      </w:r>
    </w:p>
    <w:p w14:paraId="5863A86C" w14:textId="7473C276" w:rsidR="007B4BE1" w:rsidRPr="000757BC" w:rsidRDefault="007B4BE1" w:rsidP="00BA4CC0">
      <w:pPr>
        <w:spacing w:before="240" w:after="120"/>
        <w:jc w:val="both"/>
        <w:rPr>
          <w:rFonts w:ascii="Segoe UI" w:hAnsi="Segoe UI" w:cs="Segoe UI"/>
          <w:bdr w:val="nil"/>
        </w:rPr>
      </w:pPr>
      <w:r w:rsidRPr="000757BC">
        <w:rPr>
          <w:rFonts w:ascii="Segoe UI" w:hAnsi="Segoe UI" w:cs="Segoe UI"/>
          <w:bdr w:val="nil"/>
        </w:rPr>
        <w:t xml:space="preserve">Nos termos do Pronunciamento Técnico 27 e ICPC 12, do </w:t>
      </w:r>
      <w:r w:rsidR="001A625C">
        <w:rPr>
          <w:rFonts w:ascii="Segoe UI" w:hAnsi="Segoe UI" w:cs="Segoe UI"/>
          <w:bdr w:val="nil"/>
        </w:rPr>
        <w:t>CPC</w:t>
      </w:r>
      <w:r w:rsidRPr="000757BC">
        <w:rPr>
          <w:rFonts w:ascii="Segoe UI" w:hAnsi="Segoe UI" w:cs="Segoe UI"/>
          <w:bdr w:val="nil"/>
        </w:rPr>
        <w:t xml:space="preserve">, </w:t>
      </w:r>
      <w:r w:rsidRPr="005B547E">
        <w:rPr>
          <w:rFonts w:ascii="Segoe UI" w:hAnsi="Segoe UI" w:cs="Segoe UI"/>
          <w:bdr w:val="nil"/>
        </w:rPr>
        <w:t>a</w:t>
      </w:r>
      <w:r w:rsidR="00ED71B2" w:rsidRPr="005B547E">
        <w:rPr>
          <w:rFonts w:ascii="Segoe UI" w:hAnsi="Segoe UI" w:cs="Segoe UI"/>
          <w:bdr w:val="nil"/>
        </w:rPr>
        <w:t xml:space="preserve"> Eletronuclear</w:t>
      </w:r>
      <w:r w:rsidRPr="000757BC">
        <w:rPr>
          <w:rFonts w:ascii="Segoe UI" w:hAnsi="Segoe UI" w:cs="Segoe UI"/>
          <w:bdr w:val="nil"/>
        </w:rPr>
        <w:t xml:space="preserve"> contabilizou no </w:t>
      </w:r>
      <w:r w:rsidR="0075489E">
        <w:rPr>
          <w:rFonts w:ascii="Segoe UI" w:hAnsi="Segoe UI" w:cs="Segoe UI"/>
          <w:bdr w:val="nil"/>
        </w:rPr>
        <w:t>a</w:t>
      </w:r>
      <w:r w:rsidRPr="000757BC">
        <w:rPr>
          <w:rFonts w:ascii="Segoe UI" w:hAnsi="Segoe UI" w:cs="Segoe UI"/>
          <w:bdr w:val="nil"/>
        </w:rPr>
        <w:t xml:space="preserve">tivo </w:t>
      </w:r>
      <w:r w:rsidR="0075489E">
        <w:rPr>
          <w:rFonts w:ascii="Segoe UI" w:hAnsi="Segoe UI" w:cs="Segoe UI"/>
          <w:bdr w:val="nil"/>
        </w:rPr>
        <w:t>i</w:t>
      </w:r>
      <w:r w:rsidRPr="000757BC">
        <w:rPr>
          <w:rFonts w:ascii="Segoe UI" w:hAnsi="Segoe UI" w:cs="Segoe UI"/>
          <w:bdr w:val="nil"/>
        </w:rPr>
        <w:t xml:space="preserve">mobilizado, em contrapartida ao </w:t>
      </w:r>
      <w:r w:rsidR="0075489E">
        <w:rPr>
          <w:rFonts w:ascii="Segoe UI" w:hAnsi="Segoe UI" w:cs="Segoe UI"/>
          <w:bdr w:val="nil"/>
        </w:rPr>
        <w:t>p</w:t>
      </w:r>
      <w:r w:rsidRPr="000757BC">
        <w:rPr>
          <w:rFonts w:ascii="Segoe UI" w:hAnsi="Segoe UI" w:cs="Segoe UI"/>
          <w:bdr w:val="nil"/>
        </w:rPr>
        <w:t xml:space="preserve">assivo </w:t>
      </w:r>
      <w:r w:rsidR="0075489E">
        <w:rPr>
          <w:rFonts w:ascii="Segoe UI" w:hAnsi="Segoe UI" w:cs="Segoe UI"/>
          <w:bdr w:val="nil"/>
        </w:rPr>
        <w:t>n</w:t>
      </w:r>
      <w:r w:rsidRPr="000757BC">
        <w:rPr>
          <w:rFonts w:ascii="Segoe UI" w:hAnsi="Segoe UI" w:cs="Segoe UI"/>
          <w:bdr w:val="nil"/>
        </w:rPr>
        <w:t xml:space="preserve">ão </w:t>
      </w:r>
      <w:r w:rsidR="0075489E">
        <w:rPr>
          <w:rFonts w:ascii="Segoe UI" w:hAnsi="Segoe UI" w:cs="Segoe UI"/>
          <w:bdr w:val="nil"/>
        </w:rPr>
        <w:t>c</w:t>
      </w:r>
      <w:r w:rsidRPr="000757BC">
        <w:rPr>
          <w:rFonts w:ascii="Segoe UI" w:hAnsi="Segoe UI" w:cs="Segoe UI"/>
          <w:bdr w:val="nil"/>
        </w:rPr>
        <w:t xml:space="preserve">irculante, os valores das estimativas aprovadas. </w:t>
      </w:r>
    </w:p>
    <w:p w14:paraId="02412A1B" w14:textId="6D93F0FF" w:rsidR="007B4BE1" w:rsidRPr="000757BC" w:rsidRDefault="007B4BE1" w:rsidP="00BA4CC0">
      <w:pPr>
        <w:tabs>
          <w:tab w:val="center" w:pos="4419"/>
          <w:tab w:val="right" w:pos="8838"/>
        </w:tabs>
        <w:spacing w:before="240" w:after="120"/>
        <w:jc w:val="both"/>
        <w:rPr>
          <w:rFonts w:ascii="Segoe UI" w:hAnsi="Segoe UI" w:cs="Segoe UI"/>
          <w:bdr w:val="nil"/>
        </w:rPr>
      </w:pPr>
      <w:r w:rsidRPr="000757BC">
        <w:rPr>
          <w:rFonts w:ascii="Segoe UI" w:hAnsi="Segoe UI" w:cs="Segoe UI"/>
          <w:bdr w:val="nil"/>
        </w:rPr>
        <w:t xml:space="preserve">O custo total estimado é descontado a valor presente, com base em taxa que represente o custo de capital e registrado no </w:t>
      </w:r>
      <w:r w:rsidR="0075489E">
        <w:rPr>
          <w:rFonts w:ascii="Segoe UI" w:hAnsi="Segoe UI" w:cs="Segoe UI"/>
          <w:bdr w:val="nil"/>
        </w:rPr>
        <w:t>i</w:t>
      </w:r>
      <w:r w:rsidRPr="000757BC">
        <w:rPr>
          <w:rFonts w:ascii="Segoe UI" w:hAnsi="Segoe UI" w:cs="Segoe UI"/>
          <w:bdr w:val="nil"/>
        </w:rPr>
        <w:t xml:space="preserve">mobilizado, em contrapartida à obrigação para desmobilização de ativos. </w:t>
      </w:r>
    </w:p>
    <w:p w14:paraId="18F8EC62" w14:textId="54B9923B" w:rsidR="007B4BE1" w:rsidRPr="000757BC" w:rsidRDefault="003E0291" w:rsidP="00BA4CC0">
      <w:pPr>
        <w:spacing w:before="240" w:after="120"/>
        <w:jc w:val="both"/>
        <w:rPr>
          <w:rFonts w:ascii="Segoe UI" w:hAnsi="Segoe UI" w:cs="Segoe UI"/>
          <w:bdr w:val="nil"/>
        </w:rPr>
      </w:pPr>
      <w:r>
        <w:rPr>
          <w:rFonts w:ascii="Segoe UI" w:hAnsi="Segoe UI" w:cs="Segoe UI"/>
          <w:bdr w:val="nil"/>
        </w:rPr>
        <w:t>A Eletronuclear</w:t>
      </w:r>
      <w:r w:rsidR="00373985">
        <w:rPr>
          <w:rFonts w:ascii="Segoe UI" w:hAnsi="Segoe UI" w:cs="Segoe UI"/>
          <w:bdr w:val="nil"/>
        </w:rPr>
        <w:t xml:space="preserve"> </w:t>
      </w:r>
      <w:r w:rsidR="007B4BE1" w:rsidRPr="000757BC">
        <w:rPr>
          <w:rFonts w:ascii="Segoe UI" w:hAnsi="Segoe UI" w:cs="Segoe UI"/>
          <w:bdr w:val="nil"/>
        </w:rPr>
        <w:t xml:space="preserve">revisa anualmente os valores da provisão do passivo para descomissionamento. </w:t>
      </w:r>
    </w:p>
    <w:p w14:paraId="20912347" w14:textId="32428F80"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Mensurada pelo valor presente dos gastos e classificada no passivo não circulante, essa provisão destina-se ao custeio dos gastos com a desmobilização das usinas nucleares, quais sejam: o desmantelamento e a descontaminação dos materiais, equipamentos e instalações, os quais incorrerão no término da vida útil econômica das usinas, tendo como contrapartida o </w:t>
      </w:r>
      <w:r w:rsidR="00373985">
        <w:rPr>
          <w:rFonts w:ascii="Segoe UI" w:hAnsi="Segoe UI" w:cs="Segoe UI"/>
          <w:bdr w:val="nil"/>
        </w:rPr>
        <w:t xml:space="preserve">respectivo </w:t>
      </w:r>
      <w:r w:rsidRPr="000757BC">
        <w:rPr>
          <w:rFonts w:ascii="Segoe UI" w:hAnsi="Segoe UI" w:cs="Segoe UI"/>
          <w:bdr w:val="nil"/>
        </w:rPr>
        <w:t>imobilizado.</w:t>
      </w:r>
    </w:p>
    <w:p w14:paraId="294A276B" w14:textId="12A57909" w:rsidR="006576CF" w:rsidRPr="000757BC" w:rsidRDefault="007B4BE1" w:rsidP="006576CF">
      <w:pPr>
        <w:spacing w:before="240" w:after="120"/>
        <w:jc w:val="both"/>
        <w:rPr>
          <w:rFonts w:ascii="Segoe UI" w:hAnsi="Segoe UI" w:cs="Segoe UI"/>
          <w:b/>
          <w:color w:val="0070C0"/>
          <w:bdr w:val="nil"/>
        </w:rPr>
      </w:pPr>
      <w:r w:rsidRPr="000757BC">
        <w:rPr>
          <w:rFonts w:ascii="Segoe UI" w:hAnsi="Segoe UI" w:cs="Segoe UI"/>
          <w:b/>
          <w:color w:val="0070C0"/>
          <w:bdr w:val="nil"/>
        </w:rPr>
        <w:t>2.4.</w:t>
      </w:r>
      <w:r w:rsidR="006576CF">
        <w:rPr>
          <w:rFonts w:ascii="Segoe UI" w:hAnsi="Segoe UI" w:cs="Segoe UI"/>
          <w:b/>
          <w:color w:val="0070C0"/>
          <w:bdr w:val="nil"/>
        </w:rPr>
        <w:t>2</w:t>
      </w:r>
      <w:r w:rsidR="004422DA">
        <w:rPr>
          <w:rFonts w:ascii="Segoe UI" w:hAnsi="Segoe UI" w:cs="Segoe UI"/>
          <w:b/>
          <w:color w:val="0070C0"/>
          <w:bdr w:val="nil"/>
        </w:rPr>
        <w:t>7</w:t>
      </w:r>
      <w:r w:rsidR="006576CF" w:rsidRPr="000757BC">
        <w:rPr>
          <w:rFonts w:ascii="Segoe UI" w:hAnsi="Segoe UI" w:cs="Segoe UI"/>
          <w:b/>
          <w:color w:val="0070C0"/>
          <w:bdr w:val="nil"/>
        </w:rPr>
        <w:t xml:space="preserve"> – </w:t>
      </w:r>
      <w:r w:rsidR="006576CF">
        <w:rPr>
          <w:rFonts w:ascii="Segoe UI" w:hAnsi="Segoe UI" w:cs="Segoe UI"/>
          <w:b/>
          <w:color w:val="0070C0"/>
          <w:bdr w:val="nil"/>
        </w:rPr>
        <w:t>Ressarcimento de cliente</w:t>
      </w:r>
    </w:p>
    <w:p w14:paraId="2A43025C" w14:textId="58D9F333" w:rsidR="00B80EDF" w:rsidRPr="00482C5E" w:rsidRDefault="00B80EDF" w:rsidP="00B80EDF">
      <w:pPr>
        <w:jc w:val="both"/>
        <w:rPr>
          <w:rFonts w:ascii="Segoe UI" w:hAnsi="Segoe UI"/>
          <w:bdr w:val="nil"/>
        </w:rPr>
      </w:pPr>
      <w:r w:rsidRPr="00482C5E">
        <w:rPr>
          <w:rFonts w:ascii="Segoe UI" w:hAnsi="Segoe UI"/>
          <w:bdr w:val="nil"/>
        </w:rPr>
        <w:t>Na Eletronuclear as contas de obrigações de ressarcimento a clientes representam valores</w:t>
      </w:r>
      <w:r w:rsidR="004422DA" w:rsidRPr="00482C5E">
        <w:rPr>
          <w:rFonts w:ascii="Segoe UI" w:hAnsi="Segoe UI"/>
          <w:bdr w:val="nil"/>
        </w:rPr>
        <w:t xml:space="preserve"> </w:t>
      </w:r>
      <w:r w:rsidRPr="00482C5E">
        <w:rPr>
          <w:rFonts w:ascii="Segoe UI" w:hAnsi="Segoe UI"/>
          <w:bdr w:val="nil"/>
        </w:rPr>
        <w:t xml:space="preserve">a serem restituídos às distribuidoras quando, em um exercício, é verificado que o montante da energia fornecida foi inferior ao montante da energia contratada/garantida para o mesmo período. O valor, apurado em cada competência pela </w:t>
      </w:r>
      <w:r w:rsidR="003E0291" w:rsidRPr="00482C5E">
        <w:rPr>
          <w:rFonts w:ascii="Segoe UI" w:hAnsi="Segoe UI"/>
          <w:bdr w:val="nil"/>
        </w:rPr>
        <w:t xml:space="preserve">Câmera de </w:t>
      </w:r>
      <w:r w:rsidRPr="00482C5E">
        <w:rPr>
          <w:rFonts w:ascii="Segoe UI" w:hAnsi="Segoe UI"/>
          <w:bdr w:val="nil"/>
        </w:rPr>
        <w:t>Comercialização de Energia Elétrica - CCEE, é ressarcido no ano seguinte, a partir do mês de fevereiro, em doze parcelas iguais e sucessivas, conforme estabelecido no Art.</w:t>
      </w:r>
      <w:r w:rsidR="003E0291" w:rsidRPr="00482C5E">
        <w:rPr>
          <w:rFonts w:ascii="Segoe UI" w:hAnsi="Segoe UI"/>
          <w:bdr w:val="nil"/>
        </w:rPr>
        <w:t xml:space="preserve"> </w:t>
      </w:r>
      <w:r w:rsidRPr="00482C5E">
        <w:rPr>
          <w:rFonts w:ascii="Segoe UI" w:hAnsi="Segoe UI"/>
          <w:bdr w:val="nil"/>
        </w:rPr>
        <w:t>27, parágrafos 3º ao 6º, da Resolução Normativa A</w:t>
      </w:r>
      <w:r w:rsidR="003E0291" w:rsidRPr="00482C5E">
        <w:rPr>
          <w:rFonts w:ascii="Segoe UI" w:hAnsi="Segoe UI"/>
          <w:bdr w:val="nil"/>
        </w:rPr>
        <w:t>NEEL</w:t>
      </w:r>
      <w:r w:rsidRPr="00482C5E">
        <w:rPr>
          <w:rFonts w:ascii="Segoe UI" w:hAnsi="Segoe UI"/>
          <w:bdr w:val="nil"/>
        </w:rPr>
        <w:t xml:space="preserve"> 530/2012.</w:t>
      </w:r>
    </w:p>
    <w:p w14:paraId="7B0323B2" w14:textId="1B88FFD6" w:rsidR="007B4BE1" w:rsidRPr="000757BC" w:rsidRDefault="007B4BE1" w:rsidP="00BA4CC0">
      <w:pPr>
        <w:widowControl w:val="0"/>
        <w:autoSpaceDE w:val="0"/>
        <w:autoSpaceDN w:val="0"/>
        <w:spacing w:before="240" w:after="120"/>
        <w:jc w:val="both"/>
        <w:rPr>
          <w:rFonts w:ascii="Segoe UI" w:hAnsi="Segoe UI" w:cs="Segoe UI"/>
          <w:b/>
          <w:color w:val="0070C0"/>
          <w:bdr w:val="nil"/>
        </w:rPr>
      </w:pPr>
      <w:r w:rsidRPr="000757BC">
        <w:rPr>
          <w:rFonts w:ascii="Segoe UI" w:hAnsi="Segoe UI" w:cs="Segoe UI"/>
          <w:b/>
          <w:color w:val="0070C0"/>
          <w:bdr w:val="nil"/>
        </w:rPr>
        <w:t>2.4.2</w:t>
      </w:r>
      <w:r w:rsidR="004422DA">
        <w:rPr>
          <w:rFonts w:ascii="Segoe UI" w:hAnsi="Segoe UI" w:cs="Segoe UI"/>
          <w:b/>
          <w:color w:val="0070C0"/>
          <w:bdr w:val="nil"/>
        </w:rPr>
        <w:t>8</w:t>
      </w:r>
      <w:r w:rsidRPr="000757BC">
        <w:rPr>
          <w:rFonts w:ascii="Segoe UI" w:hAnsi="Segoe UI" w:cs="Segoe UI"/>
          <w:b/>
          <w:color w:val="0070C0"/>
          <w:bdr w:val="nil"/>
        </w:rPr>
        <w:t xml:space="preserve"> – Capital social</w:t>
      </w:r>
      <w:r w:rsidRPr="000757BC">
        <w:rPr>
          <w:rFonts w:ascii="Segoe UI" w:hAnsi="Segoe UI" w:cs="Segoe UI"/>
          <w:b/>
          <w:color w:val="0070C0"/>
        </w:rPr>
        <w:t xml:space="preserve"> </w:t>
      </w:r>
    </w:p>
    <w:p w14:paraId="420850F5" w14:textId="5A95BC68" w:rsidR="00BA024E"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 xml:space="preserve">Representa as ações ordinárias integralizadas e é classificado no </w:t>
      </w:r>
      <w:r w:rsidR="007265F6">
        <w:rPr>
          <w:rFonts w:ascii="Segoe UI" w:hAnsi="Segoe UI" w:cs="Segoe UI"/>
          <w:bdr w:val="nil"/>
        </w:rPr>
        <w:t>P</w:t>
      </w:r>
      <w:r w:rsidRPr="000757BC">
        <w:rPr>
          <w:rFonts w:ascii="Segoe UI" w:hAnsi="Segoe UI" w:cs="Segoe UI"/>
          <w:bdr w:val="nil"/>
        </w:rPr>
        <w:t xml:space="preserve">atrimônio </w:t>
      </w:r>
      <w:r w:rsidR="007265F6">
        <w:rPr>
          <w:rFonts w:ascii="Segoe UI" w:hAnsi="Segoe UI" w:cs="Segoe UI"/>
          <w:bdr w:val="nil"/>
        </w:rPr>
        <w:t>L</w:t>
      </w:r>
      <w:r w:rsidRPr="000757BC">
        <w:rPr>
          <w:rFonts w:ascii="Segoe UI" w:hAnsi="Segoe UI" w:cs="Segoe UI"/>
          <w:bdr w:val="nil"/>
        </w:rPr>
        <w:t>íquido.</w:t>
      </w:r>
      <w:r w:rsidR="007265F6">
        <w:rPr>
          <w:rFonts w:ascii="Segoe UI" w:hAnsi="Segoe UI" w:cs="Segoe UI"/>
          <w:bdr w:val="nil"/>
        </w:rPr>
        <w:t xml:space="preserve"> </w:t>
      </w:r>
      <w:r w:rsidR="00D038B8">
        <w:rPr>
          <w:rFonts w:ascii="Segoe UI" w:hAnsi="Segoe UI" w:cs="Segoe UI"/>
          <w:bdr w:val="nil"/>
        </w:rPr>
        <w:t xml:space="preserve">O Adiantamento para futuro aumento de capital – </w:t>
      </w:r>
      <w:r w:rsidR="0075489E">
        <w:rPr>
          <w:rFonts w:ascii="Segoe UI" w:hAnsi="Segoe UI" w:cs="Segoe UI"/>
          <w:bdr w:val="nil"/>
        </w:rPr>
        <w:t>(“</w:t>
      </w:r>
      <w:r w:rsidR="00D038B8">
        <w:rPr>
          <w:rFonts w:ascii="Segoe UI" w:hAnsi="Segoe UI" w:cs="Segoe UI"/>
          <w:bdr w:val="nil"/>
        </w:rPr>
        <w:t>AFAC</w:t>
      </w:r>
      <w:r w:rsidR="0075489E">
        <w:rPr>
          <w:rFonts w:ascii="Segoe UI" w:hAnsi="Segoe UI" w:cs="Segoe UI"/>
          <w:bdr w:val="nil"/>
        </w:rPr>
        <w:t>”)</w:t>
      </w:r>
      <w:r w:rsidR="003E0291">
        <w:rPr>
          <w:rFonts w:ascii="Segoe UI" w:hAnsi="Segoe UI" w:cs="Segoe UI"/>
          <w:bdr w:val="nil"/>
        </w:rPr>
        <w:t>,</w:t>
      </w:r>
      <w:r w:rsidR="00D038B8">
        <w:rPr>
          <w:rFonts w:ascii="Segoe UI" w:hAnsi="Segoe UI" w:cs="Segoe UI"/>
          <w:bdr w:val="nil"/>
        </w:rPr>
        <w:t xml:space="preserve"> </w:t>
      </w:r>
      <w:r w:rsidR="008A7B73">
        <w:rPr>
          <w:rFonts w:ascii="Segoe UI" w:hAnsi="Segoe UI" w:cs="Segoe UI"/>
          <w:bdr w:val="nil"/>
        </w:rPr>
        <w:t xml:space="preserve">sem que haja </w:t>
      </w:r>
      <w:r w:rsidR="003E0291">
        <w:rPr>
          <w:rFonts w:ascii="Segoe UI" w:hAnsi="Segoe UI" w:cs="Segoe UI"/>
          <w:bdr w:val="nil"/>
        </w:rPr>
        <w:t>intensão de sua</w:t>
      </w:r>
      <w:r w:rsidR="008A7B73">
        <w:rPr>
          <w:rFonts w:ascii="Segoe UI" w:hAnsi="Segoe UI" w:cs="Segoe UI"/>
          <w:bdr w:val="nil"/>
        </w:rPr>
        <w:t xml:space="preserve"> devolução</w:t>
      </w:r>
      <w:r w:rsidR="003E0291">
        <w:rPr>
          <w:rFonts w:ascii="Segoe UI" w:hAnsi="Segoe UI" w:cs="Segoe UI"/>
          <w:bdr w:val="nil"/>
        </w:rPr>
        <w:t>, por parte da Administração</w:t>
      </w:r>
      <w:r w:rsidR="008A7B73">
        <w:rPr>
          <w:rFonts w:ascii="Segoe UI" w:hAnsi="Segoe UI" w:cs="Segoe UI"/>
          <w:bdr w:val="nil"/>
        </w:rPr>
        <w:t xml:space="preserve"> é registrada </w:t>
      </w:r>
      <w:r w:rsidR="00373985">
        <w:rPr>
          <w:rFonts w:ascii="Segoe UI" w:hAnsi="Segoe UI" w:cs="Segoe UI"/>
          <w:bdr w:val="nil"/>
        </w:rPr>
        <w:t xml:space="preserve">também </w:t>
      </w:r>
      <w:r w:rsidR="008A7B73">
        <w:rPr>
          <w:rFonts w:ascii="Segoe UI" w:hAnsi="Segoe UI" w:cs="Segoe UI"/>
          <w:bdr w:val="nil"/>
        </w:rPr>
        <w:t>no Patrimônio Líquido</w:t>
      </w:r>
      <w:r w:rsidR="00373985">
        <w:rPr>
          <w:rFonts w:ascii="Segoe UI" w:hAnsi="Segoe UI" w:cs="Segoe UI"/>
          <w:bdr w:val="nil"/>
        </w:rPr>
        <w:t>.</w:t>
      </w:r>
    </w:p>
    <w:p w14:paraId="5829610C" w14:textId="2466F2A3" w:rsidR="00373985" w:rsidRPr="00616E24" w:rsidRDefault="00373985" w:rsidP="00373985">
      <w:pPr>
        <w:widowControl w:val="0"/>
        <w:autoSpaceDE w:val="0"/>
        <w:autoSpaceDN w:val="0"/>
        <w:spacing w:before="240" w:after="120"/>
        <w:jc w:val="both"/>
        <w:rPr>
          <w:rFonts w:ascii="Segoe UI" w:hAnsi="Segoe UI" w:cs="Segoe UI"/>
          <w:b/>
          <w:color w:val="0070C0"/>
          <w:bdr w:val="nil"/>
        </w:rPr>
      </w:pPr>
      <w:r w:rsidRPr="00616E24">
        <w:rPr>
          <w:rFonts w:ascii="Segoe UI" w:hAnsi="Segoe UI" w:cs="Segoe UI"/>
          <w:b/>
          <w:color w:val="0070C0"/>
          <w:bdr w:val="nil"/>
        </w:rPr>
        <w:t>2.4.2</w:t>
      </w:r>
      <w:r w:rsidR="004422DA">
        <w:rPr>
          <w:rFonts w:ascii="Segoe UI" w:hAnsi="Segoe UI" w:cs="Segoe UI"/>
          <w:b/>
          <w:color w:val="0070C0"/>
          <w:bdr w:val="nil"/>
        </w:rPr>
        <w:t>9</w:t>
      </w:r>
      <w:r w:rsidRPr="00616E24">
        <w:rPr>
          <w:rFonts w:ascii="Segoe UI" w:hAnsi="Segoe UI" w:cs="Segoe UI"/>
          <w:b/>
          <w:color w:val="0070C0"/>
          <w:bdr w:val="nil"/>
        </w:rPr>
        <w:t xml:space="preserve"> – Reservas</w:t>
      </w:r>
    </w:p>
    <w:p w14:paraId="5A26A3BE" w14:textId="20FB5648" w:rsidR="00C266C2" w:rsidRPr="00616E24" w:rsidRDefault="00C266C2" w:rsidP="00C266C2">
      <w:pPr>
        <w:widowControl w:val="0"/>
        <w:autoSpaceDE w:val="0"/>
        <w:autoSpaceDN w:val="0"/>
        <w:spacing w:before="240" w:after="120"/>
        <w:jc w:val="both"/>
        <w:rPr>
          <w:rFonts w:ascii="Segoe UI" w:hAnsi="Segoe UI" w:cs="Segoe UI"/>
          <w:b/>
          <w:color w:val="0070C0"/>
          <w:bdr w:val="nil"/>
        </w:rPr>
      </w:pPr>
      <w:r w:rsidRPr="00616E24">
        <w:rPr>
          <w:rFonts w:ascii="Segoe UI" w:hAnsi="Segoe UI" w:cs="Segoe UI"/>
          <w:b/>
          <w:color w:val="0070C0"/>
          <w:bdr w:val="nil"/>
        </w:rPr>
        <w:t>2.4.2</w:t>
      </w:r>
      <w:r w:rsidR="004422DA">
        <w:rPr>
          <w:rFonts w:ascii="Segoe UI" w:hAnsi="Segoe UI" w:cs="Segoe UI"/>
          <w:b/>
          <w:color w:val="0070C0"/>
          <w:bdr w:val="nil"/>
        </w:rPr>
        <w:t>9</w:t>
      </w:r>
      <w:r w:rsidRPr="00616E24">
        <w:rPr>
          <w:rFonts w:ascii="Segoe UI" w:hAnsi="Segoe UI" w:cs="Segoe UI"/>
          <w:b/>
          <w:color w:val="0070C0"/>
          <w:bdr w:val="nil"/>
        </w:rPr>
        <w:t xml:space="preserve">.1 – Reserva </w:t>
      </w:r>
      <w:r w:rsidR="007E3BC3" w:rsidRPr="00616E24">
        <w:rPr>
          <w:rFonts w:ascii="Segoe UI" w:hAnsi="Segoe UI" w:cs="Segoe UI"/>
          <w:b/>
          <w:color w:val="0070C0"/>
          <w:bdr w:val="nil"/>
        </w:rPr>
        <w:t>l</w:t>
      </w:r>
      <w:r w:rsidRPr="00616E24">
        <w:rPr>
          <w:rFonts w:ascii="Segoe UI" w:hAnsi="Segoe UI" w:cs="Segoe UI"/>
          <w:b/>
          <w:color w:val="0070C0"/>
          <w:bdr w:val="nil"/>
        </w:rPr>
        <w:t>egal</w:t>
      </w:r>
    </w:p>
    <w:p w14:paraId="290061F8" w14:textId="085544ED" w:rsidR="00C266C2" w:rsidRPr="00616E24" w:rsidRDefault="00C266C2" w:rsidP="00C266C2">
      <w:pPr>
        <w:widowControl w:val="0"/>
        <w:autoSpaceDE w:val="0"/>
        <w:autoSpaceDN w:val="0"/>
        <w:spacing w:before="240" w:after="120"/>
        <w:jc w:val="both"/>
        <w:rPr>
          <w:rFonts w:ascii="Segoe UI" w:hAnsi="Segoe UI" w:cs="Segoe UI"/>
          <w:bdr w:val="nil"/>
        </w:rPr>
      </w:pPr>
      <w:r w:rsidRPr="00616E24">
        <w:rPr>
          <w:rFonts w:ascii="Segoe UI" w:hAnsi="Segoe UI" w:cs="Segoe UI"/>
          <w:bdr w:val="nil"/>
        </w:rPr>
        <w:t>Constituída mediante apropriação de 5% do lucro líquido do exercício, em conformidade com a Lei 6.404/1976.</w:t>
      </w:r>
    </w:p>
    <w:p w14:paraId="30C98C94" w14:textId="49F3133A" w:rsidR="00C266C2" w:rsidRPr="00616E24" w:rsidRDefault="00C266C2" w:rsidP="00C266C2">
      <w:pPr>
        <w:widowControl w:val="0"/>
        <w:autoSpaceDE w:val="0"/>
        <w:autoSpaceDN w:val="0"/>
        <w:spacing w:before="240" w:after="120"/>
        <w:jc w:val="both"/>
        <w:rPr>
          <w:rFonts w:ascii="Segoe UI" w:hAnsi="Segoe UI" w:cs="Segoe UI"/>
          <w:b/>
          <w:color w:val="0070C0"/>
          <w:bdr w:val="nil"/>
        </w:rPr>
      </w:pPr>
      <w:r w:rsidRPr="00616E24">
        <w:rPr>
          <w:rFonts w:ascii="Segoe UI" w:hAnsi="Segoe UI" w:cs="Segoe UI"/>
          <w:b/>
          <w:color w:val="0070C0"/>
          <w:bdr w:val="nil"/>
        </w:rPr>
        <w:t>2.4.</w:t>
      </w:r>
      <w:r w:rsidR="004422DA">
        <w:rPr>
          <w:rFonts w:ascii="Segoe UI" w:hAnsi="Segoe UI" w:cs="Segoe UI"/>
          <w:b/>
          <w:color w:val="0070C0"/>
          <w:bdr w:val="nil"/>
        </w:rPr>
        <w:t>29</w:t>
      </w:r>
      <w:r w:rsidRPr="00616E24">
        <w:rPr>
          <w:rFonts w:ascii="Segoe UI" w:hAnsi="Segoe UI" w:cs="Segoe UI"/>
          <w:b/>
          <w:color w:val="0070C0"/>
          <w:bdr w:val="nil"/>
        </w:rPr>
        <w:t>.</w:t>
      </w:r>
      <w:r w:rsidR="0075489E" w:rsidRPr="00616E24">
        <w:rPr>
          <w:rFonts w:ascii="Segoe UI" w:hAnsi="Segoe UI" w:cs="Segoe UI"/>
          <w:b/>
          <w:color w:val="0070C0"/>
          <w:bdr w:val="nil"/>
        </w:rPr>
        <w:t>2</w:t>
      </w:r>
      <w:r w:rsidRPr="00616E24">
        <w:rPr>
          <w:rFonts w:ascii="Segoe UI" w:hAnsi="Segoe UI" w:cs="Segoe UI"/>
          <w:b/>
          <w:color w:val="0070C0"/>
          <w:bdr w:val="nil"/>
        </w:rPr>
        <w:t xml:space="preserve"> – Reserva </w:t>
      </w:r>
      <w:r w:rsidR="00B421E4">
        <w:rPr>
          <w:rFonts w:ascii="Segoe UI" w:hAnsi="Segoe UI" w:cs="Segoe UI"/>
          <w:b/>
          <w:color w:val="0070C0"/>
          <w:bdr w:val="nil"/>
        </w:rPr>
        <w:t xml:space="preserve">de </w:t>
      </w:r>
      <w:r w:rsidR="00B6636B">
        <w:rPr>
          <w:rFonts w:ascii="Segoe UI" w:hAnsi="Segoe UI" w:cs="Segoe UI"/>
          <w:b/>
          <w:color w:val="0070C0"/>
          <w:bdr w:val="nil"/>
        </w:rPr>
        <w:t>capital</w:t>
      </w:r>
    </w:p>
    <w:p w14:paraId="794090B2" w14:textId="64FFE297" w:rsidR="00733FD1" w:rsidRDefault="00C266C2" w:rsidP="00D61710">
      <w:pPr>
        <w:widowControl w:val="0"/>
        <w:autoSpaceDE w:val="0"/>
        <w:autoSpaceDN w:val="0"/>
        <w:spacing w:before="240" w:after="120"/>
        <w:jc w:val="both"/>
        <w:rPr>
          <w:rFonts w:ascii="Segoe UI" w:hAnsi="Segoe UI" w:cs="Segoe UI"/>
          <w:bdr w:val="nil"/>
        </w:rPr>
      </w:pPr>
      <w:r w:rsidRPr="00D61710">
        <w:rPr>
          <w:rFonts w:ascii="Segoe UI" w:hAnsi="Segoe UI" w:cs="Segoe UI"/>
          <w:bdr w:val="nil"/>
        </w:rPr>
        <w:t xml:space="preserve">Conforme </w:t>
      </w:r>
      <w:r w:rsidR="004437E4">
        <w:rPr>
          <w:rFonts w:ascii="Segoe UI" w:hAnsi="Segoe UI" w:cs="Segoe UI"/>
          <w:bdr w:val="nil"/>
        </w:rPr>
        <w:t>o</w:t>
      </w:r>
      <w:r w:rsidR="00FD3251" w:rsidRPr="00D61710">
        <w:rPr>
          <w:rFonts w:ascii="Segoe UI" w:hAnsi="Segoe UI" w:cs="Segoe UI"/>
          <w:bdr w:val="nil"/>
        </w:rPr>
        <w:t xml:space="preserve"> art. 200</w:t>
      </w:r>
      <w:r w:rsidRPr="00D61710">
        <w:rPr>
          <w:rFonts w:ascii="Segoe UI" w:hAnsi="Segoe UI" w:cs="Segoe UI"/>
          <w:bdr w:val="nil"/>
        </w:rPr>
        <w:t xml:space="preserve"> </w:t>
      </w:r>
      <w:r w:rsidR="003E0291">
        <w:rPr>
          <w:rFonts w:ascii="Segoe UI" w:hAnsi="Segoe UI" w:cs="Segoe UI"/>
          <w:bdr w:val="nil"/>
        </w:rPr>
        <w:t xml:space="preserve">da </w:t>
      </w:r>
      <w:r w:rsidRPr="00D61710">
        <w:rPr>
          <w:rFonts w:ascii="Segoe UI" w:hAnsi="Segoe UI" w:cs="Segoe UI"/>
          <w:bdr w:val="nil"/>
        </w:rPr>
        <w:t>Lei</w:t>
      </w:r>
      <w:r w:rsidR="00FD3251" w:rsidRPr="00D61710">
        <w:rPr>
          <w:rFonts w:ascii="Segoe UI" w:hAnsi="Segoe UI" w:cs="Segoe UI"/>
          <w:bdr w:val="nil"/>
        </w:rPr>
        <w:t xml:space="preserve"> nº</w:t>
      </w:r>
      <w:r w:rsidRPr="00D61710">
        <w:rPr>
          <w:rFonts w:ascii="Segoe UI" w:hAnsi="Segoe UI" w:cs="Segoe UI"/>
          <w:bdr w:val="nil"/>
        </w:rPr>
        <w:t xml:space="preserve"> 6.404/1976, </w:t>
      </w:r>
      <w:r w:rsidR="00A01A36">
        <w:rPr>
          <w:rFonts w:ascii="Segoe UI" w:hAnsi="Segoe UI" w:cs="Segoe UI"/>
          <w:bdr w:val="nil"/>
        </w:rPr>
        <w:t>“</w:t>
      </w:r>
      <w:r w:rsidR="00B816D1" w:rsidRPr="00D61710">
        <w:rPr>
          <w:rFonts w:ascii="Segoe UI" w:hAnsi="Segoe UI" w:cs="Segoe UI"/>
          <w:bdr w:val="nil"/>
        </w:rPr>
        <w:t>as reservas de capital somente poderão ser utilizadas para</w:t>
      </w:r>
      <w:r w:rsidR="00FD3251" w:rsidRPr="00D61710">
        <w:rPr>
          <w:rFonts w:ascii="Segoe UI" w:hAnsi="Segoe UI" w:cs="Segoe UI"/>
          <w:bdr w:val="nil"/>
        </w:rPr>
        <w:t xml:space="preserve">: </w:t>
      </w:r>
      <w:r w:rsidR="00733FD1" w:rsidRPr="00D61710">
        <w:rPr>
          <w:rFonts w:ascii="Segoe UI" w:hAnsi="Segoe UI" w:cs="Segoe UI"/>
          <w:bdr w:val="nil"/>
        </w:rPr>
        <w:t xml:space="preserve">I - absorção de prejuízos que ultrapassarem os lucros acumulados e as reservas de lucros (artigo 189, parágrafo único); </w:t>
      </w:r>
      <w:bookmarkStart w:id="3" w:name="art200ii"/>
      <w:bookmarkEnd w:id="3"/>
      <w:r w:rsidR="00733FD1" w:rsidRPr="00D61710">
        <w:rPr>
          <w:rFonts w:ascii="Segoe UI" w:hAnsi="Segoe UI" w:cs="Segoe UI"/>
          <w:bdr w:val="nil"/>
        </w:rPr>
        <w:t xml:space="preserve">II - resgate, reembolso ou compra de ações; </w:t>
      </w:r>
      <w:bookmarkStart w:id="4" w:name="art200iii"/>
      <w:bookmarkEnd w:id="4"/>
      <w:r w:rsidR="00733FD1" w:rsidRPr="00D61710">
        <w:rPr>
          <w:rFonts w:ascii="Segoe UI" w:hAnsi="Segoe UI" w:cs="Segoe UI"/>
          <w:bdr w:val="nil"/>
        </w:rPr>
        <w:t xml:space="preserve">III - resgate de partes beneficiárias; </w:t>
      </w:r>
      <w:bookmarkStart w:id="5" w:name="art200iv"/>
      <w:bookmarkEnd w:id="5"/>
      <w:r w:rsidR="00733FD1" w:rsidRPr="00D61710">
        <w:rPr>
          <w:rFonts w:ascii="Segoe UI" w:hAnsi="Segoe UI" w:cs="Segoe UI"/>
          <w:bdr w:val="nil"/>
        </w:rPr>
        <w:t xml:space="preserve">IV - incorporação ao capital social; </w:t>
      </w:r>
      <w:bookmarkStart w:id="6" w:name="art200v"/>
      <w:bookmarkEnd w:id="6"/>
      <w:r w:rsidR="00733FD1" w:rsidRPr="00D61710">
        <w:rPr>
          <w:rFonts w:ascii="Segoe UI" w:hAnsi="Segoe UI" w:cs="Segoe UI"/>
          <w:bdr w:val="nil"/>
        </w:rPr>
        <w:t xml:space="preserve">V - pagamento de dividendo a ações preferenciais, </w:t>
      </w:r>
      <w:r w:rsidR="00733FD1" w:rsidRPr="00D61710">
        <w:rPr>
          <w:rFonts w:ascii="Segoe UI" w:hAnsi="Segoe UI" w:cs="Segoe UI"/>
          <w:bdr w:val="nil"/>
        </w:rPr>
        <w:lastRenderedPageBreak/>
        <w:t>quando essa vantagem lhes for assegurada (artigo 17, § 5º).</w:t>
      </w:r>
      <w:r w:rsidR="00A01A36">
        <w:rPr>
          <w:rFonts w:ascii="Segoe UI" w:hAnsi="Segoe UI" w:cs="Segoe UI"/>
          <w:bdr w:val="nil"/>
        </w:rPr>
        <w:t xml:space="preserve">” </w:t>
      </w:r>
    </w:p>
    <w:p w14:paraId="118D2B05" w14:textId="77777777" w:rsidR="00CD7D6F" w:rsidRDefault="00CD7D6F" w:rsidP="00CD7D6F">
      <w:pPr>
        <w:widowControl w:val="0"/>
        <w:autoSpaceDE w:val="0"/>
        <w:autoSpaceDN w:val="0"/>
        <w:spacing w:before="240" w:after="120"/>
        <w:jc w:val="both"/>
        <w:rPr>
          <w:rFonts w:ascii="Segoe UI" w:hAnsi="Segoe UI" w:cs="Segoe UI"/>
          <w:b/>
          <w:color w:val="0070C0"/>
          <w:bdr w:val="nil"/>
        </w:rPr>
      </w:pPr>
      <w:r w:rsidRPr="00616E24">
        <w:rPr>
          <w:rFonts w:ascii="Segoe UI" w:hAnsi="Segoe UI" w:cs="Segoe UI"/>
          <w:b/>
          <w:color w:val="0070C0"/>
          <w:bdr w:val="nil"/>
        </w:rPr>
        <w:t>2.4.</w:t>
      </w:r>
      <w:r>
        <w:rPr>
          <w:rFonts w:ascii="Segoe UI" w:hAnsi="Segoe UI" w:cs="Segoe UI"/>
          <w:b/>
          <w:color w:val="0070C0"/>
          <w:bdr w:val="nil"/>
        </w:rPr>
        <w:t>29</w:t>
      </w:r>
      <w:r w:rsidRPr="00616E24">
        <w:rPr>
          <w:rFonts w:ascii="Segoe UI" w:hAnsi="Segoe UI" w:cs="Segoe UI"/>
          <w:b/>
          <w:color w:val="0070C0"/>
          <w:bdr w:val="nil"/>
        </w:rPr>
        <w:t>.</w:t>
      </w:r>
      <w:r>
        <w:rPr>
          <w:rFonts w:ascii="Segoe UI" w:hAnsi="Segoe UI" w:cs="Segoe UI"/>
          <w:b/>
          <w:color w:val="0070C0"/>
          <w:bdr w:val="nil"/>
        </w:rPr>
        <w:t>3</w:t>
      </w:r>
      <w:r w:rsidRPr="00616E24">
        <w:rPr>
          <w:rFonts w:ascii="Segoe UI" w:hAnsi="Segoe UI" w:cs="Segoe UI"/>
          <w:b/>
          <w:color w:val="0070C0"/>
          <w:bdr w:val="nil"/>
        </w:rPr>
        <w:t xml:space="preserve"> – </w:t>
      </w:r>
      <w:r>
        <w:rPr>
          <w:rFonts w:ascii="Segoe UI" w:hAnsi="Segoe UI" w:cs="Segoe UI"/>
          <w:b/>
          <w:color w:val="0070C0"/>
          <w:bdr w:val="nil"/>
        </w:rPr>
        <w:t>Dividendos</w:t>
      </w:r>
    </w:p>
    <w:p w14:paraId="729A3DC4" w14:textId="078EEFAB" w:rsidR="00CD7D6F" w:rsidRPr="00CD7D6F" w:rsidRDefault="00CD7D6F" w:rsidP="00CD7D6F">
      <w:pPr>
        <w:widowControl w:val="0"/>
        <w:autoSpaceDE w:val="0"/>
        <w:autoSpaceDN w:val="0"/>
        <w:spacing w:before="240" w:after="120"/>
        <w:jc w:val="both"/>
        <w:rPr>
          <w:rFonts w:ascii="Segoe UI" w:hAnsi="Segoe UI" w:cs="Segoe UI"/>
          <w:b/>
          <w:color w:val="0070C0"/>
          <w:bdr w:val="nil"/>
        </w:rPr>
      </w:pPr>
      <w:r w:rsidRPr="008E62D0">
        <w:rPr>
          <w:rFonts w:ascii="Segoe UI" w:hAnsi="Segoe UI" w:cs="Segoe UI"/>
        </w:rPr>
        <w:t xml:space="preserve">A </w:t>
      </w:r>
      <w:r>
        <w:rPr>
          <w:rFonts w:ascii="Segoe UI" w:hAnsi="Segoe UI" w:cs="Segoe UI"/>
        </w:rPr>
        <w:t xml:space="preserve">Companhia </w:t>
      </w:r>
      <w:r w:rsidRPr="008E62D0">
        <w:rPr>
          <w:rFonts w:ascii="Segoe UI" w:hAnsi="Segoe UI" w:cs="Segoe UI"/>
        </w:rPr>
        <w:t xml:space="preserve">possui </w:t>
      </w:r>
      <w:r>
        <w:rPr>
          <w:rFonts w:ascii="Segoe UI" w:hAnsi="Segoe UI" w:cs="Segoe UI"/>
        </w:rPr>
        <w:t>em seu</w:t>
      </w:r>
      <w:r w:rsidRPr="008E62D0">
        <w:rPr>
          <w:rFonts w:ascii="Segoe UI" w:hAnsi="Segoe UI" w:cs="Segoe UI"/>
        </w:rPr>
        <w:t xml:space="preserve"> Estatuto Social</w:t>
      </w:r>
      <w:r>
        <w:rPr>
          <w:rFonts w:ascii="Segoe UI" w:hAnsi="Segoe UI" w:cs="Segoe UI"/>
        </w:rPr>
        <w:t xml:space="preserve"> e conforme legislação vigente</w:t>
      </w:r>
      <w:r w:rsidRPr="008E62D0">
        <w:rPr>
          <w:rFonts w:ascii="Segoe UI" w:hAnsi="Segoe UI" w:cs="Segoe UI"/>
        </w:rPr>
        <w:t xml:space="preserve">, o </w:t>
      </w:r>
      <w:r>
        <w:rPr>
          <w:rFonts w:ascii="Segoe UI" w:hAnsi="Segoe UI" w:cs="Segoe UI"/>
        </w:rPr>
        <w:t xml:space="preserve">pagamento mínimo de 25% de </w:t>
      </w:r>
      <w:r w:rsidRPr="008E62D0">
        <w:rPr>
          <w:rFonts w:ascii="Segoe UI" w:hAnsi="Segoe UI" w:cs="Segoe UI"/>
        </w:rPr>
        <w:t xml:space="preserve">dividendos </w:t>
      </w:r>
      <w:r>
        <w:rPr>
          <w:rFonts w:ascii="Segoe UI" w:hAnsi="Segoe UI" w:cs="Segoe UI"/>
        </w:rPr>
        <w:t xml:space="preserve">sobre o lucro </w:t>
      </w:r>
      <w:r w:rsidRPr="008E62D0">
        <w:rPr>
          <w:rFonts w:ascii="Segoe UI" w:hAnsi="Segoe UI" w:cs="Segoe UI"/>
        </w:rPr>
        <w:t>líquido ajustado</w:t>
      </w:r>
      <w:r>
        <w:rPr>
          <w:rFonts w:ascii="Segoe UI" w:hAnsi="Segoe UI" w:cs="Segoe UI"/>
        </w:rPr>
        <w:t>.</w:t>
      </w:r>
    </w:p>
    <w:p w14:paraId="42ACD703" w14:textId="0665ABAF" w:rsidR="00A85831" w:rsidRPr="000757BC" w:rsidRDefault="00A85831" w:rsidP="00A85831">
      <w:pPr>
        <w:widowControl w:val="0"/>
        <w:autoSpaceDE w:val="0"/>
        <w:autoSpaceDN w:val="0"/>
        <w:spacing w:before="240" w:after="120"/>
        <w:jc w:val="both"/>
        <w:rPr>
          <w:rFonts w:ascii="Segoe UI" w:hAnsi="Segoe UI" w:cs="Segoe UI"/>
          <w:b/>
          <w:color w:val="0070C0"/>
          <w:bdr w:val="nil"/>
        </w:rPr>
      </w:pPr>
      <w:r w:rsidRPr="000757BC">
        <w:rPr>
          <w:rFonts w:ascii="Segoe UI" w:hAnsi="Segoe UI" w:cs="Segoe UI"/>
          <w:b/>
          <w:color w:val="0070C0"/>
          <w:bdr w:val="nil"/>
        </w:rPr>
        <w:t>2.4.</w:t>
      </w:r>
      <w:r w:rsidR="004422DA">
        <w:rPr>
          <w:rFonts w:ascii="Segoe UI" w:hAnsi="Segoe UI" w:cs="Segoe UI"/>
          <w:b/>
          <w:color w:val="0070C0"/>
          <w:bdr w:val="nil"/>
        </w:rPr>
        <w:t>30</w:t>
      </w:r>
      <w:r w:rsidRPr="000757BC">
        <w:rPr>
          <w:rFonts w:ascii="Segoe UI" w:hAnsi="Segoe UI" w:cs="Segoe UI"/>
          <w:b/>
          <w:color w:val="0070C0"/>
          <w:bdr w:val="nil"/>
        </w:rPr>
        <w:t xml:space="preserve"> – </w:t>
      </w:r>
      <w:r w:rsidRPr="00A85831">
        <w:rPr>
          <w:rFonts w:ascii="Segoe UI" w:hAnsi="Segoe UI" w:cs="Segoe UI"/>
          <w:b/>
          <w:color w:val="0070C0"/>
          <w:bdr w:val="nil"/>
        </w:rPr>
        <w:t>Ajustes de avaliação patrimonial</w:t>
      </w:r>
    </w:p>
    <w:p w14:paraId="5DE8FEC7" w14:textId="4578E9DB" w:rsidR="007B4BE1" w:rsidRPr="000757BC" w:rsidRDefault="007B4BE1" w:rsidP="00BA4CC0">
      <w:pPr>
        <w:widowControl w:val="0"/>
        <w:autoSpaceDE w:val="0"/>
        <w:autoSpaceDN w:val="0"/>
        <w:spacing w:before="240" w:after="120"/>
        <w:jc w:val="both"/>
        <w:rPr>
          <w:rFonts w:ascii="Segoe UI" w:hAnsi="Segoe UI" w:cs="Segoe UI"/>
          <w:b/>
          <w:color w:val="0070C0"/>
          <w:bdr w:val="nil"/>
        </w:rPr>
      </w:pPr>
      <w:r w:rsidRPr="000757BC">
        <w:rPr>
          <w:rFonts w:ascii="Segoe UI" w:hAnsi="Segoe UI" w:cs="Segoe UI"/>
          <w:b/>
          <w:color w:val="0070C0"/>
          <w:bdr w:val="nil"/>
        </w:rPr>
        <w:t>2.4.</w:t>
      </w:r>
      <w:r w:rsidR="004422DA">
        <w:rPr>
          <w:rFonts w:ascii="Segoe UI" w:hAnsi="Segoe UI" w:cs="Segoe UI"/>
          <w:b/>
          <w:color w:val="0070C0"/>
          <w:bdr w:val="nil"/>
        </w:rPr>
        <w:t>31</w:t>
      </w:r>
      <w:r w:rsidR="00A85831">
        <w:rPr>
          <w:rFonts w:ascii="Segoe UI" w:hAnsi="Segoe UI" w:cs="Segoe UI"/>
          <w:b/>
          <w:color w:val="0070C0"/>
          <w:bdr w:val="nil"/>
        </w:rPr>
        <w:t>.1</w:t>
      </w:r>
      <w:r w:rsidRPr="000757BC">
        <w:rPr>
          <w:rFonts w:ascii="Segoe UI" w:hAnsi="Segoe UI" w:cs="Segoe UI"/>
          <w:b/>
          <w:color w:val="0070C0"/>
          <w:bdr w:val="nil"/>
        </w:rPr>
        <w:t xml:space="preserve"> – Outros resultados abrangentes</w:t>
      </w:r>
      <w:r w:rsidRPr="000757BC">
        <w:rPr>
          <w:rFonts w:ascii="Segoe UI" w:hAnsi="Segoe UI" w:cs="Segoe UI"/>
          <w:b/>
          <w:color w:val="0070C0"/>
        </w:rPr>
        <w:t xml:space="preserve"> </w:t>
      </w:r>
    </w:p>
    <w:p w14:paraId="4E8304F0" w14:textId="77777777" w:rsidR="007B4BE1" w:rsidRPr="000757BC"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Outros resultados abrangentes compreendem itens de receita e despesa que não são reconhecidos na demonstração do resultado. Os componentes dos outros resultados abrangentes incluem:</w:t>
      </w:r>
    </w:p>
    <w:p w14:paraId="13615391" w14:textId="447D47B2" w:rsidR="002A57B6" w:rsidRPr="009638D4" w:rsidRDefault="007B4BE1" w:rsidP="00E03252">
      <w:pPr>
        <w:pStyle w:val="PargrafodaLista"/>
        <w:numPr>
          <w:ilvl w:val="0"/>
          <w:numId w:val="8"/>
        </w:numPr>
        <w:autoSpaceDE w:val="0"/>
        <w:autoSpaceDN w:val="0"/>
        <w:adjustRightInd w:val="0"/>
        <w:spacing w:after="120" w:line="259" w:lineRule="auto"/>
        <w:rPr>
          <w:rFonts w:ascii="Segoe UI" w:hAnsi="Segoe UI" w:cs="Segoe UI"/>
          <w:szCs w:val="22"/>
        </w:rPr>
      </w:pPr>
      <w:r w:rsidRPr="009638D4">
        <w:rPr>
          <w:rFonts w:ascii="Segoe UI" w:hAnsi="Segoe UI" w:cs="Segoe UI"/>
          <w:szCs w:val="22"/>
        </w:rPr>
        <w:t xml:space="preserve">Ganhos e perdas atuariais em planos de pensão com benefício definido; </w:t>
      </w:r>
    </w:p>
    <w:p w14:paraId="1642B353" w14:textId="5C45BEF5" w:rsidR="005B5ADB" w:rsidRPr="009638D4" w:rsidRDefault="002A57B6" w:rsidP="00E03252">
      <w:pPr>
        <w:pStyle w:val="PargrafodaLista"/>
        <w:numPr>
          <w:ilvl w:val="0"/>
          <w:numId w:val="8"/>
        </w:numPr>
        <w:autoSpaceDE w:val="0"/>
        <w:autoSpaceDN w:val="0"/>
        <w:adjustRightInd w:val="0"/>
        <w:spacing w:after="120" w:line="259" w:lineRule="auto"/>
        <w:rPr>
          <w:rFonts w:ascii="Segoe UI" w:hAnsi="Segoe UI" w:cs="Segoe UI"/>
          <w:szCs w:val="22"/>
        </w:rPr>
      </w:pPr>
      <w:bookmarkStart w:id="7" w:name="_Hlk125551794"/>
      <w:r w:rsidRPr="009638D4">
        <w:rPr>
          <w:rFonts w:ascii="Segoe UI" w:hAnsi="Segoe UI" w:cs="Segoe UI"/>
          <w:szCs w:val="22"/>
        </w:rPr>
        <w:t>Ganhos e perdas sobre variação cambial</w:t>
      </w:r>
      <w:r w:rsidR="003E0291">
        <w:rPr>
          <w:rFonts w:ascii="Segoe UI" w:hAnsi="Segoe UI" w:cs="Segoe UI"/>
          <w:szCs w:val="22"/>
        </w:rPr>
        <w:t>,</w:t>
      </w:r>
      <w:r w:rsidRPr="009638D4">
        <w:rPr>
          <w:rFonts w:ascii="Segoe UI" w:hAnsi="Segoe UI" w:cs="Segoe UI"/>
          <w:szCs w:val="22"/>
        </w:rPr>
        <w:t xml:space="preserve"> não realizada financeiramente</w:t>
      </w:r>
      <w:r w:rsidR="003E0291">
        <w:rPr>
          <w:rFonts w:ascii="Segoe UI" w:hAnsi="Segoe UI" w:cs="Segoe UI"/>
          <w:szCs w:val="22"/>
        </w:rPr>
        <w:t>,</w:t>
      </w:r>
      <w:r w:rsidRPr="009638D4">
        <w:rPr>
          <w:rFonts w:ascii="Segoe UI" w:hAnsi="Segoe UI" w:cs="Segoe UI"/>
          <w:szCs w:val="22"/>
        </w:rPr>
        <w:t xml:space="preserve"> aplicad</w:t>
      </w:r>
      <w:r w:rsidR="003E0291">
        <w:rPr>
          <w:rFonts w:ascii="Segoe UI" w:hAnsi="Segoe UI" w:cs="Segoe UI"/>
          <w:szCs w:val="22"/>
        </w:rPr>
        <w:t>os</w:t>
      </w:r>
      <w:r w:rsidRPr="009638D4">
        <w:rPr>
          <w:rFonts w:ascii="Segoe UI" w:hAnsi="Segoe UI" w:cs="Segoe UI"/>
          <w:szCs w:val="22"/>
        </w:rPr>
        <w:t xml:space="preserve"> aos investimentos em outras sociedades; </w:t>
      </w:r>
    </w:p>
    <w:p w14:paraId="17CF9621" w14:textId="2E26F542" w:rsidR="007B4BE1" w:rsidRPr="009638D4" w:rsidRDefault="005B5ADB" w:rsidP="00E03252">
      <w:pPr>
        <w:pStyle w:val="PargrafodaLista"/>
        <w:numPr>
          <w:ilvl w:val="0"/>
          <w:numId w:val="8"/>
        </w:numPr>
        <w:autoSpaceDE w:val="0"/>
        <w:autoSpaceDN w:val="0"/>
        <w:adjustRightInd w:val="0"/>
        <w:spacing w:after="120" w:line="259" w:lineRule="auto"/>
        <w:rPr>
          <w:rFonts w:ascii="Segoe UI" w:hAnsi="Segoe UI" w:cs="Segoe UI"/>
          <w:szCs w:val="22"/>
        </w:rPr>
      </w:pPr>
      <w:r w:rsidRPr="009638D4">
        <w:rPr>
          <w:rFonts w:ascii="Segoe UI" w:hAnsi="Segoe UI" w:cs="Segoe UI"/>
          <w:szCs w:val="22"/>
        </w:rPr>
        <w:t xml:space="preserve">Reavaliação da Reserva de Reavaliação; </w:t>
      </w:r>
      <w:r w:rsidR="007B4BE1" w:rsidRPr="009638D4">
        <w:rPr>
          <w:rFonts w:ascii="Segoe UI" w:hAnsi="Segoe UI" w:cs="Segoe UI"/>
          <w:szCs w:val="22"/>
        </w:rPr>
        <w:t>e</w:t>
      </w:r>
    </w:p>
    <w:bookmarkEnd w:id="7"/>
    <w:p w14:paraId="2B826842" w14:textId="24331B39" w:rsidR="004A78B7" w:rsidRPr="009638D4" w:rsidRDefault="007B4BE1" w:rsidP="00E03252">
      <w:pPr>
        <w:pStyle w:val="PargrafodaLista"/>
        <w:numPr>
          <w:ilvl w:val="0"/>
          <w:numId w:val="8"/>
        </w:numPr>
        <w:autoSpaceDE w:val="0"/>
        <w:autoSpaceDN w:val="0"/>
        <w:adjustRightInd w:val="0"/>
        <w:spacing w:after="120" w:line="259" w:lineRule="auto"/>
        <w:rPr>
          <w:rFonts w:ascii="Segoe UI" w:hAnsi="Segoe UI" w:cs="Segoe UI"/>
          <w:szCs w:val="22"/>
        </w:rPr>
      </w:pPr>
      <w:r w:rsidRPr="009638D4">
        <w:rPr>
          <w:rFonts w:ascii="Segoe UI" w:hAnsi="Segoe UI" w:cs="Segoe UI"/>
          <w:szCs w:val="22"/>
        </w:rPr>
        <w:t>Impacto de imposto de renda e contribuição social diferidos sobre os itens registrados em outros resultados abrangentes.</w:t>
      </w:r>
    </w:p>
    <w:p w14:paraId="67C6AFFF" w14:textId="6AE09584" w:rsidR="007B4BE1" w:rsidRPr="000757BC" w:rsidRDefault="007B4BE1" w:rsidP="00BA4CC0">
      <w:pPr>
        <w:widowControl w:val="0"/>
        <w:autoSpaceDE w:val="0"/>
        <w:autoSpaceDN w:val="0"/>
        <w:spacing w:before="240" w:after="120"/>
        <w:jc w:val="both"/>
        <w:rPr>
          <w:rFonts w:ascii="Segoe UI" w:hAnsi="Segoe UI" w:cs="Segoe UI"/>
          <w:b/>
          <w:color w:val="0070C0"/>
          <w:bdr w:val="nil"/>
        </w:rPr>
      </w:pPr>
      <w:r w:rsidRPr="000757BC">
        <w:rPr>
          <w:rFonts w:ascii="Segoe UI" w:hAnsi="Segoe UI" w:cs="Segoe UI"/>
          <w:b/>
          <w:color w:val="0070C0"/>
          <w:bdr w:val="nil"/>
        </w:rPr>
        <w:t>2.4.</w:t>
      </w:r>
      <w:r w:rsidR="00445F27">
        <w:rPr>
          <w:rFonts w:ascii="Segoe UI" w:hAnsi="Segoe UI" w:cs="Segoe UI"/>
          <w:b/>
          <w:color w:val="0070C0"/>
          <w:bdr w:val="nil"/>
        </w:rPr>
        <w:t>3</w:t>
      </w:r>
      <w:r w:rsidR="004422DA">
        <w:rPr>
          <w:rFonts w:ascii="Segoe UI" w:hAnsi="Segoe UI" w:cs="Segoe UI"/>
          <w:b/>
          <w:color w:val="0070C0"/>
          <w:bdr w:val="nil"/>
        </w:rPr>
        <w:t>2</w:t>
      </w:r>
      <w:r w:rsidRPr="000757BC">
        <w:rPr>
          <w:rFonts w:ascii="Segoe UI" w:hAnsi="Segoe UI" w:cs="Segoe UI"/>
          <w:b/>
          <w:color w:val="0070C0"/>
          <w:bdr w:val="nil"/>
        </w:rPr>
        <w:t xml:space="preserve"> – Reconhecimento de receita</w:t>
      </w:r>
      <w:r w:rsidRPr="000757BC">
        <w:rPr>
          <w:rFonts w:ascii="Segoe UI" w:hAnsi="Segoe UI" w:cs="Segoe UI"/>
          <w:b/>
          <w:color w:val="0070C0"/>
        </w:rPr>
        <w:t xml:space="preserve"> </w:t>
      </w:r>
    </w:p>
    <w:p w14:paraId="4EC7F3C4" w14:textId="7F4131CA" w:rsidR="000B3334"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A norma estabelece um modelo de cinco etapas, sendo elas, (1) identificação do contrato, (2) identificação das obrigações de desempenho separadas nos contratos, (3) determinação do preço da transação, (4) alocação do preço de transação às obrigações de desempenho separadas e (5) reconhecimento da receita, para determinar quando reconhecer a receita, e por qual valor. O modelo especifica que a receita deve ser reconhecida quando (ou conforme) uma entidade transfere o controle de bens ou serviços para os clientes, pelo valor que a entidade espera ter direito a receber. </w:t>
      </w:r>
    </w:p>
    <w:p w14:paraId="67DF74F3" w14:textId="447B2D2F" w:rsidR="007B4BE1" w:rsidRPr="000757BC" w:rsidRDefault="00546002" w:rsidP="00A42562">
      <w:pPr>
        <w:rPr>
          <w:rFonts w:ascii="Segoe UI" w:hAnsi="Segoe UI" w:cs="Segoe UI"/>
        </w:rPr>
      </w:pPr>
      <w:r>
        <w:rPr>
          <w:rFonts w:ascii="Segoe UI" w:hAnsi="Segoe UI" w:cs="Segoe UI"/>
        </w:rPr>
        <w:t>A</w:t>
      </w:r>
      <w:r w:rsidRPr="000757BC">
        <w:rPr>
          <w:rFonts w:ascii="Segoe UI" w:hAnsi="Segoe UI" w:cs="Segoe UI"/>
        </w:rPr>
        <w:t xml:space="preserve"> receita é reconhecida </w:t>
      </w:r>
      <w:r>
        <w:rPr>
          <w:rFonts w:ascii="Segoe UI" w:hAnsi="Segoe UI" w:cs="Segoe UI"/>
        </w:rPr>
        <w:t>d</w:t>
      </w:r>
      <w:r w:rsidR="007B4BE1" w:rsidRPr="000757BC">
        <w:rPr>
          <w:rFonts w:ascii="Segoe UI" w:hAnsi="Segoe UI" w:cs="Segoe UI"/>
        </w:rPr>
        <w:t>ependendo se determinados critérios são cumpridos:</w:t>
      </w:r>
    </w:p>
    <w:p w14:paraId="02968AD0" w14:textId="77777777" w:rsidR="007B4BE1" w:rsidRPr="00805684" w:rsidRDefault="007B4BE1" w:rsidP="00E03252">
      <w:pPr>
        <w:pStyle w:val="PargrafodaLista"/>
        <w:numPr>
          <w:ilvl w:val="0"/>
          <w:numId w:val="6"/>
        </w:numPr>
        <w:adjustRightInd w:val="0"/>
        <w:spacing w:before="120" w:after="120" w:line="259" w:lineRule="auto"/>
        <w:ind w:left="714" w:hanging="357"/>
        <w:rPr>
          <w:rFonts w:ascii="Segoe UI" w:eastAsiaTheme="minorHAnsi" w:hAnsi="Segoe UI" w:cs="Segoe UI"/>
          <w:szCs w:val="22"/>
          <w:bdr w:val="nil"/>
          <w:lang w:eastAsia="en-US"/>
        </w:rPr>
      </w:pPr>
      <w:r w:rsidRPr="00805684">
        <w:rPr>
          <w:rFonts w:ascii="Segoe UI" w:eastAsiaTheme="minorHAnsi" w:hAnsi="Segoe UI" w:cs="Segoe UI"/>
          <w:szCs w:val="22"/>
          <w:bdr w:val="nil"/>
          <w:lang w:eastAsia="en-US"/>
        </w:rPr>
        <w:t>Com o passar do tempo, de uma forma a refletir o desempenho da entidade da melhor maneira possível; ou</w:t>
      </w:r>
    </w:p>
    <w:p w14:paraId="6457FCB1" w14:textId="495DB8AF" w:rsidR="007B4BE1" w:rsidRPr="00805684" w:rsidRDefault="007B4BE1" w:rsidP="00E03252">
      <w:pPr>
        <w:pStyle w:val="PargrafodaLista"/>
        <w:numPr>
          <w:ilvl w:val="0"/>
          <w:numId w:val="6"/>
        </w:numPr>
        <w:adjustRightInd w:val="0"/>
        <w:spacing w:before="120" w:after="120" w:line="259" w:lineRule="auto"/>
        <w:ind w:left="714" w:hanging="357"/>
        <w:rPr>
          <w:rFonts w:ascii="Segoe UI" w:eastAsiaTheme="minorHAnsi" w:hAnsi="Segoe UI" w:cs="Segoe UI"/>
          <w:szCs w:val="22"/>
          <w:bdr w:val="nil"/>
          <w:lang w:eastAsia="en-US"/>
        </w:rPr>
      </w:pPr>
      <w:r w:rsidRPr="00805684">
        <w:rPr>
          <w:rFonts w:ascii="Segoe UI" w:eastAsiaTheme="minorHAnsi" w:hAnsi="Segoe UI" w:cs="Segoe UI"/>
          <w:szCs w:val="22"/>
          <w:bdr w:val="nil"/>
          <w:lang w:eastAsia="en-US"/>
        </w:rPr>
        <w:t>Em um determinado momento, quando o controle do bem ou serviço é transferido para o cliente.</w:t>
      </w:r>
    </w:p>
    <w:p w14:paraId="1E85F5CF" w14:textId="6406B181" w:rsidR="007B4BE1" w:rsidRDefault="007B4BE1" w:rsidP="00BA4CC0">
      <w:pPr>
        <w:widowControl w:val="0"/>
        <w:autoSpaceDE w:val="0"/>
        <w:autoSpaceDN w:val="0"/>
        <w:spacing w:before="240" w:after="120"/>
        <w:jc w:val="both"/>
        <w:rPr>
          <w:rFonts w:ascii="Segoe UI" w:hAnsi="Segoe UI" w:cs="Segoe UI"/>
          <w:bdr w:val="nil"/>
        </w:rPr>
      </w:pPr>
      <w:r w:rsidRPr="000757BC">
        <w:rPr>
          <w:rFonts w:ascii="Segoe UI" w:hAnsi="Segoe UI" w:cs="Segoe UI"/>
          <w:bdr w:val="nil"/>
        </w:rPr>
        <w:t>A receita da Companhia compreende o valor justo da contraprestação recebida ou a receber pela comercialização de energia no curso normal de suas atividades. A receita proveniente da venda da geração de energia é registrada com base na energia assegurada e com tarifas especificadas nos termos do contrato de fornecimento.</w:t>
      </w:r>
    </w:p>
    <w:p w14:paraId="6FD494E0" w14:textId="77777777" w:rsidR="00594C79" w:rsidRDefault="00594C79">
      <w:pPr>
        <w:rPr>
          <w:rFonts w:ascii="Segoe UI" w:hAnsi="Segoe UI" w:cs="Segoe UI"/>
          <w:bdr w:val="nil"/>
        </w:rPr>
      </w:pPr>
      <w:r>
        <w:rPr>
          <w:rFonts w:ascii="Segoe UI" w:hAnsi="Segoe UI" w:cs="Segoe UI"/>
          <w:bdr w:val="nil"/>
        </w:rPr>
        <w:br w:type="page"/>
      </w:r>
    </w:p>
    <w:p w14:paraId="14C0017B" w14:textId="537F8C05" w:rsidR="00546002" w:rsidRDefault="00546002" w:rsidP="00F65C4F">
      <w:pPr>
        <w:rPr>
          <w:rFonts w:ascii="Segoe UI" w:hAnsi="Segoe UI" w:cs="Segoe UI"/>
          <w:b/>
          <w:color w:val="0070C0"/>
          <w:bdr w:val="nil"/>
        </w:rPr>
      </w:pPr>
      <w:r w:rsidRPr="006B341A">
        <w:rPr>
          <w:rFonts w:ascii="Segoe UI" w:hAnsi="Segoe UI" w:cs="Segoe UI"/>
          <w:b/>
          <w:color w:val="0070C0"/>
          <w:bdr w:val="nil"/>
        </w:rPr>
        <w:lastRenderedPageBreak/>
        <w:t>2.4.3</w:t>
      </w:r>
      <w:r w:rsidR="004422DA" w:rsidRPr="006B341A">
        <w:rPr>
          <w:rFonts w:ascii="Segoe UI" w:hAnsi="Segoe UI" w:cs="Segoe UI"/>
          <w:b/>
          <w:color w:val="0070C0"/>
          <w:bdr w:val="nil"/>
        </w:rPr>
        <w:t>3</w:t>
      </w:r>
      <w:r w:rsidRPr="006B341A">
        <w:rPr>
          <w:rFonts w:ascii="Segoe UI" w:hAnsi="Segoe UI" w:cs="Segoe UI"/>
          <w:b/>
          <w:color w:val="0070C0"/>
          <w:bdr w:val="nil"/>
        </w:rPr>
        <w:t xml:space="preserve"> – </w:t>
      </w:r>
      <w:r w:rsidR="00EC0AEE">
        <w:rPr>
          <w:rFonts w:ascii="Segoe UI" w:hAnsi="Segoe UI" w:cs="Segoe UI"/>
          <w:b/>
          <w:color w:val="0070C0"/>
          <w:bdr w:val="nil"/>
        </w:rPr>
        <w:t>Rec</w:t>
      </w:r>
      <w:r w:rsidR="00425E1D">
        <w:rPr>
          <w:rFonts w:ascii="Segoe UI" w:hAnsi="Segoe UI" w:cs="Segoe UI"/>
          <w:b/>
          <w:color w:val="0070C0"/>
          <w:bdr w:val="nil"/>
        </w:rPr>
        <w:t>o</w:t>
      </w:r>
      <w:r w:rsidR="00EC0AEE">
        <w:rPr>
          <w:rFonts w:ascii="Segoe UI" w:hAnsi="Segoe UI" w:cs="Segoe UI"/>
          <w:b/>
          <w:color w:val="0070C0"/>
          <w:bdr w:val="nil"/>
        </w:rPr>
        <w:t>nhecimento da despesa</w:t>
      </w:r>
    </w:p>
    <w:p w14:paraId="0F5A5BD1" w14:textId="2ABA386B" w:rsidR="002C4F36" w:rsidRDefault="00E4270E" w:rsidP="00594C79">
      <w:pPr>
        <w:widowControl w:val="0"/>
        <w:autoSpaceDE w:val="0"/>
        <w:autoSpaceDN w:val="0"/>
        <w:spacing w:before="240" w:after="120"/>
        <w:jc w:val="both"/>
        <w:rPr>
          <w:rFonts w:ascii="Segoe UI" w:hAnsi="Segoe UI" w:cs="Segoe UI"/>
          <w:b/>
          <w:color w:val="0070C0"/>
          <w:bdr w:val="nil"/>
        </w:rPr>
      </w:pPr>
      <w:r>
        <w:rPr>
          <w:rFonts w:ascii="Segoe UI" w:hAnsi="Segoe UI" w:cs="Segoe UI"/>
          <w:bdr w:val="nil"/>
        </w:rPr>
        <w:t xml:space="preserve">Os valores </w:t>
      </w:r>
      <w:r w:rsidR="00543E85">
        <w:rPr>
          <w:rFonts w:ascii="Segoe UI" w:hAnsi="Segoe UI" w:cs="Segoe UI"/>
          <w:bdr w:val="nil"/>
        </w:rPr>
        <w:t xml:space="preserve">lançados como </w:t>
      </w:r>
      <w:r w:rsidR="00EC0AEE">
        <w:rPr>
          <w:rFonts w:ascii="Segoe UI" w:hAnsi="Segoe UI" w:cs="Segoe UI"/>
          <w:bdr w:val="nil"/>
        </w:rPr>
        <w:t xml:space="preserve">despesa são </w:t>
      </w:r>
      <w:r w:rsidR="00224A23">
        <w:rPr>
          <w:rFonts w:ascii="Segoe UI" w:hAnsi="Segoe UI" w:cs="Segoe UI"/>
          <w:bdr w:val="nil"/>
        </w:rPr>
        <w:t>reconhecidos por competência</w:t>
      </w:r>
      <w:r w:rsidR="00EB18C6">
        <w:rPr>
          <w:rFonts w:ascii="Segoe UI" w:hAnsi="Segoe UI" w:cs="Segoe UI"/>
          <w:bdr w:val="nil"/>
        </w:rPr>
        <w:t>.</w:t>
      </w:r>
    </w:p>
    <w:p w14:paraId="1433D913" w14:textId="0AE664A0" w:rsidR="007B4BE1" w:rsidRPr="000757BC" w:rsidRDefault="007B4BE1" w:rsidP="00BA4CC0">
      <w:pPr>
        <w:widowControl w:val="0"/>
        <w:autoSpaceDE w:val="0"/>
        <w:autoSpaceDN w:val="0"/>
        <w:spacing w:before="240" w:after="120"/>
        <w:jc w:val="both"/>
        <w:rPr>
          <w:rFonts w:ascii="Segoe UI" w:hAnsi="Segoe UI" w:cs="Segoe UI"/>
          <w:b/>
          <w:color w:val="0070C0"/>
          <w:bdr w:val="nil"/>
        </w:rPr>
      </w:pPr>
      <w:r w:rsidRPr="000757BC">
        <w:rPr>
          <w:rFonts w:ascii="Segoe UI" w:hAnsi="Segoe UI" w:cs="Segoe UI"/>
          <w:b/>
          <w:color w:val="0070C0"/>
          <w:bdr w:val="nil"/>
        </w:rPr>
        <w:t>2.4.</w:t>
      </w:r>
      <w:r w:rsidR="00373985">
        <w:rPr>
          <w:rFonts w:ascii="Segoe UI" w:hAnsi="Segoe UI" w:cs="Segoe UI"/>
          <w:b/>
          <w:color w:val="0070C0"/>
          <w:bdr w:val="nil"/>
        </w:rPr>
        <w:t>3</w:t>
      </w:r>
      <w:r w:rsidR="00BF3C1D">
        <w:rPr>
          <w:rFonts w:ascii="Segoe UI" w:hAnsi="Segoe UI" w:cs="Segoe UI"/>
          <w:b/>
          <w:color w:val="0070C0"/>
          <w:bdr w:val="nil"/>
        </w:rPr>
        <w:t>4</w:t>
      </w:r>
      <w:r w:rsidRPr="000757BC">
        <w:rPr>
          <w:rFonts w:ascii="Segoe UI" w:hAnsi="Segoe UI" w:cs="Segoe UI"/>
          <w:b/>
          <w:color w:val="0070C0"/>
          <w:bdr w:val="nil"/>
        </w:rPr>
        <w:t xml:space="preserve"> – Resultado financeiro</w:t>
      </w:r>
      <w:r w:rsidRPr="000757BC">
        <w:rPr>
          <w:rFonts w:ascii="Segoe UI" w:hAnsi="Segoe UI" w:cs="Segoe UI"/>
          <w:b/>
          <w:color w:val="0070C0"/>
        </w:rPr>
        <w:t xml:space="preserve"> </w:t>
      </w:r>
    </w:p>
    <w:p w14:paraId="241B5D56" w14:textId="77777777"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As transações em moeda estrangeira são convertidas para a moeda funcional utilizando a taxa de câmbio vigente na data das transações. Os ganhos e as perdas cambiais resultantes da conversão pela taxa de câmbio do fim do período são reconhecidos no resultado como despesa ou receita financeira.</w:t>
      </w:r>
    </w:p>
    <w:p w14:paraId="48D85EE5" w14:textId="77777777" w:rsidR="007B4BE1"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São registrados também os juros dos passivos de arrendamentos, os efeitos dos encargos dos títulos de dívidas sobre empréstimos, financiamentos e debêntures, e os ganhos e perdas referente as aplicações financeiras. Maiores informações sobre as práticas contábeis das transações citadas podem ser observadas nas respectivas notas explicativas.</w:t>
      </w:r>
    </w:p>
    <w:p w14:paraId="2FBD48F1" w14:textId="097B8594" w:rsidR="007B4BE1" w:rsidRPr="000757BC" w:rsidRDefault="007B4BE1" w:rsidP="00BA4CC0">
      <w:pPr>
        <w:widowControl w:val="0"/>
        <w:autoSpaceDE w:val="0"/>
        <w:autoSpaceDN w:val="0"/>
        <w:spacing w:before="240" w:after="120"/>
        <w:jc w:val="both"/>
        <w:rPr>
          <w:rFonts w:ascii="Segoe UI" w:hAnsi="Segoe UI" w:cs="Segoe UI"/>
          <w:b/>
          <w:color w:val="0070C0"/>
          <w:bdr w:val="nil"/>
        </w:rPr>
      </w:pPr>
      <w:r w:rsidRPr="000757BC">
        <w:rPr>
          <w:rFonts w:ascii="Segoe UI" w:hAnsi="Segoe UI" w:cs="Segoe UI"/>
          <w:b/>
          <w:color w:val="0070C0"/>
          <w:bdr w:val="nil"/>
        </w:rPr>
        <w:t>2.4.</w:t>
      </w:r>
      <w:r w:rsidR="00373985">
        <w:rPr>
          <w:rFonts w:ascii="Segoe UI" w:hAnsi="Segoe UI" w:cs="Segoe UI"/>
          <w:b/>
          <w:color w:val="0070C0"/>
          <w:bdr w:val="nil"/>
        </w:rPr>
        <w:t>3</w:t>
      </w:r>
      <w:r w:rsidR="00BF3C1D">
        <w:rPr>
          <w:rFonts w:ascii="Segoe UI" w:hAnsi="Segoe UI" w:cs="Segoe UI"/>
          <w:b/>
          <w:color w:val="0070C0"/>
          <w:bdr w:val="nil"/>
        </w:rPr>
        <w:t>5</w:t>
      </w:r>
      <w:r w:rsidRPr="000757BC">
        <w:rPr>
          <w:rFonts w:ascii="Segoe UI" w:hAnsi="Segoe UI" w:cs="Segoe UI"/>
          <w:b/>
          <w:color w:val="0070C0"/>
          <w:bdr w:val="nil"/>
        </w:rPr>
        <w:t xml:space="preserve"> – Lucro por ação</w:t>
      </w:r>
      <w:r w:rsidRPr="000757BC">
        <w:rPr>
          <w:rFonts w:ascii="Segoe UI" w:hAnsi="Segoe UI" w:cs="Segoe UI"/>
          <w:b/>
          <w:color w:val="0070C0"/>
        </w:rPr>
        <w:t xml:space="preserve"> </w:t>
      </w:r>
    </w:p>
    <w:p w14:paraId="65C89189" w14:textId="01D493E3" w:rsidR="004A78B7" w:rsidRPr="000757BC" w:rsidRDefault="007B4BE1" w:rsidP="00BA4CC0">
      <w:pPr>
        <w:autoSpaceDE w:val="0"/>
        <w:autoSpaceDN w:val="0"/>
        <w:adjustRightInd w:val="0"/>
        <w:spacing w:before="240" w:after="120"/>
        <w:jc w:val="both"/>
        <w:rPr>
          <w:rFonts w:ascii="Segoe UI" w:hAnsi="Segoe UI" w:cs="Segoe UI"/>
        </w:rPr>
      </w:pPr>
      <w:r w:rsidRPr="000757BC">
        <w:rPr>
          <w:rFonts w:ascii="Segoe UI" w:hAnsi="Segoe UI" w:cs="Segoe UI"/>
        </w:rPr>
        <w:t xml:space="preserve">Para a obtenção do resultado básico por ação, a ENBPar divide o lucro ou prejuízo atribuível aos titulares pela </w:t>
      </w:r>
      <w:r w:rsidR="00546002">
        <w:rPr>
          <w:rFonts w:ascii="Segoe UI" w:hAnsi="Segoe UI" w:cs="Segoe UI"/>
        </w:rPr>
        <w:t xml:space="preserve">respectiva </w:t>
      </w:r>
      <w:r w:rsidRPr="000757BC">
        <w:rPr>
          <w:rFonts w:ascii="Segoe UI" w:hAnsi="Segoe UI" w:cs="Segoe UI"/>
        </w:rPr>
        <w:t xml:space="preserve">quantidade de ações. No caso de balanço consolidado, o lucro ou prejuízo atribuível à Companhia se refere à parcela da Controladora. </w:t>
      </w:r>
    </w:p>
    <w:p w14:paraId="56B0B699" w14:textId="480332A5" w:rsidR="00550AA0" w:rsidRPr="000757BC" w:rsidRDefault="001D1C65" w:rsidP="00550AA0">
      <w:pPr>
        <w:widowControl w:val="0"/>
        <w:autoSpaceDE w:val="0"/>
        <w:autoSpaceDN w:val="0"/>
        <w:spacing w:before="240" w:after="120"/>
        <w:jc w:val="both"/>
        <w:rPr>
          <w:rFonts w:ascii="Segoe UI" w:hAnsi="Segoe UI" w:cs="Segoe UI"/>
          <w:b/>
          <w:color w:val="0070C0"/>
          <w:bdr w:val="nil"/>
        </w:rPr>
      </w:pPr>
      <w:r w:rsidRPr="000757BC">
        <w:rPr>
          <w:rFonts w:ascii="Segoe UI" w:hAnsi="Segoe UI" w:cs="Segoe UI"/>
          <w:b/>
          <w:color w:val="0070C0"/>
          <w:bdr w:val="nil"/>
        </w:rPr>
        <w:t>2.</w:t>
      </w:r>
      <w:r w:rsidR="00957D07">
        <w:rPr>
          <w:rFonts w:ascii="Segoe UI" w:hAnsi="Segoe UI" w:cs="Segoe UI"/>
          <w:b/>
          <w:color w:val="0070C0"/>
          <w:bdr w:val="nil"/>
        </w:rPr>
        <w:t>4.</w:t>
      </w:r>
      <w:r w:rsidR="00550AA0">
        <w:rPr>
          <w:rFonts w:ascii="Segoe UI" w:hAnsi="Segoe UI" w:cs="Segoe UI"/>
          <w:b/>
          <w:color w:val="0070C0"/>
          <w:bdr w:val="nil"/>
        </w:rPr>
        <w:t>36</w:t>
      </w:r>
      <w:r w:rsidR="00550AA0" w:rsidRPr="000757BC">
        <w:rPr>
          <w:rFonts w:ascii="Segoe UI" w:hAnsi="Segoe UI" w:cs="Segoe UI"/>
          <w:b/>
          <w:color w:val="0070C0"/>
          <w:bdr w:val="nil"/>
        </w:rPr>
        <w:t xml:space="preserve"> – </w:t>
      </w:r>
      <w:r w:rsidR="00FB0294">
        <w:rPr>
          <w:rFonts w:ascii="Segoe UI" w:hAnsi="Segoe UI" w:cs="Segoe UI"/>
          <w:b/>
          <w:color w:val="0070C0"/>
          <w:bdr w:val="nil"/>
        </w:rPr>
        <w:t>Transações entre partes relacionadas</w:t>
      </w:r>
      <w:r w:rsidR="00550AA0" w:rsidRPr="000757BC">
        <w:rPr>
          <w:rFonts w:ascii="Segoe UI" w:hAnsi="Segoe UI" w:cs="Segoe UI"/>
          <w:b/>
          <w:color w:val="0070C0"/>
        </w:rPr>
        <w:t xml:space="preserve"> </w:t>
      </w:r>
    </w:p>
    <w:p w14:paraId="7D3A6AEB" w14:textId="779C76E7" w:rsidR="00550AA0" w:rsidRPr="00550AA0" w:rsidRDefault="00550AA0" w:rsidP="00550AA0">
      <w:pPr>
        <w:autoSpaceDE w:val="0"/>
        <w:autoSpaceDN w:val="0"/>
        <w:adjustRightInd w:val="0"/>
        <w:spacing w:before="240" w:after="120"/>
        <w:jc w:val="both"/>
        <w:rPr>
          <w:rFonts w:ascii="Segoe UI" w:hAnsi="Segoe UI" w:cs="Segoe UI"/>
        </w:rPr>
      </w:pPr>
      <w:r w:rsidRPr="00550AA0">
        <w:rPr>
          <w:rFonts w:ascii="Segoe UI" w:hAnsi="Segoe UI" w:cs="Segoe UI"/>
        </w:rPr>
        <w:t>As transações com partes relacionadas da Companhia</w:t>
      </w:r>
      <w:r>
        <w:rPr>
          <w:rFonts w:ascii="Segoe UI" w:hAnsi="Segoe UI" w:cs="Segoe UI"/>
        </w:rPr>
        <w:t xml:space="preserve"> e suas </w:t>
      </w:r>
      <w:r w:rsidR="003E0291">
        <w:rPr>
          <w:rFonts w:ascii="Segoe UI" w:hAnsi="Segoe UI" w:cs="Segoe UI"/>
        </w:rPr>
        <w:t>c</w:t>
      </w:r>
      <w:r>
        <w:rPr>
          <w:rFonts w:ascii="Segoe UI" w:hAnsi="Segoe UI" w:cs="Segoe UI"/>
        </w:rPr>
        <w:t>ontroladas</w:t>
      </w:r>
      <w:r w:rsidRPr="00550AA0">
        <w:rPr>
          <w:rFonts w:ascii="Segoe UI" w:hAnsi="Segoe UI" w:cs="Segoe UI"/>
        </w:rPr>
        <w:t xml:space="preserve"> são realizadas a preços e condições definidos entre as partes, que levam em consideração as condições que poderiam ser praticadas no mercado com partes não relacionadas, quando aplicável.</w:t>
      </w:r>
    </w:p>
    <w:p w14:paraId="17C82E57" w14:textId="65108FA4" w:rsidR="00D907EC" w:rsidRPr="003E4B16" w:rsidRDefault="00D907EC" w:rsidP="00D907EC">
      <w:pPr>
        <w:spacing w:before="240" w:after="120"/>
        <w:jc w:val="both"/>
        <w:rPr>
          <w:rFonts w:ascii="Segoe UI" w:hAnsi="Segoe UI" w:cs="Segoe UI"/>
          <w:b/>
          <w:color w:val="0070C0"/>
          <w:bdr w:val="nil"/>
        </w:rPr>
      </w:pPr>
      <w:r w:rsidRPr="000757BC">
        <w:rPr>
          <w:rFonts w:ascii="Segoe UI" w:hAnsi="Segoe UI" w:cs="Segoe UI"/>
          <w:b/>
          <w:color w:val="0070C0"/>
          <w:bdr w:val="nil"/>
        </w:rPr>
        <w:t>2.</w:t>
      </w:r>
      <w:r>
        <w:rPr>
          <w:rFonts w:ascii="Segoe UI" w:hAnsi="Segoe UI" w:cs="Segoe UI"/>
          <w:b/>
          <w:color w:val="0070C0"/>
          <w:bdr w:val="nil"/>
        </w:rPr>
        <w:t>4.37</w:t>
      </w:r>
      <w:r w:rsidRPr="000757BC">
        <w:rPr>
          <w:rFonts w:ascii="Segoe UI" w:hAnsi="Segoe UI" w:cs="Segoe UI"/>
          <w:b/>
          <w:color w:val="0070C0"/>
          <w:bdr w:val="nil"/>
        </w:rPr>
        <w:t xml:space="preserve"> </w:t>
      </w:r>
      <w:r w:rsidRPr="003E4B16">
        <w:rPr>
          <w:rFonts w:ascii="Segoe UI" w:hAnsi="Segoe UI" w:cs="Segoe UI"/>
          <w:b/>
          <w:color w:val="0070C0"/>
          <w:bdr w:val="nil"/>
        </w:rPr>
        <w:t xml:space="preserve">- Demonstração do valor adicionado – DVA </w:t>
      </w:r>
    </w:p>
    <w:p w14:paraId="75A67D7E" w14:textId="621B9286" w:rsidR="00D907EC" w:rsidRPr="00C41DD0" w:rsidRDefault="00D907EC" w:rsidP="00D907EC">
      <w:pPr>
        <w:autoSpaceDE w:val="0"/>
        <w:autoSpaceDN w:val="0"/>
        <w:adjustRightInd w:val="0"/>
        <w:spacing w:before="240" w:after="120"/>
        <w:jc w:val="both"/>
        <w:rPr>
          <w:rFonts w:ascii="Segoe UI" w:hAnsi="Segoe UI" w:cs="Segoe UI"/>
        </w:rPr>
      </w:pPr>
      <w:r w:rsidRPr="00C41DD0">
        <w:rPr>
          <w:rFonts w:ascii="Segoe UI" w:hAnsi="Segoe UI" w:cs="Segoe UI"/>
        </w:rPr>
        <w:t xml:space="preserve">Conforme art. 7 da </w:t>
      </w:r>
      <w:r w:rsidR="003E0291">
        <w:rPr>
          <w:rFonts w:ascii="Segoe UI" w:hAnsi="Segoe UI" w:cs="Segoe UI"/>
        </w:rPr>
        <w:t>L</w:t>
      </w:r>
      <w:r w:rsidRPr="00C41DD0">
        <w:rPr>
          <w:rFonts w:ascii="Segoe UI" w:hAnsi="Segoe UI" w:cs="Segoe UI"/>
        </w:rPr>
        <w:t xml:space="preserve">ei </w:t>
      </w:r>
      <w:r w:rsidR="003E0291" w:rsidRPr="00D61710">
        <w:rPr>
          <w:rFonts w:ascii="Segoe UI" w:hAnsi="Segoe UI" w:cs="Segoe UI"/>
          <w:bdr w:val="nil"/>
        </w:rPr>
        <w:t>nº</w:t>
      </w:r>
      <w:r w:rsidR="003E0291" w:rsidRPr="00C41DD0">
        <w:rPr>
          <w:rFonts w:ascii="Segoe UI" w:hAnsi="Segoe UI" w:cs="Segoe UI"/>
        </w:rPr>
        <w:t xml:space="preserve"> 13.303</w:t>
      </w:r>
      <w:r w:rsidR="003E0291">
        <w:rPr>
          <w:rFonts w:ascii="Segoe UI" w:hAnsi="Segoe UI" w:cs="Segoe UI"/>
        </w:rPr>
        <w:t xml:space="preserve"> de 30 de junho de 2016 </w:t>
      </w:r>
      <w:r w:rsidRPr="00C41DD0">
        <w:rPr>
          <w:rFonts w:ascii="Segoe UI" w:hAnsi="Segoe UI" w:cs="Segoe UI"/>
        </w:rPr>
        <w:t>,  aplicam-se a todas as empresas públicas, as sociedades de economia mista de capital fechado e as suas subsidiárias as disposições da Lei nº 6.404, de 15 de dezembro de 1976, e as normas da Comissão de Valores Mobiliários sobre escrituração e elaboração de demonstrações financeiras, inclusive a obrigatoriedade de auditoria independente por auditor registrado nesse órgão.</w:t>
      </w:r>
    </w:p>
    <w:p w14:paraId="0F294C54" w14:textId="77777777" w:rsidR="00D907EC" w:rsidRPr="00C41DD0" w:rsidRDefault="00D907EC" w:rsidP="00D907EC">
      <w:pPr>
        <w:autoSpaceDE w:val="0"/>
        <w:autoSpaceDN w:val="0"/>
        <w:adjustRightInd w:val="0"/>
        <w:spacing w:before="240" w:after="120"/>
        <w:jc w:val="both"/>
        <w:rPr>
          <w:rFonts w:ascii="Segoe UI" w:hAnsi="Segoe UI" w:cs="Segoe UI"/>
        </w:rPr>
      </w:pPr>
      <w:r w:rsidRPr="00C41DD0">
        <w:rPr>
          <w:rFonts w:ascii="Segoe UI" w:hAnsi="Segoe UI" w:cs="Segoe UI"/>
        </w:rPr>
        <w:t xml:space="preserve">Esta demonstração tem como objetivo apresentar informações relativas à riqueza criada pela Companhia e a forma como tais riquezas foram distribuídas. </w:t>
      </w:r>
    </w:p>
    <w:p w14:paraId="6F577884" w14:textId="77777777" w:rsidR="00AB4E83" w:rsidRDefault="00AB4E83">
      <w:pPr>
        <w:rPr>
          <w:rFonts w:ascii="Segoe UI" w:hAnsi="Segoe UI" w:cs="Segoe UI"/>
        </w:rPr>
      </w:pPr>
      <w:r>
        <w:rPr>
          <w:rFonts w:ascii="Segoe UI" w:hAnsi="Segoe UI" w:cs="Segoe UI"/>
        </w:rPr>
        <w:br w:type="page"/>
      </w:r>
    </w:p>
    <w:p w14:paraId="5CFA6698" w14:textId="4F844058" w:rsidR="001D1C65" w:rsidRPr="000757BC" w:rsidRDefault="001D1C65" w:rsidP="00BA4CC0">
      <w:pPr>
        <w:spacing w:before="240" w:after="120"/>
        <w:jc w:val="both"/>
        <w:rPr>
          <w:rFonts w:ascii="Segoe UI" w:hAnsi="Segoe UI" w:cs="Segoe UI"/>
          <w:b/>
          <w:color w:val="0070C0"/>
          <w:bdr w:val="nil"/>
        </w:rPr>
      </w:pPr>
      <w:r w:rsidRPr="000757BC">
        <w:rPr>
          <w:rFonts w:ascii="Segoe UI" w:hAnsi="Segoe UI" w:cs="Segoe UI"/>
          <w:b/>
          <w:color w:val="0070C0"/>
          <w:bdr w:val="nil"/>
        </w:rPr>
        <w:lastRenderedPageBreak/>
        <w:t>2.</w:t>
      </w:r>
      <w:r w:rsidR="00957D07">
        <w:rPr>
          <w:rFonts w:ascii="Segoe UI" w:hAnsi="Segoe UI" w:cs="Segoe UI"/>
          <w:b/>
          <w:color w:val="0070C0"/>
          <w:bdr w:val="nil"/>
        </w:rPr>
        <w:t>4.</w:t>
      </w:r>
      <w:r w:rsidR="00373985">
        <w:rPr>
          <w:rFonts w:ascii="Segoe UI" w:hAnsi="Segoe UI" w:cs="Segoe UI"/>
          <w:b/>
          <w:color w:val="0070C0"/>
          <w:bdr w:val="nil"/>
        </w:rPr>
        <w:t>3</w:t>
      </w:r>
      <w:r w:rsidR="00D907EC">
        <w:rPr>
          <w:rFonts w:ascii="Segoe UI" w:hAnsi="Segoe UI" w:cs="Segoe UI"/>
          <w:b/>
          <w:color w:val="0070C0"/>
          <w:bdr w:val="nil"/>
        </w:rPr>
        <w:t>8</w:t>
      </w:r>
      <w:r w:rsidRPr="000757BC">
        <w:rPr>
          <w:rFonts w:ascii="Segoe UI" w:hAnsi="Segoe UI" w:cs="Segoe UI"/>
          <w:b/>
          <w:color w:val="0070C0"/>
          <w:bdr w:val="nil"/>
        </w:rPr>
        <w:t xml:space="preserve"> – </w:t>
      </w:r>
      <w:r w:rsidR="00312AE5" w:rsidRPr="00312AE5">
        <w:rPr>
          <w:rFonts w:ascii="Segoe UI" w:hAnsi="Segoe UI" w:cs="Segoe UI"/>
          <w:b/>
          <w:color w:val="0070C0"/>
          <w:bdr w:val="nil"/>
        </w:rPr>
        <w:t>Adoção de novas normas e interpretações</w:t>
      </w:r>
    </w:p>
    <w:p w14:paraId="7198358C" w14:textId="342D0255" w:rsidR="00475BE3" w:rsidRDefault="00475BE3" w:rsidP="00BA4CC0">
      <w:pPr>
        <w:spacing w:before="240" w:after="120"/>
        <w:jc w:val="both"/>
        <w:rPr>
          <w:rFonts w:ascii="Segoe UI" w:hAnsi="Segoe UI" w:cs="Segoe UI"/>
        </w:rPr>
      </w:pPr>
      <w:r w:rsidRPr="00475BE3">
        <w:rPr>
          <w:rFonts w:ascii="Segoe UI" w:hAnsi="Segoe UI" w:cs="Segoe UI"/>
        </w:rPr>
        <w:t>A C</w:t>
      </w:r>
      <w:r w:rsidR="001863D0">
        <w:rPr>
          <w:rFonts w:ascii="Segoe UI" w:hAnsi="Segoe UI" w:cs="Segoe UI"/>
        </w:rPr>
        <w:t xml:space="preserve">ontroladora e suas </w:t>
      </w:r>
      <w:r w:rsidR="00546002">
        <w:rPr>
          <w:rFonts w:ascii="Segoe UI" w:hAnsi="Segoe UI" w:cs="Segoe UI"/>
        </w:rPr>
        <w:t>controlada</w:t>
      </w:r>
      <w:r w:rsidR="001863D0">
        <w:rPr>
          <w:rFonts w:ascii="Segoe UI" w:hAnsi="Segoe UI" w:cs="Segoe UI"/>
        </w:rPr>
        <w:t>s</w:t>
      </w:r>
      <w:r w:rsidRPr="00475BE3">
        <w:rPr>
          <w:rFonts w:ascii="Segoe UI" w:hAnsi="Segoe UI" w:cs="Segoe UI"/>
        </w:rPr>
        <w:t xml:space="preserve"> não identifi</w:t>
      </w:r>
      <w:r w:rsidR="001863D0">
        <w:rPr>
          <w:rFonts w:ascii="Segoe UI" w:hAnsi="Segoe UI" w:cs="Segoe UI"/>
        </w:rPr>
        <w:t>caram</w:t>
      </w:r>
      <w:r w:rsidRPr="00475BE3">
        <w:rPr>
          <w:rFonts w:ascii="Segoe UI" w:hAnsi="Segoe UI" w:cs="Segoe UI"/>
        </w:rPr>
        <w:t xml:space="preserve"> impactos quanto às aplicações das alterações e novas interpretações aos CPCs </w:t>
      </w:r>
      <w:r>
        <w:rPr>
          <w:rFonts w:ascii="Segoe UI" w:hAnsi="Segoe UI" w:cs="Segoe UI"/>
        </w:rPr>
        <w:t xml:space="preserve">e </w:t>
      </w:r>
      <w:r w:rsidRPr="00475BE3">
        <w:rPr>
          <w:rFonts w:ascii="Segoe UI" w:hAnsi="Segoe UI" w:cs="Segoe UI"/>
        </w:rPr>
        <w:t>às IFRSs emitid</w:t>
      </w:r>
      <w:r w:rsidR="00546002">
        <w:rPr>
          <w:rFonts w:ascii="Segoe UI" w:hAnsi="Segoe UI" w:cs="Segoe UI"/>
        </w:rPr>
        <w:t>a</w:t>
      </w:r>
      <w:r w:rsidRPr="00475BE3">
        <w:rPr>
          <w:rFonts w:ascii="Segoe UI" w:hAnsi="Segoe UI" w:cs="Segoe UI"/>
        </w:rPr>
        <w:t>s pelo</w:t>
      </w:r>
      <w:r>
        <w:rPr>
          <w:rFonts w:ascii="Segoe UI" w:hAnsi="Segoe UI" w:cs="Segoe UI"/>
        </w:rPr>
        <w:t xml:space="preserve"> Comitê de Pronunciamento Contábeis -</w:t>
      </w:r>
      <w:r w:rsidRPr="00475BE3">
        <w:rPr>
          <w:rFonts w:ascii="Segoe UI" w:hAnsi="Segoe UI" w:cs="Segoe UI"/>
        </w:rPr>
        <w:t xml:space="preserve"> CPC </w:t>
      </w:r>
      <w:r>
        <w:rPr>
          <w:rFonts w:ascii="Segoe UI" w:hAnsi="Segoe UI" w:cs="Segoe UI"/>
        </w:rPr>
        <w:t xml:space="preserve">e </w:t>
      </w:r>
      <w:r w:rsidRPr="00475BE3">
        <w:rPr>
          <w:rFonts w:ascii="Segoe UI" w:hAnsi="Segoe UI" w:cs="Segoe UI"/>
        </w:rPr>
        <w:t>IASB, respectivamente, as quais são divulgados a seguir:</w:t>
      </w:r>
    </w:p>
    <w:tbl>
      <w:tblPr>
        <w:tblW w:w="9151" w:type="dxa"/>
        <w:tblCellMar>
          <w:left w:w="70" w:type="dxa"/>
          <w:right w:w="70" w:type="dxa"/>
        </w:tblCellMar>
        <w:tblLook w:val="04A0" w:firstRow="1" w:lastRow="0" w:firstColumn="1" w:lastColumn="0" w:noHBand="0" w:noVBand="1"/>
      </w:tblPr>
      <w:tblGrid>
        <w:gridCol w:w="1418"/>
        <w:gridCol w:w="6629"/>
        <w:gridCol w:w="1104"/>
      </w:tblGrid>
      <w:tr w:rsidR="00BD381F" w:rsidRPr="00BD381F" w14:paraId="4077B6FD" w14:textId="77777777" w:rsidTr="0035003A">
        <w:trPr>
          <w:trHeight w:val="20"/>
        </w:trPr>
        <w:tc>
          <w:tcPr>
            <w:tcW w:w="1418" w:type="dxa"/>
            <w:tcBorders>
              <w:top w:val="nil"/>
              <w:left w:val="nil"/>
              <w:bottom w:val="nil"/>
              <w:right w:val="nil"/>
            </w:tcBorders>
            <w:shd w:val="clear" w:color="000000" w:fill="1B80C4"/>
            <w:noWrap/>
            <w:vAlign w:val="center"/>
            <w:hideMark/>
          </w:tcPr>
          <w:p w14:paraId="50A70532" w14:textId="76B1F8B1" w:rsidR="00BD381F" w:rsidRPr="00BD381F" w:rsidRDefault="001513D9" w:rsidP="00BD381F">
            <w:pPr>
              <w:spacing w:after="0" w:line="240" w:lineRule="auto"/>
              <w:jc w:val="center"/>
              <w:rPr>
                <w:rFonts w:ascii="Segoe UI" w:eastAsia="Times New Roman" w:hAnsi="Segoe UI" w:cs="Segoe UI"/>
                <w:b/>
                <w:bCs/>
                <w:color w:val="FFFFFF"/>
                <w:sz w:val="16"/>
                <w:szCs w:val="16"/>
                <w:lang w:eastAsia="pt-BR"/>
              </w:rPr>
            </w:pPr>
            <w:r>
              <w:rPr>
                <w:rFonts w:ascii="Segoe UI" w:hAnsi="Segoe UI" w:cs="Segoe UI"/>
              </w:rPr>
              <w:br w:type="page"/>
            </w:r>
            <w:r w:rsidR="00BD381F" w:rsidRPr="00BD381F">
              <w:rPr>
                <w:rFonts w:ascii="Segoe UI" w:eastAsia="Times New Roman" w:hAnsi="Segoe UI" w:cs="Segoe UI"/>
                <w:b/>
                <w:bCs/>
                <w:color w:val="FFFFFF"/>
                <w:sz w:val="16"/>
                <w:szCs w:val="16"/>
                <w:lang w:eastAsia="pt-BR"/>
              </w:rPr>
              <w:t>Normas revisadas</w:t>
            </w:r>
          </w:p>
        </w:tc>
        <w:tc>
          <w:tcPr>
            <w:tcW w:w="6629" w:type="dxa"/>
            <w:tcBorders>
              <w:top w:val="nil"/>
              <w:left w:val="nil"/>
              <w:bottom w:val="nil"/>
              <w:right w:val="nil"/>
            </w:tcBorders>
            <w:shd w:val="clear" w:color="000000" w:fill="1B80C4"/>
            <w:noWrap/>
            <w:vAlign w:val="center"/>
            <w:hideMark/>
          </w:tcPr>
          <w:p w14:paraId="327F2D93" w14:textId="77777777" w:rsidR="00BD381F" w:rsidRPr="00BD381F" w:rsidRDefault="00BD381F" w:rsidP="00BD381F">
            <w:pPr>
              <w:spacing w:after="0" w:line="240" w:lineRule="auto"/>
              <w:jc w:val="center"/>
              <w:rPr>
                <w:rFonts w:ascii="Segoe UI" w:eastAsia="Times New Roman" w:hAnsi="Segoe UI" w:cs="Segoe UI"/>
                <w:b/>
                <w:bCs/>
                <w:color w:val="FFFFFF"/>
                <w:sz w:val="16"/>
                <w:szCs w:val="16"/>
                <w:lang w:eastAsia="pt-BR"/>
              </w:rPr>
            </w:pPr>
            <w:r w:rsidRPr="00BD381F">
              <w:rPr>
                <w:rFonts w:ascii="Segoe UI" w:eastAsia="Times New Roman" w:hAnsi="Segoe UI" w:cs="Segoe UI"/>
                <w:b/>
                <w:bCs/>
                <w:color w:val="FFFFFF"/>
                <w:sz w:val="16"/>
                <w:szCs w:val="16"/>
                <w:lang w:eastAsia="pt-BR"/>
              </w:rPr>
              <w:t>Alterações</w:t>
            </w:r>
          </w:p>
        </w:tc>
        <w:tc>
          <w:tcPr>
            <w:tcW w:w="1104" w:type="dxa"/>
            <w:tcBorders>
              <w:top w:val="nil"/>
              <w:left w:val="nil"/>
              <w:bottom w:val="nil"/>
              <w:right w:val="nil"/>
            </w:tcBorders>
            <w:shd w:val="clear" w:color="000000" w:fill="1B80C4"/>
            <w:noWrap/>
            <w:vAlign w:val="center"/>
            <w:hideMark/>
          </w:tcPr>
          <w:p w14:paraId="54043525" w14:textId="77777777" w:rsidR="00BD381F" w:rsidRPr="00BD381F" w:rsidRDefault="00BD381F" w:rsidP="00BD381F">
            <w:pPr>
              <w:spacing w:after="0" w:line="240" w:lineRule="auto"/>
              <w:jc w:val="center"/>
              <w:rPr>
                <w:rFonts w:ascii="Segoe UI" w:eastAsia="Times New Roman" w:hAnsi="Segoe UI" w:cs="Segoe UI"/>
                <w:b/>
                <w:bCs/>
                <w:color w:val="FFFFFF"/>
                <w:sz w:val="16"/>
                <w:szCs w:val="16"/>
                <w:lang w:eastAsia="pt-BR"/>
              </w:rPr>
            </w:pPr>
            <w:r w:rsidRPr="00BD381F">
              <w:rPr>
                <w:rFonts w:ascii="Segoe UI" w:eastAsia="Times New Roman" w:hAnsi="Segoe UI" w:cs="Segoe UI"/>
                <w:b/>
                <w:bCs/>
                <w:color w:val="FFFFFF"/>
                <w:sz w:val="16"/>
                <w:szCs w:val="16"/>
                <w:lang w:eastAsia="pt-BR"/>
              </w:rPr>
              <w:t>Aplicável a partir</w:t>
            </w:r>
          </w:p>
        </w:tc>
      </w:tr>
      <w:tr w:rsidR="00BD381F" w:rsidRPr="00BD381F" w14:paraId="5905A2C4" w14:textId="77777777" w:rsidTr="0035003A">
        <w:trPr>
          <w:trHeight w:val="20"/>
        </w:trPr>
        <w:tc>
          <w:tcPr>
            <w:tcW w:w="1418" w:type="dxa"/>
            <w:tcBorders>
              <w:top w:val="nil"/>
              <w:left w:val="nil"/>
              <w:bottom w:val="single" w:sz="4" w:space="0" w:color="1B80C4"/>
              <w:right w:val="nil"/>
            </w:tcBorders>
            <w:shd w:val="clear" w:color="auto" w:fill="auto"/>
            <w:noWrap/>
            <w:vAlign w:val="center"/>
            <w:hideMark/>
          </w:tcPr>
          <w:p w14:paraId="4BB3ECFD"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CPC 27 / IAS 16</w:t>
            </w:r>
          </w:p>
        </w:tc>
        <w:tc>
          <w:tcPr>
            <w:tcW w:w="6629" w:type="dxa"/>
            <w:tcBorders>
              <w:top w:val="nil"/>
              <w:left w:val="nil"/>
              <w:bottom w:val="single" w:sz="4" w:space="0" w:color="1B80C4"/>
              <w:right w:val="nil"/>
            </w:tcBorders>
            <w:shd w:val="clear" w:color="auto" w:fill="auto"/>
            <w:vAlign w:val="center"/>
            <w:hideMark/>
          </w:tcPr>
          <w:p w14:paraId="50978106" w14:textId="77777777" w:rsidR="00BD381F" w:rsidRPr="00BD381F" w:rsidRDefault="00BD381F" w:rsidP="00586D87">
            <w:pPr>
              <w:spacing w:after="0" w:line="240" w:lineRule="auto"/>
              <w:jc w:val="both"/>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As alterações proíbem deduzir do custo de um item do imobilizado qualquer recurso proveniente da venda de itens produzidos antes do ativo estar disponível para uso, isto é, recursos para trazer o ativo ao local e na condição necessária para que seja capaz de operar da maneira pretendida pela administração.</w:t>
            </w:r>
          </w:p>
        </w:tc>
        <w:tc>
          <w:tcPr>
            <w:tcW w:w="1104" w:type="dxa"/>
            <w:tcBorders>
              <w:top w:val="nil"/>
              <w:left w:val="nil"/>
              <w:bottom w:val="single" w:sz="4" w:space="0" w:color="1B80C4"/>
              <w:right w:val="nil"/>
            </w:tcBorders>
            <w:shd w:val="clear" w:color="auto" w:fill="auto"/>
            <w:noWrap/>
            <w:vAlign w:val="center"/>
            <w:hideMark/>
          </w:tcPr>
          <w:p w14:paraId="5F3D9839"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01/01/2022</w:t>
            </w:r>
          </w:p>
        </w:tc>
      </w:tr>
      <w:tr w:rsidR="00BD381F" w:rsidRPr="00BD381F" w14:paraId="2D8B449F" w14:textId="77777777" w:rsidTr="00755A01">
        <w:trPr>
          <w:trHeight w:val="20"/>
        </w:trPr>
        <w:tc>
          <w:tcPr>
            <w:tcW w:w="1418" w:type="dxa"/>
            <w:tcBorders>
              <w:top w:val="nil"/>
              <w:left w:val="nil"/>
              <w:bottom w:val="single" w:sz="4" w:space="0" w:color="1B80C4"/>
              <w:right w:val="nil"/>
            </w:tcBorders>
            <w:shd w:val="clear" w:color="auto" w:fill="auto"/>
            <w:noWrap/>
            <w:vAlign w:val="center"/>
            <w:hideMark/>
          </w:tcPr>
          <w:p w14:paraId="48420DCC"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CPC 25 / IAS 37</w:t>
            </w:r>
          </w:p>
        </w:tc>
        <w:tc>
          <w:tcPr>
            <w:tcW w:w="6629" w:type="dxa"/>
            <w:tcBorders>
              <w:top w:val="nil"/>
              <w:left w:val="nil"/>
              <w:bottom w:val="single" w:sz="4" w:space="0" w:color="1B80C4"/>
              <w:right w:val="nil"/>
            </w:tcBorders>
            <w:shd w:val="clear" w:color="auto" w:fill="auto"/>
            <w:vAlign w:val="center"/>
            <w:hideMark/>
          </w:tcPr>
          <w:p w14:paraId="291827B9" w14:textId="77777777" w:rsidR="00BD381F" w:rsidRPr="00BD381F" w:rsidRDefault="00BD381F" w:rsidP="00586D87">
            <w:pPr>
              <w:spacing w:after="0" w:line="240" w:lineRule="auto"/>
              <w:jc w:val="both"/>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As alterações especificam que o custo de cumprimento do contrato compreende os custos diretamente relacionados ao contrato. As alterações são aplicáveis a contratos para os quais a entidade ainda não cumpriu todas as suas obrigações no início do período anual no qual a entidade aplica as alterações pela primeira vez.</w:t>
            </w:r>
          </w:p>
        </w:tc>
        <w:tc>
          <w:tcPr>
            <w:tcW w:w="1104" w:type="dxa"/>
            <w:tcBorders>
              <w:top w:val="nil"/>
              <w:left w:val="nil"/>
              <w:bottom w:val="single" w:sz="4" w:space="0" w:color="1B80C4"/>
              <w:right w:val="nil"/>
            </w:tcBorders>
            <w:shd w:val="clear" w:color="auto" w:fill="auto"/>
            <w:noWrap/>
            <w:vAlign w:val="center"/>
            <w:hideMark/>
          </w:tcPr>
          <w:p w14:paraId="1EB8AB2B"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01/01/2022</w:t>
            </w:r>
          </w:p>
        </w:tc>
      </w:tr>
      <w:tr w:rsidR="00BD381F" w:rsidRPr="00BD381F" w14:paraId="6D72D9B0" w14:textId="77777777" w:rsidTr="00755A01">
        <w:trPr>
          <w:trHeight w:val="20"/>
        </w:trPr>
        <w:tc>
          <w:tcPr>
            <w:tcW w:w="1418" w:type="dxa"/>
            <w:tcBorders>
              <w:top w:val="single" w:sz="4" w:space="0" w:color="1B80C4"/>
              <w:left w:val="nil"/>
              <w:bottom w:val="single" w:sz="4" w:space="0" w:color="1B80C4"/>
              <w:right w:val="nil"/>
            </w:tcBorders>
            <w:shd w:val="clear" w:color="auto" w:fill="auto"/>
            <w:noWrap/>
            <w:vAlign w:val="center"/>
            <w:hideMark/>
          </w:tcPr>
          <w:p w14:paraId="52D463D9"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CPC 15 / IAS 3</w:t>
            </w:r>
          </w:p>
        </w:tc>
        <w:tc>
          <w:tcPr>
            <w:tcW w:w="6629" w:type="dxa"/>
            <w:tcBorders>
              <w:top w:val="single" w:sz="4" w:space="0" w:color="1B80C4"/>
              <w:left w:val="nil"/>
              <w:bottom w:val="single" w:sz="4" w:space="0" w:color="1B80C4"/>
              <w:right w:val="nil"/>
            </w:tcBorders>
            <w:shd w:val="clear" w:color="auto" w:fill="auto"/>
            <w:vAlign w:val="center"/>
            <w:hideMark/>
          </w:tcPr>
          <w:p w14:paraId="39075EBD" w14:textId="77777777" w:rsidR="00BD381F" w:rsidRPr="00BD381F" w:rsidRDefault="00BD381F" w:rsidP="00586D87">
            <w:pPr>
              <w:spacing w:after="0" w:line="240" w:lineRule="auto"/>
              <w:jc w:val="both"/>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 xml:space="preserve">As alterações fazem a IFRS 3 se referir à Estrutura Conceitual de 2018 em vez da Estrutura de 1989. Além disso, incluem a exigência de que, para obrigações dentro do escopo da IAS 37, o comprador aplica as IAS 37 para determinar se há obrigação presente na data de aquisição em virtude de eventos passados. </w:t>
            </w:r>
          </w:p>
        </w:tc>
        <w:tc>
          <w:tcPr>
            <w:tcW w:w="1104" w:type="dxa"/>
            <w:tcBorders>
              <w:top w:val="single" w:sz="4" w:space="0" w:color="1B80C4"/>
              <w:left w:val="nil"/>
              <w:bottom w:val="single" w:sz="4" w:space="0" w:color="1B80C4"/>
              <w:right w:val="nil"/>
            </w:tcBorders>
            <w:shd w:val="clear" w:color="auto" w:fill="auto"/>
            <w:noWrap/>
            <w:vAlign w:val="center"/>
            <w:hideMark/>
          </w:tcPr>
          <w:p w14:paraId="6ACA4981"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01/01/2022</w:t>
            </w:r>
          </w:p>
        </w:tc>
      </w:tr>
      <w:tr w:rsidR="00BD381F" w:rsidRPr="00BD381F" w14:paraId="6730032D" w14:textId="77777777" w:rsidTr="0035003A">
        <w:trPr>
          <w:trHeight w:val="20"/>
        </w:trPr>
        <w:tc>
          <w:tcPr>
            <w:tcW w:w="1418" w:type="dxa"/>
            <w:tcBorders>
              <w:top w:val="nil"/>
              <w:left w:val="nil"/>
              <w:bottom w:val="single" w:sz="4" w:space="0" w:color="1B80C4"/>
              <w:right w:val="nil"/>
            </w:tcBorders>
            <w:shd w:val="clear" w:color="auto" w:fill="auto"/>
            <w:noWrap/>
            <w:vAlign w:val="center"/>
            <w:hideMark/>
          </w:tcPr>
          <w:p w14:paraId="1B6C8432" w14:textId="77777777" w:rsidR="006B1CC3"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CPC</w:t>
            </w:r>
          </w:p>
          <w:p w14:paraId="6A1630A4" w14:textId="1BB21F6E"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 xml:space="preserve"> 37 / IAS 1</w:t>
            </w:r>
          </w:p>
        </w:tc>
        <w:tc>
          <w:tcPr>
            <w:tcW w:w="6629" w:type="dxa"/>
            <w:tcBorders>
              <w:top w:val="nil"/>
              <w:left w:val="nil"/>
              <w:bottom w:val="single" w:sz="4" w:space="0" w:color="1B80C4"/>
              <w:right w:val="nil"/>
            </w:tcBorders>
            <w:shd w:val="clear" w:color="auto" w:fill="auto"/>
            <w:vAlign w:val="center"/>
            <w:hideMark/>
          </w:tcPr>
          <w:p w14:paraId="7054FF95" w14:textId="3EA0F88C" w:rsidR="00BD381F" w:rsidRPr="00BD381F" w:rsidRDefault="00BD381F" w:rsidP="00586D87">
            <w:pPr>
              <w:spacing w:after="0" w:line="240" w:lineRule="auto"/>
              <w:jc w:val="both"/>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 xml:space="preserve">As alterações indicam que a </w:t>
            </w:r>
            <w:r w:rsidR="00546002">
              <w:rPr>
                <w:rFonts w:ascii="Segoe UI" w:eastAsia="Times New Roman" w:hAnsi="Segoe UI" w:cs="Segoe UI"/>
                <w:color w:val="000000"/>
                <w:sz w:val="16"/>
                <w:szCs w:val="16"/>
                <w:lang w:eastAsia="pt-BR"/>
              </w:rPr>
              <w:t>controlada</w:t>
            </w:r>
            <w:r w:rsidRPr="00BD381F">
              <w:rPr>
                <w:rFonts w:ascii="Segoe UI" w:eastAsia="Times New Roman" w:hAnsi="Segoe UI" w:cs="Segoe UI"/>
                <w:color w:val="000000"/>
                <w:sz w:val="16"/>
                <w:szCs w:val="16"/>
                <w:lang w:eastAsia="pt-BR"/>
              </w:rPr>
              <w:t xml:space="preserve"> que usa a isenção do item D16 (a) pode escolher, as suas demonstrações contábeis, mensurar as diferenças acumuladas de conversão para todas as operações no exterior no valor contábil que seria incluído na demonstração consolidada da </w:t>
            </w:r>
            <w:r w:rsidR="00546002">
              <w:rPr>
                <w:rFonts w:ascii="Segoe UI" w:eastAsia="Times New Roman" w:hAnsi="Segoe UI" w:cs="Segoe UI"/>
                <w:color w:val="000000"/>
                <w:sz w:val="16"/>
                <w:szCs w:val="16"/>
                <w:lang w:eastAsia="pt-BR"/>
              </w:rPr>
              <w:t>controlada</w:t>
            </w:r>
            <w:r w:rsidRPr="00BD381F">
              <w:rPr>
                <w:rFonts w:ascii="Segoe UI" w:eastAsia="Times New Roman" w:hAnsi="Segoe UI" w:cs="Segoe UI"/>
                <w:color w:val="000000"/>
                <w:sz w:val="16"/>
                <w:szCs w:val="16"/>
                <w:lang w:eastAsia="pt-BR"/>
              </w:rPr>
              <w:t xml:space="preserve">, caso nenhum ajuste seja feito para os procedimentos de consolidação e para os efeitos de combinação de negócios na qual a controladora adquiriu a </w:t>
            </w:r>
            <w:r w:rsidR="00546002">
              <w:rPr>
                <w:rFonts w:ascii="Segoe UI" w:eastAsia="Times New Roman" w:hAnsi="Segoe UI" w:cs="Segoe UI"/>
                <w:color w:val="000000"/>
                <w:sz w:val="16"/>
                <w:szCs w:val="16"/>
                <w:lang w:eastAsia="pt-BR"/>
              </w:rPr>
              <w:t>controlada</w:t>
            </w:r>
            <w:r w:rsidRPr="00BD381F">
              <w:rPr>
                <w:rFonts w:ascii="Segoe UI" w:eastAsia="Times New Roman" w:hAnsi="Segoe UI" w:cs="Segoe UI"/>
                <w:color w:val="000000"/>
                <w:sz w:val="16"/>
                <w:szCs w:val="16"/>
                <w:lang w:eastAsia="pt-BR"/>
              </w:rPr>
              <w:t>.</w:t>
            </w:r>
          </w:p>
        </w:tc>
        <w:tc>
          <w:tcPr>
            <w:tcW w:w="1104" w:type="dxa"/>
            <w:tcBorders>
              <w:top w:val="nil"/>
              <w:left w:val="nil"/>
              <w:bottom w:val="single" w:sz="4" w:space="0" w:color="1B80C4"/>
              <w:right w:val="nil"/>
            </w:tcBorders>
            <w:shd w:val="clear" w:color="auto" w:fill="auto"/>
            <w:noWrap/>
            <w:vAlign w:val="center"/>
            <w:hideMark/>
          </w:tcPr>
          <w:p w14:paraId="07DDE893"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01/01/2022</w:t>
            </w:r>
          </w:p>
        </w:tc>
      </w:tr>
      <w:tr w:rsidR="00BD381F" w:rsidRPr="00BD381F" w14:paraId="2ED28CDE" w14:textId="77777777" w:rsidTr="0035003A">
        <w:trPr>
          <w:trHeight w:val="20"/>
        </w:trPr>
        <w:tc>
          <w:tcPr>
            <w:tcW w:w="1418" w:type="dxa"/>
            <w:tcBorders>
              <w:top w:val="nil"/>
              <w:left w:val="nil"/>
              <w:bottom w:val="single" w:sz="4" w:space="0" w:color="1B80C4"/>
              <w:right w:val="nil"/>
            </w:tcBorders>
            <w:shd w:val="clear" w:color="auto" w:fill="auto"/>
            <w:noWrap/>
            <w:vAlign w:val="center"/>
            <w:hideMark/>
          </w:tcPr>
          <w:p w14:paraId="37F6C2E5" w14:textId="142278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CPC 48</w:t>
            </w:r>
            <w:r w:rsidR="00586D87">
              <w:rPr>
                <w:rFonts w:ascii="Segoe UI" w:eastAsia="Times New Roman" w:hAnsi="Segoe UI" w:cs="Segoe UI"/>
                <w:color w:val="000000"/>
                <w:sz w:val="16"/>
                <w:szCs w:val="16"/>
                <w:lang w:eastAsia="pt-BR"/>
              </w:rPr>
              <w:t xml:space="preserve"> </w:t>
            </w:r>
            <w:r w:rsidRPr="00BD381F">
              <w:rPr>
                <w:rFonts w:ascii="Segoe UI" w:eastAsia="Times New Roman" w:hAnsi="Segoe UI" w:cs="Segoe UI"/>
                <w:color w:val="000000"/>
                <w:sz w:val="16"/>
                <w:szCs w:val="16"/>
                <w:lang w:eastAsia="pt-BR"/>
              </w:rPr>
              <w:t>/ IAS 9</w:t>
            </w:r>
          </w:p>
        </w:tc>
        <w:tc>
          <w:tcPr>
            <w:tcW w:w="6629" w:type="dxa"/>
            <w:tcBorders>
              <w:top w:val="nil"/>
              <w:left w:val="nil"/>
              <w:bottom w:val="single" w:sz="4" w:space="0" w:color="1B80C4"/>
              <w:right w:val="nil"/>
            </w:tcBorders>
            <w:shd w:val="clear" w:color="auto" w:fill="auto"/>
            <w:vAlign w:val="center"/>
            <w:hideMark/>
          </w:tcPr>
          <w:p w14:paraId="109F941A" w14:textId="77777777" w:rsidR="00BD381F" w:rsidRPr="00BD381F" w:rsidRDefault="00BD381F" w:rsidP="00586D87">
            <w:pPr>
              <w:spacing w:after="0" w:line="240" w:lineRule="auto"/>
              <w:jc w:val="both"/>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As alterações esclarecem que ao determinar as taxas pagas líquidas de taxa recebidas, o devedor inclui apenas taxas pagas ou recebidas entre o devedor e o credor, incluindo taxas pagas ou recebidas pelo devedor ou pelo credor em nome do outro.</w:t>
            </w:r>
          </w:p>
        </w:tc>
        <w:tc>
          <w:tcPr>
            <w:tcW w:w="1104" w:type="dxa"/>
            <w:tcBorders>
              <w:top w:val="nil"/>
              <w:left w:val="nil"/>
              <w:bottom w:val="single" w:sz="4" w:space="0" w:color="1B80C4"/>
              <w:right w:val="nil"/>
            </w:tcBorders>
            <w:shd w:val="clear" w:color="auto" w:fill="auto"/>
            <w:noWrap/>
            <w:vAlign w:val="center"/>
            <w:hideMark/>
          </w:tcPr>
          <w:p w14:paraId="550152CE" w14:textId="77777777" w:rsidR="00BD381F" w:rsidRPr="00BD381F" w:rsidRDefault="00BD381F" w:rsidP="00BD381F">
            <w:pPr>
              <w:spacing w:after="0" w:line="240" w:lineRule="auto"/>
              <w:jc w:val="center"/>
              <w:rPr>
                <w:rFonts w:ascii="Segoe UI" w:eastAsia="Times New Roman" w:hAnsi="Segoe UI" w:cs="Segoe UI"/>
                <w:color w:val="000000"/>
                <w:sz w:val="16"/>
                <w:szCs w:val="16"/>
                <w:lang w:eastAsia="pt-BR"/>
              </w:rPr>
            </w:pPr>
            <w:r w:rsidRPr="00BD381F">
              <w:rPr>
                <w:rFonts w:ascii="Segoe UI" w:eastAsia="Times New Roman" w:hAnsi="Segoe UI" w:cs="Segoe UI"/>
                <w:color w:val="000000"/>
                <w:sz w:val="16"/>
                <w:szCs w:val="16"/>
                <w:lang w:eastAsia="pt-BR"/>
              </w:rPr>
              <w:t>01/01/2022</w:t>
            </w:r>
          </w:p>
        </w:tc>
      </w:tr>
    </w:tbl>
    <w:p w14:paraId="38AACD8C" w14:textId="26C7B0F0" w:rsidR="00904898" w:rsidRDefault="00904898" w:rsidP="002B23DF">
      <w:pPr>
        <w:spacing w:before="240" w:after="120"/>
        <w:jc w:val="both"/>
        <w:rPr>
          <w:rFonts w:ascii="Segoe UI" w:hAnsi="Segoe UI" w:cs="Segoe UI"/>
          <w:b/>
          <w:color w:val="0070C0"/>
          <w:bdr w:val="nil"/>
        </w:rPr>
      </w:pPr>
      <w:r w:rsidRPr="000757BC">
        <w:rPr>
          <w:rFonts w:ascii="Segoe UI" w:hAnsi="Segoe UI" w:cs="Segoe UI"/>
          <w:b/>
          <w:color w:val="0070C0"/>
          <w:bdr w:val="nil"/>
        </w:rPr>
        <w:t>2.</w:t>
      </w:r>
      <w:r>
        <w:rPr>
          <w:rFonts w:ascii="Segoe UI" w:hAnsi="Segoe UI" w:cs="Segoe UI"/>
          <w:b/>
          <w:color w:val="0070C0"/>
          <w:bdr w:val="nil"/>
        </w:rPr>
        <w:t>4.</w:t>
      </w:r>
      <w:r w:rsidR="00373985">
        <w:rPr>
          <w:rFonts w:ascii="Segoe UI" w:hAnsi="Segoe UI" w:cs="Segoe UI"/>
          <w:b/>
          <w:color w:val="0070C0"/>
          <w:bdr w:val="nil"/>
        </w:rPr>
        <w:t>3</w:t>
      </w:r>
      <w:r w:rsidR="00D907EC">
        <w:rPr>
          <w:rFonts w:ascii="Segoe UI" w:hAnsi="Segoe UI" w:cs="Segoe UI"/>
          <w:b/>
          <w:color w:val="0070C0"/>
          <w:bdr w:val="nil"/>
        </w:rPr>
        <w:t>9</w:t>
      </w:r>
      <w:r w:rsidRPr="000757BC">
        <w:rPr>
          <w:rFonts w:ascii="Segoe UI" w:hAnsi="Segoe UI" w:cs="Segoe UI"/>
          <w:b/>
          <w:color w:val="0070C0"/>
          <w:bdr w:val="nil"/>
        </w:rPr>
        <w:t xml:space="preserve"> – </w:t>
      </w:r>
      <w:r w:rsidR="00AE17B0" w:rsidRPr="00AE17B0">
        <w:rPr>
          <w:rFonts w:ascii="Segoe UI" w:hAnsi="Segoe UI" w:cs="Segoe UI"/>
          <w:b/>
          <w:color w:val="0070C0"/>
          <w:bdr w:val="nil"/>
        </w:rPr>
        <w:t>Novas normas e interpretações ainda não vigentes</w:t>
      </w:r>
    </w:p>
    <w:p w14:paraId="4ADEA180" w14:textId="04BDFF39" w:rsidR="001863D0" w:rsidRDefault="001863D0" w:rsidP="002B23DF">
      <w:pPr>
        <w:autoSpaceDE w:val="0"/>
        <w:autoSpaceDN w:val="0"/>
        <w:adjustRightInd w:val="0"/>
        <w:spacing w:before="240" w:after="120"/>
        <w:jc w:val="both"/>
        <w:rPr>
          <w:rFonts w:ascii="Segoe UI" w:hAnsi="Segoe UI" w:cs="Segoe UI"/>
        </w:rPr>
      </w:pPr>
      <w:r w:rsidRPr="00475BE3">
        <w:rPr>
          <w:rFonts w:ascii="Segoe UI" w:hAnsi="Segoe UI" w:cs="Segoe UI"/>
        </w:rPr>
        <w:t>A C</w:t>
      </w:r>
      <w:r>
        <w:rPr>
          <w:rFonts w:ascii="Segoe UI" w:hAnsi="Segoe UI" w:cs="Segoe UI"/>
        </w:rPr>
        <w:t xml:space="preserve">ontroladora e suas </w:t>
      </w:r>
      <w:r w:rsidR="00546002">
        <w:rPr>
          <w:rFonts w:ascii="Segoe UI" w:hAnsi="Segoe UI" w:cs="Segoe UI"/>
        </w:rPr>
        <w:t>controlada</w:t>
      </w:r>
      <w:r>
        <w:rPr>
          <w:rFonts w:ascii="Segoe UI" w:hAnsi="Segoe UI" w:cs="Segoe UI"/>
        </w:rPr>
        <w:t xml:space="preserve">s </w:t>
      </w:r>
      <w:r w:rsidRPr="001863D0">
        <w:rPr>
          <w:rFonts w:ascii="Segoe UI" w:hAnsi="Segoe UI" w:cs="Segoe UI"/>
        </w:rPr>
        <w:t>não identific</w:t>
      </w:r>
      <w:r>
        <w:rPr>
          <w:rFonts w:ascii="Segoe UI" w:hAnsi="Segoe UI" w:cs="Segoe UI"/>
        </w:rPr>
        <w:t>aram</w:t>
      </w:r>
      <w:r w:rsidRPr="001863D0">
        <w:rPr>
          <w:rFonts w:ascii="Segoe UI" w:hAnsi="Segoe UI" w:cs="Segoe UI"/>
        </w:rPr>
        <w:t xml:space="preserve"> impactos quanto às aplicações das alterações e novas interpretações </w:t>
      </w:r>
      <w:r>
        <w:rPr>
          <w:rFonts w:ascii="Segoe UI" w:hAnsi="Segoe UI" w:cs="Segoe UI"/>
        </w:rPr>
        <w:t xml:space="preserve">dos </w:t>
      </w:r>
      <w:r w:rsidRPr="001863D0">
        <w:rPr>
          <w:rFonts w:ascii="Segoe UI" w:hAnsi="Segoe UI" w:cs="Segoe UI"/>
        </w:rPr>
        <w:t>CPCs</w:t>
      </w:r>
      <w:r>
        <w:rPr>
          <w:rFonts w:ascii="Segoe UI" w:hAnsi="Segoe UI" w:cs="Segoe UI"/>
        </w:rPr>
        <w:t xml:space="preserve"> e da</w:t>
      </w:r>
      <w:r w:rsidRPr="001863D0">
        <w:rPr>
          <w:rFonts w:ascii="Segoe UI" w:hAnsi="Segoe UI" w:cs="Segoe UI"/>
        </w:rPr>
        <w:t>s IFRSs emitid</w:t>
      </w:r>
      <w:r w:rsidR="00546002">
        <w:rPr>
          <w:rFonts w:ascii="Segoe UI" w:hAnsi="Segoe UI" w:cs="Segoe UI"/>
        </w:rPr>
        <w:t>a</w:t>
      </w:r>
      <w:r w:rsidRPr="001863D0">
        <w:rPr>
          <w:rFonts w:ascii="Segoe UI" w:hAnsi="Segoe UI" w:cs="Segoe UI"/>
        </w:rPr>
        <w:t>s pelo CPC</w:t>
      </w:r>
      <w:r>
        <w:rPr>
          <w:rFonts w:ascii="Segoe UI" w:hAnsi="Segoe UI" w:cs="Segoe UI"/>
        </w:rPr>
        <w:t xml:space="preserve"> e </w:t>
      </w:r>
      <w:r w:rsidRPr="001863D0">
        <w:rPr>
          <w:rFonts w:ascii="Segoe UI" w:hAnsi="Segoe UI" w:cs="Segoe UI"/>
        </w:rPr>
        <w:t>pelo IASB, respectivamente, as quais são divulgadas a seguir:</w:t>
      </w:r>
    </w:p>
    <w:tbl>
      <w:tblPr>
        <w:tblW w:w="5040" w:type="pct"/>
        <w:tblCellMar>
          <w:left w:w="70" w:type="dxa"/>
          <w:right w:w="70" w:type="dxa"/>
        </w:tblCellMar>
        <w:tblLook w:val="04A0" w:firstRow="1" w:lastRow="0" w:firstColumn="1" w:lastColumn="0" w:noHBand="0" w:noVBand="1"/>
      </w:tblPr>
      <w:tblGrid>
        <w:gridCol w:w="1583"/>
        <w:gridCol w:w="6548"/>
        <w:gridCol w:w="1442"/>
      </w:tblGrid>
      <w:tr w:rsidR="00E648EB" w:rsidRPr="00E648EB" w14:paraId="0D5BDC1C" w14:textId="77777777" w:rsidTr="00E648EB">
        <w:trPr>
          <w:trHeight w:val="285"/>
        </w:trPr>
        <w:tc>
          <w:tcPr>
            <w:tcW w:w="827" w:type="pct"/>
            <w:tcBorders>
              <w:top w:val="nil"/>
              <w:left w:val="nil"/>
              <w:bottom w:val="nil"/>
              <w:right w:val="nil"/>
            </w:tcBorders>
            <w:shd w:val="clear" w:color="000000" w:fill="1B80C4"/>
            <w:noWrap/>
            <w:vAlign w:val="center"/>
            <w:hideMark/>
          </w:tcPr>
          <w:p w14:paraId="2C875C57" w14:textId="77777777" w:rsidR="00E648EB" w:rsidRPr="00E648EB" w:rsidRDefault="00E648EB" w:rsidP="00E648EB">
            <w:pPr>
              <w:spacing w:after="0" w:line="240" w:lineRule="auto"/>
              <w:jc w:val="center"/>
              <w:rPr>
                <w:rFonts w:ascii="Segoe UI" w:eastAsia="Times New Roman" w:hAnsi="Segoe UI" w:cs="Segoe UI"/>
                <w:b/>
                <w:bCs/>
                <w:color w:val="FFFFFF"/>
                <w:sz w:val="16"/>
                <w:szCs w:val="16"/>
                <w:lang w:eastAsia="pt-BR"/>
              </w:rPr>
            </w:pPr>
            <w:r w:rsidRPr="00E648EB">
              <w:rPr>
                <w:rFonts w:ascii="Segoe UI" w:eastAsia="Times New Roman" w:hAnsi="Segoe UI" w:cs="Segoe UI"/>
                <w:b/>
                <w:bCs/>
                <w:color w:val="FFFFFF"/>
                <w:sz w:val="16"/>
                <w:szCs w:val="16"/>
                <w:lang w:eastAsia="pt-BR"/>
              </w:rPr>
              <w:t>Normas revisadas</w:t>
            </w:r>
          </w:p>
        </w:tc>
        <w:tc>
          <w:tcPr>
            <w:tcW w:w="3420" w:type="pct"/>
            <w:tcBorders>
              <w:top w:val="nil"/>
              <w:left w:val="nil"/>
              <w:bottom w:val="nil"/>
              <w:right w:val="nil"/>
            </w:tcBorders>
            <w:shd w:val="clear" w:color="000000" w:fill="1B80C4"/>
            <w:noWrap/>
            <w:vAlign w:val="center"/>
            <w:hideMark/>
          </w:tcPr>
          <w:p w14:paraId="5FEE3A63" w14:textId="77777777" w:rsidR="00E648EB" w:rsidRPr="00E648EB" w:rsidRDefault="00E648EB" w:rsidP="00E648EB">
            <w:pPr>
              <w:spacing w:after="0" w:line="240" w:lineRule="auto"/>
              <w:jc w:val="center"/>
              <w:rPr>
                <w:rFonts w:ascii="Segoe UI" w:eastAsia="Times New Roman" w:hAnsi="Segoe UI" w:cs="Segoe UI"/>
                <w:b/>
                <w:bCs/>
                <w:color w:val="FFFFFF"/>
                <w:sz w:val="16"/>
                <w:szCs w:val="16"/>
                <w:lang w:eastAsia="pt-BR"/>
              </w:rPr>
            </w:pPr>
            <w:r w:rsidRPr="00E648EB">
              <w:rPr>
                <w:rFonts w:ascii="Segoe UI" w:eastAsia="Times New Roman" w:hAnsi="Segoe UI" w:cs="Segoe UI"/>
                <w:b/>
                <w:bCs/>
                <w:color w:val="FFFFFF"/>
                <w:sz w:val="16"/>
                <w:szCs w:val="16"/>
                <w:lang w:eastAsia="pt-BR"/>
              </w:rPr>
              <w:t>Alterações</w:t>
            </w:r>
          </w:p>
        </w:tc>
        <w:tc>
          <w:tcPr>
            <w:tcW w:w="753" w:type="pct"/>
            <w:tcBorders>
              <w:top w:val="nil"/>
              <w:left w:val="nil"/>
              <w:bottom w:val="nil"/>
              <w:right w:val="nil"/>
            </w:tcBorders>
            <w:shd w:val="clear" w:color="000000" w:fill="1B80C4"/>
            <w:noWrap/>
            <w:vAlign w:val="center"/>
            <w:hideMark/>
          </w:tcPr>
          <w:p w14:paraId="5142DE6D" w14:textId="77777777" w:rsidR="00E648EB" w:rsidRPr="00E648EB" w:rsidRDefault="00E648EB" w:rsidP="00E648EB">
            <w:pPr>
              <w:spacing w:after="0" w:line="240" w:lineRule="auto"/>
              <w:jc w:val="center"/>
              <w:rPr>
                <w:rFonts w:ascii="Segoe UI" w:eastAsia="Times New Roman" w:hAnsi="Segoe UI" w:cs="Segoe UI"/>
                <w:b/>
                <w:bCs/>
                <w:color w:val="FFFFFF"/>
                <w:sz w:val="16"/>
                <w:szCs w:val="16"/>
                <w:lang w:eastAsia="pt-BR"/>
              </w:rPr>
            </w:pPr>
            <w:r w:rsidRPr="00E648EB">
              <w:rPr>
                <w:rFonts w:ascii="Segoe UI" w:eastAsia="Times New Roman" w:hAnsi="Segoe UI" w:cs="Segoe UI"/>
                <w:b/>
                <w:bCs/>
                <w:color w:val="FFFFFF"/>
                <w:sz w:val="16"/>
                <w:szCs w:val="16"/>
                <w:lang w:eastAsia="pt-BR"/>
              </w:rPr>
              <w:t>Aplicável a partir</w:t>
            </w:r>
          </w:p>
        </w:tc>
      </w:tr>
      <w:tr w:rsidR="00E648EB" w:rsidRPr="00E648EB" w14:paraId="2F187EFA" w14:textId="77777777" w:rsidTr="00E648EB">
        <w:trPr>
          <w:trHeight w:val="570"/>
        </w:trPr>
        <w:tc>
          <w:tcPr>
            <w:tcW w:w="827" w:type="pct"/>
            <w:tcBorders>
              <w:top w:val="nil"/>
              <w:left w:val="nil"/>
              <w:bottom w:val="single" w:sz="4" w:space="0" w:color="1B80C4"/>
              <w:right w:val="nil"/>
            </w:tcBorders>
            <w:shd w:val="clear" w:color="auto" w:fill="auto"/>
            <w:noWrap/>
            <w:vAlign w:val="center"/>
            <w:hideMark/>
          </w:tcPr>
          <w:p w14:paraId="1817CFDA"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CPC 26 / IAS 1</w:t>
            </w:r>
          </w:p>
        </w:tc>
        <w:tc>
          <w:tcPr>
            <w:tcW w:w="3420" w:type="pct"/>
            <w:tcBorders>
              <w:top w:val="nil"/>
              <w:left w:val="nil"/>
              <w:bottom w:val="single" w:sz="4" w:space="0" w:color="1B80C4"/>
              <w:right w:val="nil"/>
            </w:tcBorders>
            <w:shd w:val="clear" w:color="auto" w:fill="auto"/>
            <w:vAlign w:val="center"/>
            <w:hideMark/>
          </w:tcPr>
          <w:p w14:paraId="648DA214" w14:textId="77777777" w:rsidR="00E648EB" w:rsidRPr="00E648EB" w:rsidRDefault="00E648EB" w:rsidP="00E648EB">
            <w:pPr>
              <w:spacing w:after="0" w:line="240" w:lineRule="auto"/>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As alterações modificam as exigências contidas na IAS 1 com relação à divulgação das políticas contábeis.</w:t>
            </w:r>
          </w:p>
        </w:tc>
        <w:tc>
          <w:tcPr>
            <w:tcW w:w="753" w:type="pct"/>
            <w:tcBorders>
              <w:top w:val="single" w:sz="4" w:space="0" w:color="1B80C4"/>
              <w:left w:val="nil"/>
              <w:bottom w:val="single" w:sz="4" w:space="0" w:color="1B80C4"/>
              <w:right w:val="nil"/>
            </w:tcBorders>
            <w:shd w:val="clear" w:color="auto" w:fill="auto"/>
            <w:noWrap/>
            <w:vAlign w:val="center"/>
            <w:hideMark/>
          </w:tcPr>
          <w:p w14:paraId="288FC8D6"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01/01/2023</w:t>
            </w:r>
          </w:p>
        </w:tc>
      </w:tr>
      <w:tr w:rsidR="00E648EB" w:rsidRPr="00E648EB" w14:paraId="0D1E63DF" w14:textId="77777777" w:rsidTr="00586D87">
        <w:trPr>
          <w:trHeight w:val="1220"/>
        </w:trPr>
        <w:tc>
          <w:tcPr>
            <w:tcW w:w="827" w:type="pct"/>
            <w:tcBorders>
              <w:top w:val="nil"/>
              <w:left w:val="nil"/>
              <w:bottom w:val="single" w:sz="4" w:space="0" w:color="1B80C4"/>
              <w:right w:val="nil"/>
            </w:tcBorders>
            <w:shd w:val="clear" w:color="auto" w:fill="auto"/>
            <w:noWrap/>
            <w:vAlign w:val="center"/>
            <w:hideMark/>
          </w:tcPr>
          <w:p w14:paraId="59CC105D"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CPC 26 / IAS 1</w:t>
            </w:r>
          </w:p>
        </w:tc>
        <w:tc>
          <w:tcPr>
            <w:tcW w:w="3420" w:type="pct"/>
            <w:tcBorders>
              <w:top w:val="nil"/>
              <w:left w:val="nil"/>
              <w:bottom w:val="single" w:sz="4" w:space="0" w:color="1B80C4"/>
              <w:right w:val="nil"/>
            </w:tcBorders>
            <w:shd w:val="clear" w:color="auto" w:fill="auto"/>
            <w:vAlign w:val="center"/>
            <w:hideMark/>
          </w:tcPr>
          <w:p w14:paraId="049CADEF" w14:textId="77777777" w:rsidR="00E648EB" w:rsidRPr="00E648EB" w:rsidRDefault="00E648EB" w:rsidP="00586D87">
            <w:pPr>
              <w:spacing w:after="0" w:line="240" w:lineRule="auto"/>
              <w:jc w:val="both"/>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As alterações esclarecem que a classificação de passivos como circulantes ou não circulantes se baseia nos direitos existentes na data do balanço, especificam que a classificação não é afetada pelas expectativas sobre se uma entidade irá exercer seu direito de postergar a liquidação do passivo, explicam que os direitos existem se as cláusulas restritivas são cumpridas na data do balanço, e introduzem a definição de ‘liquidação’.</w:t>
            </w:r>
          </w:p>
        </w:tc>
        <w:tc>
          <w:tcPr>
            <w:tcW w:w="753" w:type="pct"/>
            <w:tcBorders>
              <w:top w:val="nil"/>
              <w:left w:val="nil"/>
              <w:bottom w:val="single" w:sz="4" w:space="0" w:color="1B80C4"/>
              <w:right w:val="nil"/>
            </w:tcBorders>
            <w:shd w:val="clear" w:color="auto" w:fill="auto"/>
            <w:noWrap/>
            <w:vAlign w:val="center"/>
            <w:hideMark/>
          </w:tcPr>
          <w:p w14:paraId="09C95DC1"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01/01/2023</w:t>
            </w:r>
          </w:p>
        </w:tc>
      </w:tr>
      <w:tr w:rsidR="00E648EB" w:rsidRPr="00E648EB" w14:paraId="770772CD" w14:textId="77777777" w:rsidTr="00E648EB">
        <w:trPr>
          <w:trHeight w:val="855"/>
        </w:trPr>
        <w:tc>
          <w:tcPr>
            <w:tcW w:w="827" w:type="pct"/>
            <w:tcBorders>
              <w:top w:val="nil"/>
              <w:left w:val="nil"/>
              <w:bottom w:val="single" w:sz="4" w:space="0" w:color="1B80C4"/>
              <w:right w:val="nil"/>
            </w:tcBorders>
            <w:shd w:val="clear" w:color="auto" w:fill="auto"/>
            <w:noWrap/>
            <w:vAlign w:val="center"/>
            <w:hideMark/>
          </w:tcPr>
          <w:p w14:paraId="61EA22AC"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CPC 32 / IAS 12</w:t>
            </w:r>
          </w:p>
        </w:tc>
        <w:tc>
          <w:tcPr>
            <w:tcW w:w="3420" w:type="pct"/>
            <w:tcBorders>
              <w:top w:val="nil"/>
              <w:left w:val="nil"/>
              <w:bottom w:val="single" w:sz="4" w:space="0" w:color="1B80C4"/>
              <w:right w:val="nil"/>
            </w:tcBorders>
            <w:shd w:val="clear" w:color="auto" w:fill="auto"/>
            <w:vAlign w:val="center"/>
            <w:hideMark/>
          </w:tcPr>
          <w:p w14:paraId="6E411751" w14:textId="77777777" w:rsidR="00E648EB" w:rsidRPr="00E648EB" w:rsidRDefault="00E648EB" w:rsidP="00586D87">
            <w:pPr>
              <w:spacing w:after="0" w:line="240" w:lineRule="auto"/>
              <w:jc w:val="both"/>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As alterações introduzem uma exceção adicional da isenção de reconhecimento inicial. De acordo com as alterações, a entidade não aplica a isenção de reconhecimento inicial para transações que resultam em diferenças temporárias tributáveis e dedutíveis similares.</w:t>
            </w:r>
          </w:p>
        </w:tc>
        <w:tc>
          <w:tcPr>
            <w:tcW w:w="753" w:type="pct"/>
            <w:tcBorders>
              <w:top w:val="nil"/>
              <w:left w:val="nil"/>
              <w:bottom w:val="single" w:sz="4" w:space="0" w:color="1B80C4"/>
              <w:right w:val="nil"/>
            </w:tcBorders>
            <w:shd w:val="clear" w:color="auto" w:fill="auto"/>
            <w:noWrap/>
            <w:vAlign w:val="center"/>
            <w:hideMark/>
          </w:tcPr>
          <w:p w14:paraId="522881C6"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01/01/2023</w:t>
            </w:r>
          </w:p>
        </w:tc>
      </w:tr>
      <w:tr w:rsidR="00E648EB" w:rsidRPr="00E648EB" w14:paraId="03B01D72" w14:textId="77777777" w:rsidTr="00E648EB">
        <w:trPr>
          <w:trHeight w:val="570"/>
        </w:trPr>
        <w:tc>
          <w:tcPr>
            <w:tcW w:w="827" w:type="pct"/>
            <w:tcBorders>
              <w:top w:val="nil"/>
              <w:left w:val="nil"/>
              <w:bottom w:val="single" w:sz="4" w:space="0" w:color="1B80C4"/>
              <w:right w:val="nil"/>
            </w:tcBorders>
            <w:shd w:val="clear" w:color="auto" w:fill="auto"/>
            <w:noWrap/>
            <w:vAlign w:val="center"/>
            <w:hideMark/>
          </w:tcPr>
          <w:p w14:paraId="73CC158F"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CPC 32 / IAS 8</w:t>
            </w:r>
          </w:p>
        </w:tc>
        <w:tc>
          <w:tcPr>
            <w:tcW w:w="3420" w:type="pct"/>
            <w:tcBorders>
              <w:top w:val="nil"/>
              <w:left w:val="nil"/>
              <w:bottom w:val="single" w:sz="4" w:space="0" w:color="1B80C4"/>
              <w:right w:val="nil"/>
            </w:tcBorders>
            <w:shd w:val="clear" w:color="auto" w:fill="auto"/>
            <w:vAlign w:val="center"/>
            <w:hideMark/>
          </w:tcPr>
          <w:p w14:paraId="77640F26" w14:textId="77777777" w:rsidR="00E648EB" w:rsidRPr="00E648EB" w:rsidRDefault="00E648EB" w:rsidP="00586D87">
            <w:pPr>
              <w:spacing w:after="0" w:line="240" w:lineRule="auto"/>
              <w:jc w:val="both"/>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A alteração substitui a definição de mudança nas estimativas contábeis pela definição de estimativas contábeis.</w:t>
            </w:r>
          </w:p>
        </w:tc>
        <w:tc>
          <w:tcPr>
            <w:tcW w:w="753" w:type="pct"/>
            <w:tcBorders>
              <w:top w:val="nil"/>
              <w:left w:val="nil"/>
              <w:bottom w:val="single" w:sz="4" w:space="0" w:color="1B80C4"/>
              <w:right w:val="nil"/>
            </w:tcBorders>
            <w:shd w:val="clear" w:color="auto" w:fill="auto"/>
            <w:noWrap/>
            <w:vAlign w:val="center"/>
            <w:hideMark/>
          </w:tcPr>
          <w:p w14:paraId="54A61CEA"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01/01/2023</w:t>
            </w:r>
          </w:p>
        </w:tc>
      </w:tr>
      <w:tr w:rsidR="00E648EB" w:rsidRPr="00E648EB" w14:paraId="63324D54" w14:textId="77777777" w:rsidTr="00E648EB">
        <w:trPr>
          <w:trHeight w:val="585"/>
        </w:trPr>
        <w:tc>
          <w:tcPr>
            <w:tcW w:w="827" w:type="pct"/>
            <w:tcBorders>
              <w:top w:val="nil"/>
              <w:left w:val="nil"/>
              <w:bottom w:val="single" w:sz="4" w:space="0" w:color="1B80C4"/>
              <w:right w:val="nil"/>
            </w:tcBorders>
            <w:shd w:val="clear" w:color="auto" w:fill="auto"/>
            <w:noWrap/>
            <w:vAlign w:val="center"/>
            <w:hideMark/>
          </w:tcPr>
          <w:p w14:paraId="16664920"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CPC 36 / IAS 10</w:t>
            </w:r>
          </w:p>
        </w:tc>
        <w:tc>
          <w:tcPr>
            <w:tcW w:w="3420" w:type="pct"/>
            <w:tcBorders>
              <w:top w:val="nil"/>
              <w:left w:val="nil"/>
              <w:bottom w:val="single" w:sz="4" w:space="0" w:color="1B80C4"/>
              <w:right w:val="nil"/>
            </w:tcBorders>
            <w:shd w:val="clear" w:color="auto" w:fill="auto"/>
            <w:vAlign w:val="center"/>
            <w:hideMark/>
          </w:tcPr>
          <w:p w14:paraId="6D1018A1" w14:textId="77777777" w:rsidR="00E648EB" w:rsidRPr="00E648EB" w:rsidRDefault="00E648EB" w:rsidP="00586D87">
            <w:pPr>
              <w:spacing w:after="0" w:line="240" w:lineRule="auto"/>
              <w:jc w:val="both"/>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 xml:space="preserve">As alterações tratam de situações que envolvem a venda ou contribuição de ativos entre um investidor e sua coligada ou </w:t>
            </w:r>
            <w:r w:rsidRPr="00E648EB">
              <w:rPr>
                <w:rFonts w:ascii="Segoe UI" w:eastAsia="Times New Roman" w:hAnsi="Segoe UI" w:cs="Segoe UI"/>
                <w:i/>
                <w:iCs/>
                <w:color w:val="000000"/>
                <w:sz w:val="16"/>
                <w:szCs w:val="16"/>
                <w:lang w:eastAsia="pt-BR"/>
              </w:rPr>
              <w:t>Joint venture</w:t>
            </w:r>
            <w:r w:rsidRPr="00E648EB">
              <w:rPr>
                <w:rFonts w:ascii="Segoe UI" w:eastAsia="Times New Roman" w:hAnsi="Segoe UI" w:cs="Segoe UI"/>
                <w:color w:val="000000"/>
                <w:sz w:val="16"/>
                <w:szCs w:val="16"/>
                <w:lang w:eastAsia="pt-BR"/>
              </w:rPr>
              <w:t>.</w:t>
            </w:r>
          </w:p>
        </w:tc>
        <w:tc>
          <w:tcPr>
            <w:tcW w:w="753" w:type="pct"/>
            <w:tcBorders>
              <w:top w:val="nil"/>
              <w:left w:val="nil"/>
              <w:bottom w:val="single" w:sz="4" w:space="0" w:color="1B80C4"/>
              <w:right w:val="nil"/>
            </w:tcBorders>
            <w:shd w:val="clear" w:color="auto" w:fill="auto"/>
            <w:noWrap/>
            <w:vAlign w:val="center"/>
            <w:hideMark/>
          </w:tcPr>
          <w:p w14:paraId="1D8DC7AF" w14:textId="77777777" w:rsidR="00E648EB" w:rsidRPr="00E648EB" w:rsidRDefault="00E648EB" w:rsidP="00E648EB">
            <w:pPr>
              <w:spacing w:after="0" w:line="240" w:lineRule="auto"/>
              <w:jc w:val="center"/>
              <w:rPr>
                <w:rFonts w:ascii="Segoe UI" w:eastAsia="Times New Roman" w:hAnsi="Segoe UI" w:cs="Segoe UI"/>
                <w:color w:val="000000"/>
                <w:sz w:val="16"/>
                <w:szCs w:val="16"/>
                <w:lang w:eastAsia="pt-BR"/>
              </w:rPr>
            </w:pPr>
            <w:r w:rsidRPr="00E648EB">
              <w:rPr>
                <w:rFonts w:ascii="Segoe UI" w:eastAsia="Times New Roman" w:hAnsi="Segoe UI" w:cs="Segoe UI"/>
                <w:color w:val="000000"/>
                <w:sz w:val="16"/>
                <w:szCs w:val="16"/>
                <w:lang w:eastAsia="pt-BR"/>
              </w:rPr>
              <w:t>Sem data definida</w:t>
            </w:r>
          </w:p>
        </w:tc>
      </w:tr>
    </w:tbl>
    <w:p w14:paraId="55A6C3C1" w14:textId="77777777" w:rsidR="00F801A0" w:rsidRPr="002B23DF" w:rsidRDefault="00F801A0" w:rsidP="002B23DF">
      <w:pPr>
        <w:autoSpaceDE w:val="0"/>
        <w:autoSpaceDN w:val="0"/>
        <w:adjustRightInd w:val="0"/>
        <w:spacing w:afterLines="160" w:after="384"/>
        <w:jc w:val="both"/>
        <w:rPr>
          <w:rFonts w:ascii="Segoe UI" w:hAnsi="Segoe UI" w:cs="Segoe UI"/>
        </w:rPr>
      </w:pPr>
    </w:p>
    <w:p w14:paraId="71943ADB" w14:textId="42D6CEA4" w:rsidR="00A3332E" w:rsidRPr="000757BC" w:rsidRDefault="00FB135A" w:rsidP="002B23DF">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lastRenderedPageBreak/>
        <w:t>3</w:t>
      </w:r>
      <w:r w:rsidR="00A3332E" w:rsidRPr="000757BC">
        <w:rPr>
          <w:rFonts w:ascii="Segoe UI" w:hAnsi="Segoe UI" w:cs="Segoe UI"/>
          <w:b/>
          <w:color w:val="0070C0"/>
        </w:rPr>
        <w:t xml:space="preserve"> </w:t>
      </w:r>
      <w:r w:rsidR="003A6C4B" w:rsidRPr="00482C5E">
        <w:rPr>
          <w:rFonts w:ascii="Segoe UI" w:hAnsi="Segoe UI"/>
          <w:b/>
          <w:color w:val="1B80C4"/>
        </w:rPr>
        <w:t xml:space="preserve">– </w:t>
      </w:r>
      <w:r w:rsidR="00A3332E" w:rsidRPr="000757BC">
        <w:rPr>
          <w:rFonts w:ascii="Segoe UI" w:hAnsi="Segoe UI" w:cs="Segoe UI"/>
          <w:b/>
          <w:color w:val="0070C0"/>
        </w:rPr>
        <w:t>ESTIMATIVAS E JULGAMENTOS CONTÁBEIS</w:t>
      </w:r>
      <w:r w:rsidR="00A3332E" w:rsidRPr="000757BC" w:rsidDel="00B34FB5">
        <w:rPr>
          <w:rFonts w:ascii="Segoe UI" w:hAnsi="Segoe UI" w:cs="Segoe UI"/>
          <w:b/>
          <w:color w:val="0070C0"/>
        </w:rPr>
        <w:t xml:space="preserve"> </w:t>
      </w:r>
    </w:p>
    <w:p w14:paraId="5EA2D260" w14:textId="25CBBBF6"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Na aplicação das políticas contábeis, a Administração da Companhia deve fazer julgamentos e elaborar estimativas a respeito dos valores contábeis de receitas, despesas, ativos e passivos, bem como as divulgações nas notas explicativas.</w:t>
      </w:r>
    </w:p>
    <w:p w14:paraId="276D9F98" w14:textId="77777777"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As estimativas e as respectivas premissas estão baseadas na experiência histórica e em outros fatores considerados relevantes. As estimativas e premissas subjacentes são revisadas continuamente. Os efeitos decorrentes das revisões feitas às estimativas contábeis são reconhecidos no período em que as estimativas são revistas, se a revisão afetar apenas este período, ou também em períodos posteriores, se a revisão afetar tanto o período presente como períodos futuros.</w:t>
      </w:r>
    </w:p>
    <w:p w14:paraId="33904138" w14:textId="77777777"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Ainda que estas estimativas e premissas sejam permanentemente monitoradas e revistas pela Administração da Companhia, a materialização sobre o valor contábil de receitas, despesas, ativos e passivos são inerentemente incertas, por decorrer do uso de julgamento. Como consequência, a Companhia pode sofrer efeitos em decorrência de imprecisão nestas estimativas e julgamentos que sejam substanciais em períodos futuros, que podem ter efeito material adverso na sua condição financeira, no resultado de suas atividades e/ou nos seus fluxos de caixa.</w:t>
      </w:r>
    </w:p>
    <w:p w14:paraId="4022C142" w14:textId="5A63C33E"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 seguir, são apresentadas as principais premissas das estimativas contábeis avaliadas como as mais críticas pela Administração da Companhia</w:t>
      </w:r>
      <w:r w:rsidR="006F3166" w:rsidRPr="000757BC">
        <w:rPr>
          <w:rFonts w:ascii="Segoe UI" w:hAnsi="Segoe UI" w:cs="Segoe UI"/>
        </w:rPr>
        <w:t xml:space="preserve"> e de sua</w:t>
      </w:r>
      <w:r w:rsidR="00586507" w:rsidRPr="000757BC">
        <w:rPr>
          <w:rFonts w:ascii="Segoe UI" w:hAnsi="Segoe UI" w:cs="Segoe UI"/>
        </w:rPr>
        <w:t>s</w:t>
      </w:r>
      <w:r w:rsidR="006F3166" w:rsidRPr="000757BC">
        <w:rPr>
          <w:rFonts w:ascii="Segoe UI" w:hAnsi="Segoe UI" w:cs="Segoe UI"/>
        </w:rPr>
        <w:t xml:space="preserve"> </w:t>
      </w:r>
      <w:r w:rsidR="00546002">
        <w:rPr>
          <w:rFonts w:ascii="Segoe UI" w:hAnsi="Segoe UI" w:cs="Segoe UI"/>
        </w:rPr>
        <w:t>controlada</w:t>
      </w:r>
      <w:r w:rsidR="00586507" w:rsidRPr="000757BC">
        <w:rPr>
          <w:rFonts w:ascii="Segoe UI" w:hAnsi="Segoe UI" w:cs="Segoe UI"/>
        </w:rPr>
        <w:t>s</w:t>
      </w:r>
      <w:r w:rsidRPr="000757BC">
        <w:rPr>
          <w:rFonts w:ascii="Segoe UI" w:hAnsi="Segoe UI" w:cs="Segoe UI"/>
        </w:rPr>
        <w:t>, a respeito do futuro e outras principais origens da incerteza utilizadas que podem levar a ajustes significativos nos valores contábeis dos ativos e pa</w:t>
      </w:r>
      <w:r w:rsidR="005544AD" w:rsidRPr="000757BC">
        <w:rPr>
          <w:rFonts w:ascii="Segoe UI" w:hAnsi="Segoe UI" w:cs="Segoe UI"/>
        </w:rPr>
        <w:t>ssivos nos próximos exercícios.</w:t>
      </w:r>
    </w:p>
    <w:p w14:paraId="105CD87F" w14:textId="5E6F353F"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.1</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redução do valor recuperável </w:t>
      </w:r>
      <w:r w:rsidR="005544AD" w:rsidRPr="000757BC">
        <w:rPr>
          <w:rFonts w:ascii="Segoe UI" w:hAnsi="Segoe UI" w:cs="Segoe UI"/>
          <w:b/>
          <w:color w:val="0070C0"/>
          <w:bdr w:val="nil"/>
        </w:rPr>
        <w:t>(</w:t>
      </w:r>
      <w:r w:rsidR="005544AD" w:rsidRPr="00FB4E54">
        <w:rPr>
          <w:rFonts w:ascii="Segoe UI" w:hAnsi="Segoe UI" w:cs="Segoe UI"/>
          <w:b/>
          <w:i/>
          <w:iCs/>
          <w:color w:val="0070C0"/>
          <w:bdr w:val="nil"/>
        </w:rPr>
        <w:t>Impairment</w:t>
      </w:r>
      <w:r w:rsidR="005544AD" w:rsidRPr="000757BC">
        <w:rPr>
          <w:rFonts w:ascii="Segoe UI" w:hAnsi="Segoe UI" w:cs="Segoe UI"/>
          <w:b/>
          <w:color w:val="0070C0"/>
          <w:bdr w:val="nil"/>
        </w:rPr>
        <w:t xml:space="preserve">) </w:t>
      </w:r>
      <w:r w:rsidR="00A3332E" w:rsidRPr="000757BC">
        <w:rPr>
          <w:rFonts w:ascii="Segoe UI" w:hAnsi="Segoe UI" w:cs="Segoe UI"/>
          <w:b/>
          <w:color w:val="0070C0"/>
          <w:bdr w:val="nil"/>
        </w:rPr>
        <w:t xml:space="preserve">de ativos </w:t>
      </w:r>
    </w:p>
    <w:p w14:paraId="54EA399B" w14:textId="0DA43D6D"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Administração da Companhia </w:t>
      </w:r>
      <w:r w:rsidR="006F3166" w:rsidRPr="000757BC">
        <w:rPr>
          <w:rFonts w:ascii="Segoe UI" w:hAnsi="Segoe UI" w:cs="Segoe UI"/>
        </w:rPr>
        <w:t>e de sua</w:t>
      </w:r>
      <w:r w:rsidR="00586507" w:rsidRPr="000757BC">
        <w:rPr>
          <w:rFonts w:ascii="Segoe UI" w:hAnsi="Segoe UI" w:cs="Segoe UI"/>
        </w:rPr>
        <w:t>s</w:t>
      </w:r>
      <w:r w:rsidR="006F3166" w:rsidRPr="000757BC">
        <w:rPr>
          <w:rFonts w:ascii="Segoe UI" w:hAnsi="Segoe UI" w:cs="Segoe UI"/>
        </w:rPr>
        <w:t xml:space="preserve"> </w:t>
      </w:r>
      <w:r w:rsidR="00546002">
        <w:rPr>
          <w:rFonts w:ascii="Segoe UI" w:hAnsi="Segoe UI" w:cs="Segoe UI"/>
        </w:rPr>
        <w:t>controlada</w:t>
      </w:r>
      <w:r w:rsidR="00586507" w:rsidRPr="000757BC">
        <w:rPr>
          <w:rFonts w:ascii="Segoe UI" w:hAnsi="Segoe UI" w:cs="Segoe UI"/>
        </w:rPr>
        <w:t xml:space="preserve">s </w:t>
      </w:r>
      <w:r w:rsidRPr="000757BC">
        <w:rPr>
          <w:rFonts w:ascii="Segoe UI" w:hAnsi="Segoe UI" w:cs="Segoe UI"/>
        </w:rPr>
        <w:t>considera premissas e dados técnicos para elaboração do teste de determinação de recuperação de ativos. Nesta prática são aplicadas premissas, baseadas na experiência histórica na gestão do ativo, conjunto de ativos ou unidade geradora de caixa, e práticas de avaliação comumente utilizadas no mercado. Tais premissas podem, eventualmente, não se verificarem no futuro, inclusive quanto à vida útil econômica estimada.</w:t>
      </w:r>
      <w:r w:rsidR="0014680E">
        <w:rPr>
          <w:rFonts w:ascii="Segoe UI" w:hAnsi="Segoe UI" w:cs="Segoe UI"/>
        </w:rPr>
        <w:t xml:space="preserve"> A</w:t>
      </w:r>
      <w:r w:rsidRPr="000757BC">
        <w:rPr>
          <w:rFonts w:ascii="Segoe UI" w:hAnsi="Segoe UI" w:cs="Segoe UI"/>
        </w:rPr>
        <w:t xml:space="preserve"> vida útil adotada está de acordo com as práticas determinadas pela A</w:t>
      </w:r>
      <w:r w:rsidR="00700C06">
        <w:rPr>
          <w:rFonts w:ascii="Segoe UI" w:hAnsi="Segoe UI" w:cs="Segoe UI"/>
        </w:rPr>
        <w:t>NEEL</w:t>
      </w:r>
      <w:r w:rsidRPr="000757BC">
        <w:rPr>
          <w:rFonts w:ascii="Segoe UI" w:hAnsi="Segoe UI" w:cs="Segoe UI"/>
        </w:rPr>
        <w:t xml:space="preserve">, aplicáveis sobre os ativos vinculados à concessão do serviço público de energia elétrica, que podem variar em decorrência da análise periódica do prazo de vida útil econômica de bens em vigor. </w:t>
      </w:r>
    </w:p>
    <w:p w14:paraId="38B0D55D" w14:textId="42E26B3D"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Diversos eventos incertos também compõem as premissas utilizadas pela Companhia</w:t>
      </w:r>
      <w:r w:rsidR="00546002">
        <w:rPr>
          <w:rFonts w:ascii="Segoe UI" w:hAnsi="Segoe UI" w:cs="Segoe UI"/>
        </w:rPr>
        <w:t xml:space="preserve"> e suas controladas</w:t>
      </w:r>
      <w:r w:rsidRPr="000757BC">
        <w:rPr>
          <w:rFonts w:ascii="Segoe UI" w:hAnsi="Segoe UI" w:cs="Segoe UI"/>
        </w:rPr>
        <w:t>, dentre elas</w:t>
      </w:r>
      <w:r w:rsidR="00546002">
        <w:rPr>
          <w:rFonts w:ascii="Segoe UI" w:hAnsi="Segoe UI" w:cs="Segoe UI"/>
        </w:rPr>
        <w:t xml:space="preserve"> e</w:t>
      </w:r>
      <w:r w:rsidRPr="000757BC">
        <w:rPr>
          <w:rFonts w:ascii="Segoe UI" w:hAnsi="Segoe UI" w:cs="Segoe UI"/>
        </w:rPr>
        <w:t xml:space="preserve"> as tarifas futuras para venda de energia elétrica; </w:t>
      </w:r>
      <w:r w:rsidR="0080657B" w:rsidRPr="000757BC">
        <w:rPr>
          <w:rFonts w:ascii="Segoe UI" w:hAnsi="Segoe UI" w:cs="Segoe UI"/>
        </w:rPr>
        <w:t xml:space="preserve">a </w:t>
      </w:r>
      <w:r w:rsidRPr="000757BC">
        <w:rPr>
          <w:rFonts w:ascii="Segoe UI" w:hAnsi="Segoe UI" w:cs="Segoe UI"/>
        </w:rPr>
        <w:t>taxa de crescimento da atividade econômica no país.</w:t>
      </w:r>
    </w:p>
    <w:p w14:paraId="66A667F6" w14:textId="77777777" w:rsidR="00D907EC" w:rsidRDefault="00D907EC">
      <w:pPr>
        <w:rPr>
          <w:rFonts w:ascii="Segoe UI" w:hAnsi="Segoe UI" w:cs="Segoe UI"/>
          <w:b/>
          <w:color w:val="0070C0"/>
          <w:bdr w:val="nil"/>
        </w:rPr>
      </w:pPr>
      <w:r>
        <w:rPr>
          <w:rFonts w:ascii="Segoe UI" w:hAnsi="Segoe UI" w:cs="Segoe UI"/>
          <w:b/>
          <w:color w:val="0070C0"/>
          <w:bdr w:val="nil"/>
        </w:rPr>
        <w:br w:type="page"/>
      </w:r>
    </w:p>
    <w:p w14:paraId="72F61365" w14:textId="6B5A93E4"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lastRenderedPageBreak/>
        <w:t>3</w:t>
      </w:r>
      <w:r w:rsidR="00A3332E" w:rsidRPr="000757BC">
        <w:rPr>
          <w:rFonts w:ascii="Segoe UI" w:hAnsi="Segoe UI" w:cs="Segoe UI"/>
          <w:b/>
          <w:color w:val="0070C0"/>
          <w:bdr w:val="nil"/>
        </w:rPr>
        <w:t xml:space="preserve">.2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desmobilização de ativos </w:t>
      </w:r>
    </w:p>
    <w:p w14:paraId="6552F5E3" w14:textId="547A0670"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w:t>
      </w:r>
      <w:r w:rsidR="00B8767D" w:rsidRPr="000757BC">
        <w:rPr>
          <w:rFonts w:ascii="Segoe UI" w:hAnsi="Segoe UI" w:cs="Segoe UI"/>
        </w:rPr>
        <w:t>Eletronuclear</w:t>
      </w:r>
      <w:r w:rsidRPr="000757BC">
        <w:rPr>
          <w:rFonts w:ascii="Segoe UI" w:hAnsi="Segoe UI" w:cs="Segoe UI"/>
        </w:rPr>
        <w:t xml:space="preserve"> reconhece provisão para obrigações com a desativação de ativos relativos às suas usinas termonucleares. Para determinar o valor da provisão, premissas e estimativas são feitas em relação às taxas de desconto, ao custo estimado para a desativação e remoção de todas as usinas dos locais e à época </w:t>
      </w:r>
      <w:r w:rsidR="006869C4" w:rsidRPr="000757BC">
        <w:rPr>
          <w:rFonts w:ascii="Segoe UI" w:hAnsi="Segoe UI" w:cs="Segoe UI"/>
        </w:rPr>
        <w:t>esperada dos referidos custos</w:t>
      </w:r>
      <w:r w:rsidRPr="000757BC">
        <w:rPr>
          <w:rFonts w:ascii="Segoe UI" w:hAnsi="Segoe UI" w:cs="Segoe UI"/>
        </w:rPr>
        <w:t>. A estimativa dos custos é baseada nos requerimentos legais, regulatórios e ambientais para a desativação e remoção de todas as usinas em conjunto assim como os preços de produtos e serviços a serem utilizados no final da vida útil.</w:t>
      </w:r>
    </w:p>
    <w:p w14:paraId="3AAFEA65" w14:textId="0CE88226" w:rsidR="00A3332E" w:rsidRPr="000757BC" w:rsidRDefault="0083170C" w:rsidP="00440BC3">
      <w:pPr>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.3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Obrigações atuariais</w:t>
      </w:r>
    </w:p>
    <w:p w14:paraId="09BFF1DF" w14:textId="46828FA3" w:rsidR="00A3332E" w:rsidRPr="000757BC" w:rsidRDefault="00B8767D" w:rsidP="002B23DF">
      <w:pPr>
        <w:autoSpaceDE w:val="0"/>
        <w:autoSpaceDN w:val="0"/>
        <w:adjustRightInd w:val="0"/>
        <w:spacing w:before="240" w:after="120"/>
        <w:jc w:val="both"/>
        <w:rPr>
          <w:rFonts w:ascii="Segoe UI" w:hAnsi="Segoe UI" w:cs="Segoe UI"/>
        </w:rPr>
      </w:pPr>
      <w:r w:rsidRPr="000757BC">
        <w:rPr>
          <w:rFonts w:ascii="Segoe UI" w:hAnsi="Segoe UI" w:cs="Segoe UI"/>
        </w:rPr>
        <w:t>Na Eletronuclear</w:t>
      </w:r>
      <w:r w:rsidR="00900798" w:rsidRPr="000757BC">
        <w:rPr>
          <w:rFonts w:ascii="Segoe UI" w:hAnsi="Segoe UI" w:cs="Segoe UI"/>
        </w:rPr>
        <w:t xml:space="preserve"> e INB</w:t>
      </w:r>
      <w:r w:rsidRPr="000757BC">
        <w:rPr>
          <w:rFonts w:ascii="Segoe UI" w:hAnsi="Segoe UI" w:cs="Segoe UI"/>
        </w:rPr>
        <w:t xml:space="preserve"> a</w:t>
      </w:r>
      <w:r w:rsidR="00A3332E" w:rsidRPr="000757BC">
        <w:rPr>
          <w:rFonts w:ascii="Segoe UI" w:hAnsi="Segoe UI" w:cs="Segoe UI"/>
        </w:rPr>
        <w:t>s obrigações atuariais registradas são determinadas por cálculos atuariais elaborados por atuários independentes com base na expectativa de vida do participante, idade média de aposentadoria e inflação. Contudo, os resultados reais futuros dos benefícios podem ser diferentes daqueles existentes e registrados contabilmente (</w:t>
      </w:r>
      <w:r w:rsidR="000B3334" w:rsidRPr="000757BC">
        <w:rPr>
          <w:rFonts w:ascii="Segoe UI" w:hAnsi="Segoe UI" w:cs="Segoe UI"/>
        </w:rPr>
        <w:t>N</w:t>
      </w:r>
      <w:r w:rsidR="00A3332E" w:rsidRPr="000757BC">
        <w:rPr>
          <w:rFonts w:ascii="Segoe UI" w:hAnsi="Segoe UI" w:cs="Segoe UI"/>
        </w:rPr>
        <w:t xml:space="preserve">ota </w:t>
      </w:r>
      <w:r w:rsidR="00586D87">
        <w:rPr>
          <w:rFonts w:ascii="Segoe UI" w:hAnsi="Segoe UI" w:cs="Segoe UI"/>
        </w:rPr>
        <w:t xml:space="preserve">explicativa </w:t>
      </w:r>
      <w:r w:rsidR="005C6635" w:rsidRPr="000757BC">
        <w:rPr>
          <w:rFonts w:ascii="Segoe UI" w:hAnsi="Segoe UI" w:cs="Segoe UI"/>
        </w:rPr>
        <w:t>2</w:t>
      </w:r>
      <w:r w:rsidR="000656CC">
        <w:rPr>
          <w:rFonts w:ascii="Segoe UI" w:hAnsi="Segoe UI" w:cs="Segoe UI"/>
        </w:rPr>
        <w:t>1</w:t>
      </w:r>
      <w:r w:rsidR="00A3332E" w:rsidRPr="000757BC">
        <w:rPr>
          <w:rFonts w:ascii="Segoe UI" w:hAnsi="Segoe UI" w:cs="Segoe UI"/>
        </w:rPr>
        <w:t>).</w:t>
      </w:r>
    </w:p>
    <w:p w14:paraId="23AEAEF0" w14:textId="4ED5AA12" w:rsidR="00A3332E" w:rsidRPr="000757BC" w:rsidRDefault="0083170C" w:rsidP="002B23DF">
      <w:pPr>
        <w:spacing w:before="240" w:after="120"/>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.4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Provisões e passivos contingentes</w:t>
      </w:r>
    </w:p>
    <w:p w14:paraId="7F79E621" w14:textId="06A4CD4D" w:rsidR="006869C4"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As provisões para riscos trabalhistas, tributários e cíveis são reconhecidas quando há obrigações presentes (legais ou presumidas) resultantes de eventos passados, cuja liquidação seja provável e que seja possível estimarem os valores de forma confiável, com base na avaliação da</w:t>
      </w:r>
      <w:r w:rsidR="00356023" w:rsidRPr="000757BC">
        <w:rPr>
          <w:rFonts w:ascii="Segoe UI" w:hAnsi="Segoe UI" w:cs="Segoe UI"/>
        </w:rPr>
        <w:t>s</w:t>
      </w:r>
      <w:r w:rsidRPr="000757BC">
        <w:rPr>
          <w:rFonts w:ascii="Segoe UI" w:hAnsi="Segoe UI" w:cs="Segoe UI"/>
        </w:rPr>
        <w:t xml:space="preserve"> </w:t>
      </w:r>
      <w:r w:rsidR="00546002">
        <w:rPr>
          <w:rFonts w:ascii="Segoe UI" w:hAnsi="Segoe UI" w:cs="Segoe UI"/>
        </w:rPr>
        <w:t>controlada</w:t>
      </w:r>
      <w:r w:rsidR="00356023" w:rsidRPr="000757BC">
        <w:rPr>
          <w:rFonts w:ascii="Segoe UI" w:hAnsi="Segoe UI" w:cs="Segoe UI"/>
        </w:rPr>
        <w:t>s</w:t>
      </w:r>
      <w:r w:rsidR="006142D4" w:rsidRPr="000757BC">
        <w:rPr>
          <w:rFonts w:ascii="Segoe UI" w:hAnsi="Segoe UI" w:cs="Segoe UI"/>
        </w:rPr>
        <w:t xml:space="preserve"> </w:t>
      </w:r>
      <w:r w:rsidRPr="000757BC">
        <w:rPr>
          <w:rFonts w:ascii="Segoe UI" w:hAnsi="Segoe UI" w:cs="Segoe UI"/>
        </w:rPr>
        <w:t>e dos assessores jurídicos internos e externos. Os valores provisionados são registrados com base nas estimativas dos custos dos desfechos das referidas contingências. Riscos contingentes com expectativa de perda possível são divulgados pela</w:t>
      </w:r>
      <w:r w:rsidR="00356023" w:rsidRPr="000757BC">
        <w:rPr>
          <w:rFonts w:ascii="Segoe UI" w:hAnsi="Segoe UI" w:cs="Segoe UI"/>
        </w:rPr>
        <w:t>s</w:t>
      </w:r>
      <w:r w:rsidRPr="000757BC">
        <w:rPr>
          <w:rFonts w:ascii="Segoe UI" w:hAnsi="Segoe UI" w:cs="Segoe UI"/>
        </w:rPr>
        <w:t xml:space="preserve"> </w:t>
      </w:r>
      <w:r w:rsidR="00546002">
        <w:rPr>
          <w:rFonts w:ascii="Segoe UI" w:hAnsi="Segoe UI" w:cs="Segoe UI"/>
        </w:rPr>
        <w:t>controlada</w:t>
      </w:r>
      <w:r w:rsidR="00356023" w:rsidRPr="000757BC">
        <w:rPr>
          <w:rFonts w:ascii="Segoe UI" w:hAnsi="Segoe UI" w:cs="Segoe UI"/>
        </w:rPr>
        <w:t>s</w:t>
      </w:r>
      <w:r w:rsidRPr="000757BC">
        <w:rPr>
          <w:rFonts w:ascii="Segoe UI" w:hAnsi="Segoe UI" w:cs="Segoe UI"/>
        </w:rPr>
        <w:t xml:space="preserve">, não sendo constituída provisão. </w:t>
      </w:r>
    </w:p>
    <w:p w14:paraId="027E81FE" w14:textId="74103C09"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Essa avaliação é suportada pelo julgamento da Administração, juntamente com seus assessores jurídicos, considerando as jurisprudências, as decisões em instâncias iniciais e superiores, o histórico de eventuais acordos e decisões, a experiência da administração e dos assessores jurídicos, bem co</w:t>
      </w:r>
      <w:r w:rsidR="000B3334" w:rsidRPr="000757BC">
        <w:rPr>
          <w:rFonts w:ascii="Segoe UI" w:hAnsi="Segoe UI" w:cs="Segoe UI"/>
        </w:rPr>
        <w:t>mo outros aspectos aplicáveis (N</w:t>
      </w:r>
      <w:r w:rsidRPr="000757BC">
        <w:rPr>
          <w:rFonts w:ascii="Segoe UI" w:hAnsi="Segoe UI" w:cs="Segoe UI"/>
        </w:rPr>
        <w:t>ota</w:t>
      </w:r>
      <w:r w:rsidR="00FB7EFE">
        <w:rPr>
          <w:rFonts w:ascii="Segoe UI" w:hAnsi="Segoe UI" w:cs="Segoe UI"/>
        </w:rPr>
        <w:t xml:space="preserve"> explicativa</w:t>
      </w:r>
      <w:r w:rsidRPr="000757BC">
        <w:rPr>
          <w:rFonts w:ascii="Segoe UI" w:hAnsi="Segoe UI" w:cs="Segoe UI"/>
        </w:rPr>
        <w:t xml:space="preserve"> </w:t>
      </w:r>
      <w:r w:rsidR="005C6635">
        <w:rPr>
          <w:rFonts w:ascii="Segoe UI" w:hAnsi="Segoe UI" w:cs="Segoe UI"/>
        </w:rPr>
        <w:t>2</w:t>
      </w:r>
      <w:r w:rsidR="000656CC">
        <w:rPr>
          <w:rFonts w:ascii="Segoe UI" w:hAnsi="Segoe UI" w:cs="Segoe UI"/>
        </w:rPr>
        <w:t>0</w:t>
      </w:r>
      <w:r w:rsidRPr="000757BC">
        <w:rPr>
          <w:rFonts w:ascii="Segoe UI" w:hAnsi="Segoe UI" w:cs="Segoe UI"/>
        </w:rPr>
        <w:t>).</w:t>
      </w:r>
    </w:p>
    <w:p w14:paraId="4A4DA672" w14:textId="75EA4C34"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.5 </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w:t>
      </w:r>
      <w:r w:rsidR="00CE07A7">
        <w:rPr>
          <w:rFonts w:ascii="Segoe UI" w:hAnsi="Segoe UI" w:cs="Segoe UI"/>
          <w:b/>
          <w:color w:val="0070C0"/>
          <w:bdr w:val="nil"/>
        </w:rPr>
        <w:t>p</w:t>
      </w:r>
      <w:r w:rsidR="00A3332E" w:rsidRPr="000757BC">
        <w:rPr>
          <w:rFonts w:ascii="Segoe UI" w:hAnsi="Segoe UI" w:cs="Segoe UI"/>
          <w:b/>
          <w:color w:val="0070C0"/>
          <w:bdr w:val="nil"/>
        </w:rPr>
        <w:t xml:space="preserve">erda </w:t>
      </w:r>
      <w:r w:rsidR="00CE07A7">
        <w:rPr>
          <w:rFonts w:ascii="Segoe UI" w:hAnsi="Segoe UI" w:cs="Segoe UI"/>
          <w:b/>
          <w:color w:val="0070C0"/>
          <w:bdr w:val="nil"/>
        </w:rPr>
        <w:t>e</w:t>
      </w:r>
      <w:r w:rsidR="00A3332E" w:rsidRPr="000757BC">
        <w:rPr>
          <w:rFonts w:ascii="Segoe UI" w:hAnsi="Segoe UI" w:cs="Segoe UI"/>
          <w:b/>
          <w:color w:val="0070C0"/>
          <w:bdr w:val="nil"/>
        </w:rPr>
        <w:t xml:space="preserve">stimada em </w:t>
      </w:r>
      <w:r w:rsidR="00CE07A7">
        <w:rPr>
          <w:rFonts w:ascii="Segoe UI" w:hAnsi="Segoe UI" w:cs="Segoe UI"/>
          <w:b/>
          <w:color w:val="0070C0"/>
          <w:bdr w:val="nil"/>
        </w:rPr>
        <w:t>c</w:t>
      </w:r>
      <w:r w:rsidR="00A3332E" w:rsidRPr="000757BC">
        <w:rPr>
          <w:rFonts w:ascii="Segoe UI" w:hAnsi="Segoe UI" w:cs="Segoe UI"/>
          <w:b/>
          <w:color w:val="0070C0"/>
          <w:bdr w:val="nil"/>
        </w:rPr>
        <w:t xml:space="preserve">réditos de </w:t>
      </w:r>
      <w:r w:rsidR="00446807">
        <w:rPr>
          <w:rFonts w:ascii="Segoe UI" w:hAnsi="Segoe UI" w:cs="Segoe UI"/>
          <w:b/>
          <w:color w:val="0070C0"/>
          <w:bdr w:val="nil"/>
        </w:rPr>
        <w:t>l</w:t>
      </w:r>
      <w:r w:rsidR="00A3332E" w:rsidRPr="000757BC">
        <w:rPr>
          <w:rFonts w:ascii="Segoe UI" w:hAnsi="Segoe UI" w:cs="Segoe UI"/>
          <w:b/>
          <w:color w:val="0070C0"/>
          <w:bdr w:val="nil"/>
        </w:rPr>
        <w:t xml:space="preserve">iquidação </w:t>
      </w:r>
      <w:r w:rsidR="00446807">
        <w:rPr>
          <w:rFonts w:ascii="Segoe UI" w:hAnsi="Segoe UI" w:cs="Segoe UI"/>
          <w:b/>
          <w:color w:val="0070C0"/>
          <w:bdr w:val="nil"/>
        </w:rPr>
        <w:t>d</w:t>
      </w:r>
      <w:r w:rsidR="00A3332E" w:rsidRPr="000757BC">
        <w:rPr>
          <w:rFonts w:ascii="Segoe UI" w:hAnsi="Segoe UI" w:cs="Segoe UI"/>
          <w:b/>
          <w:color w:val="0070C0"/>
          <w:bdr w:val="nil"/>
        </w:rPr>
        <w:t xml:space="preserve">uvidosa </w:t>
      </w:r>
    </w:p>
    <w:p w14:paraId="1FF72D99" w14:textId="5C1B4EDE" w:rsidR="00A3332E" w:rsidRPr="000757BC" w:rsidRDefault="00B8767D" w:rsidP="002B23DF">
      <w:pPr>
        <w:autoSpaceDE w:val="0"/>
        <w:autoSpaceDN w:val="0"/>
        <w:adjustRightInd w:val="0"/>
        <w:spacing w:before="240" w:after="120"/>
        <w:jc w:val="both"/>
        <w:rPr>
          <w:rFonts w:ascii="Segoe UI" w:hAnsi="Segoe UI" w:cs="Segoe UI"/>
        </w:rPr>
      </w:pPr>
      <w:r w:rsidRPr="000757BC">
        <w:rPr>
          <w:rFonts w:ascii="Segoe UI" w:hAnsi="Segoe UI" w:cs="Segoe UI"/>
        </w:rPr>
        <w:t>A Eletronuclear</w:t>
      </w:r>
      <w:r w:rsidR="00356023" w:rsidRPr="000757BC">
        <w:rPr>
          <w:rFonts w:ascii="Segoe UI" w:hAnsi="Segoe UI" w:cs="Segoe UI"/>
        </w:rPr>
        <w:t xml:space="preserve"> e INB</w:t>
      </w:r>
      <w:r w:rsidRPr="000757BC">
        <w:rPr>
          <w:rFonts w:ascii="Segoe UI" w:hAnsi="Segoe UI" w:cs="Segoe UI"/>
        </w:rPr>
        <w:t xml:space="preserve"> </w:t>
      </w:r>
      <w:r w:rsidR="00356023" w:rsidRPr="000757BC">
        <w:rPr>
          <w:rFonts w:ascii="Segoe UI" w:hAnsi="Segoe UI" w:cs="Segoe UI"/>
        </w:rPr>
        <w:t xml:space="preserve">adotaram </w:t>
      </w:r>
      <w:r w:rsidR="00A3332E" w:rsidRPr="000757BC">
        <w:rPr>
          <w:rFonts w:ascii="Segoe UI" w:hAnsi="Segoe UI" w:cs="Segoe UI"/>
        </w:rPr>
        <w:t>a abordagem simplificada e calcula</w:t>
      </w:r>
      <w:r w:rsidR="00356023" w:rsidRPr="000757BC">
        <w:rPr>
          <w:rFonts w:ascii="Segoe UI" w:hAnsi="Segoe UI" w:cs="Segoe UI"/>
        </w:rPr>
        <w:t>m</w:t>
      </w:r>
      <w:r w:rsidR="00A3332E" w:rsidRPr="000757BC">
        <w:rPr>
          <w:rFonts w:ascii="Segoe UI" w:hAnsi="Segoe UI" w:cs="Segoe UI"/>
        </w:rPr>
        <w:t xml:space="preserve"> a perda esperada, com base na expectativa de risco de inadimplência que ocorre ao longo da vida útil do instrumento financeiro de acordo com o IFRS 9.</w:t>
      </w:r>
    </w:p>
    <w:p w14:paraId="689D0A51" w14:textId="6112CF50"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Considera-se um ativo financeiro inadimplente quando: (i) é improvável que o credor pague integralmente suas obrigações de crédito com a </w:t>
      </w:r>
      <w:r w:rsidR="00B506E1">
        <w:rPr>
          <w:rFonts w:ascii="Segoe UI" w:hAnsi="Segoe UI" w:cs="Segoe UI"/>
        </w:rPr>
        <w:t>c</w:t>
      </w:r>
      <w:r w:rsidRPr="000757BC">
        <w:rPr>
          <w:rFonts w:ascii="Segoe UI" w:hAnsi="Segoe UI" w:cs="Segoe UI"/>
        </w:rPr>
        <w:t>ompanhia sem recorrer a ações como a garantia (se houver); ou (ii) o ativo financeiro expirou de acordo com as regras atuais.</w:t>
      </w:r>
    </w:p>
    <w:p w14:paraId="1DB5DC7D" w14:textId="77777777" w:rsidR="00D907EC" w:rsidRDefault="00D907EC">
      <w:pPr>
        <w:rPr>
          <w:rFonts w:ascii="Segoe UI" w:hAnsi="Segoe UI" w:cs="Segoe UI"/>
          <w:b/>
          <w:color w:val="0070C0"/>
          <w:bdr w:val="nil"/>
        </w:rPr>
      </w:pPr>
      <w:r>
        <w:rPr>
          <w:rFonts w:ascii="Segoe UI" w:hAnsi="Segoe UI" w:cs="Segoe UI"/>
          <w:b/>
          <w:color w:val="0070C0"/>
          <w:bdr w:val="nil"/>
        </w:rPr>
        <w:br w:type="page"/>
      </w:r>
    </w:p>
    <w:p w14:paraId="6BA1A70E" w14:textId="036C1C51"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lastRenderedPageBreak/>
        <w:t>3</w:t>
      </w:r>
      <w:r w:rsidR="00A3332E" w:rsidRPr="000757BC">
        <w:rPr>
          <w:rFonts w:ascii="Segoe UI" w:hAnsi="Segoe UI" w:cs="Segoe UI"/>
          <w:b/>
          <w:color w:val="0070C0"/>
          <w:bdr w:val="nil"/>
        </w:rPr>
        <w:t>.6 -</w:t>
      </w:r>
      <w:r w:rsidR="00825EB8">
        <w:rPr>
          <w:rFonts w:ascii="Segoe UI" w:hAnsi="Segoe UI" w:cs="Segoe UI"/>
          <w:b/>
          <w:color w:val="0070C0"/>
          <w:bdr w:val="nil"/>
        </w:rPr>
        <w:t xml:space="preserve"> </w:t>
      </w:r>
      <w:r w:rsidR="00A3332E" w:rsidRPr="000757BC">
        <w:rPr>
          <w:rFonts w:ascii="Segoe UI" w:hAnsi="Segoe UI" w:cs="Segoe UI"/>
          <w:b/>
          <w:color w:val="0070C0"/>
          <w:bdr w:val="nil"/>
        </w:rPr>
        <w:t>Avaliação de instrumentos financeiros</w:t>
      </w:r>
    </w:p>
    <w:p w14:paraId="3392B7ED" w14:textId="707F9152" w:rsidR="00A3332E" w:rsidRPr="000757BC" w:rsidRDefault="00B8767D" w:rsidP="002B23DF">
      <w:pPr>
        <w:spacing w:before="240" w:after="120"/>
        <w:jc w:val="both"/>
        <w:rPr>
          <w:rFonts w:ascii="Segoe UI" w:hAnsi="Segoe UI" w:cs="Segoe UI"/>
        </w:rPr>
      </w:pPr>
      <w:r w:rsidRPr="000757BC">
        <w:rPr>
          <w:rFonts w:ascii="Segoe UI" w:hAnsi="Segoe UI" w:cs="Segoe UI"/>
        </w:rPr>
        <w:t>A</w:t>
      </w:r>
      <w:r w:rsidR="00356023" w:rsidRPr="000757BC">
        <w:rPr>
          <w:rFonts w:ascii="Segoe UI" w:hAnsi="Segoe UI" w:cs="Segoe UI"/>
        </w:rPr>
        <w:t xml:space="preserve"> Companhia e suas </w:t>
      </w:r>
      <w:r w:rsidR="005F3ACA">
        <w:rPr>
          <w:rFonts w:ascii="Segoe UI" w:hAnsi="Segoe UI" w:cs="Segoe UI"/>
        </w:rPr>
        <w:t>controlada</w:t>
      </w:r>
      <w:r w:rsidRPr="000757BC">
        <w:rPr>
          <w:rFonts w:ascii="Segoe UI" w:hAnsi="Segoe UI" w:cs="Segoe UI"/>
        </w:rPr>
        <w:t xml:space="preserve"> </w:t>
      </w:r>
      <w:r w:rsidR="00A3332E" w:rsidRPr="000757BC">
        <w:rPr>
          <w:rFonts w:ascii="Segoe UI" w:hAnsi="Segoe UI" w:cs="Segoe UI"/>
        </w:rPr>
        <w:t>classifica</w:t>
      </w:r>
      <w:r w:rsidR="00356023" w:rsidRPr="000757BC">
        <w:rPr>
          <w:rFonts w:ascii="Segoe UI" w:hAnsi="Segoe UI" w:cs="Segoe UI"/>
        </w:rPr>
        <w:t>m</w:t>
      </w:r>
      <w:r w:rsidR="00A3332E" w:rsidRPr="000757BC">
        <w:rPr>
          <w:rFonts w:ascii="Segoe UI" w:hAnsi="Segoe UI" w:cs="Segoe UI"/>
        </w:rPr>
        <w:t xml:space="preserve"> seus instrumentos financeiros sob as seguintes categorias: custo amortizado e valor justo por meio de resultado. A classificação depende do modelo de negócio no qual o instrumento financeiro é mantido e nas características de fluxo de caixa contratual. Os valores justos dos instrumentos financeiros são determinados com base em preços de mercado ou técnicas de aval</w:t>
      </w:r>
      <w:r w:rsidR="000B3334" w:rsidRPr="000757BC">
        <w:rPr>
          <w:rFonts w:ascii="Segoe UI" w:hAnsi="Segoe UI" w:cs="Segoe UI"/>
        </w:rPr>
        <w:t>iação</w:t>
      </w:r>
      <w:r w:rsidR="006869C4" w:rsidRPr="000757BC">
        <w:rPr>
          <w:rFonts w:ascii="Segoe UI" w:hAnsi="Segoe UI" w:cs="Segoe UI"/>
        </w:rPr>
        <w:t xml:space="preserve"> (</w:t>
      </w:r>
      <w:r w:rsidR="000B3334" w:rsidRPr="000757BC">
        <w:rPr>
          <w:rFonts w:ascii="Segoe UI" w:hAnsi="Segoe UI" w:cs="Segoe UI"/>
        </w:rPr>
        <w:t>N</w:t>
      </w:r>
      <w:r w:rsidR="00A3332E" w:rsidRPr="000757BC">
        <w:rPr>
          <w:rFonts w:ascii="Segoe UI" w:hAnsi="Segoe UI" w:cs="Segoe UI"/>
        </w:rPr>
        <w:t>ota</w:t>
      </w:r>
      <w:r w:rsidR="00B64234">
        <w:rPr>
          <w:rFonts w:ascii="Segoe UI" w:hAnsi="Segoe UI" w:cs="Segoe UI"/>
        </w:rPr>
        <w:t xml:space="preserve"> explicativa</w:t>
      </w:r>
      <w:r w:rsidR="00A3332E" w:rsidRPr="000757BC">
        <w:rPr>
          <w:rFonts w:ascii="Segoe UI" w:hAnsi="Segoe UI" w:cs="Segoe UI"/>
        </w:rPr>
        <w:t xml:space="preserve"> </w:t>
      </w:r>
      <w:r w:rsidR="00D028AE" w:rsidRPr="000757BC">
        <w:rPr>
          <w:rFonts w:ascii="Segoe UI" w:hAnsi="Segoe UI" w:cs="Segoe UI"/>
        </w:rPr>
        <w:t>3</w:t>
      </w:r>
      <w:r w:rsidR="000656CC">
        <w:rPr>
          <w:rFonts w:ascii="Segoe UI" w:hAnsi="Segoe UI" w:cs="Segoe UI"/>
        </w:rPr>
        <w:t>1</w:t>
      </w:r>
      <w:r w:rsidR="006869C4" w:rsidRPr="000757BC">
        <w:rPr>
          <w:rFonts w:ascii="Segoe UI" w:hAnsi="Segoe UI" w:cs="Segoe UI"/>
        </w:rPr>
        <w:t>)</w:t>
      </w:r>
      <w:r w:rsidR="00A3332E" w:rsidRPr="000757BC">
        <w:rPr>
          <w:rFonts w:ascii="Segoe UI" w:hAnsi="Segoe UI" w:cs="Segoe UI"/>
        </w:rPr>
        <w:t xml:space="preserve">. </w:t>
      </w:r>
    </w:p>
    <w:p w14:paraId="1EA6D20C" w14:textId="1AE5A1AA" w:rsidR="00A3332E" w:rsidRPr="000757BC" w:rsidRDefault="0083170C" w:rsidP="00440BC3">
      <w:pPr>
        <w:rPr>
          <w:rFonts w:ascii="Segoe UI" w:hAnsi="Segoe UI" w:cs="Segoe UI"/>
          <w:b/>
          <w:color w:val="0070C0"/>
          <w:bdr w:val="nil"/>
        </w:rPr>
      </w:pPr>
      <w:bookmarkStart w:id="8" w:name="_Hlk93921151"/>
      <w:r w:rsidRPr="000757BC">
        <w:rPr>
          <w:rFonts w:ascii="Segoe UI" w:hAnsi="Segoe UI" w:cs="Segoe UI"/>
          <w:b/>
          <w:color w:val="0070C0"/>
          <w:bdr w:val="nil"/>
        </w:rPr>
        <w:t>3</w:t>
      </w:r>
      <w:r w:rsidR="00A3332E" w:rsidRPr="000757BC">
        <w:rPr>
          <w:rFonts w:ascii="Segoe UI" w:hAnsi="Segoe UI" w:cs="Segoe UI"/>
          <w:b/>
          <w:color w:val="0070C0"/>
          <w:bdr w:val="nil"/>
        </w:rPr>
        <w:t xml:space="preserve">.7 - Estimativa da taxa incremental de arrendamentos </w:t>
      </w:r>
    </w:p>
    <w:p w14:paraId="00D4CCC3" w14:textId="74C2E9A0" w:rsidR="00DD4F83"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Os arrendamentos vigentes não possuem sua taxa de juros implícita prontamente identificável, motivo pelo qual </w:t>
      </w:r>
      <w:r w:rsidR="005F3ACA">
        <w:rPr>
          <w:rFonts w:ascii="Segoe UI" w:hAnsi="Segoe UI" w:cs="Segoe UI"/>
        </w:rPr>
        <w:t xml:space="preserve">a </w:t>
      </w:r>
      <w:r w:rsidR="00B8767D" w:rsidRPr="000757BC">
        <w:rPr>
          <w:rFonts w:ascii="Segoe UI" w:hAnsi="Segoe UI" w:cs="Segoe UI"/>
        </w:rPr>
        <w:t xml:space="preserve">Eletronuclear </w:t>
      </w:r>
      <w:r w:rsidRPr="000757BC">
        <w:rPr>
          <w:rFonts w:ascii="Segoe UI" w:hAnsi="Segoe UI" w:cs="Segoe UI"/>
        </w:rPr>
        <w:t xml:space="preserve">considera a taxa incremental sobre empréstimos para mensurar os passivos de arrendamento. </w:t>
      </w:r>
    </w:p>
    <w:p w14:paraId="7EC0035E" w14:textId="3603D934" w:rsidR="00A3332E" w:rsidRPr="000757BC" w:rsidRDefault="00DD4F83"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Controladora considera como </w:t>
      </w:r>
      <w:r w:rsidR="00A3332E" w:rsidRPr="000757BC">
        <w:rPr>
          <w:rFonts w:ascii="Segoe UI" w:hAnsi="Segoe UI" w:cs="Segoe UI"/>
        </w:rPr>
        <w:t xml:space="preserve">taxa incremental </w:t>
      </w:r>
      <w:r w:rsidRPr="000757BC">
        <w:rPr>
          <w:rFonts w:ascii="Segoe UI" w:hAnsi="Segoe UI" w:cs="Segoe UI"/>
        </w:rPr>
        <w:t xml:space="preserve">a projeção da inflação </w:t>
      </w:r>
      <w:r w:rsidR="005F3ACA" w:rsidRPr="005F3ACA">
        <w:rPr>
          <w:rFonts w:ascii="Segoe UI" w:hAnsi="Segoe UI" w:cs="Segoe UI"/>
        </w:rPr>
        <w:t xml:space="preserve">Índice Nacional de Preços ao Consumidor Amplo </w:t>
      </w:r>
      <w:r w:rsidR="005F3ACA">
        <w:rPr>
          <w:rFonts w:ascii="Segoe UI" w:hAnsi="Segoe UI" w:cs="Segoe UI"/>
        </w:rPr>
        <w:t xml:space="preserve">- </w:t>
      </w:r>
      <w:r w:rsidRPr="000757BC">
        <w:rPr>
          <w:rFonts w:ascii="Segoe UI" w:hAnsi="Segoe UI" w:cs="Segoe UI"/>
        </w:rPr>
        <w:t>(</w:t>
      </w:r>
      <w:r w:rsidR="005F3ACA">
        <w:rPr>
          <w:rFonts w:ascii="Segoe UI" w:hAnsi="Segoe UI" w:cs="Segoe UI"/>
        </w:rPr>
        <w:t>“</w:t>
      </w:r>
      <w:r w:rsidRPr="000757BC">
        <w:rPr>
          <w:rFonts w:ascii="Segoe UI" w:hAnsi="Segoe UI" w:cs="Segoe UI"/>
        </w:rPr>
        <w:t>IPCA</w:t>
      </w:r>
      <w:r w:rsidR="005F3ACA">
        <w:rPr>
          <w:rFonts w:ascii="Segoe UI" w:hAnsi="Segoe UI" w:cs="Segoe UI"/>
        </w:rPr>
        <w:t>”</w:t>
      </w:r>
      <w:r w:rsidRPr="000757BC">
        <w:rPr>
          <w:rFonts w:ascii="Segoe UI" w:hAnsi="Segoe UI" w:cs="Segoe UI"/>
        </w:rPr>
        <w:t>)</w:t>
      </w:r>
      <w:r w:rsidR="00A3332E" w:rsidRPr="000757BC">
        <w:rPr>
          <w:rFonts w:ascii="Segoe UI" w:hAnsi="Segoe UI" w:cs="Segoe UI"/>
        </w:rPr>
        <w:t>.</w:t>
      </w:r>
    </w:p>
    <w:p w14:paraId="274E25A3" w14:textId="77777777" w:rsidR="00A3332E" w:rsidRPr="003832CA" w:rsidRDefault="0083170C" w:rsidP="002B23DF">
      <w:pPr>
        <w:spacing w:before="240" w:after="120"/>
        <w:jc w:val="both"/>
        <w:rPr>
          <w:rFonts w:ascii="Segoe UI" w:hAnsi="Segoe UI" w:cs="Segoe UI"/>
          <w:b/>
          <w:color w:val="0070C0"/>
          <w:bdr w:val="nil"/>
        </w:rPr>
      </w:pPr>
      <w:bookmarkStart w:id="9" w:name="_Hlk94112462"/>
      <w:bookmarkEnd w:id="8"/>
      <w:r w:rsidRPr="003832CA">
        <w:rPr>
          <w:rFonts w:ascii="Segoe UI" w:hAnsi="Segoe UI" w:cs="Segoe UI"/>
          <w:b/>
          <w:color w:val="0070C0"/>
          <w:bdr w:val="nil"/>
        </w:rPr>
        <w:t>3</w:t>
      </w:r>
      <w:r w:rsidR="00A3332E" w:rsidRPr="003832CA">
        <w:rPr>
          <w:rFonts w:ascii="Segoe UI" w:hAnsi="Segoe UI" w:cs="Segoe UI"/>
          <w:b/>
          <w:color w:val="0070C0"/>
          <w:bdr w:val="nil"/>
        </w:rPr>
        <w:t xml:space="preserve">.8 – Determinação da vida útil dos ativos </w:t>
      </w:r>
    </w:p>
    <w:p w14:paraId="7C06A039" w14:textId="4286559F" w:rsidR="00A3332E" w:rsidRPr="000757BC" w:rsidRDefault="006453EF" w:rsidP="002B23DF">
      <w:pPr>
        <w:spacing w:before="240" w:after="120"/>
        <w:jc w:val="both"/>
        <w:rPr>
          <w:rFonts w:ascii="Segoe UI" w:hAnsi="Segoe UI" w:cs="Segoe UI"/>
        </w:rPr>
      </w:pPr>
      <w:r w:rsidRPr="000757BC">
        <w:rPr>
          <w:rFonts w:ascii="Segoe UI" w:hAnsi="Segoe UI" w:cs="Segoe UI"/>
        </w:rPr>
        <w:t>Na Eletronuclear</w:t>
      </w:r>
      <w:r w:rsidR="005C0FE6" w:rsidRPr="000757BC">
        <w:rPr>
          <w:rFonts w:ascii="Segoe UI" w:hAnsi="Segoe UI" w:cs="Segoe UI"/>
        </w:rPr>
        <w:t xml:space="preserve"> e INB</w:t>
      </w:r>
      <w:r w:rsidRPr="000757BC">
        <w:rPr>
          <w:rFonts w:ascii="Segoe UI" w:hAnsi="Segoe UI" w:cs="Segoe UI"/>
        </w:rPr>
        <w:t xml:space="preserve"> a</w:t>
      </w:r>
      <w:r w:rsidR="00A3332E" w:rsidRPr="000757BC">
        <w:rPr>
          <w:rFonts w:ascii="Segoe UI" w:hAnsi="Segoe UI" w:cs="Segoe UI"/>
        </w:rPr>
        <w:t xml:space="preserve"> depreciação é reconhecida com base na vida útil estimada de cada ativo pelo método linear, de modo que o valor do custo menos o seu valor residual após sua vida útil esteja integralmente baixado. A</w:t>
      </w:r>
      <w:r w:rsidR="005C0FE6" w:rsidRPr="000757BC">
        <w:rPr>
          <w:rFonts w:ascii="Segoe UI" w:hAnsi="Segoe UI" w:cs="Segoe UI"/>
        </w:rPr>
        <w:t>s</w:t>
      </w:r>
      <w:r w:rsidR="00A3332E" w:rsidRPr="000757BC">
        <w:rPr>
          <w:rFonts w:ascii="Segoe UI" w:hAnsi="Segoe UI" w:cs="Segoe UI"/>
        </w:rPr>
        <w:t xml:space="preserve"> </w:t>
      </w:r>
      <w:r w:rsidR="00E57A18">
        <w:rPr>
          <w:rFonts w:ascii="Segoe UI" w:hAnsi="Segoe UI" w:cs="Segoe UI"/>
        </w:rPr>
        <w:t>c</w:t>
      </w:r>
      <w:r w:rsidR="00546002">
        <w:rPr>
          <w:rFonts w:ascii="Segoe UI" w:hAnsi="Segoe UI" w:cs="Segoe UI"/>
        </w:rPr>
        <w:t>ontrolada</w:t>
      </w:r>
      <w:r w:rsidR="005C0FE6" w:rsidRPr="000757BC">
        <w:rPr>
          <w:rFonts w:ascii="Segoe UI" w:hAnsi="Segoe UI" w:cs="Segoe UI"/>
        </w:rPr>
        <w:t>s</w:t>
      </w:r>
      <w:r w:rsidRPr="000757BC">
        <w:rPr>
          <w:rFonts w:ascii="Segoe UI" w:hAnsi="Segoe UI" w:cs="Segoe UI"/>
        </w:rPr>
        <w:t xml:space="preserve"> </w:t>
      </w:r>
      <w:r w:rsidR="00A3332E" w:rsidRPr="000757BC">
        <w:rPr>
          <w:rFonts w:ascii="Segoe UI" w:hAnsi="Segoe UI" w:cs="Segoe UI"/>
        </w:rPr>
        <w:t>considera</w:t>
      </w:r>
      <w:r w:rsidR="005C0FE6" w:rsidRPr="000757BC">
        <w:rPr>
          <w:rFonts w:ascii="Segoe UI" w:hAnsi="Segoe UI" w:cs="Segoe UI"/>
        </w:rPr>
        <w:t>m</w:t>
      </w:r>
      <w:r w:rsidR="00A3332E" w:rsidRPr="000757BC">
        <w:rPr>
          <w:rFonts w:ascii="Segoe UI" w:hAnsi="Segoe UI" w:cs="Segoe UI"/>
        </w:rPr>
        <w:t xml:space="preserve"> que a vida útil estimada de cada ativo é semelhante às taxas de depreciação determinadas pela A</w:t>
      </w:r>
      <w:r w:rsidR="00700C06">
        <w:rPr>
          <w:rFonts w:ascii="Segoe UI" w:hAnsi="Segoe UI" w:cs="Segoe UI"/>
        </w:rPr>
        <w:t>NEEL</w:t>
      </w:r>
      <w:r w:rsidR="00A3332E" w:rsidRPr="000757BC">
        <w:rPr>
          <w:rFonts w:ascii="Segoe UI" w:hAnsi="Segoe UI" w:cs="Segoe UI"/>
        </w:rPr>
        <w:t xml:space="preserve">, as quais são tidas pelo mercado como aceitáveis por expressar adequadamente o tempo de vida útil dos bens. </w:t>
      </w:r>
    </w:p>
    <w:p w14:paraId="253DABE3" w14:textId="047F0920"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w:t>
      </w:r>
      <w:r w:rsidR="006453EF" w:rsidRPr="000757BC">
        <w:rPr>
          <w:rFonts w:ascii="Segoe UI" w:hAnsi="Segoe UI" w:cs="Segoe UI"/>
        </w:rPr>
        <w:t>Eletronuclear</w:t>
      </w:r>
      <w:r w:rsidRPr="000757BC">
        <w:rPr>
          <w:rFonts w:ascii="Segoe UI" w:hAnsi="Segoe UI" w:cs="Segoe UI"/>
        </w:rPr>
        <w:t xml:space="preserve"> registra depreciação acelerada sobre o ativo cujo término de vida útil supera a data da licença de operação das </w:t>
      </w:r>
      <w:r w:rsidR="007C0256">
        <w:rPr>
          <w:rFonts w:ascii="Segoe UI" w:hAnsi="Segoe UI" w:cs="Segoe UI"/>
        </w:rPr>
        <w:t>u</w:t>
      </w:r>
      <w:r w:rsidRPr="000757BC">
        <w:rPr>
          <w:rFonts w:ascii="Segoe UI" w:hAnsi="Segoe UI" w:cs="Segoe UI"/>
        </w:rPr>
        <w:t>sinas.</w:t>
      </w:r>
    </w:p>
    <w:p w14:paraId="20219831" w14:textId="77777777" w:rsidR="00A3332E" w:rsidRDefault="00A3332E" w:rsidP="005E79E4">
      <w:pPr>
        <w:autoSpaceDE w:val="0"/>
        <w:autoSpaceDN w:val="0"/>
        <w:adjustRightInd w:val="0"/>
        <w:spacing w:before="240" w:after="120"/>
        <w:jc w:val="both"/>
        <w:rPr>
          <w:rFonts w:ascii="Segoe UI" w:hAnsi="Segoe UI" w:cs="Segoe UI"/>
        </w:rPr>
      </w:pPr>
      <w:r w:rsidRPr="000757BC">
        <w:rPr>
          <w:rFonts w:ascii="Segoe UI" w:hAnsi="Segoe UI" w:cs="Segoe UI"/>
        </w:rPr>
        <w:t>Ativos mantidos por meio de arrendamento financeiro são depreciados pela vida útil esperada da mesma forma que os ativos próprios ou por um período inferior, se aplicável, conforme termos do contrato de arrendamento em questão.</w:t>
      </w:r>
    </w:p>
    <w:bookmarkEnd w:id="9"/>
    <w:p w14:paraId="44D82365" w14:textId="5175D698" w:rsidR="00A3332E" w:rsidRDefault="0083170C" w:rsidP="005E79E4">
      <w:pPr>
        <w:autoSpaceDE w:val="0"/>
        <w:autoSpaceDN w:val="0"/>
        <w:adjustRightInd w:val="0"/>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.9 </w:t>
      </w:r>
      <w:r w:rsidR="00A3332E" w:rsidRPr="005E79E4">
        <w:rPr>
          <w:rFonts w:ascii="Segoe UI" w:hAnsi="Segoe UI" w:cs="Segoe UI"/>
          <w:b/>
          <w:color w:val="1B80C4"/>
          <w:bdr w:val="nil"/>
        </w:rPr>
        <w:t xml:space="preserve">– Consumo de </w:t>
      </w:r>
      <w:r w:rsidR="00E57A18">
        <w:rPr>
          <w:rFonts w:ascii="Segoe UI" w:hAnsi="Segoe UI" w:cs="Segoe UI"/>
          <w:b/>
          <w:color w:val="1B80C4"/>
          <w:bdr w:val="nil"/>
        </w:rPr>
        <w:t>c</w:t>
      </w:r>
      <w:r w:rsidR="00A3332E" w:rsidRPr="005E79E4">
        <w:rPr>
          <w:rFonts w:ascii="Segoe UI" w:hAnsi="Segoe UI" w:cs="Segoe UI"/>
          <w:b/>
          <w:color w:val="1B80C4"/>
          <w:bdr w:val="nil"/>
        </w:rPr>
        <w:t xml:space="preserve">ombustível </w:t>
      </w:r>
      <w:r w:rsidR="00E57A18">
        <w:rPr>
          <w:rFonts w:ascii="Segoe UI" w:hAnsi="Segoe UI" w:cs="Segoe UI"/>
          <w:b/>
          <w:color w:val="1B80C4"/>
          <w:bdr w:val="nil"/>
        </w:rPr>
        <w:t>n</w:t>
      </w:r>
      <w:r w:rsidR="00A3332E" w:rsidRPr="005E79E4">
        <w:rPr>
          <w:rFonts w:ascii="Segoe UI" w:hAnsi="Segoe UI" w:cs="Segoe UI"/>
          <w:b/>
          <w:color w:val="1B80C4"/>
          <w:bdr w:val="nil"/>
        </w:rPr>
        <w:t>uclear</w:t>
      </w:r>
    </w:p>
    <w:p w14:paraId="32D2ACCA" w14:textId="3AA2F5AD" w:rsidR="00E11DF3" w:rsidRPr="000757BC" w:rsidRDefault="00A3332E" w:rsidP="002B23DF">
      <w:pPr>
        <w:spacing w:before="240" w:after="120"/>
        <w:jc w:val="both"/>
        <w:rPr>
          <w:rFonts w:ascii="Segoe UI" w:hAnsi="Segoe UI" w:cs="Segoe UI"/>
        </w:rPr>
      </w:pPr>
      <w:r w:rsidRPr="003832CA">
        <w:rPr>
          <w:rFonts w:ascii="Segoe UI" w:hAnsi="Segoe UI" w:cs="Segoe UI"/>
        </w:rPr>
        <w:t xml:space="preserve">A </w:t>
      </w:r>
      <w:r w:rsidR="006453EF" w:rsidRPr="003832CA">
        <w:rPr>
          <w:rFonts w:ascii="Segoe UI" w:hAnsi="Segoe UI" w:cs="Segoe UI"/>
        </w:rPr>
        <w:t>Eletronuclear</w:t>
      </w:r>
      <w:r w:rsidRPr="003832CA">
        <w:rPr>
          <w:rFonts w:ascii="Segoe UI" w:hAnsi="Segoe UI" w:cs="Segoe UI"/>
        </w:rPr>
        <w:t xml:space="preserve"> efetua um acompanhamento mensal do desempenho dos elementos</w:t>
      </w:r>
      <w:r w:rsidRPr="000757BC">
        <w:rPr>
          <w:rFonts w:ascii="Segoe UI" w:hAnsi="Segoe UI" w:cs="Segoe UI"/>
        </w:rPr>
        <w:t xml:space="preserve"> combustíveis por meio do sistema Cadastro de Combustível Nuclear – </w:t>
      </w:r>
      <w:r w:rsidR="005F3ACA">
        <w:rPr>
          <w:rFonts w:ascii="Segoe UI" w:hAnsi="Segoe UI" w:cs="Segoe UI"/>
        </w:rPr>
        <w:t>(“</w:t>
      </w:r>
      <w:r w:rsidRPr="000757BC">
        <w:rPr>
          <w:rFonts w:ascii="Segoe UI" w:hAnsi="Segoe UI" w:cs="Segoe UI"/>
        </w:rPr>
        <w:t>CCN</w:t>
      </w:r>
      <w:r w:rsidR="005F3ACA">
        <w:rPr>
          <w:rFonts w:ascii="Segoe UI" w:hAnsi="Segoe UI" w:cs="Segoe UI"/>
        </w:rPr>
        <w:t>”)</w:t>
      </w:r>
      <w:r w:rsidRPr="000757BC">
        <w:rPr>
          <w:rFonts w:ascii="Segoe UI" w:hAnsi="Segoe UI" w:cs="Segoe UI"/>
        </w:rPr>
        <w:t xml:space="preserve"> que proporcionaliza os custos de aquisição das recargas de combustíveis nucleares para cada elemento de combustível nuclear no momento da inclusão no sistema e ca</w:t>
      </w:r>
      <w:r w:rsidR="00CF5F07" w:rsidRPr="000757BC">
        <w:rPr>
          <w:rFonts w:ascii="Segoe UI" w:hAnsi="Segoe UI" w:cs="Segoe UI"/>
        </w:rPr>
        <w:t>l</w:t>
      </w:r>
      <w:r w:rsidRPr="000757BC">
        <w:rPr>
          <w:rFonts w:ascii="Segoe UI" w:hAnsi="Segoe UI" w:cs="Segoe UI"/>
        </w:rPr>
        <w:t xml:space="preserve">cula mensalmente o </w:t>
      </w:r>
      <w:r w:rsidR="006453EF" w:rsidRPr="000757BC">
        <w:rPr>
          <w:rFonts w:ascii="Segoe UI" w:hAnsi="Segoe UI" w:cs="Segoe UI"/>
        </w:rPr>
        <w:t xml:space="preserve">consumo de cada elemento. Este </w:t>
      </w:r>
      <w:r w:rsidRPr="000757BC">
        <w:rPr>
          <w:rFonts w:ascii="Segoe UI" w:hAnsi="Segoe UI" w:cs="Segoe UI"/>
        </w:rPr>
        <w:t>consumo (amortização) é registrado contabilmente com base no relatório gerado pelo CCN que apresenta a queima (consumo) mensal, a queima acumulada mensalmente e o saldo residual dos elementos combustíveis que compõem o núcleo do reator</w:t>
      </w:r>
      <w:r w:rsidR="00B25EB1" w:rsidRPr="000757BC">
        <w:rPr>
          <w:rFonts w:ascii="Segoe UI" w:hAnsi="Segoe UI" w:cs="Segoe UI"/>
        </w:rPr>
        <w:t>.</w:t>
      </w:r>
    </w:p>
    <w:p w14:paraId="5C03FC2B" w14:textId="7C9D1CA7" w:rsidR="008F655A" w:rsidRDefault="008F655A"/>
    <w:p w14:paraId="78E86696" w14:textId="77777777" w:rsidR="00D907EC" w:rsidRDefault="00D907EC">
      <w:pPr>
        <w:rPr>
          <w:rFonts w:ascii="Segoe UI" w:hAnsi="Segoe UI" w:cs="Segoe UI"/>
          <w:b/>
          <w:color w:val="0070C0"/>
        </w:rPr>
      </w:pPr>
      <w:r>
        <w:rPr>
          <w:rFonts w:ascii="Segoe UI" w:hAnsi="Segoe UI" w:cs="Segoe UI"/>
          <w:b/>
          <w:color w:val="0070C0"/>
        </w:rPr>
        <w:br w:type="page"/>
      </w:r>
    </w:p>
    <w:p w14:paraId="573B85B7" w14:textId="3EB71AB1" w:rsidR="008A12C9" w:rsidRPr="000757BC" w:rsidRDefault="003B3613" w:rsidP="00A32A5F">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lastRenderedPageBreak/>
        <w:t>4 – CAIXA</w:t>
      </w:r>
      <w:r w:rsidR="00E11DF3" w:rsidRPr="000757BC">
        <w:rPr>
          <w:rFonts w:ascii="Segoe UI" w:hAnsi="Segoe UI" w:cs="Segoe UI"/>
          <w:b/>
          <w:color w:val="0070C0"/>
        </w:rPr>
        <w:t xml:space="preserve"> </w:t>
      </w:r>
      <w:r w:rsidR="003D318B" w:rsidRPr="000757BC">
        <w:rPr>
          <w:rFonts w:ascii="Segoe UI" w:hAnsi="Segoe UI" w:cs="Segoe UI"/>
          <w:b/>
          <w:color w:val="0070C0"/>
        </w:rPr>
        <w:t>E</w:t>
      </w:r>
      <w:r w:rsidR="00E11DF3" w:rsidRPr="000757BC">
        <w:rPr>
          <w:rFonts w:ascii="Segoe UI" w:hAnsi="Segoe UI" w:cs="Segoe UI"/>
          <w:b/>
          <w:color w:val="0070C0"/>
        </w:rPr>
        <w:t xml:space="preserve"> </w:t>
      </w:r>
      <w:r w:rsidR="00B25EB1" w:rsidRPr="000757BC">
        <w:rPr>
          <w:rFonts w:ascii="Segoe UI" w:hAnsi="Segoe UI" w:cs="Segoe UI"/>
          <w:b/>
          <w:color w:val="0070C0"/>
        </w:rPr>
        <w:t>EQUIVALENTES DE CAIXA</w:t>
      </w:r>
    </w:p>
    <w:tbl>
      <w:tblPr>
        <w:tblW w:w="5029" w:type="pct"/>
        <w:tblCellMar>
          <w:left w:w="70" w:type="dxa"/>
          <w:right w:w="70" w:type="dxa"/>
        </w:tblCellMar>
        <w:tblLook w:val="04A0" w:firstRow="1" w:lastRow="0" w:firstColumn="1" w:lastColumn="0" w:noHBand="0" w:noVBand="1"/>
      </w:tblPr>
      <w:tblGrid>
        <w:gridCol w:w="4747"/>
        <w:gridCol w:w="2675"/>
        <w:gridCol w:w="204"/>
        <w:gridCol w:w="1926"/>
      </w:tblGrid>
      <w:tr w:rsidR="00274B2D" w:rsidRPr="00C709BD" w14:paraId="49B28CE8" w14:textId="77777777" w:rsidTr="00DC1D61">
        <w:trPr>
          <w:trHeight w:val="23"/>
        </w:trPr>
        <w:tc>
          <w:tcPr>
            <w:tcW w:w="2485" w:type="pct"/>
            <w:tcBorders>
              <w:top w:val="nil"/>
              <w:left w:val="nil"/>
              <w:bottom w:val="nil"/>
              <w:right w:val="nil"/>
            </w:tcBorders>
            <w:shd w:val="clear" w:color="000000" w:fill="FFFFFF"/>
            <w:noWrap/>
            <w:vAlign w:val="center"/>
            <w:hideMark/>
          </w:tcPr>
          <w:p w14:paraId="17300416" w14:textId="77777777" w:rsidR="00274B2D" w:rsidRPr="00C709BD" w:rsidRDefault="00274B2D" w:rsidP="00C709BD">
            <w:pPr>
              <w:spacing w:after="0" w:line="240" w:lineRule="auto"/>
              <w:rPr>
                <w:rFonts w:ascii="Segoe UI" w:eastAsia="Times New Roman" w:hAnsi="Segoe UI" w:cs="Segoe UI"/>
                <w:b/>
                <w:bCs/>
                <w:color w:val="000000"/>
                <w:sz w:val="18"/>
                <w:szCs w:val="18"/>
                <w:lang w:eastAsia="pt-BR"/>
              </w:rPr>
            </w:pPr>
            <w:r w:rsidRPr="00C709BD">
              <w:rPr>
                <w:rFonts w:ascii="Segoe UI" w:eastAsia="Times New Roman" w:hAnsi="Segoe UI" w:cs="Segoe UI"/>
                <w:b/>
                <w:bCs/>
                <w:color w:val="000000"/>
                <w:sz w:val="18"/>
                <w:szCs w:val="18"/>
                <w:lang w:eastAsia="pt-BR"/>
              </w:rPr>
              <w:t> </w:t>
            </w:r>
          </w:p>
        </w:tc>
        <w:tc>
          <w:tcPr>
            <w:tcW w:w="1400" w:type="pct"/>
            <w:tcBorders>
              <w:top w:val="nil"/>
              <w:left w:val="nil"/>
              <w:bottom w:val="nil"/>
              <w:right w:val="nil"/>
            </w:tcBorders>
            <w:shd w:val="clear" w:color="000000" w:fill="1B80C4"/>
            <w:noWrap/>
            <w:vAlign w:val="bottom"/>
            <w:hideMark/>
          </w:tcPr>
          <w:p w14:paraId="281979C4" w14:textId="77777777" w:rsidR="00274B2D" w:rsidRPr="00C709BD" w:rsidRDefault="00274B2D" w:rsidP="00C709BD">
            <w:pPr>
              <w:spacing w:after="0" w:line="240" w:lineRule="auto"/>
              <w:jc w:val="center"/>
              <w:rPr>
                <w:rFonts w:ascii="Segoe UI" w:eastAsia="Times New Roman" w:hAnsi="Segoe UI" w:cs="Segoe UI"/>
                <w:b/>
                <w:bCs/>
                <w:color w:val="FFFFFF"/>
                <w:sz w:val="18"/>
                <w:szCs w:val="18"/>
                <w:lang w:eastAsia="pt-BR"/>
              </w:rPr>
            </w:pPr>
            <w:r w:rsidRPr="00C709BD">
              <w:rPr>
                <w:rFonts w:ascii="Segoe UI" w:eastAsia="Times New Roman" w:hAnsi="Segoe UI" w:cs="Segoe UI"/>
                <w:b/>
                <w:bCs/>
                <w:color w:val="FFFFFF"/>
                <w:sz w:val="18"/>
                <w:szCs w:val="18"/>
                <w:lang w:eastAsia="pt-BR"/>
              </w:rPr>
              <w:t xml:space="preserve"> Controladora </w:t>
            </w:r>
          </w:p>
        </w:tc>
        <w:tc>
          <w:tcPr>
            <w:tcW w:w="107" w:type="pct"/>
            <w:tcBorders>
              <w:top w:val="nil"/>
              <w:left w:val="nil"/>
              <w:bottom w:val="nil"/>
              <w:right w:val="nil"/>
            </w:tcBorders>
            <w:shd w:val="clear" w:color="000000" w:fill="1B80C4"/>
          </w:tcPr>
          <w:p w14:paraId="0D5EDD9A" w14:textId="77777777" w:rsidR="00274B2D" w:rsidRPr="00C709BD" w:rsidRDefault="00274B2D" w:rsidP="00C709BD">
            <w:pPr>
              <w:spacing w:after="0" w:line="240" w:lineRule="auto"/>
              <w:jc w:val="center"/>
              <w:rPr>
                <w:rFonts w:ascii="Segoe UI" w:eastAsia="Times New Roman" w:hAnsi="Segoe UI" w:cs="Segoe UI"/>
                <w:b/>
                <w:bCs/>
                <w:color w:val="FFFFFF"/>
                <w:sz w:val="18"/>
                <w:szCs w:val="18"/>
                <w:lang w:eastAsia="pt-BR"/>
              </w:rPr>
            </w:pPr>
          </w:p>
        </w:tc>
        <w:tc>
          <w:tcPr>
            <w:tcW w:w="1008" w:type="pct"/>
            <w:tcBorders>
              <w:top w:val="nil"/>
              <w:left w:val="nil"/>
              <w:bottom w:val="nil"/>
              <w:right w:val="nil"/>
            </w:tcBorders>
            <w:shd w:val="clear" w:color="000000" w:fill="1B80C4"/>
            <w:noWrap/>
            <w:vAlign w:val="bottom"/>
            <w:hideMark/>
          </w:tcPr>
          <w:p w14:paraId="74610966" w14:textId="0F06A7C5" w:rsidR="00274B2D" w:rsidRPr="00C709BD" w:rsidRDefault="00274B2D" w:rsidP="00C709BD">
            <w:pPr>
              <w:spacing w:after="0" w:line="240" w:lineRule="auto"/>
              <w:jc w:val="center"/>
              <w:rPr>
                <w:rFonts w:ascii="Segoe UI" w:eastAsia="Times New Roman" w:hAnsi="Segoe UI" w:cs="Segoe UI"/>
                <w:b/>
                <w:bCs/>
                <w:color w:val="FFFFFF"/>
                <w:sz w:val="18"/>
                <w:szCs w:val="18"/>
                <w:lang w:eastAsia="pt-BR"/>
              </w:rPr>
            </w:pPr>
            <w:r w:rsidRPr="00C709BD">
              <w:rPr>
                <w:rFonts w:ascii="Segoe UI" w:eastAsia="Times New Roman" w:hAnsi="Segoe UI" w:cs="Segoe UI"/>
                <w:b/>
                <w:bCs/>
                <w:color w:val="FFFFFF"/>
                <w:sz w:val="18"/>
                <w:szCs w:val="18"/>
                <w:lang w:eastAsia="pt-BR"/>
              </w:rPr>
              <w:t xml:space="preserve"> Consolidado </w:t>
            </w:r>
          </w:p>
        </w:tc>
      </w:tr>
      <w:tr w:rsidR="00274B2D" w:rsidRPr="00C709BD" w14:paraId="47942C24" w14:textId="77777777" w:rsidTr="00DC1D61">
        <w:trPr>
          <w:trHeight w:val="23"/>
        </w:trPr>
        <w:tc>
          <w:tcPr>
            <w:tcW w:w="2485" w:type="pct"/>
            <w:tcBorders>
              <w:top w:val="nil"/>
              <w:left w:val="nil"/>
              <w:bottom w:val="nil"/>
              <w:right w:val="nil"/>
            </w:tcBorders>
            <w:shd w:val="clear" w:color="auto" w:fill="auto"/>
            <w:noWrap/>
            <w:vAlign w:val="center"/>
            <w:hideMark/>
          </w:tcPr>
          <w:p w14:paraId="61D48E0D" w14:textId="77777777" w:rsidR="00274B2D" w:rsidRPr="00C709BD" w:rsidRDefault="00274B2D" w:rsidP="00C709BD">
            <w:pPr>
              <w:spacing w:after="0" w:line="240" w:lineRule="auto"/>
              <w:jc w:val="center"/>
              <w:rPr>
                <w:rFonts w:ascii="Segoe UI" w:eastAsia="Times New Roman" w:hAnsi="Segoe UI" w:cs="Segoe UI"/>
                <w:b/>
                <w:bCs/>
                <w:color w:val="FFFFFF"/>
                <w:sz w:val="18"/>
                <w:szCs w:val="18"/>
                <w:lang w:eastAsia="pt-BR"/>
              </w:rPr>
            </w:pPr>
          </w:p>
        </w:tc>
        <w:tc>
          <w:tcPr>
            <w:tcW w:w="1400" w:type="pct"/>
            <w:tcBorders>
              <w:top w:val="single" w:sz="4" w:space="0" w:color="FFFFFF"/>
              <w:left w:val="nil"/>
              <w:bottom w:val="single" w:sz="4" w:space="0" w:color="FFFFFF"/>
              <w:right w:val="nil"/>
            </w:tcBorders>
            <w:shd w:val="clear" w:color="000000" w:fill="1B80C4"/>
            <w:noWrap/>
            <w:vAlign w:val="center"/>
            <w:hideMark/>
          </w:tcPr>
          <w:p w14:paraId="325A6689" w14:textId="77777777" w:rsidR="00274B2D" w:rsidRPr="00C709BD" w:rsidRDefault="00274B2D" w:rsidP="00C709BD">
            <w:pPr>
              <w:spacing w:after="0" w:line="240" w:lineRule="auto"/>
              <w:jc w:val="center"/>
              <w:rPr>
                <w:rFonts w:ascii="Segoe UI" w:eastAsia="Times New Roman" w:hAnsi="Segoe UI" w:cs="Segoe UI"/>
                <w:b/>
                <w:bCs/>
                <w:color w:val="FFFFFF"/>
                <w:sz w:val="18"/>
                <w:szCs w:val="18"/>
                <w:lang w:eastAsia="pt-BR"/>
              </w:rPr>
            </w:pPr>
            <w:r w:rsidRPr="00C709BD">
              <w:rPr>
                <w:rFonts w:ascii="Segoe UI" w:eastAsia="Times New Roman" w:hAnsi="Segoe UI" w:cs="Segoe UI"/>
                <w:b/>
                <w:bCs/>
                <w:color w:val="FFFFFF"/>
                <w:sz w:val="18"/>
                <w:szCs w:val="18"/>
                <w:lang w:eastAsia="pt-BR"/>
              </w:rPr>
              <w:t>31/12/2022</w:t>
            </w:r>
          </w:p>
        </w:tc>
        <w:tc>
          <w:tcPr>
            <w:tcW w:w="107" w:type="pct"/>
            <w:tcBorders>
              <w:left w:val="nil"/>
              <w:right w:val="nil"/>
            </w:tcBorders>
            <w:shd w:val="clear" w:color="000000" w:fill="1B80C4"/>
          </w:tcPr>
          <w:p w14:paraId="0D648EF3" w14:textId="77777777" w:rsidR="00274B2D" w:rsidRPr="00C709BD" w:rsidRDefault="00274B2D" w:rsidP="00C709BD">
            <w:pPr>
              <w:spacing w:after="0" w:line="240" w:lineRule="auto"/>
              <w:jc w:val="center"/>
              <w:rPr>
                <w:rFonts w:ascii="Segoe UI" w:eastAsia="Times New Roman" w:hAnsi="Segoe UI" w:cs="Segoe UI"/>
                <w:b/>
                <w:bCs/>
                <w:color w:val="FFFFFF"/>
                <w:sz w:val="18"/>
                <w:szCs w:val="18"/>
                <w:lang w:eastAsia="pt-BR"/>
              </w:rPr>
            </w:pPr>
          </w:p>
        </w:tc>
        <w:tc>
          <w:tcPr>
            <w:tcW w:w="1008" w:type="pct"/>
            <w:tcBorders>
              <w:top w:val="single" w:sz="4" w:space="0" w:color="FFFFFF"/>
              <w:left w:val="nil"/>
              <w:bottom w:val="single" w:sz="4" w:space="0" w:color="FFFFFF"/>
              <w:right w:val="nil"/>
            </w:tcBorders>
            <w:shd w:val="clear" w:color="000000" w:fill="1B80C4"/>
            <w:noWrap/>
            <w:vAlign w:val="center"/>
            <w:hideMark/>
          </w:tcPr>
          <w:p w14:paraId="511C5921" w14:textId="189E5661" w:rsidR="00274B2D" w:rsidRPr="00C709BD" w:rsidRDefault="00274B2D" w:rsidP="00C709BD">
            <w:pPr>
              <w:spacing w:after="0" w:line="240" w:lineRule="auto"/>
              <w:jc w:val="center"/>
              <w:rPr>
                <w:rFonts w:ascii="Segoe UI" w:eastAsia="Times New Roman" w:hAnsi="Segoe UI" w:cs="Segoe UI"/>
                <w:b/>
                <w:bCs/>
                <w:color w:val="FFFFFF"/>
                <w:sz w:val="18"/>
                <w:szCs w:val="18"/>
                <w:lang w:eastAsia="pt-BR"/>
              </w:rPr>
            </w:pPr>
            <w:r w:rsidRPr="00C709BD">
              <w:rPr>
                <w:rFonts w:ascii="Segoe UI" w:eastAsia="Times New Roman" w:hAnsi="Segoe UI" w:cs="Segoe UI"/>
                <w:b/>
                <w:bCs/>
                <w:color w:val="FFFFFF"/>
                <w:sz w:val="18"/>
                <w:szCs w:val="18"/>
                <w:lang w:eastAsia="pt-BR"/>
              </w:rPr>
              <w:t>31/12/2022</w:t>
            </w:r>
          </w:p>
        </w:tc>
      </w:tr>
      <w:tr w:rsidR="00274B2D" w:rsidRPr="00C709BD" w14:paraId="76D7707E" w14:textId="77777777" w:rsidTr="00DC1D61">
        <w:trPr>
          <w:trHeight w:val="23"/>
        </w:trPr>
        <w:tc>
          <w:tcPr>
            <w:tcW w:w="2485" w:type="pct"/>
            <w:tcBorders>
              <w:top w:val="nil"/>
              <w:left w:val="nil"/>
              <w:bottom w:val="nil"/>
              <w:right w:val="nil"/>
            </w:tcBorders>
            <w:shd w:val="clear" w:color="auto" w:fill="auto"/>
            <w:noWrap/>
            <w:vAlign w:val="bottom"/>
            <w:hideMark/>
          </w:tcPr>
          <w:p w14:paraId="1A6E4329" w14:textId="77777777" w:rsidR="00274B2D" w:rsidRPr="00C709BD" w:rsidRDefault="00274B2D" w:rsidP="00C709BD">
            <w:pPr>
              <w:spacing w:after="0" w:line="240" w:lineRule="auto"/>
              <w:rPr>
                <w:rFonts w:ascii="Segoe UI" w:eastAsia="Times New Roman" w:hAnsi="Segoe UI" w:cs="Segoe UI"/>
                <w:color w:val="444444"/>
                <w:sz w:val="18"/>
                <w:szCs w:val="18"/>
                <w:lang w:eastAsia="pt-BR"/>
              </w:rPr>
            </w:pPr>
            <w:r w:rsidRPr="00C709BD">
              <w:rPr>
                <w:rFonts w:ascii="Segoe UI" w:eastAsia="Times New Roman" w:hAnsi="Segoe UI" w:cs="Segoe UI"/>
                <w:color w:val="444444"/>
                <w:sz w:val="18"/>
                <w:szCs w:val="18"/>
                <w:lang w:eastAsia="pt-BR"/>
              </w:rPr>
              <w:t xml:space="preserve"> Caixa e Bancos </w:t>
            </w:r>
          </w:p>
        </w:tc>
        <w:tc>
          <w:tcPr>
            <w:tcW w:w="1400" w:type="pct"/>
            <w:tcBorders>
              <w:top w:val="nil"/>
              <w:left w:val="nil"/>
              <w:bottom w:val="nil"/>
              <w:right w:val="nil"/>
            </w:tcBorders>
            <w:shd w:val="clear" w:color="auto" w:fill="auto"/>
            <w:noWrap/>
            <w:vAlign w:val="center"/>
            <w:hideMark/>
          </w:tcPr>
          <w:p w14:paraId="13134CD2" w14:textId="77777777"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   </w:t>
            </w:r>
          </w:p>
        </w:tc>
        <w:tc>
          <w:tcPr>
            <w:tcW w:w="107" w:type="pct"/>
            <w:tcBorders>
              <w:top w:val="nil"/>
              <w:left w:val="nil"/>
              <w:bottom w:val="nil"/>
              <w:right w:val="nil"/>
            </w:tcBorders>
          </w:tcPr>
          <w:p w14:paraId="54BF44E1" w14:textId="77777777"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p>
        </w:tc>
        <w:tc>
          <w:tcPr>
            <w:tcW w:w="1008" w:type="pct"/>
            <w:tcBorders>
              <w:top w:val="nil"/>
              <w:left w:val="nil"/>
              <w:bottom w:val="nil"/>
              <w:right w:val="nil"/>
            </w:tcBorders>
            <w:shd w:val="clear" w:color="auto" w:fill="auto"/>
            <w:noWrap/>
            <w:vAlign w:val="center"/>
            <w:hideMark/>
          </w:tcPr>
          <w:p w14:paraId="6676CE5B" w14:textId="4C542FEC"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33.880 </w:t>
            </w:r>
          </w:p>
        </w:tc>
      </w:tr>
      <w:tr w:rsidR="00274B2D" w:rsidRPr="00C709BD" w14:paraId="50AC3F1D" w14:textId="77777777" w:rsidTr="00DC1D61">
        <w:trPr>
          <w:trHeight w:val="23"/>
        </w:trPr>
        <w:tc>
          <w:tcPr>
            <w:tcW w:w="2485" w:type="pct"/>
            <w:tcBorders>
              <w:top w:val="nil"/>
              <w:left w:val="nil"/>
              <w:bottom w:val="nil"/>
              <w:right w:val="nil"/>
            </w:tcBorders>
            <w:shd w:val="clear" w:color="auto" w:fill="auto"/>
            <w:noWrap/>
            <w:vAlign w:val="center"/>
            <w:hideMark/>
          </w:tcPr>
          <w:p w14:paraId="42038025" w14:textId="77777777" w:rsidR="00274B2D" w:rsidRPr="00C709BD" w:rsidRDefault="00274B2D" w:rsidP="00C709BD">
            <w:pPr>
              <w:spacing w:after="0" w:line="240" w:lineRule="auto"/>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Aplicações financeiras (a) </w:t>
            </w:r>
          </w:p>
        </w:tc>
        <w:tc>
          <w:tcPr>
            <w:tcW w:w="1400" w:type="pct"/>
            <w:tcBorders>
              <w:top w:val="nil"/>
              <w:left w:val="nil"/>
              <w:bottom w:val="nil"/>
              <w:right w:val="nil"/>
            </w:tcBorders>
            <w:shd w:val="clear" w:color="auto" w:fill="auto"/>
            <w:noWrap/>
            <w:vAlign w:val="center"/>
            <w:hideMark/>
          </w:tcPr>
          <w:p w14:paraId="1B57D459" w14:textId="77777777"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1.810.374 </w:t>
            </w:r>
          </w:p>
        </w:tc>
        <w:tc>
          <w:tcPr>
            <w:tcW w:w="107" w:type="pct"/>
            <w:tcBorders>
              <w:top w:val="nil"/>
              <w:left w:val="nil"/>
              <w:bottom w:val="nil"/>
              <w:right w:val="nil"/>
            </w:tcBorders>
          </w:tcPr>
          <w:p w14:paraId="33A165AB" w14:textId="77777777"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p>
        </w:tc>
        <w:tc>
          <w:tcPr>
            <w:tcW w:w="1008" w:type="pct"/>
            <w:tcBorders>
              <w:top w:val="nil"/>
              <w:left w:val="nil"/>
              <w:bottom w:val="nil"/>
              <w:right w:val="nil"/>
            </w:tcBorders>
            <w:shd w:val="clear" w:color="auto" w:fill="auto"/>
            <w:noWrap/>
            <w:vAlign w:val="center"/>
            <w:hideMark/>
          </w:tcPr>
          <w:p w14:paraId="137A2A0F" w14:textId="50ADB90F"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2.578.009 </w:t>
            </w:r>
          </w:p>
        </w:tc>
      </w:tr>
      <w:tr w:rsidR="00274B2D" w:rsidRPr="00C709BD" w14:paraId="17CC293E" w14:textId="77777777" w:rsidTr="00DC1D61">
        <w:trPr>
          <w:trHeight w:val="23"/>
        </w:trPr>
        <w:tc>
          <w:tcPr>
            <w:tcW w:w="2485" w:type="pct"/>
            <w:tcBorders>
              <w:top w:val="nil"/>
              <w:left w:val="nil"/>
              <w:bottom w:val="nil"/>
              <w:right w:val="nil"/>
            </w:tcBorders>
            <w:shd w:val="clear" w:color="auto" w:fill="auto"/>
            <w:noWrap/>
            <w:vAlign w:val="center"/>
            <w:hideMark/>
          </w:tcPr>
          <w:p w14:paraId="7AFE282E" w14:textId="77777777" w:rsidR="00274B2D" w:rsidRPr="00C709BD" w:rsidRDefault="00274B2D" w:rsidP="00C709BD">
            <w:pPr>
              <w:spacing w:after="0" w:line="240" w:lineRule="auto"/>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Caixa restrito (b) </w:t>
            </w:r>
          </w:p>
        </w:tc>
        <w:tc>
          <w:tcPr>
            <w:tcW w:w="1400" w:type="pct"/>
            <w:tcBorders>
              <w:top w:val="nil"/>
              <w:left w:val="nil"/>
              <w:bottom w:val="nil"/>
              <w:right w:val="nil"/>
            </w:tcBorders>
            <w:shd w:val="clear" w:color="auto" w:fill="auto"/>
            <w:noWrap/>
            <w:vAlign w:val="center"/>
            <w:hideMark/>
          </w:tcPr>
          <w:p w14:paraId="03585517" w14:textId="77777777"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550.657 </w:t>
            </w:r>
          </w:p>
        </w:tc>
        <w:tc>
          <w:tcPr>
            <w:tcW w:w="107" w:type="pct"/>
            <w:tcBorders>
              <w:top w:val="nil"/>
              <w:left w:val="nil"/>
              <w:bottom w:val="nil"/>
              <w:right w:val="nil"/>
            </w:tcBorders>
          </w:tcPr>
          <w:p w14:paraId="1FCB7A3E" w14:textId="77777777"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p>
        </w:tc>
        <w:tc>
          <w:tcPr>
            <w:tcW w:w="1008" w:type="pct"/>
            <w:tcBorders>
              <w:top w:val="nil"/>
              <w:left w:val="nil"/>
              <w:bottom w:val="nil"/>
              <w:right w:val="nil"/>
            </w:tcBorders>
            <w:shd w:val="clear" w:color="auto" w:fill="auto"/>
            <w:noWrap/>
            <w:vAlign w:val="center"/>
            <w:hideMark/>
          </w:tcPr>
          <w:p w14:paraId="6EC507E1" w14:textId="617D524F"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550.657 </w:t>
            </w:r>
          </w:p>
        </w:tc>
      </w:tr>
      <w:tr w:rsidR="00274B2D" w:rsidRPr="00C709BD" w14:paraId="4A255CE3" w14:textId="77777777" w:rsidTr="00DC1D61">
        <w:trPr>
          <w:trHeight w:val="23"/>
        </w:trPr>
        <w:tc>
          <w:tcPr>
            <w:tcW w:w="2485" w:type="pct"/>
            <w:tcBorders>
              <w:top w:val="nil"/>
              <w:left w:val="nil"/>
              <w:bottom w:val="nil"/>
              <w:right w:val="nil"/>
            </w:tcBorders>
            <w:shd w:val="clear" w:color="auto" w:fill="auto"/>
            <w:noWrap/>
            <w:vAlign w:val="center"/>
            <w:hideMark/>
          </w:tcPr>
          <w:p w14:paraId="0E56F596" w14:textId="77777777" w:rsidR="00274B2D" w:rsidRPr="00C709BD" w:rsidRDefault="00274B2D" w:rsidP="00C709BD">
            <w:pPr>
              <w:spacing w:after="0" w:line="240" w:lineRule="auto"/>
              <w:jc w:val="right"/>
              <w:rPr>
                <w:rFonts w:ascii="Segoe UI" w:eastAsia="Times New Roman" w:hAnsi="Segoe UI" w:cs="Segoe UI"/>
                <w:color w:val="000000"/>
                <w:sz w:val="18"/>
                <w:szCs w:val="18"/>
                <w:lang w:eastAsia="pt-BR"/>
              </w:rPr>
            </w:pPr>
          </w:p>
        </w:tc>
        <w:tc>
          <w:tcPr>
            <w:tcW w:w="1400" w:type="pct"/>
            <w:tcBorders>
              <w:top w:val="single" w:sz="4" w:space="0" w:color="1B80C4"/>
              <w:left w:val="nil"/>
              <w:bottom w:val="double" w:sz="6" w:space="0" w:color="1B80C4"/>
              <w:right w:val="nil"/>
            </w:tcBorders>
            <w:shd w:val="clear" w:color="auto" w:fill="auto"/>
            <w:noWrap/>
            <w:vAlign w:val="center"/>
            <w:hideMark/>
          </w:tcPr>
          <w:p w14:paraId="3918289A" w14:textId="77777777" w:rsidR="00274B2D" w:rsidRPr="00C709BD" w:rsidRDefault="00274B2D" w:rsidP="00C709BD">
            <w:pPr>
              <w:spacing w:after="0" w:line="240" w:lineRule="auto"/>
              <w:jc w:val="right"/>
              <w:rPr>
                <w:rFonts w:ascii="Segoe UI" w:eastAsia="Times New Roman" w:hAnsi="Segoe UI" w:cs="Segoe UI"/>
                <w:b/>
                <w:bCs/>
                <w:color w:val="000000"/>
                <w:sz w:val="18"/>
                <w:szCs w:val="18"/>
                <w:lang w:eastAsia="pt-BR"/>
              </w:rPr>
            </w:pPr>
            <w:r w:rsidRPr="00C709BD">
              <w:rPr>
                <w:rFonts w:ascii="Segoe UI" w:eastAsia="Times New Roman" w:hAnsi="Segoe UI" w:cs="Segoe UI"/>
                <w:b/>
                <w:bCs/>
                <w:color w:val="000000"/>
                <w:sz w:val="18"/>
                <w:szCs w:val="18"/>
                <w:lang w:eastAsia="pt-BR"/>
              </w:rPr>
              <w:t xml:space="preserve">                                 2.361.031 </w:t>
            </w:r>
          </w:p>
        </w:tc>
        <w:tc>
          <w:tcPr>
            <w:tcW w:w="107" w:type="pct"/>
            <w:tcBorders>
              <w:left w:val="nil"/>
              <w:right w:val="nil"/>
            </w:tcBorders>
          </w:tcPr>
          <w:p w14:paraId="5F7D81E2" w14:textId="77777777" w:rsidR="00274B2D" w:rsidRPr="00C709BD" w:rsidRDefault="00274B2D" w:rsidP="00C709BD">
            <w:pPr>
              <w:spacing w:after="0" w:line="240" w:lineRule="auto"/>
              <w:jc w:val="right"/>
              <w:rPr>
                <w:rFonts w:ascii="Segoe UI" w:eastAsia="Times New Roman" w:hAnsi="Segoe UI" w:cs="Segoe UI"/>
                <w:b/>
                <w:bCs/>
                <w:color w:val="000000"/>
                <w:sz w:val="18"/>
                <w:szCs w:val="18"/>
                <w:lang w:eastAsia="pt-BR"/>
              </w:rPr>
            </w:pPr>
          </w:p>
        </w:tc>
        <w:tc>
          <w:tcPr>
            <w:tcW w:w="1008" w:type="pct"/>
            <w:tcBorders>
              <w:top w:val="single" w:sz="4" w:space="0" w:color="1B80C4"/>
              <w:left w:val="nil"/>
              <w:bottom w:val="double" w:sz="6" w:space="0" w:color="1B80C4"/>
              <w:right w:val="nil"/>
            </w:tcBorders>
            <w:shd w:val="clear" w:color="auto" w:fill="auto"/>
            <w:noWrap/>
            <w:vAlign w:val="center"/>
            <w:hideMark/>
          </w:tcPr>
          <w:p w14:paraId="6EDA5CC1" w14:textId="576F2F7C" w:rsidR="00274B2D" w:rsidRPr="00C709BD" w:rsidRDefault="00274B2D" w:rsidP="00C709BD">
            <w:pPr>
              <w:spacing w:after="0" w:line="240" w:lineRule="auto"/>
              <w:jc w:val="right"/>
              <w:rPr>
                <w:rFonts w:ascii="Segoe UI" w:eastAsia="Times New Roman" w:hAnsi="Segoe UI" w:cs="Segoe UI"/>
                <w:b/>
                <w:bCs/>
                <w:color w:val="000000"/>
                <w:sz w:val="18"/>
                <w:szCs w:val="18"/>
                <w:lang w:eastAsia="pt-BR"/>
              </w:rPr>
            </w:pPr>
            <w:r w:rsidRPr="00C709BD">
              <w:rPr>
                <w:rFonts w:ascii="Segoe UI" w:eastAsia="Times New Roman" w:hAnsi="Segoe UI" w:cs="Segoe UI"/>
                <w:b/>
                <w:bCs/>
                <w:color w:val="000000"/>
                <w:sz w:val="18"/>
                <w:szCs w:val="18"/>
                <w:lang w:eastAsia="pt-BR"/>
              </w:rPr>
              <w:t xml:space="preserve">                  3.162.546 </w:t>
            </w:r>
          </w:p>
        </w:tc>
      </w:tr>
    </w:tbl>
    <w:p w14:paraId="383C7B4B" w14:textId="77777777" w:rsidR="008A12C9" w:rsidRPr="000757BC" w:rsidRDefault="008A12C9" w:rsidP="00B25EB1">
      <w:pPr>
        <w:widowControl w:val="0"/>
        <w:autoSpaceDE w:val="0"/>
        <w:autoSpaceDN w:val="0"/>
        <w:jc w:val="both"/>
        <w:rPr>
          <w:rFonts w:ascii="Segoe UI" w:hAnsi="Segoe UI" w:cs="Segoe UI"/>
          <w:sz w:val="12"/>
          <w:szCs w:val="12"/>
        </w:rPr>
      </w:pPr>
    </w:p>
    <w:p w14:paraId="0352CABC" w14:textId="0403FC24" w:rsidR="003D318B" w:rsidRPr="000757BC" w:rsidRDefault="00B25EB1" w:rsidP="00E03252">
      <w:pPr>
        <w:pStyle w:val="PargrafodaLista"/>
        <w:widowControl w:val="0"/>
        <w:numPr>
          <w:ilvl w:val="0"/>
          <w:numId w:val="7"/>
        </w:numPr>
        <w:autoSpaceDE w:val="0"/>
        <w:autoSpaceDN w:val="0"/>
        <w:spacing w:before="120" w:after="120" w:line="254" w:lineRule="auto"/>
        <w:rPr>
          <w:rFonts w:ascii="Segoe UI" w:hAnsi="Segoe UI" w:cs="Segoe UI"/>
          <w:sz w:val="20"/>
          <w:szCs w:val="20"/>
        </w:rPr>
      </w:pPr>
      <w:r w:rsidRPr="000757BC">
        <w:rPr>
          <w:rFonts w:ascii="Segoe UI" w:hAnsi="Segoe UI" w:cs="Segoe UI"/>
          <w:sz w:val="20"/>
          <w:szCs w:val="20"/>
        </w:rPr>
        <w:t xml:space="preserve">O excedente de caixa da Companhia é aplicado de forma conservadora em ativos financeiros de baixo risco, sendo os principais instrumentos financeiros representados por </w:t>
      </w:r>
      <w:r w:rsidR="002E7D73" w:rsidRPr="000757BC">
        <w:rPr>
          <w:rFonts w:ascii="Segoe UI" w:hAnsi="Segoe UI" w:cs="Segoe UI"/>
          <w:sz w:val="20"/>
          <w:szCs w:val="20"/>
        </w:rPr>
        <w:t xml:space="preserve">Certificados de Depósitos Bancários </w:t>
      </w:r>
      <w:r w:rsidR="002E7D73">
        <w:rPr>
          <w:rFonts w:ascii="Segoe UI" w:hAnsi="Segoe UI" w:cs="Segoe UI"/>
          <w:sz w:val="20"/>
          <w:szCs w:val="20"/>
        </w:rPr>
        <w:t xml:space="preserve"> - (“</w:t>
      </w:r>
      <w:r w:rsidRPr="000757BC">
        <w:rPr>
          <w:rFonts w:ascii="Segoe UI" w:hAnsi="Segoe UI" w:cs="Segoe UI"/>
          <w:sz w:val="20"/>
          <w:szCs w:val="20"/>
        </w:rPr>
        <w:t>CDB’s</w:t>
      </w:r>
      <w:r w:rsidR="002E7D73">
        <w:rPr>
          <w:rFonts w:ascii="Segoe UI" w:hAnsi="Segoe UI" w:cs="Segoe UI"/>
          <w:sz w:val="20"/>
          <w:szCs w:val="20"/>
        </w:rPr>
        <w:t>”)</w:t>
      </w:r>
      <w:r w:rsidRPr="000757BC">
        <w:rPr>
          <w:rFonts w:ascii="Segoe UI" w:hAnsi="Segoe UI" w:cs="Segoe UI"/>
          <w:sz w:val="20"/>
          <w:szCs w:val="20"/>
        </w:rPr>
        <w:t xml:space="preserve">, aplicados junto ao Banco </w:t>
      </w:r>
      <w:r w:rsidR="005C7733" w:rsidRPr="000757BC">
        <w:rPr>
          <w:rFonts w:ascii="Segoe UI" w:hAnsi="Segoe UI" w:cs="Segoe UI"/>
          <w:sz w:val="20"/>
          <w:szCs w:val="20"/>
        </w:rPr>
        <w:t>do Brasil</w:t>
      </w:r>
      <w:r w:rsidRPr="000757BC">
        <w:rPr>
          <w:rFonts w:ascii="Segoe UI" w:hAnsi="Segoe UI" w:cs="Segoe UI"/>
          <w:sz w:val="20"/>
          <w:szCs w:val="20"/>
        </w:rPr>
        <w:t xml:space="preserve"> S.A. – </w:t>
      </w:r>
      <w:r w:rsidR="002E7D73">
        <w:rPr>
          <w:rFonts w:ascii="Segoe UI" w:hAnsi="Segoe UI" w:cs="Segoe UI"/>
          <w:sz w:val="20"/>
          <w:szCs w:val="20"/>
        </w:rPr>
        <w:t>(“</w:t>
      </w:r>
      <w:r w:rsidR="005C7733" w:rsidRPr="000757BC">
        <w:rPr>
          <w:rFonts w:ascii="Segoe UI" w:hAnsi="Segoe UI" w:cs="Segoe UI"/>
          <w:sz w:val="20"/>
          <w:szCs w:val="20"/>
        </w:rPr>
        <w:t>BB</w:t>
      </w:r>
      <w:r w:rsidR="002E7D73">
        <w:rPr>
          <w:rFonts w:ascii="Segoe UI" w:hAnsi="Segoe UI" w:cs="Segoe UI"/>
          <w:sz w:val="20"/>
          <w:szCs w:val="20"/>
        </w:rPr>
        <w:t>”)</w:t>
      </w:r>
      <w:r w:rsidRPr="000757BC">
        <w:rPr>
          <w:rFonts w:ascii="Segoe UI" w:hAnsi="Segoe UI" w:cs="Segoe UI"/>
          <w:sz w:val="20"/>
          <w:szCs w:val="20"/>
        </w:rPr>
        <w:t>. Os investimentos têm alta liquidez, sendo prontamente conversíveis em recursos disponíveis de acordo com as necessidades de caixa da Companhia em um valor conhecido e com risco insignificante de perda</w:t>
      </w:r>
      <w:r w:rsidRPr="008211B4">
        <w:rPr>
          <w:rFonts w:ascii="Segoe UI" w:hAnsi="Segoe UI" w:cs="Segoe UI"/>
          <w:sz w:val="20"/>
          <w:szCs w:val="20"/>
        </w:rPr>
        <w:t>. As aplicações financeiras</w:t>
      </w:r>
      <w:r w:rsidR="00A146ED" w:rsidRPr="00A146ED">
        <w:rPr>
          <w:rFonts w:ascii="Segoe UI" w:hAnsi="Segoe UI" w:cs="Segoe UI"/>
          <w:sz w:val="20"/>
          <w:szCs w:val="20"/>
        </w:rPr>
        <w:t xml:space="preserve"> </w:t>
      </w:r>
      <w:r w:rsidR="00A146ED" w:rsidRPr="008211B4">
        <w:rPr>
          <w:rFonts w:ascii="Segoe UI" w:hAnsi="Segoe UI" w:cs="Segoe UI"/>
          <w:sz w:val="20"/>
          <w:szCs w:val="20"/>
        </w:rPr>
        <w:t>têm rentabilidade</w:t>
      </w:r>
      <w:r w:rsidRPr="008211B4">
        <w:rPr>
          <w:rFonts w:ascii="Segoe UI" w:hAnsi="Segoe UI" w:cs="Segoe UI"/>
          <w:sz w:val="20"/>
          <w:szCs w:val="20"/>
        </w:rPr>
        <w:t xml:space="preserve"> </w:t>
      </w:r>
      <w:r w:rsidR="00A146ED" w:rsidRPr="008211B4">
        <w:rPr>
          <w:rFonts w:ascii="Segoe UI" w:hAnsi="Segoe UI" w:cs="Segoe UI"/>
          <w:sz w:val="20"/>
          <w:szCs w:val="20"/>
        </w:rPr>
        <w:t>acumulad</w:t>
      </w:r>
      <w:r w:rsidR="00A146ED">
        <w:rPr>
          <w:rFonts w:ascii="Segoe UI" w:hAnsi="Segoe UI" w:cs="Segoe UI"/>
          <w:sz w:val="20"/>
          <w:szCs w:val="20"/>
        </w:rPr>
        <w:t>a</w:t>
      </w:r>
      <w:r w:rsidR="00A146ED" w:rsidRPr="008211B4">
        <w:rPr>
          <w:rFonts w:ascii="Segoe UI" w:hAnsi="Segoe UI" w:cs="Segoe UI"/>
          <w:sz w:val="20"/>
          <w:szCs w:val="20"/>
        </w:rPr>
        <w:t xml:space="preserve"> dos últimos 12 meses </w:t>
      </w:r>
      <w:r w:rsidR="00A146ED">
        <w:rPr>
          <w:rFonts w:ascii="Segoe UI" w:hAnsi="Segoe UI" w:cs="Segoe UI"/>
          <w:sz w:val="20"/>
          <w:szCs w:val="20"/>
        </w:rPr>
        <w:t>n</w:t>
      </w:r>
      <w:r w:rsidRPr="008211B4">
        <w:rPr>
          <w:rFonts w:ascii="Segoe UI" w:hAnsi="Segoe UI" w:cs="Segoe UI"/>
          <w:sz w:val="20"/>
          <w:szCs w:val="20"/>
        </w:rPr>
        <w:t xml:space="preserve">a </w:t>
      </w:r>
      <w:r w:rsidR="00263272" w:rsidRPr="006F1CB7">
        <w:rPr>
          <w:rFonts w:ascii="Segoe UI" w:hAnsi="Segoe UI" w:cs="Segoe UI"/>
          <w:sz w:val="20"/>
          <w:szCs w:val="20"/>
        </w:rPr>
        <w:t>Controladora</w:t>
      </w:r>
      <w:r w:rsidR="00A20C63" w:rsidRPr="006F1CB7">
        <w:rPr>
          <w:rFonts w:ascii="Segoe UI" w:hAnsi="Segoe UI" w:cs="Segoe UI"/>
          <w:sz w:val="20"/>
          <w:szCs w:val="20"/>
        </w:rPr>
        <w:t xml:space="preserve"> </w:t>
      </w:r>
      <w:r w:rsidR="00417D95" w:rsidRPr="006F1CB7">
        <w:rPr>
          <w:rFonts w:ascii="Segoe UI" w:hAnsi="Segoe UI" w:cs="Segoe UI"/>
          <w:sz w:val="20"/>
          <w:szCs w:val="20"/>
        </w:rPr>
        <w:t xml:space="preserve">de </w:t>
      </w:r>
      <w:r w:rsidR="00540472" w:rsidRPr="006F1CB7">
        <w:rPr>
          <w:rFonts w:ascii="Segoe UI" w:hAnsi="Segoe UI" w:cs="Segoe UI"/>
          <w:sz w:val="20"/>
          <w:szCs w:val="20"/>
        </w:rPr>
        <w:t>11,</w:t>
      </w:r>
      <w:r w:rsidR="008211B4" w:rsidRPr="006F1CB7">
        <w:rPr>
          <w:rFonts w:ascii="Segoe UI" w:hAnsi="Segoe UI" w:cs="Segoe UI"/>
          <w:sz w:val="20"/>
          <w:szCs w:val="20"/>
        </w:rPr>
        <w:t>85</w:t>
      </w:r>
      <w:r w:rsidR="00417D95" w:rsidRPr="006F1CB7">
        <w:rPr>
          <w:rFonts w:ascii="Segoe UI" w:hAnsi="Segoe UI" w:cs="Segoe UI"/>
          <w:sz w:val="20"/>
          <w:szCs w:val="20"/>
        </w:rPr>
        <w:t>%</w:t>
      </w:r>
      <w:r w:rsidR="00417D95" w:rsidRPr="008211B4">
        <w:rPr>
          <w:rFonts w:ascii="Segoe UI" w:hAnsi="Segoe UI" w:cs="Segoe UI"/>
          <w:sz w:val="20"/>
          <w:szCs w:val="20"/>
        </w:rPr>
        <w:t xml:space="preserve"> </w:t>
      </w:r>
      <w:r w:rsidR="00A146ED">
        <w:rPr>
          <w:rFonts w:ascii="Segoe UI" w:hAnsi="Segoe UI" w:cs="Segoe UI"/>
          <w:sz w:val="20"/>
          <w:szCs w:val="20"/>
        </w:rPr>
        <w:t xml:space="preserve">e na </w:t>
      </w:r>
      <w:r w:rsidR="00263272">
        <w:rPr>
          <w:rFonts w:ascii="Segoe UI" w:hAnsi="Segoe UI" w:cs="Segoe UI"/>
          <w:sz w:val="20"/>
          <w:szCs w:val="20"/>
        </w:rPr>
        <w:t>INB de 9,37%</w:t>
      </w:r>
      <w:r w:rsidR="00417D95" w:rsidRPr="008211B4">
        <w:rPr>
          <w:rFonts w:ascii="Segoe UI" w:hAnsi="Segoe UI" w:cs="Segoe UI"/>
          <w:sz w:val="20"/>
          <w:szCs w:val="20"/>
        </w:rPr>
        <w:t>.</w:t>
      </w:r>
      <w:r w:rsidRPr="008211B4">
        <w:rPr>
          <w:rFonts w:ascii="Segoe UI" w:hAnsi="Segoe UI" w:cs="Segoe UI"/>
          <w:sz w:val="20"/>
          <w:szCs w:val="20"/>
        </w:rPr>
        <w:t xml:space="preserve"> Dada à natureza e característica das aplicações financeiras, as mesmas já estão reconhecidas pelo seu valor</w:t>
      </w:r>
      <w:r w:rsidRPr="000757BC">
        <w:rPr>
          <w:rFonts w:ascii="Segoe UI" w:hAnsi="Segoe UI" w:cs="Segoe UI"/>
          <w:sz w:val="20"/>
          <w:szCs w:val="20"/>
        </w:rPr>
        <w:t xml:space="preserve"> justo, em contrapartida ao resultado.</w:t>
      </w:r>
    </w:p>
    <w:p w14:paraId="7B87F75E" w14:textId="18480C5A" w:rsidR="008A12C9" w:rsidRPr="000757BC" w:rsidRDefault="00B25EB1" w:rsidP="00E03252">
      <w:pPr>
        <w:pStyle w:val="PargrafodaLista"/>
        <w:numPr>
          <w:ilvl w:val="0"/>
          <w:numId w:val="7"/>
        </w:numPr>
        <w:autoSpaceDE w:val="0"/>
        <w:autoSpaceDN w:val="0"/>
        <w:adjustRightInd w:val="0"/>
        <w:spacing w:before="120" w:after="120" w:line="254" w:lineRule="auto"/>
        <w:rPr>
          <w:rFonts w:ascii="Segoe UI" w:hAnsi="Segoe UI" w:cs="Segoe UI"/>
          <w:sz w:val="20"/>
          <w:szCs w:val="20"/>
        </w:rPr>
      </w:pPr>
      <w:r w:rsidRPr="000757BC">
        <w:rPr>
          <w:rFonts w:ascii="Segoe UI" w:hAnsi="Segoe UI" w:cs="Segoe UI"/>
          <w:sz w:val="20"/>
          <w:szCs w:val="20"/>
        </w:rPr>
        <w:t>O montante c</w:t>
      </w:r>
      <w:r w:rsidR="00431AD6" w:rsidRPr="000757BC">
        <w:rPr>
          <w:rFonts w:ascii="Segoe UI" w:hAnsi="Segoe UI" w:cs="Segoe UI"/>
          <w:sz w:val="20"/>
          <w:szCs w:val="20"/>
        </w:rPr>
        <w:t xml:space="preserve">ompreende o saldo </w:t>
      </w:r>
      <w:r w:rsidR="00FB13E4" w:rsidRPr="000757BC">
        <w:rPr>
          <w:rFonts w:ascii="Segoe UI" w:hAnsi="Segoe UI" w:cs="Segoe UI"/>
          <w:sz w:val="20"/>
          <w:szCs w:val="20"/>
        </w:rPr>
        <w:t xml:space="preserve">de conta corrente </w:t>
      </w:r>
      <w:r w:rsidRPr="000757BC">
        <w:rPr>
          <w:rFonts w:ascii="Segoe UI" w:hAnsi="Segoe UI" w:cs="Segoe UI"/>
          <w:sz w:val="20"/>
          <w:szCs w:val="20"/>
        </w:rPr>
        <w:t>das atividades relacionadas à</w:t>
      </w:r>
      <w:r w:rsidR="00DD4F83" w:rsidRPr="000757BC">
        <w:rPr>
          <w:rFonts w:ascii="Segoe UI" w:hAnsi="Segoe UI" w:cs="Segoe UI"/>
          <w:sz w:val="20"/>
          <w:szCs w:val="20"/>
        </w:rPr>
        <w:t xml:space="preserve"> atividade de comercialização da energia elétrica de</w:t>
      </w:r>
      <w:r w:rsidRPr="000757BC">
        <w:rPr>
          <w:rFonts w:ascii="Segoe UI" w:hAnsi="Segoe UI" w:cs="Segoe UI"/>
          <w:sz w:val="20"/>
          <w:szCs w:val="20"/>
        </w:rPr>
        <w:t xml:space="preserve"> Itaipu</w:t>
      </w:r>
      <w:r w:rsidR="005C7733" w:rsidRPr="000757BC">
        <w:rPr>
          <w:rFonts w:ascii="Segoe UI" w:hAnsi="Segoe UI" w:cs="Segoe UI"/>
          <w:sz w:val="20"/>
          <w:szCs w:val="20"/>
        </w:rPr>
        <w:t>,</w:t>
      </w:r>
      <w:r w:rsidR="00DD4F83" w:rsidRPr="000757BC">
        <w:rPr>
          <w:rFonts w:ascii="Segoe UI" w:hAnsi="Segoe UI" w:cs="Segoe UI"/>
          <w:sz w:val="20"/>
          <w:szCs w:val="20"/>
        </w:rPr>
        <w:t xml:space="preserve"> administrada pela </w:t>
      </w:r>
      <w:r w:rsidR="00A20C63">
        <w:rPr>
          <w:rFonts w:ascii="Segoe UI" w:hAnsi="Segoe UI" w:cs="Segoe UI"/>
          <w:sz w:val="20"/>
          <w:szCs w:val="20"/>
        </w:rPr>
        <w:t>Controladora</w:t>
      </w:r>
      <w:r w:rsidR="00DD4F83" w:rsidRPr="000757BC">
        <w:rPr>
          <w:rFonts w:ascii="Segoe UI" w:hAnsi="Segoe UI" w:cs="Segoe UI"/>
          <w:sz w:val="20"/>
          <w:szCs w:val="20"/>
        </w:rPr>
        <w:t>, e não pode</w:t>
      </w:r>
      <w:r w:rsidR="005C7733" w:rsidRPr="000757BC">
        <w:rPr>
          <w:rFonts w:ascii="Segoe UI" w:hAnsi="Segoe UI" w:cs="Segoe UI"/>
          <w:sz w:val="20"/>
          <w:szCs w:val="20"/>
        </w:rPr>
        <w:t xml:space="preserve"> ser utilizada para outra finalidade</w:t>
      </w:r>
      <w:r w:rsidRPr="000757BC">
        <w:rPr>
          <w:rFonts w:ascii="Segoe UI" w:hAnsi="Segoe UI" w:cs="Segoe UI"/>
          <w:sz w:val="20"/>
          <w:szCs w:val="20"/>
        </w:rPr>
        <w:t xml:space="preserve">. </w:t>
      </w:r>
      <w:r w:rsidR="00DD4F83" w:rsidRPr="000757BC">
        <w:rPr>
          <w:rFonts w:ascii="Segoe UI" w:hAnsi="Segoe UI" w:cs="Segoe UI"/>
          <w:sz w:val="20"/>
          <w:szCs w:val="20"/>
        </w:rPr>
        <w:t>Os recursos estão aplicados no</w:t>
      </w:r>
      <w:r w:rsidR="002E7D73">
        <w:rPr>
          <w:rFonts w:ascii="Segoe UI" w:hAnsi="Segoe UI" w:cs="Segoe UI"/>
          <w:sz w:val="20"/>
          <w:szCs w:val="20"/>
        </w:rPr>
        <w:t xml:space="preserve"> BB</w:t>
      </w:r>
      <w:r w:rsidR="00DD4F83" w:rsidRPr="000757BC">
        <w:rPr>
          <w:rFonts w:ascii="Segoe UI" w:hAnsi="Segoe UI" w:cs="Segoe UI"/>
          <w:sz w:val="20"/>
          <w:szCs w:val="20"/>
        </w:rPr>
        <w:t xml:space="preserve">, no fundo BB EXTRAM FAE 2 FI, </w:t>
      </w:r>
      <w:r w:rsidR="00DD4F83" w:rsidRPr="008211B4">
        <w:rPr>
          <w:rFonts w:ascii="Segoe UI" w:hAnsi="Segoe UI" w:cs="Segoe UI"/>
          <w:sz w:val="20"/>
          <w:szCs w:val="20"/>
        </w:rPr>
        <w:t xml:space="preserve">com remuneração de </w:t>
      </w:r>
      <w:r w:rsidR="008211B4" w:rsidRPr="008211B4">
        <w:rPr>
          <w:rFonts w:ascii="Segoe UI" w:hAnsi="Segoe UI" w:cs="Segoe UI"/>
          <w:sz w:val="20"/>
          <w:szCs w:val="20"/>
        </w:rPr>
        <w:t>11,85</w:t>
      </w:r>
      <w:r w:rsidR="00417D95" w:rsidRPr="008211B4">
        <w:rPr>
          <w:rFonts w:ascii="Segoe UI" w:hAnsi="Segoe UI" w:cs="Segoe UI"/>
          <w:sz w:val="20"/>
          <w:szCs w:val="20"/>
        </w:rPr>
        <w:t>%</w:t>
      </w:r>
      <w:r w:rsidR="006370E1" w:rsidRPr="000757BC">
        <w:rPr>
          <w:rFonts w:ascii="Segoe UI" w:hAnsi="Segoe UI" w:cs="Segoe UI"/>
          <w:sz w:val="20"/>
          <w:szCs w:val="20"/>
        </w:rPr>
        <w:t xml:space="preserve"> </w:t>
      </w:r>
      <w:r w:rsidR="00417D95" w:rsidRPr="000757BC">
        <w:rPr>
          <w:rFonts w:ascii="Segoe UI" w:hAnsi="Segoe UI" w:cs="Segoe UI"/>
          <w:sz w:val="20"/>
          <w:szCs w:val="20"/>
        </w:rPr>
        <w:t>acumulado dos últimos 12 meses</w:t>
      </w:r>
      <w:r w:rsidR="006370E1" w:rsidRPr="000757BC">
        <w:rPr>
          <w:rFonts w:ascii="Segoe UI" w:hAnsi="Segoe UI" w:cs="Segoe UI"/>
          <w:sz w:val="20"/>
          <w:szCs w:val="20"/>
        </w:rPr>
        <w:t>.</w:t>
      </w:r>
    </w:p>
    <w:p w14:paraId="48140600" w14:textId="77777777" w:rsidR="002D17FF" w:rsidRPr="000757BC" w:rsidRDefault="002D17FF" w:rsidP="002D17FF">
      <w:pPr>
        <w:pStyle w:val="PargrafodaLista"/>
        <w:rPr>
          <w:rFonts w:ascii="Segoe UI" w:hAnsi="Segoe UI" w:cs="Segoe UI"/>
          <w:sz w:val="20"/>
          <w:szCs w:val="20"/>
        </w:rPr>
      </w:pPr>
    </w:p>
    <w:p w14:paraId="20C181E9" w14:textId="16BF0C79" w:rsidR="008A12C9" w:rsidRPr="000757BC" w:rsidRDefault="00581D1F" w:rsidP="00F7132F">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5</w:t>
      </w:r>
      <w:r w:rsidR="002B1787" w:rsidRPr="000757BC">
        <w:rPr>
          <w:rFonts w:ascii="Segoe UI" w:hAnsi="Segoe UI" w:cs="Segoe UI"/>
          <w:b/>
          <w:color w:val="0070C0"/>
        </w:rPr>
        <w:t xml:space="preserve"> – TÍTULOS E V</w:t>
      </w:r>
      <w:r w:rsidR="005C7733" w:rsidRPr="000757BC">
        <w:rPr>
          <w:rFonts w:ascii="Segoe UI" w:hAnsi="Segoe UI" w:cs="Segoe UI"/>
          <w:b/>
          <w:color w:val="0070C0"/>
        </w:rPr>
        <w:t>ALORES MOBILIÁRIOS</w:t>
      </w:r>
    </w:p>
    <w:tbl>
      <w:tblPr>
        <w:tblW w:w="5000" w:type="pct"/>
        <w:tblCellMar>
          <w:left w:w="70" w:type="dxa"/>
          <w:right w:w="70" w:type="dxa"/>
        </w:tblCellMar>
        <w:tblLook w:val="04A0" w:firstRow="1" w:lastRow="0" w:firstColumn="1" w:lastColumn="0" w:noHBand="0" w:noVBand="1"/>
      </w:tblPr>
      <w:tblGrid>
        <w:gridCol w:w="6851"/>
        <w:gridCol w:w="2646"/>
      </w:tblGrid>
      <w:tr w:rsidR="00C709BD" w:rsidRPr="00C709BD" w14:paraId="348BFB39" w14:textId="77777777" w:rsidTr="00C709BD">
        <w:trPr>
          <w:trHeight w:val="23"/>
        </w:trPr>
        <w:tc>
          <w:tcPr>
            <w:tcW w:w="3607" w:type="pct"/>
            <w:tcBorders>
              <w:top w:val="nil"/>
              <w:left w:val="nil"/>
              <w:bottom w:val="nil"/>
              <w:right w:val="nil"/>
            </w:tcBorders>
            <w:shd w:val="clear" w:color="auto" w:fill="auto"/>
            <w:noWrap/>
            <w:vAlign w:val="bottom"/>
            <w:hideMark/>
          </w:tcPr>
          <w:p w14:paraId="7DC2891E" w14:textId="77777777" w:rsidR="00C709BD" w:rsidRPr="00C709BD" w:rsidRDefault="00C709BD" w:rsidP="00C709BD">
            <w:pPr>
              <w:spacing w:after="0" w:line="240" w:lineRule="auto"/>
              <w:rPr>
                <w:rFonts w:ascii="Times New Roman" w:eastAsia="Times New Roman" w:hAnsi="Times New Roman" w:cs="Times New Roman"/>
                <w:sz w:val="24"/>
                <w:szCs w:val="24"/>
                <w:lang w:eastAsia="pt-BR"/>
              </w:rPr>
            </w:pPr>
          </w:p>
        </w:tc>
        <w:tc>
          <w:tcPr>
            <w:tcW w:w="1393" w:type="pct"/>
            <w:tcBorders>
              <w:top w:val="nil"/>
              <w:left w:val="nil"/>
              <w:bottom w:val="nil"/>
              <w:right w:val="nil"/>
            </w:tcBorders>
            <w:shd w:val="clear" w:color="000000" w:fill="1B80C4"/>
            <w:noWrap/>
            <w:vAlign w:val="bottom"/>
            <w:hideMark/>
          </w:tcPr>
          <w:p w14:paraId="1D8FE68A" w14:textId="77777777" w:rsidR="00C709BD" w:rsidRPr="00C709BD" w:rsidRDefault="00C709BD" w:rsidP="00C709BD">
            <w:pPr>
              <w:spacing w:after="0" w:line="240" w:lineRule="auto"/>
              <w:jc w:val="center"/>
              <w:rPr>
                <w:rFonts w:ascii="Segoe UI" w:eastAsia="Times New Roman" w:hAnsi="Segoe UI" w:cs="Segoe UI"/>
                <w:b/>
                <w:bCs/>
                <w:color w:val="FFFFFF"/>
                <w:sz w:val="18"/>
                <w:szCs w:val="18"/>
                <w:lang w:eastAsia="pt-BR"/>
              </w:rPr>
            </w:pPr>
            <w:r w:rsidRPr="00C709BD">
              <w:rPr>
                <w:rFonts w:ascii="Segoe UI" w:eastAsia="Times New Roman" w:hAnsi="Segoe UI" w:cs="Segoe UI"/>
                <w:b/>
                <w:bCs/>
                <w:color w:val="FFFFFF"/>
                <w:sz w:val="18"/>
                <w:szCs w:val="18"/>
                <w:lang w:eastAsia="pt-BR"/>
              </w:rPr>
              <w:t xml:space="preserve"> Consolidado </w:t>
            </w:r>
          </w:p>
        </w:tc>
      </w:tr>
      <w:tr w:rsidR="00C709BD" w:rsidRPr="00C709BD" w14:paraId="38DD1754" w14:textId="77777777" w:rsidTr="00C709BD">
        <w:trPr>
          <w:trHeight w:val="23"/>
        </w:trPr>
        <w:tc>
          <w:tcPr>
            <w:tcW w:w="3607" w:type="pct"/>
            <w:tcBorders>
              <w:top w:val="nil"/>
              <w:left w:val="nil"/>
              <w:bottom w:val="nil"/>
              <w:right w:val="nil"/>
            </w:tcBorders>
            <w:shd w:val="clear" w:color="auto" w:fill="auto"/>
            <w:noWrap/>
            <w:vAlign w:val="bottom"/>
            <w:hideMark/>
          </w:tcPr>
          <w:p w14:paraId="7931914C" w14:textId="77777777" w:rsidR="00C709BD" w:rsidRPr="00C709BD" w:rsidRDefault="00C709BD" w:rsidP="00C709BD">
            <w:pPr>
              <w:spacing w:after="0" w:line="240" w:lineRule="auto"/>
              <w:jc w:val="center"/>
              <w:rPr>
                <w:rFonts w:ascii="Segoe UI" w:eastAsia="Times New Roman" w:hAnsi="Segoe UI" w:cs="Segoe UI"/>
                <w:b/>
                <w:bCs/>
                <w:color w:val="FFFFFF"/>
                <w:sz w:val="18"/>
                <w:szCs w:val="18"/>
                <w:lang w:eastAsia="pt-BR"/>
              </w:rPr>
            </w:pPr>
          </w:p>
        </w:tc>
        <w:tc>
          <w:tcPr>
            <w:tcW w:w="1393" w:type="pct"/>
            <w:tcBorders>
              <w:top w:val="single" w:sz="4" w:space="0" w:color="FFFFFF"/>
              <w:left w:val="nil"/>
              <w:bottom w:val="single" w:sz="4" w:space="0" w:color="FFFFFF"/>
              <w:right w:val="nil"/>
            </w:tcBorders>
            <w:shd w:val="clear" w:color="000000" w:fill="1B80C4"/>
            <w:noWrap/>
            <w:vAlign w:val="center"/>
            <w:hideMark/>
          </w:tcPr>
          <w:p w14:paraId="7CE35913" w14:textId="77777777" w:rsidR="00C709BD" w:rsidRPr="00C709BD" w:rsidRDefault="00C709BD" w:rsidP="00C709BD">
            <w:pPr>
              <w:spacing w:after="0" w:line="240" w:lineRule="auto"/>
              <w:jc w:val="center"/>
              <w:rPr>
                <w:rFonts w:ascii="Segoe UI" w:eastAsia="Times New Roman" w:hAnsi="Segoe UI" w:cs="Segoe UI"/>
                <w:b/>
                <w:bCs/>
                <w:color w:val="FFFFFF"/>
                <w:sz w:val="18"/>
                <w:szCs w:val="18"/>
                <w:lang w:eastAsia="pt-BR"/>
              </w:rPr>
            </w:pPr>
            <w:r w:rsidRPr="00C709BD">
              <w:rPr>
                <w:rFonts w:ascii="Segoe UI" w:eastAsia="Times New Roman" w:hAnsi="Segoe UI" w:cs="Segoe UI"/>
                <w:b/>
                <w:bCs/>
                <w:color w:val="FFFFFF"/>
                <w:sz w:val="18"/>
                <w:szCs w:val="18"/>
                <w:lang w:eastAsia="pt-BR"/>
              </w:rPr>
              <w:t>31/12/2022</w:t>
            </w:r>
          </w:p>
        </w:tc>
      </w:tr>
      <w:tr w:rsidR="00C709BD" w:rsidRPr="00C709BD" w14:paraId="07A05FC6" w14:textId="77777777" w:rsidTr="00C709BD">
        <w:trPr>
          <w:trHeight w:val="23"/>
        </w:trPr>
        <w:tc>
          <w:tcPr>
            <w:tcW w:w="3607" w:type="pct"/>
            <w:tcBorders>
              <w:top w:val="nil"/>
              <w:left w:val="nil"/>
              <w:bottom w:val="nil"/>
              <w:right w:val="nil"/>
            </w:tcBorders>
            <w:shd w:val="clear" w:color="auto" w:fill="auto"/>
            <w:noWrap/>
            <w:vAlign w:val="center"/>
            <w:hideMark/>
          </w:tcPr>
          <w:p w14:paraId="14D4BAE0" w14:textId="77777777" w:rsidR="00C709BD" w:rsidRPr="00A85EDE" w:rsidRDefault="00C709BD" w:rsidP="00C709BD">
            <w:pPr>
              <w:spacing w:after="0" w:line="240" w:lineRule="auto"/>
              <w:rPr>
                <w:rFonts w:ascii="Segoe UI" w:eastAsia="Times New Roman" w:hAnsi="Segoe UI" w:cs="Segoe UI"/>
                <w:color w:val="000000"/>
                <w:sz w:val="18"/>
                <w:szCs w:val="18"/>
                <w:lang w:val="de-DE" w:eastAsia="pt-BR"/>
              </w:rPr>
            </w:pPr>
            <w:r w:rsidRPr="00A85EDE">
              <w:rPr>
                <w:rFonts w:ascii="Segoe UI" w:eastAsia="Times New Roman" w:hAnsi="Segoe UI" w:cs="Segoe UI"/>
                <w:color w:val="000000"/>
                <w:sz w:val="18"/>
                <w:szCs w:val="18"/>
                <w:lang w:val="de-DE" w:eastAsia="pt-BR"/>
              </w:rPr>
              <w:t xml:space="preserve"> BB RF Ref. DI TP FI </w:t>
            </w:r>
          </w:p>
        </w:tc>
        <w:tc>
          <w:tcPr>
            <w:tcW w:w="1393" w:type="pct"/>
            <w:tcBorders>
              <w:top w:val="nil"/>
              <w:left w:val="nil"/>
              <w:bottom w:val="nil"/>
              <w:right w:val="nil"/>
            </w:tcBorders>
            <w:shd w:val="clear" w:color="auto" w:fill="auto"/>
            <w:noWrap/>
            <w:vAlign w:val="center"/>
            <w:hideMark/>
          </w:tcPr>
          <w:p w14:paraId="066C6662" w14:textId="77777777" w:rsidR="00C709BD" w:rsidRPr="00C709BD" w:rsidRDefault="00C709BD" w:rsidP="00C709BD">
            <w:pPr>
              <w:spacing w:after="0" w:line="240" w:lineRule="auto"/>
              <w:jc w:val="right"/>
              <w:rPr>
                <w:rFonts w:ascii="Segoe UI" w:eastAsia="Times New Roman" w:hAnsi="Segoe UI" w:cs="Segoe UI"/>
                <w:color w:val="000000"/>
                <w:sz w:val="18"/>
                <w:szCs w:val="18"/>
                <w:lang w:eastAsia="pt-BR"/>
              </w:rPr>
            </w:pPr>
            <w:r w:rsidRPr="00A85EDE">
              <w:rPr>
                <w:rFonts w:ascii="Segoe UI" w:eastAsia="Times New Roman" w:hAnsi="Segoe UI" w:cs="Segoe UI"/>
                <w:color w:val="000000"/>
                <w:sz w:val="18"/>
                <w:szCs w:val="18"/>
                <w:lang w:val="de-DE" w:eastAsia="pt-BR"/>
              </w:rPr>
              <w:t xml:space="preserve">                    </w:t>
            </w:r>
            <w:r w:rsidRPr="00C709BD">
              <w:rPr>
                <w:rFonts w:ascii="Segoe UI" w:eastAsia="Times New Roman" w:hAnsi="Segoe UI" w:cs="Segoe UI"/>
                <w:color w:val="000000"/>
                <w:sz w:val="18"/>
                <w:szCs w:val="18"/>
                <w:lang w:eastAsia="pt-BR"/>
              </w:rPr>
              <w:t xml:space="preserve">2.589.286 </w:t>
            </w:r>
          </w:p>
        </w:tc>
      </w:tr>
      <w:tr w:rsidR="00C709BD" w:rsidRPr="00C709BD" w14:paraId="792D55C9" w14:textId="77777777" w:rsidTr="00C709BD">
        <w:trPr>
          <w:trHeight w:val="23"/>
        </w:trPr>
        <w:tc>
          <w:tcPr>
            <w:tcW w:w="3607" w:type="pct"/>
            <w:tcBorders>
              <w:top w:val="nil"/>
              <w:left w:val="nil"/>
              <w:bottom w:val="nil"/>
              <w:right w:val="nil"/>
            </w:tcBorders>
            <w:shd w:val="clear" w:color="auto" w:fill="auto"/>
            <w:noWrap/>
            <w:vAlign w:val="center"/>
            <w:hideMark/>
          </w:tcPr>
          <w:p w14:paraId="2E86DBD0" w14:textId="77777777" w:rsidR="00C709BD" w:rsidRPr="00C709BD" w:rsidRDefault="00C709BD" w:rsidP="00C709BD">
            <w:pPr>
              <w:spacing w:after="0" w:line="240" w:lineRule="auto"/>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BB Extramercado FAE 2 FI </w:t>
            </w:r>
          </w:p>
        </w:tc>
        <w:tc>
          <w:tcPr>
            <w:tcW w:w="1393" w:type="pct"/>
            <w:tcBorders>
              <w:top w:val="nil"/>
              <w:left w:val="nil"/>
              <w:bottom w:val="nil"/>
              <w:right w:val="nil"/>
            </w:tcBorders>
            <w:shd w:val="clear" w:color="auto" w:fill="auto"/>
            <w:noWrap/>
            <w:vAlign w:val="center"/>
            <w:hideMark/>
          </w:tcPr>
          <w:p w14:paraId="7E46B226" w14:textId="77777777" w:rsidR="00C709BD" w:rsidRPr="00C709BD" w:rsidRDefault="00C709B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139.769 </w:t>
            </w:r>
          </w:p>
        </w:tc>
      </w:tr>
      <w:tr w:rsidR="00C709BD" w:rsidRPr="00C709BD" w14:paraId="47C1D098" w14:textId="77777777" w:rsidTr="00C709BD">
        <w:trPr>
          <w:trHeight w:val="23"/>
        </w:trPr>
        <w:tc>
          <w:tcPr>
            <w:tcW w:w="3607" w:type="pct"/>
            <w:tcBorders>
              <w:top w:val="nil"/>
              <w:left w:val="nil"/>
              <w:bottom w:val="nil"/>
              <w:right w:val="nil"/>
            </w:tcBorders>
            <w:shd w:val="clear" w:color="auto" w:fill="auto"/>
            <w:noWrap/>
            <w:vAlign w:val="center"/>
            <w:hideMark/>
          </w:tcPr>
          <w:p w14:paraId="5B40F522" w14:textId="5C50D6A9" w:rsidR="00C709BD" w:rsidRPr="00C709BD" w:rsidRDefault="00C709BD" w:rsidP="00C709BD">
            <w:pPr>
              <w:spacing w:after="0" w:line="240" w:lineRule="auto"/>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FI Caixa Topázio Corporativo RF </w:t>
            </w:r>
          </w:p>
        </w:tc>
        <w:tc>
          <w:tcPr>
            <w:tcW w:w="1393" w:type="pct"/>
            <w:tcBorders>
              <w:top w:val="nil"/>
              <w:left w:val="nil"/>
              <w:bottom w:val="nil"/>
              <w:right w:val="nil"/>
            </w:tcBorders>
            <w:shd w:val="clear" w:color="auto" w:fill="auto"/>
            <w:noWrap/>
            <w:vAlign w:val="center"/>
            <w:hideMark/>
          </w:tcPr>
          <w:p w14:paraId="7FDC76AD" w14:textId="77777777" w:rsidR="00C709BD" w:rsidRPr="00C709BD" w:rsidRDefault="00C709BD" w:rsidP="00C709BD">
            <w:pPr>
              <w:spacing w:after="0" w:line="240" w:lineRule="auto"/>
              <w:jc w:val="right"/>
              <w:rPr>
                <w:rFonts w:ascii="Segoe UI" w:eastAsia="Times New Roman" w:hAnsi="Segoe UI" w:cs="Segoe UI"/>
                <w:color w:val="000000"/>
                <w:sz w:val="18"/>
                <w:szCs w:val="18"/>
                <w:lang w:eastAsia="pt-BR"/>
              </w:rPr>
            </w:pPr>
            <w:r w:rsidRPr="00C709BD">
              <w:rPr>
                <w:rFonts w:ascii="Segoe UI" w:eastAsia="Times New Roman" w:hAnsi="Segoe UI" w:cs="Segoe UI"/>
                <w:color w:val="000000"/>
                <w:sz w:val="18"/>
                <w:szCs w:val="18"/>
                <w:lang w:eastAsia="pt-BR"/>
              </w:rPr>
              <w:t xml:space="preserve">                         25.071 </w:t>
            </w:r>
          </w:p>
        </w:tc>
      </w:tr>
      <w:tr w:rsidR="00C709BD" w:rsidRPr="00C709BD" w14:paraId="3C27E0D2" w14:textId="77777777" w:rsidTr="00C709BD">
        <w:trPr>
          <w:trHeight w:val="23"/>
        </w:trPr>
        <w:tc>
          <w:tcPr>
            <w:tcW w:w="3607" w:type="pct"/>
            <w:tcBorders>
              <w:top w:val="nil"/>
              <w:left w:val="nil"/>
              <w:bottom w:val="nil"/>
              <w:right w:val="nil"/>
            </w:tcBorders>
            <w:shd w:val="clear" w:color="auto" w:fill="auto"/>
            <w:noWrap/>
            <w:vAlign w:val="bottom"/>
            <w:hideMark/>
          </w:tcPr>
          <w:p w14:paraId="716C39E6" w14:textId="77777777" w:rsidR="00C709BD" w:rsidRPr="00C709BD" w:rsidRDefault="00C709BD" w:rsidP="00C709BD">
            <w:pPr>
              <w:spacing w:after="0" w:line="240" w:lineRule="auto"/>
              <w:jc w:val="right"/>
              <w:rPr>
                <w:rFonts w:ascii="Segoe UI" w:eastAsia="Times New Roman" w:hAnsi="Segoe UI" w:cs="Segoe UI"/>
                <w:color w:val="000000"/>
                <w:sz w:val="18"/>
                <w:szCs w:val="18"/>
                <w:lang w:eastAsia="pt-BR"/>
              </w:rPr>
            </w:pPr>
          </w:p>
        </w:tc>
        <w:tc>
          <w:tcPr>
            <w:tcW w:w="1393" w:type="pct"/>
            <w:tcBorders>
              <w:top w:val="single" w:sz="4" w:space="0" w:color="1B80C4"/>
              <w:left w:val="nil"/>
              <w:bottom w:val="double" w:sz="6" w:space="0" w:color="1B80C4"/>
              <w:right w:val="nil"/>
            </w:tcBorders>
            <w:shd w:val="clear" w:color="auto" w:fill="auto"/>
            <w:noWrap/>
            <w:vAlign w:val="center"/>
            <w:hideMark/>
          </w:tcPr>
          <w:p w14:paraId="7DA4F3BF" w14:textId="77777777" w:rsidR="00C709BD" w:rsidRPr="00C709BD" w:rsidRDefault="00C709BD" w:rsidP="00C709BD">
            <w:pPr>
              <w:spacing w:after="0" w:line="240" w:lineRule="auto"/>
              <w:jc w:val="right"/>
              <w:rPr>
                <w:rFonts w:ascii="Segoe UI" w:eastAsia="Times New Roman" w:hAnsi="Segoe UI" w:cs="Segoe UI"/>
                <w:b/>
                <w:bCs/>
                <w:color w:val="000000"/>
                <w:sz w:val="18"/>
                <w:szCs w:val="18"/>
                <w:lang w:eastAsia="pt-BR"/>
              </w:rPr>
            </w:pPr>
            <w:r w:rsidRPr="00C709BD">
              <w:rPr>
                <w:rFonts w:ascii="Segoe UI" w:eastAsia="Times New Roman" w:hAnsi="Segoe UI" w:cs="Segoe UI"/>
                <w:b/>
                <w:bCs/>
                <w:color w:val="000000"/>
                <w:sz w:val="18"/>
                <w:szCs w:val="18"/>
                <w:lang w:eastAsia="pt-BR"/>
              </w:rPr>
              <w:t xml:space="preserve">                  2.754.126 </w:t>
            </w:r>
          </w:p>
        </w:tc>
      </w:tr>
    </w:tbl>
    <w:p w14:paraId="08E5E5CC" w14:textId="77777777" w:rsidR="00296D30" w:rsidRDefault="00CB3B07"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296D30">
        <w:rPr>
          <w:rFonts w:ascii="Segoe UI" w:hAnsi="Segoe UI" w:cs="Segoe UI"/>
          <w:sz w:val="20"/>
          <w:szCs w:val="20"/>
        </w:rPr>
        <w:t>A r</w:t>
      </w:r>
      <w:r w:rsidR="008D01BA" w:rsidRPr="00296D30">
        <w:rPr>
          <w:rFonts w:ascii="Segoe UI" w:hAnsi="Segoe UI" w:cs="Segoe UI"/>
          <w:sz w:val="20"/>
          <w:szCs w:val="20"/>
        </w:rPr>
        <w:t>entabilidade nos últimos 12 meses</w:t>
      </w:r>
      <w:r w:rsidRPr="00296D30">
        <w:rPr>
          <w:rFonts w:ascii="Segoe UI" w:hAnsi="Segoe UI" w:cs="Segoe UI"/>
          <w:sz w:val="20"/>
          <w:szCs w:val="20"/>
        </w:rPr>
        <w:t xml:space="preserve"> foi de</w:t>
      </w:r>
      <w:r w:rsidR="008D01BA" w:rsidRPr="00296D30">
        <w:rPr>
          <w:rFonts w:ascii="Segoe UI" w:hAnsi="Segoe UI" w:cs="Segoe UI"/>
          <w:sz w:val="20"/>
          <w:szCs w:val="20"/>
        </w:rPr>
        <w:t xml:space="preserve"> 1</w:t>
      </w:r>
      <w:r w:rsidR="00232161" w:rsidRPr="00296D30">
        <w:rPr>
          <w:rFonts w:ascii="Segoe UI" w:hAnsi="Segoe UI" w:cs="Segoe UI"/>
          <w:sz w:val="20"/>
          <w:szCs w:val="20"/>
        </w:rPr>
        <w:t>2</w:t>
      </w:r>
      <w:r w:rsidR="008D01BA" w:rsidRPr="00296D30">
        <w:rPr>
          <w:rFonts w:ascii="Segoe UI" w:hAnsi="Segoe UI" w:cs="Segoe UI"/>
          <w:sz w:val="20"/>
          <w:szCs w:val="20"/>
        </w:rPr>
        <w:t>,</w:t>
      </w:r>
      <w:r w:rsidR="00232161" w:rsidRPr="00296D30">
        <w:rPr>
          <w:rFonts w:ascii="Segoe UI" w:hAnsi="Segoe UI" w:cs="Segoe UI"/>
          <w:sz w:val="20"/>
          <w:szCs w:val="20"/>
        </w:rPr>
        <w:t>39</w:t>
      </w:r>
      <w:r w:rsidR="008D01BA" w:rsidRPr="00296D30">
        <w:rPr>
          <w:rFonts w:ascii="Segoe UI" w:hAnsi="Segoe UI" w:cs="Segoe UI"/>
          <w:sz w:val="20"/>
          <w:szCs w:val="20"/>
        </w:rPr>
        <w:t>%</w:t>
      </w:r>
      <w:r w:rsidR="00321BD4" w:rsidRPr="00296D30">
        <w:rPr>
          <w:rFonts w:ascii="Segoe UI" w:hAnsi="Segoe UI" w:cs="Segoe UI"/>
          <w:sz w:val="20"/>
          <w:szCs w:val="20"/>
        </w:rPr>
        <w:t>;</w:t>
      </w:r>
    </w:p>
    <w:p w14:paraId="775D8DA7" w14:textId="77777777" w:rsidR="00296D30" w:rsidRDefault="00321BD4"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296D30">
        <w:rPr>
          <w:rFonts w:ascii="Segoe UI" w:hAnsi="Segoe UI" w:cs="Segoe UI"/>
          <w:sz w:val="20"/>
          <w:szCs w:val="20"/>
        </w:rPr>
        <w:t>A rentabilidade nos últimos 12 meses foi de 11,85%;</w:t>
      </w:r>
      <w:r w:rsidR="004648E1" w:rsidRPr="00296D30">
        <w:rPr>
          <w:rFonts w:ascii="Segoe UI" w:hAnsi="Segoe UI" w:cs="Segoe UI"/>
          <w:sz w:val="20"/>
          <w:szCs w:val="20"/>
        </w:rPr>
        <w:t xml:space="preserve"> </w:t>
      </w:r>
    </w:p>
    <w:p w14:paraId="168F2239" w14:textId="76AD748F" w:rsidR="00020CE8" w:rsidRDefault="00321BD4"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296D30">
        <w:rPr>
          <w:rFonts w:ascii="Segoe UI" w:hAnsi="Segoe UI" w:cs="Segoe UI"/>
          <w:sz w:val="20"/>
          <w:szCs w:val="20"/>
        </w:rPr>
        <w:t>A rentabilidade nos últimos 12 meses foi de 11,88%.</w:t>
      </w:r>
    </w:p>
    <w:p w14:paraId="77316C7E" w14:textId="77777777" w:rsidR="001447F3" w:rsidRPr="000757BC" w:rsidRDefault="001447F3" w:rsidP="00714B13">
      <w:pPr>
        <w:widowControl w:val="0"/>
        <w:autoSpaceDE w:val="0"/>
        <w:autoSpaceDN w:val="0"/>
        <w:spacing w:after="0"/>
        <w:jc w:val="both"/>
        <w:rPr>
          <w:rFonts w:ascii="Segoe UI" w:hAnsi="Segoe UI" w:cs="Segoe UI"/>
        </w:rPr>
      </w:pPr>
    </w:p>
    <w:p w14:paraId="3E1C0A1F" w14:textId="06E35089" w:rsidR="002B1787" w:rsidRDefault="00581D1F" w:rsidP="00714B13">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6</w:t>
      </w:r>
      <w:r w:rsidR="002B1787" w:rsidRPr="000757BC">
        <w:rPr>
          <w:rFonts w:ascii="Segoe UI" w:hAnsi="Segoe UI" w:cs="Segoe UI"/>
          <w:b/>
          <w:color w:val="0070C0"/>
        </w:rPr>
        <w:t xml:space="preserve"> – CLIENTES </w:t>
      </w:r>
    </w:p>
    <w:p w14:paraId="5294D803" w14:textId="77777777" w:rsidR="00755A01" w:rsidRPr="000757BC" w:rsidRDefault="00755A01" w:rsidP="002E5050"/>
    <w:tbl>
      <w:tblPr>
        <w:tblW w:w="5000" w:type="pct"/>
        <w:tblCellMar>
          <w:left w:w="70" w:type="dxa"/>
          <w:right w:w="70" w:type="dxa"/>
        </w:tblCellMar>
        <w:tblLook w:val="04A0" w:firstRow="1" w:lastRow="0" w:firstColumn="1" w:lastColumn="0" w:noHBand="0" w:noVBand="1"/>
      </w:tblPr>
      <w:tblGrid>
        <w:gridCol w:w="5296"/>
        <w:gridCol w:w="2002"/>
        <w:gridCol w:w="199"/>
        <w:gridCol w:w="2000"/>
      </w:tblGrid>
      <w:tr w:rsidR="003C2EA8" w:rsidRPr="003C2EA8" w14:paraId="51C637A8" w14:textId="77777777" w:rsidTr="00720438">
        <w:trPr>
          <w:trHeight w:val="240"/>
        </w:trPr>
        <w:tc>
          <w:tcPr>
            <w:tcW w:w="2788" w:type="pct"/>
            <w:tcBorders>
              <w:top w:val="nil"/>
              <w:left w:val="nil"/>
              <w:bottom w:val="nil"/>
              <w:right w:val="nil"/>
            </w:tcBorders>
            <w:shd w:val="clear" w:color="auto" w:fill="auto"/>
            <w:noWrap/>
            <w:vAlign w:val="bottom"/>
            <w:hideMark/>
          </w:tcPr>
          <w:p w14:paraId="56DDD435" w14:textId="77777777" w:rsidR="003C2EA8" w:rsidRPr="003C2EA8" w:rsidRDefault="003C2EA8" w:rsidP="003C2EA8">
            <w:pPr>
              <w:spacing w:after="0" w:line="240" w:lineRule="auto"/>
              <w:rPr>
                <w:rFonts w:ascii="Times New Roman" w:eastAsia="Times New Roman" w:hAnsi="Times New Roman" w:cs="Times New Roman"/>
                <w:sz w:val="24"/>
                <w:szCs w:val="24"/>
                <w:lang w:eastAsia="pt-BR"/>
              </w:rPr>
            </w:pPr>
          </w:p>
        </w:tc>
        <w:tc>
          <w:tcPr>
            <w:tcW w:w="1054" w:type="pct"/>
            <w:tcBorders>
              <w:top w:val="nil"/>
              <w:left w:val="nil"/>
              <w:bottom w:val="nil"/>
              <w:right w:val="nil"/>
            </w:tcBorders>
            <w:shd w:val="clear" w:color="000000" w:fill="1B80C4"/>
            <w:noWrap/>
            <w:vAlign w:val="bottom"/>
            <w:hideMark/>
          </w:tcPr>
          <w:p w14:paraId="1722C967" w14:textId="77777777" w:rsidR="003C2EA8" w:rsidRPr="003C2EA8" w:rsidRDefault="003C2EA8" w:rsidP="003C2EA8">
            <w:pPr>
              <w:spacing w:after="0" w:line="240" w:lineRule="auto"/>
              <w:jc w:val="center"/>
              <w:rPr>
                <w:rFonts w:ascii="Segoe UI" w:eastAsia="Times New Roman" w:hAnsi="Segoe UI" w:cs="Segoe UI"/>
                <w:b/>
                <w:bCs/>
                <w:color w:val="FFFFFF"/>
                <w:sz w:val="18"/>
                <w:szCs w:val="18"/>
                <w:lang w:eastAsia="pt-BR"/>
              </w:rPr>
            </w:pPr>
            <w:r w:rsidRPr="003C2EA8">
              <w:rPr>
                <w:rFonts w:ascii="Segoe UI" w:eastAsia="Times New Roman" w:hAnsi="Segoe UI" w:cs="Segoe UI"/>
                <w:b/>
                <w:bCs/>
                <w:color w:val="FFFFFF"/>
                <w:sz w:val="18"/>
                <w:szCs w:val="18"/>
                <w:lang w:eastAsia="pt-BR"/>
              </w:rPr>
              <w:t xml:space="preserve"> Controladora </w:t>
            </w:r>
          </w:p>
        </w:tc>
        <w:tc>
          <w:tcPr>
            <w:tcW w:w="105" w:type="pct"/>
            <w:tcBorders>
              <w:top w:val="nil"/>
              <w:left w:val="nil"/>
              <w:bottom w:val="nil"/>
              <w:right w:val="nil"/>
            </w:tcBorders>
            <w:shd w:val="clear" w:color="000000" w:fill="1B80C4"/>
            <w:noWrap/>
            <w:vAlign w:val="bottom"/>
            <w:hideMark/>
          </w:tcPr>
          <w:p w14:paraId="2C952739" w14:textId="77777777" w:rsidR="003C2EA8" w:rsidRPr="003C2EA8" w:rsidRDefault="003C2EA8" w:rsidP="003C2EA8">
            <w:pPr>
              <w:spacing w:after="0" w:line="240" w:lineRule="auto"/>
              <w:jc w:val="center"/>
              <w:rPr>
                <w:rFonts w:ascii="Segoe UI" w:eastAsia="Times New Roman" w:hAnsi="Segoe UI" w:cs="Segoe UI"/>
                <w:b/>
                <w:bCs/>
                <w:color w:val="FFFFFF"/>
                <w:sz w:val="18"/>
                <w:szCs w:val="18"/>
                <w:lang w:eastAsia="pt-BR"/>
              </w:rPr>
            </w:pPr>
            <w:r w:rsidRPr="003C2EA8">
              <w:rPr>
                <w:rFonts w:ascii="Segoe UI" w:eastAsia="Times New Roman" w:hAnsi="Segoe UI" w:cs="Segoe UI"/>
                <w:b/>
                <w:bCs/>
                <w:color w:val="FFFFFF"/>
                <w:sz w:val="18"/>
                <w:szCs w:val="18"/>
                <w:lang w:eastAsia="pt-BR"/>
              </w:rPr>
              <w:t> </w:t>
            </w:r>
          </w:p>
        </w:tc>
        <w:tc>
          <w:tcPr>
            <w:tcW w:w="1053" w:type="pct"/>
            <w:tcBorders>
              <w:top w:val="nil"/>
              <w:left w:val="nil"/>
              <w:bottom w:val="nil"/>
              <w:right w:val="nil"/>
            </w:tcBorders>
            <w:shd w:val="clear" w:color="000000" w:fill="1B80C4"/>
            <w:noWrap/>
            <w:vAlign w:val="bottom"/>
            <w:hideMark/>
          </w:tcPr>
          <w:p w14:paraId="710E6F06" w14:textId="77777777" w:rsidR="003C2EA8" w:rsidRPr="003C2EA8" w:rsidRDefault="003C2EA8" w:rsidP="003C2EA8">
            <w:pPr>
              <w:spacing w:after="0" w:line="240" w:lineRule="auto"/>
              <w:jc w:val="center"/>
              <w:rPr>
                <w:rFonts w:ascii="Segoe UI" w:eastAsia="Times New Roman" w:hAnsi="Segoe UI" w:cs="Segoe UI"/>
                <w:b/>
                <w:bCs/>
                <w:color w:val="FFFFFF"/>
                <w:sz w:val="18"/>
                <w:szCs w:val="18"/>
                <w:lang w:eastAsia="pt-BR"/>
              </w:rPr>
            </w:pPr>
            <w:r w:rsidRPr="003C2EA8">
              <w:rPr>
                <w:rFonts w:ascii="Segoe UI" w:eastAsia="Times New Roman" w:hAnsi="Segoe UI" w:cs="Segoe UI"/>
                <w:b/>
                <w:bCs/>
                <w:color w:val="FFFFFF"/>
                <w:sz w:val="18"/>
                <w:szCs w:val="18"/>
                <w:lang w:eastAsia="pt-BR"/>
              </w:rPr>
              <w:t xml:space="preserve"> Consolidado </w:t>
            </w:r>
          </w:p>
        </w:tc>
      </w:tr>
      <w:tr w:rsidR="003C2EA8" w:rsidRPr="003C2EA8" w14:paraId="056F09E3" w14:textId="77777777" w:rsidTr="00720438">
        <w:trPr>
          <w:trHeight w:val="240"/>
        </w:trPr>
        <w:tc>
          <w:tcPr>
            <w:tcW w:w="2788" w:type="pct"/>
            <w:tcBorders>
              <w:top w:val="nil"/>
              <w:left w:val="nil"/>
              <w:bottom w:val="nil"/>
              <w:right w:val="nil"/>
            </w:tcBorders>
            <w:shd w:val="clear" w:color="auto" w:fill="auto"/>
            <w:noWrap/>
            <w:vAlign w:val="bottom"/>
            <w:hideMark/>
          </w:tcPr>
          <w:p w14:paraId="3C521940" w14:textId="77777777" w:rsidR="003C2EA8" w:rsidRPr="003C2EA8" w:rsidRDefault="003C2EA8" w:rsidP="003C2EA8">
            <w:pPr>
              <w:spacing w:after="0" w:line="240" w:lineRule="auto"/>
              <w:jc w:val="center"/>
              <w:rPr>
                <w:rFonts w:ascii="Segoe UI" w:eastAsia="Times New Roman" w:hAnsi="Segoe UI" w:cs="Segoe UI"/>
                <w:b/>
                <w:bCs/>
                <w:color w:val="FFFFFF"/>
                <w:sz w:val="18"/>
                <w:szCs w:val="18"/>
                <w:lang w:eastAsia="pt-BR"/>
              </w:rPr>
            </w:pPr>
          </w:p>
        </w:tc>
        <w:tc>
          <w:tcPr>
            <w:tcW w:w="1054" w:type="pct"/>
            <w:tcBorders>
              <w:top w:val="single" w:sz="4" w:space="0" w:color="FFFFFF"/>
              <w:left w:val="nil"/>
              <w:bottom w:val="nil"/>
              <w:right w:val="nil"/>
            </w:tcBorders>
            <w:shd w:val="clear" w:color="000000" w:fill="1B80C4"/>
            <w:noWrap/>
            <w:vAlign w:val="center"/>
            <w:hideMark/>
          </w:tcPr>
          <w:p w14:paraId="349F7156" w14:textId="77777777" w:rsidR="003C2EA8" w:rsidRPr="003C2EA8" w:rsidRDefault="003C2EA8" w:rsidP="003C2EA8">
            <w:pPr>
              <w:spacing w:after="0" w:line="240" w:lineRule="auto"/>
              <w:jc w:val="center"/>
              <w:rPr>
                <w:rFonts w:ascii="Segoe UI" w:eastAsia="Times New Roman" w:hAnsi="Segoe UI" w:cs="Segoe UI"/>
                <w:b/>
                <w:bCs/>
                <w:color w:val="FFFFFF"/>
                <w:sz w:val="18"/>
                <w:szCs w:val="18"/>
                <w:lang w:eastAsia="pt-BR"/>
              </w:rPr>
            </w:pPr>
            <w:r w:rsidRPr="003C2EA8">
              <w:rPr>
                <w:rFonts w:ascii="Segoe UI" w:eastAsia="Times New Roman" w:hAnsi="Segoe UI" w:cs="Segoe UI"/>
                <w:b/>
                <w:bCs/>
                <w:color w:val="FFFFFF"/>
                <w:sz w:val="18"/>
                <w:szCs w:val="18"/>
                <w:lang w:eastAsia="pt-BR"/>
              </w:rPr>
              <w:t>31/12/2022</w:t>
            </w:r>
          </w:p>
        </w:tc>
        <w:tc>
          <w:tcPr>
            <w:tcW w:w="105" w:type="pct"/>
            <w:tcBorders>
              <w:top w:val="nil"/>
              <w:left w:val="nil"/>
              <w:bottom w:val="nil"/>
              <w:right w:val="nil"/>
            </w:tcBorders>
            <w:shd w:val="clear" w:color="000000" w:fill="1B80C4"/>
            <w:noWrap/>
            <w:vAlign w:val="bottom"/>
            <w:hideMark/>
          </w:tcPr>
          <w:p w14:paraId="63CBB5D9" w14:textId="77777777" w:rsidR="003C2EA8" w:rsidRPr="003C2EA8" w:rsidRDefault="003C2EA8" w:rsidP="003C2EA8">
            <w:pPr>
              <w:spacing w:after="0" w:line="240" w:lineRule="auto"/>
              <w:jc w:val="center"/>
              <w:rPr>
                <w:rFonts w:ascii="Segoe UI" w:eastAsia="Times New Roman" w:hAnsi="Segoe UI" w:cs="Segoe UI"/>
                <w:b/>
                <w:bCs/>
                <w:color w:val="FFFFFF"/>
                <w:sz w:val="18"/>
                <w:szCs w:val="18"/>
                <w:lang w:eastAsia="pt-BR"/>
              </w:rPr>
            </w:pPr>
            <w:r w:rsidRPr="003C2EA8">
              <w:rPr>
                <w:rFonts w:ascii="Segoe UI" w:eastAsia="Times New Roman" w:hAnsi="Segoe UI" w:cs="Segoe UI"/>
                <w:b/>
                <w:bCs/>
                <w:color w:val="FFFFFF"/>
                <w:sz w:val="18"/>
                <w:szCs w:val="18"/>
                <w:lang w:eastAsia="pt-BR"/>
              </w:rPr>
              <w:t> </w:t>
            </w:r>
          </w:p>
        </w:tc>
        <w:tc>
          <w:tcPr>
            <w:tcW w:w="1053" w:type="pct"/>
            <w:tcBorders>
              <w:top w:val="single" w:sz="4" w:space="0" w:color="FFFFFF"/>
              <w:left w:val="nil"/>
              <w:bottom w:val="nil"/>
              <w:right w:val="nil"/>
            </w:tcBorders>
            <w:shd w:val="clear" w:color="000000" w:fill="1B80C4"/>
            <w:noWrap/>
            <w:vAlign w:val="center"/>
            <w:hideMark/>
          </w:tcPr>
          <w:p w14:paraId="190C3C39" w14:textId="77777777" w:rsidR="003C2EA8" w:rsidRPr="003C2EA8" w:rsidRDefault="003C2EA8" w:rsidP="003C2EA8">
            <w:pPr>
              <w:spacing w:after="0" w:line="240" w:lineRule="auto"/>
              <w:jc w:val="center"/>
              <w:rPr>
                <w:rFonts w:ascii="Segoe UI" w:eastAsia="Times New Roman" w:hAnsi="Segoe UI" w:cs="Segoe UI"/>
                <w:b/>
                <w:bCs/>
                <w:color w:val="FFFFFF"/>
                <w:sz w:val="18"/>
                <w:szCs w:val="18"/>
                <w:lang w:eastAsia="pt-BR"/>
              </w:rPr>
            </w:pPr>
            <w:r w:rsidRPr="003C2EA8">
              <w:rPr>
                <w:rFonts w:ascii="Segoe UI" w:eastAsia="Times New Roman" w:hAnsi="Segoe UI" w:cs="Segoe UI"/>
                <w:b/>
                <w:bCs/>
                <w:color w:val="FFFFFF"/>
                <w:sz w:val="18"/>
                <w:szCs w:val="18"/>
                <w:lang w:eastAsia="pt-BR"/>
              </w:rPr>
              <w:t>31/12/2022</w:t>
            </w:r>
          </w:p>
        </w:tc>
      </w:tr>
      <w:tr w:rsidR="003C2EA8" w:rsidRPr="003C2EA8" w14:paraId="29FBDAE4" w14:textId="77777777" w:rsidTr="00720438">
        <w:trPr>
          <w:trHeight w:val="240"/>
        </w:trPr>
        <w:tc>
          <w:tcPr>
            <w:tcW w:w="2788" w:type="pct"/>
            <w:tcBorders>
              <w:top w:val="nil"/>
              <w:left w:val="nil"/>
              <w:bottom w:val="nil"/>
              <w:right w:val="nil"/>
            </w:tcBorders>
            <w:shd w:val="clear" w:color="auto" w:fill="auto"/>
            <w:noWrap/>
            <w:vAlign w:val="center"/>
            <w:hideMark/>
          </w:tcPr>
          <w:p w14:paraId="0FDAFF44" w14:textId="77777777" w:rsidR="003C2EA8" w:rsidRPr="003C2EA8" w:rsidRDefault="003C2EA8" w:rsidP="003C2EA8">
            <w:pPr>
              <w:spacing w:after="0" w:line="240" w:lineRule="auto"/>
              <w:rPr>
                <w:rFonts w:ascii="Segoe UI" w:eastAsia="Times New Roman" w:hAnsi="Segoe UI" w:cs="Segoe UI"/>
                <w:b/>
                <w:bCs/>
                <w:color w:val="000000"/>
                <w:sz w:val="18"/>
                <w:szCs w:val="18"/>
                <w:lang w:eastAsia="pt-BR"/>
              </w:rPr>
            </w:pPr>
            <w:r w:rsidRPr="003C2EA8">
              <w:rPr>
                <w:rFonts w:ascii="Segoe UI" w:eastAsia="Times New Roman" w:hAnsi="Segoe UI" w:cs="Segoe UI"/>
                <w:b/>
                <w:bCs/>
                <w:color w:val="000000"/>
                <w:sz w:val="18"/>
                <w:szCs w:val="18"/>
                <w:lang w:eastAsia="pt-BR"/>
              </w:rPr>
              <w:t xml:space="preserve"> Suprimento/Fornecimento de energia: </w:t>
            </w:r>
          </w:p>
        </w:tc>
        <w:tc>
          <w:tcPr>
            <w:tcW w:w="1054" w:type="pct"/>
            <w:tcBorders>
              <w:top w:val="nil"/>
              <w:left w:val="nil"/>
              <w:bottom w:val="nil"/>
              <w:right w:val="nil"/>
            </w:tcBorders>
            <w:shd w:val="clear" w:color="auto" w:fill="auto"/>
            <w:noWrap/>
            <w:vAlign w:val="center"/>
            <w:hideMark/>
          </w:tcPr>
          <w:p w14:paraId="5F7F9736" w14:textId="77777777"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p>
        </w:tc>
        <w:tc>
          <w:tcPr>
            <w:tcW w:w="105" w:type="pct"/>
            <w:tcBorders>
              <w:top w:val="nil"/>
              <w:left w:val="nil"/>
              <w:bottom w:val="nil"/>
              <w:right w:val="nil"/>
            </w:tcBorders>
            <w:shd w:val="clear" w:color="auto" w:fill="auto"/>
            <w:noWrap/>
            <w:vAlign w:val="bottom"/>
            <w:hideMark/>
          </w:tcPr>
          <w:p w14:paraId="3CD8E5B5" w14:textId="77777777" w:rsidR="003C2EA8" w:rsidRPr="003C2EA8" w:rsidRDefault="003C2EA8" w:rsidP="003C2EA8">
            <w:pPr>
              <w:spacing w:after="0" w:line="240" w:lineRule="auto"/>
              <w:jc w:val="right"/>
              <w:rPr>
                <w:rFonts w:ascii="Times New Roman" w:eastAsia="Times New Roman" w:hAnsi="Times New Roman" w:cs="Times New Roman"/>
                <w:sz w:val="20"/>
                <w:szCs w:val="20"/>
                <w:lang w:eastAsia="pt-BR"/>
              </w:rPr>
            </w:pPr>
          </w:p>
        </w:tc>
        <w:tc>
          <w:tcPr>
            <w:tcW w:w="1053" w:type="pct"/>
            <w:tcBorders>
              <w:top w:val="nil"/>
              <w:left w:val="nil"/>
              <w:bottom w:val="nil"/>
              <w:right w:val="nil"/>
            </w:tcBorders>
            <w:shd w:val="clear" w:color="auto" w:fill="auto"/>
            <w:noWrap/>
            <w:vAlign w:val="center"/>
            <w:hideMark/>
          </w:tcPr>
          <w:p w14:paraId="67F12A97" w14:textId="77777777" w:rsidR="003C2EA8" w:rsidRPr="003C2EA8" w:rsidRDefault="003C2EA8" w:rsidP="003C2EA8">
            <w:pPr>
              <w:spacing w:after="0" w:line="240" w:lineRule="auto"/>
              <w:jc w:val="right"/>
              <w:rPr>
                <w:rFonts w:ascii="Times New Roman" w:eastAsia="Times New Roman" w:hAnsi="Times New Roman" w:cs="Times New Roman"/>
                <w:sz w:val="20"/>
                <w:szCs w:val="20"/>
                <w:lang w:eastAsia="pt-BR"/>
              </w:rPr>
            </w:pPr>
          </w:p>
        </w:tc>
      </w:tr>
      <w:tr w:rsidR="003C2EA8" w:rsidRPr="003C2EA8" w14:paraId="05F3C819" w14:textId="77777777" w:rsidTr="00720438">
        <w:trPr>
          <w:trHeight w:val="255"/>
        </w:trPr>
        <w:tc>
          <w:tcPr>
            <w:tcW w:w="2788" w:type="pct"/>
            <w:tcBorders>
              <w:top w:val="nil"/>
              <w:left w:val="nil"/>
              <w:bottom w:val="nil"/>
              <w:right w:val="nil"/>
            </w:tcBorders>
            <w:shd w:val="clear" w:color="auto" w:fill="auto"/>
            <w:noWrap/>
            <w:vAlign w:val="center"/>
            <w:hideMark/>
          </w:tcPr>
          <w:p w14:paraId="3E093638" w14:textId="77777777" w:rsidR="003C2EA8" w:rsidRPr="003C2EA8" w:rsidRDefault="003C2EA8" w:rsidP="003C2EA8">
            <w:pPr>
              <w:spacing w:after="0" w:line="240" w:lineRule="auto"/>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 xml:space="preserve">   Energia contratada </w:t>
            </w:r>
          </w:p>
        </w:tc>
        <w:tc>
          <w:tcPr>
            <w:tcW w:w="1054" w:type="pct"/>
            <w:tcBorders>
              <w:top w:val="nil"/>
              <w:left w:val="nil"/>
              <w:bottom w:val="nil"/>
              <w:right w:val="nil"/>
            </w:tcBorders>
            <w:shd w:val="clear" w:color="auto" w:fill="auto"/>
            <w:noWrap/>
            <w:vAlign w:val="center"/>
            <w:hideMark/>
          </w:tcPr>
          <w:p w14:paraId="0271D093" w14:textId="75A24BF7"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3.438.095</w:t>
            </w:r>
          </w:p>
        </w:tc>
        <w:tc>
          <w:tcPr>
            <w:tcW w:w="105" w:type="pct"/>
            <w:tcBorders>
              <w:top w:val="nil"/>
              <w:left w:val="nil"/>
              <w:bottom w:val="nil"/>
              <w:right w:val="nil"/>
            </w:tcBorders>
            <w:shd w:val="clear" w:color="auto" w:fill="auto"/>
            <w:noWrap/>
            <w:vAlign w:val="bottom"/>
            <w:hideMark/>
          </w:tcPr>
          <w:p w14:paraId="635B3CCA" w14:textId="77777777"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p>
        </w:tc>
        <w:tc>
          <w:tcPr>
            <w:tcW w:w="1053" w:type="pct"/>
            <w:tcBorders>
              <w:top w:val="nil"/>
              <w:left w:val="nil"/>
              <w:bottom w:val="nil"/>
              <w:right w:val="nil"/>
            </w:tcBorders>
            <w:shd w:val="clear" w:color="auto" w:fill="auto"/>
            <w:noWrap/>
            <w:vAlign w:val="center"/>
            <w:hideMark/>
          </w:tcPr>
          <w:p w14:paraId="3E3803BA" w14:textId="65884EFC"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3.916.591</w:t>
            </w:r>
          </w:p>
        </w:tc>
      </w:tr>
      <w:tr w:rsidR="003C2EA8" w:rsidRPr="003C2EA8" w14:paraId="35B4D361" w14:textId="77777777" w:rsidTr="00720438">
        <w:trPr>
          <w:trHeight w:val="270"/>
        </w:trPr>
        <w:tc>
          <w:tcPr>
            <w:tcW w:w="2788" w:type="pct"/>
            <w:tcBorders>
              <w:top w:val="nil"/>
              <w:left w:val="nil"/>
              <w:bottom w:val="nil"/>
              <w:right w:val="nil"/>
            </w:tcBorders>
            <w:shd w:val="clear" w:color="auto" w:fill="auto"/>
            <w:noWrap/>
            <w:vAlign w:val="center"/>
            <w:hideMark/>
          </w:tcPr>
          <w:p w14:paraId="74500C2B" w14:textId="77777777"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p>
        </w:tc>
        <w:tc>
          <w:tcPr>
            <w:tcW w:w="1054" w:type="pct"/>
            <w:tcBorders>
              <w:top w:val="single" w:sz="4" w:space="0" w:color="1B80C4"/>
              <w:left w:val="nil"/>
              <w:bottom w:val="double" w:sz="6" w:space="0" w:color="1B80C4"/>
              <w:right w:val="nil"/>
            </w:tcBorders>
            <w:shd w:val="clear" w:color="auto" w:fill="auto"/>
            <w:noWrap/>
            <w:vAlign w:val="center"/>
            <w:hideMark/>
          </w:tcPr>
          <w:p w14:paraId="3DEFCA74" w14:textId="28B402D8"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r w:rsidRPr="003C2EA8">
              <w:rPr>
                <w:rFonts w:ascii="Segoe UI" w:eastAsia="Times New Roman" w:hAnsi="Segoe UI" w:cs="Segoe UI"/>
                <w:b/>
                <w:bCs/>
                <w:color w:val="000000"/>
                <w:sz w:val="18"/>
                <w:szCs w:val="18"/>
                <w:lang w:eastAsia="pt-BR"/>
              </w:rPr>
              <w:t>3.438.095</w:t>
            </w:r>
          </w:p>
        </w:tc>
        <w:tc>
          <w:tcPr>
            <w:tcW w:w="105" w:type="pct"/>
            <w:tcBorders>
              <w:top w:val="nil"/>
              <w:left w:val="nil"/>
              <w:bottom w:val="nil"/>
              <w:right w:val="nil"/>
            </w:tcBorders>
            <w:shd w:val="clear" w:color="auto" w:fill="auto"/>
            <w:noWrap/>
            <w:vAlign w:val="bottom"/>
            <w:hideMark/>
          </w:tcPr>
          <w:p w14:paraId="33368F4B" w14:textId="77777777"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p>
        </w:tc>
        <w:tc>
          <w:tcPr>
            <w:tcW w:w="1053" w:type="pct"/>
            <w:tcBorders>
              <w:top w:val="single" w:sz="4" w:space="0" w:color="1B80C4"/>
              <w:left w:val="nil"/>
              <w:bottom w:val="double" w:sz="6" w:space="0" w:color="1B80C4"/>
              <w:right w:val="nil"/>
            </w:tcBorders>
            <w:shd w:val="clear" w:color="auto" w:fill="auto"/>
            <w:noWrap/>
            <w:vAlign w:val="center"/>
            <w:hideMark/>
          </w:tcPr>
          <w:p w14:paraId="4F241134" w14:textId="5A64E5F0"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r w:rsidRPr="003C2EA8">
              <w:rPr>
                <w:rFonts w:ascii="Segoe UI" w:eastAsia="Times New Roman" w:hAnsi="Segoe UI" w:cs="Segoe UI"/>
                <w:b/>
                <w:bCs/>
                <w:color w:val="000000"/>
                <w:sz w:val="18"/>
                <w:szCs w:val="18"/>
                <w:lang w:eastAsia="pt-BR"/>
              </w:rPr>
              <w:t>3.916.591</w:t>
            </w:r>
          </w:p>
        </w:tc>
      </w:tr>
      <w:tr w:rsidR="003C2EA8" w:rsidRPr="003C2EA8" w14:paraId="0EF19CF6" w14:textId="77777777" w:rsidTr="00720438">
        <w:trPr>
          <w:trHeight w:val="255"/>
        </w:trPr>
        <w:tc>
          <w:tcPr>
            <w:tcW w:w="2788" w:type="pct"/>
            <w:tcBorders>
              <w:top w:val="nil"/>
              <w:left w:val="nil"/>
              <w:bottom w:val="nil"/>
              <w:right w:val="nil"/>
            </w:tcBorders>
            <w:shd w:val="clear" w:color="auto" w:fill="auto"/>
            <w:noWrap/>
            <w:vAlign w:val="bottom"/>
            <w:hideMark/>
          </w:tcPr>
          <w:p w14:paraId="751E01C2" w14:textId="77777777"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p>
        </w:tc>
        <w:tc>
          <w:tcPr>
            <w:tcW w:w="1054" w:type="pct"/>
            <w:tcBorders>
              <w:top w:val="nil"/>
              <w:left w:val="nil"/>
              <w:bottom w:val="nil"/>
              <w:right w:val="nil"/>
            </w:tcBorders>
            <w:shd w:val="clear" w:color="auto" w:fill="auto"/>
            <w:noWrap/>
            <w:vAlign w:val="bottom"/>
            <w:hideMark/>
          </w:tcPr>
          <w:p w14:paraId="1B36614C" w14:textId="77777777" w:rsidR="003C2EA8" w:rsidRPr="003C2EA8" w:rsidRDefault="003C2EA8" w:rsidP="003C2EA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103F50CB" w14:textId="77777777" w:rsidR="003C2EA8" w:rsidRPr="003C2EA8" w:rsidRDefault="003C2EA8" w:rsidP="003C2EA8">
            <w:pPr>
              <w:spacing w:after="0" w:line="240" w:lineRule="auto"/>
              <w:jc w:val="right"/>
              <w:rPr>
                <w:rFonts w:ascii="Times New Roman" w:eastAsia="Times New Roman" w:hAnsi="Times New Roman" w:cs="Times New Roman"/>
                <w:sz w:val="20"/>
                <w:szCs w:val="20"/>
                <w:lang w:eastAsia="pt-BR"/>
              </w:rPr>
            </w:pPr>
          </w:p>
        </w:tc>
        <w:tc>
          <w:tcPr>
            <w:tcW w:w="1053" w:type="pct"/>
            <w:tcBorders>
              <w:top w:val="nil"/>
              <w:left w:val="nil"/>
              <w:bottom w:val="nil"/>
              <w:right w:val="nil"/>
            </w:tcBorders>
            <w:shd w:val="clear" w:color="auto" w:fill="auto"/>
            <w:noWrap/>
            <w:vAlign w:val="bottom"/>
            <w:hideMark/>
          </w:tcPr>
          <w:p w14:paraId="680B275A" w14:textId="77777777" w:rsidR="003C2EA8" w:rsidRPr="003C2EA8" w:rsidRDefault="003C2EA8" w:rsidP="003C2EA8">
            <w:pPr>
              <w:spacing w:after="0" w:line="240" w:lineRule="auto"/>
              <w:jc w:val="right"/>
              <w:rPr>
                <w:rFonts w:ascii="Times New Roman" w:eastAsia="Times New Roman" w:hAnsi="Times New Roman" w:cs="Times New Roman"/>
                <w:sz w:val="20"/>
                <w:szCs w:val="20"/>
                <w:lang w:eastAsia="pt-BR"/>
              </w:rPr>
            </w:pPr>
          </w:p>
        </w:tc>
      </w:tr>
      <w:tr w:rsidR="003C2EA8" w:rsidRPr="003C2EA8" w14:paraId="64632498" w14:textId="77777777" w:rsidTr="00720438">
        <w:trPr>
          <w:trHeight w:val="240"/>
        </w:trPr>
        <w:tc>
          <w:tcPr>
            <w:tcW w:w="2788" w:type="pct"/>
            <w:tcBorders>
              <w:top w:val="nil"/>
              <w:left w:val="nil"/>
              <w:bottom w:val="nil"/>
              <w:right w:val="nil"/>
            </w:tcBorders>
            <w:shd w:val="clear" w:color="auto" w:fill="auto"/>
            <w:noWrap/>
            <w:vAlign w:val="bottom"/>
            <w:hideMark/>
          </w:tcPr>
          <w:p w14:paraId="661F471B" w14:textId="77777777" w:rsidR="003C2EA8" w:rsidRPr="003C2EA8" w:rsidRDefault="003C2EA8" w:rsidP="003C2EA8">
            <w:pPr>
              <w:spacing w:after="0" w:line="240" w:lineRule="auto"/>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 xml:space="preserve"> Circulante </w:t>
            </w:r>
          </w:p>
        </w:tc>
        <w:tc>
          <w:tcPr>
            <w:tcW w:w="1054" w:type="pct"/>
            <w:tcBorders>
              <w:top w:val="nil"/>
              <w:left w:val="nil"/>
              <w:bottom w:val="nil"/>
              <w:right w:val="nil"/>
            </w:tcBorders>
            <w:shd w:val="clear" w:color="auto" w:fill="auto"/>
            <w:noWrap/>
            <w:vAlign w:val="bottom"/>
            <w:hideMark/>
          </w:tcPr>
          <w:p w14:paraId="58F7CA6C" w14:textId="31654313"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3.148.034</w:t>
            </w:r>
          </w:p>
        </w:tc>
        <w:tc>
          <w:tcPr>
            <w:tcW w:w="105" w:type="pct"/>
            <w:tcBorders>
              <w:top w:val="nil"/>
              <w:left w:val="nil"/>
              <w:bottom w:val="nil"/>
              <w:right w:val="nil"/>
            </w:tcBorders>
            <w:shd w:val="clear" w:color="auto" w:fill="auto"/>
            <w:noWrap/>
            <w:vAlign w:val="bottom"/>
            <w:hideMark/>
          </w:tcPr>
          <w:p w14:paraId="351D757D" w14:textId="77777777"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p>
        </w:tc>
        <w:tc>
          <w:tcPr>
            <w:tcW w:w="1053" w:type="pct"/>
            <w:tcBorders>
              <w:top w:val="nil"/>
              <w:left w:val="nil"/>
              <w:bottom w:val="nil"/>
              <w:right w:val="nil"/>
            </w:tcBorders>
            <w:shd w:val="clear" w:color="auto" w:fill="auto"/>
            <w:noWrap/>
            <w:vAlign w:val="bottom"/>
            <w:hideMark/>
          </w:tcPr>
          <w:p w14:paraId="46311799" w14:textId="5285A2BF"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3.626.530</w:t>
            </w:r>
          </w:p>
        </w:tc>
      </w:tr>
      <w:tr w:rsidR="003C2EA8" w:rsidRPr="003C2EA8" w14:paraId="1F67B747" w14:textId="77777777" w:rsidTr="00720438">
        <w:trPr>
          <w:trHeight w:val="240"/>
        </w:trPr>
        <w:tc>
          <w:tcPr>
            <w:tcW w:w="2788" w:type="pct"/>
            <w:tcBorders>
              <w:top w:val="nil"/>
              <w:left w:val="nil"/>
              <w:bottom w:val="nil"/>
              <w:right w:val="nil"/>
            </w:tcBorders>
            <w:shd w:val="clear" w:color="auto" w:fill="auto"/>
            <w:noWrap/>
            <w:vAlign w:val="bottom"/>
            <w:hideMark/>
          </w:tcPr>
          <w:p w14:paraId="4A7FB728" w14:textId="77777777" w:rsidR="003C2EA8" w:rsidRPr="003C2EA8" w:rsidRDefault="003C2EA8" w:rsidP="003C2EA8">
            <w:pPr>
              <w:spacing w:after="0" w:line="240" w:lineRule="auto"/>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 xml:space="preserve"> Não circulante </w:t>
            </w:r>
          </w:p>
        </w:tc>
        <w:tc>
          <w:tcPr>
            <w:tcW w:w="1054" w:type="pct"/>
            <w:tcBorders>
              <w:top w:val="nil"/>
              <w:left w:val="nil"/>
              <w:bottom w:val="nil"/>
              <w:right w:val="nil"/>
            </w:tcBorders>
            <w:shd w:val="clear" w:color="auto" w:fill="auto"/>
            <w:noWrap/>
            <w:vAlign w:val="bottom"/>
            <w:hideMark/>
          </w:tcPr>
          <w:p w14:paraId="20A24E81" w14:textId="5A7AC70C"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290.061</w:t>
            </w:r>
          </w:p>
        </w:tc>
        <w:tc>
          <w:tcPr>
            <w:tcW w:w="105" w:type="pct"/>
            <w:tcBorders>
              <w:top w:val="nil"/>
              <w:left w:val="nil"/>
              <w:bottom w:val="nil"/>
              <w:right w:val="nil"/>
            </w:tcBorders>
            <w:shd w:val="clear" w:color="auto" w:fill="auto"/>
            <w:noWrap/>
            <w:vAlign w:val="bottom"/>
            <w:hideMark/>
          </w:tcPr>
          <w:p w14:paraId="0DAA5D98" w14:textId="77777777"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p>
        </w:tc>
        <w:tc>
          <w:tcPr>
            <w:tcW w:w="1053" w:type="pct"/>
            <w:tcBorders>
              <w:top w:val="nil"/>
              <w:left w:val="nil"/>
              <w:bottom w:val="nil"/>
              <w:right w:val="nil"/>
            </w:tcBorders>
            <w:shd w:val="clear" w:color="auto" w:fill="auto"/>
            <w:noWrap/>
            <w:vAlign w:val="bottom"/>
            <w:hideMark/>
          </w:tcPr>
          <w:p w14:paraId="5BD54292" w14:textId="05872F84" w:rsidR="003C2EA8" w:rsidRPr="003C2EA8" w:rsidRDefault="003C2EA8" w:rsidP="003C2EA8">
            <w:pPr>
              <w:spacing w:after="0" w:line="240" w:lineRule="auto"/>
              <w:jc w:val="right"/>
              <w:rPr>
                <w:rFonts w:ascii="Segoe UI" w:eastAsia="Times New Roman" w:hAnsi="Segoe UI" w:cs="Segoe UI"/>
                <w:color w:val="000000"/>
                <w:sz w:val="18"/>
                <w:szCs w:val="18"/>
                <w:lang w:eastAsia="pt-BR"/>
              </w:rPr>
            </w:pPr>
            <w:r w:rsidRPr="003C2EA8">
              <w:rPr>
                <w:rFonts w:ascii="Segoe UI" w:eastAsia="Times New Roman" w:hAnsi="Segoe UI" w:cs="Segoe UI"/>
                <w:color w:val="000000"/>
                <w:sz w:val="18"/>
                <w:szCs w:val="18"/>
                <w:lang w:eastAsia="pt-BR"/>
              </w:rPr>
              <w:t>290.061</w:t>
            </w:r>
          </w:p>
        </w:tc>
      </w:tr>
      <w:tr w:rsidR="003C2EA8" w:rsidRPr="003C2EA8" w14:paraId="37EA0250" w14:textId="77777777" w:rsidTr="00720438">
        <w:trPr>
          <w:trHeight w:val="255"/>
        </w:trPr>
        <w:tc>
          <w:tcPr>
            <w:tcW w:w="2788" w:type="pct"/>
            <w:tcBorders>
              <w:top w:val="nil"/>
              <w:left w:val="nil"/>
              <w:bottom w:val="nil"/>
              <w:right w:val="nil"/>
            </w:tcBorders>
            <w:shd w:val="clear" w:color="auto" w:fill="auto"/>
            <w:noWrap/>
            <w:vAlign w:val="bottom"/>
            <w:hideMark/>
          </w:tcPr>
          <w:p w14:paraId="68EEE945" w14:textId="77777777" w:rsidR="003C2EA8" w:rsidRPr="003C2EA8" w:rsidRDefault="003C2EA8" w:rsidP="003C2EA8">
            <w:pPr>
              <w:spacing w:after="0" w:line="240" w:lineRule="auto"/>
              <w:rPr>
                <w:rFonts w:ascii="Segoe UI" w:eastAsia="Times New Roman" w:hAnsi="Segoe UI" w:cs="Segoe UI"/>
                <w:color w:val="000000"/>
                <w:sz w:val="18"/>
                <w:szCs w:val="18"/>
                <w:lang w:eastAsia="pt-BR"/>
              </w:rPr>
            </w:pPr>
          </w:p>
        </w:tc>
        <w:tc>
          <w:tcPr>
            <w:tcW w:w="1054" w:type="pct"/>
            <w:tcBorders>
              <w:top w:val="single" w:sz="4" w:space="0" w:color="1B80C4"/>
              <w:left w:val="nil"/>
              <w:bottom w:val="double" w:sz="6" w:space="0" w:color="1B80C4"/>
              <w:right w:val="nil"/>
            </w:tcBorders>
            <w:shd w:val="clear" w:color="auto" w:fill="auto"/>
            <w:noWrap/>
            <w:vAlign w:val="center"/>
            <w:hideMark/>
          </w:tcPr>
          <w:p w14:paraId="3077EB09" w14:textId="3D2E5CA7"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r w:rsidRPr="003C2EA8">
              <w:rPr>
                <w:rFonts w:ascii="Segoe UI" w:eastAsia="Times New Roman" w:hAnsi="Segoe UI" w:cs="Segoe UI"/>
                <w:b/>
                <w:bCs/>
                <w:color w:val="000000"/>
                <w:sz w:val="18"/>
                <w:szCs w:val="18"/>
                <w:lang w:eastAsia="pt-BR"/>
              </w:rPr>
              <w:t>3.438.095</w:t>
            </w:r>
          </w:p>
        </w:tc>
        <w:tc>
          <w:tcPr>
            <w:tcW w:w="105" w:type="pct"/>
            <w:tcBorders>
              <w:top w:val="nil"/>
              <w:left w:val="nil"/>
              <w:bottom w:val="nil"/>
              <w:right w:val="nil"/>
            </w:tcBorders>
            <w:shd w:val="clear" w:color="auto" w:fill="auto"/>
            <w:noWrap/>
            <w:vAlign w:val="bottom"/>
            <w:hideMark/>
          </w:tcPr>
          <w:p w14:paraId="0380927D" w14:textId="77777777"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p>
        </w:tc>
        <w:tc>
          <w:tcPr>
            <w:tcW w:w="1053" w:type="pct"/>
            <w:tcBorders>
              <w:top w:val="single" w:sz="4" w:space="0" w:color="1B80C4"/>
              <w:left w:val="nil"/>
              <w:bottom w:val="double" w:sz="6" w:space="0" w:color="1B80C4"/>
              <w:right w:val="nil"/>
            </w:tcBorders>
            <w:shd w:val="clear" w:color="auto" w:fill="auto"/>
            <w:noWrap/>
            <w:vAlign w:val="center"/>
            <w:hideMark/>
          </w:tcPr>
          <w:p w14:paraId="76806D32" w14:textId="16054BE0" w:rsidR="003C2EA8" w:rsidRPr="003C2EA8" w:rsidRDefault="003C2EA8" w:rsidP="003C2EA8">
            <w:pPr>
              <w:spacing w:after="0" w:line="240" w:lineRule="auto"/>
              <w:jc w:val="right"/>
              <w:rPr>
                <w:rFonts w:ascii="Segoe UI" w:eastAsia="Times New Roman" w:hAnsi="Segoe UI" w:cs="Segoe UI"/>
                <w:b/>
                <w:bCs/>
                <w:color w:val="000000"/>
                <w:sz w:val="18"/>
                <w:szCs w:val="18"/>
                <w:lang w:eastAsia="pt-BR"/>
              </w:rPr>
            </w:pPr>
            <w:r w:rsidRPr="003C2EA8">
              <w:rPr>
                <w:rFonts w:ascii="Segoe UI" w:eastAsia="Times New Roman" w:hAnsi="Segoe UI" w:cs="Segoe UI"/>
                <w:b/>
                <w:bCs/>
                <w:color w:val="000000"/>
                <w:sz w:val="18"/>
                <w:szCs w:val="18"/>
                <w:lang w:eastAsia="pt-BR"/>
              </w:rPr>
              <w:t>3.916.591</w:t>
            </w:r>
          </w:p>
        </w:tc>
      </w:tr>
    </w:tbl>
    <w:p w14:paraId="3D06371A" w14:textId="7B30C8A5" w:rsidR="003F05B0" w:rsidRPr="000757BC" w:rsidRDefault="006C57EE" w:rsidP="00CD33A3">
      <w:pPr>
        <w:autoSpaceDE w:val="0"/>
        <w:autoSpaceDN w:val="0"/>
        <w:adjustRightInd w:val="0"/>
        <w:spacing w:before="240" w:after="120"/>
        <w:jc w:val="both"/>
        <w:rPr>
          <w:rFonts w:ascii="Segoe UI" w:hAnsi="Segoe UI" w:cs="Segoe UI"/>
        </w:rPr>
      </w:pPr>
      <w:r w:rsidRPr="000757BC">
        <w:rPr>
          <w:rFonts w:ascii="Segoe UI" w:hAnsi="Segoe UI" w:cs="Segoe UI"/>
        </w:rPr>
        <w:lastRenderedPageBreak/>
        <w:t>A ENBP</w:t>
      </w:r>
      <w:r w:rsidR="00FD56CF" w:rsidRPr="000757BC">
        <w:rPr>
          <w:rFonts w:ascii="Segoe UI" w:hAnsi="Segoe UI" w:cs="Segoe UI"/>
        </w:rPr>
        <w:t>ar</w:t>
      </w:r>
      <w:r w:rsidRPr="000757BC">
        <w:rPr>
          <w:rFonts w:ascii="Segoe UI" w:hAnsi="Segoe UI" w:cs="Segoe UI"/>
        </w:rPr>
        <w:t xml:space="preserve"> realiza o faturamento da </w:t>
      </w:r>
      <w:r w:rsidR="003C2EA8">
        <w:rPr>
          <w:rFonts w:ascii="Segoe UI" w:hAnsi="Segoe UI" w:cs="Segoe UI"/>
        </w:rPr>
        <w:t>adquirida</w:t>
      </w:r>
      <w:r w:rsidRPr="000757BC">
        <w:rPr>
          <w:rFonts w:ascii="Segoe UI" w:hAnsi="Segoe UI" w:cs="Segoe UI"/>
        </w:rPr>
        <w:t xml:space="preserve"> de Itaipu contra </w:t>
      </w:r>
      <w:r w:rsidR="005C7733" w:rsidRPr="000757BC">
        <w:rPr>
          <w:rFonts w:ascii="Segoe UI" w:hAnsi="Segoe UI" w:cs="Segoe UI"/>
        </w:rPr>
        <w:t>31</w:t>
      </w:r>
      <w:r w:rsidRPr="000757BC">
        <w:rPr>
          <w:rFonts w:ascii="Segoe UI" w:hAnsi="Segoe UI" w:cs="Segoe UI"/>
        </w:rPr>
        <w:t xml:space="preserve"> distribuidoras do Brasil.</w:t>
      </w:r>
      <w:r w:rsidR="0080657B" w:rsidRPr="000757BC">
        <w:rPr>
          <w:rFonts w:ascii="Segoe UI" w:hAnsi="Segoe UI" w:cs="Segoe UI"/>
        </w:rPr>
        <w:t xml:space="preserve"> </w:t>
      </w:r>
      <w:r w:rsidR="00753BCE" w:rsidRPr="000757BC">
        <w:rPr>
          <w:rFonts w:ascii="Segoe UI" w:hAnsi="Segoe UI" w:cs="Segoe UI"/>
        </w:rPr>
        <w:t xml:space="preserve">O faturamento da Companhia </w:t>
      </w:r>
      <w:r w:rsidR="00FC6239">
        <w:rPr>
          <w:rFonts w:ascii="Segoe UI" w:hAnsi="Segoe UI" w:cs="Segoe UI"/>
        </w:rPr>
        <w:t>foi</w:t>
      </w:r>
      <w:r w:rsidR="00753BCE" w:rsidRPr="000757BC">
        <w:rPr>
          <w:rFonts w:ascii="Segoe UI" w:hAnsi="Segoe UI" w:cs="Segoe UI"/>
        </w:rPr>
        <w:t xml:space="preserve"> realizado, mensalmente, com base na Resolução Normativa</w:t>
      </w:r>
      <w:r w:rsidR="00240EB3">
        <w:rPr>
          <w:rFonts w:ascii="Segoe UI" w:hAnsi="Segoe UI" w:cs="Segoe UI"/>
        </w:rPr>
        <w:t xml:space="preserve">               </w:t>
      </w:r>
      <w:r w:rsidR="00753BCE" w:rsidRPr="000757BC">
        <w:rPr>
          <w:rFonts w:ascii="Segoe UI" w:hAnsi="Segoe UI" w:cs="Segoe UI"/>
        </w:rPr>
        <w:t>nº 1.009, editada em 22 de março de 2022, pela A</w:t>
      </w:r>
      <w:r w:rsidR="00700C06">
        <w:rPr>
          <w:rFonts w:ascii="Segoe UI" w:hAnsi="Segoe UI" w:cs="Segoe UI"/>
        </w:rPr>
        <w:t>NEEL</w:t>
      </w:r>
      <w:r w:rsidR="00753BCE" w:rsidRPr="000757BC">
        <w:rPr>
          <w:rFonts w:ascii="Segoe UI" w:hAnsi="Segoe UI" w:cs="Segoe UI"/>
        </w:rPr>
        <w:t xml:space="preserve">, para todas as concessionárias, permissionárias ou autorizadas de serviço público de distribuição no SIN. </w:t>
      </w:r>
    </w:p>
    <w:p w14:paraId="64E9A7F2" w14:textId="24E5CBC3" w:rsidR="00714B13" w:rsidRDefault="00714B13" w:rsidP="00CD33A3">
      <w:pPr>
        <w:autoSpaceDE w:val="0"/>
        <w:autoSpaceDN w:val="0"/>
        <w:adjustRightInd w:val="0"/>
        <w:spacing w:before="240" w:after="120"/>
        <w:jc w:val="both"/>
        <w:rPr>
          <w:rFonts w:ascii="Segoe UI" w:hAnsi="Segoe UI" w:cs="Segoe UI"/>
        </w:rPr>
      </w:pPr>
      <w:r w:rsidRPr="00240B4F">
        <w:rPr>
          <w:rFonts w:ascii="Segoe UI" w:hAnsi="Segoe UI" w:cs="Segoe UI"/>
        </w:rPr>
        <w:t>A composição</w:t>
      </w:r>
      <w:r w:rsidRPr="000757BC">
        <w:rPr>
          <w:rFonts w:ascii="Segoe UI" w:hAnsi="Segoe UI" w:cs="Segoe UI"/>
        </w:rPr>
        <w:t xml:space="preserve"> do contas a receber consolidado por vencimento </w:t>
      </w:r>
      <w:r w:rsidR="003C2EA8">
        <w:rPr>
          <w:rFonts w:ascii="Segoe UI" w:hAnsi="Segoe UI" w:cs="Segoe UI"/>
        </w:rPr>
        <w:t>está</w:t>
      </w:r>
      <w:r w:rsidRPr="000757BC">
        <w:rPr>
          <w:rFonts w:ascii="Segoe UI" w:hAnsi="Segoe UI" w:cs="Segoe UI"/>
        </w:rPr>
        <w:t xml:space="preserve"> demonstrada a seguir:</w:t>
      </w:r>
    </w:p>
    <w:tbl>
      <w:tblPr>
        <w:tblW w:w="5000" w:type="pct"/>
        <w:tblCellMar>
          <w:left w:w="70" w:type="dxa"/>
          <w:right w:w="70" w:type="dxa"/>
        </w:tblCellMar>
        <w:tblLook w:val="04A0" w:firstRow="1" w:lastRow="0" w:firstColumn="1" w:lastColumn="0" w:noHBand="0" w:noVBand="1"/>
      </w:tblPr>
      <w:tblGrid>
        <w:gridCol w:w="3650"/>
        <w:gridCol w:w="368"/>
        <w:gridCol w:w="2125"/>
        <w:gridCol w:w="207"/>
        <w:gridCol w:w="1590"/>
        <w:gridCol w:w="207"/>
        <w:gridCol w:w="1350"/>
      </w:tblGrid>
      <w:tr w:rsidR="00FF3EB0" w:rsidRPr="00FF3EB0" w14:paraId="1DD60A3B" w14:textId="77777777" w:rsidTr="00FF3EB0">
        <w:trPr>
          <w:trHeight w:val="255"/>
        </w:trPr>
        <w:tc>
          <w:tcPr>
            <w:tcW w:w="1921" w:type="pct"/>
            <w:tcBorders>
              <w:top w:val="nil"/>
              <w:left w:val="nil"/>
              <w:bottom w:val="nil"/>
              <w:right w:val="nil"/>
            </w:tcBorders>
            <w:shd w:val="clear" w:color="auto" w:fill="auto"/>
            <w:noWrap/>
            <w:vAlign w:val="bottom"/>
            <w:hideMark/>
          </w:tcPr>
          <w:p w14:paraId="13B79A71" w14:textId="77777777" w:rsidR="00FF3EB0" w:rsidRPr="00FF3EB0" w:rsidRDefault="00FF3EB0" w:rsidP="00FF3EB0">
            <w:pPr>
              <w:spacing w:after="0" w:line="240" w:lineRule="auto"/>
              <w:rPr>
                <w:rFonts w:ascii="Times New Roman" w:eastAsia="Times New Roman" w:hAnsi="Times New Roman" w:cs="Times New Roman"/>
                <w:sz w:val="24"/>
                <w:szCs w:val="24"/>
                <w:lang w:eastAsia="pt-BR"/>
              </w:rPr>
            </w:pPr>
          </w:p>
        </w:tc>
        <w:tc>
          <w:tcPr>
            <w:tcW w:w="194" w:type="pct"/>
            <w:tcBorders>
              <w:top w:val="nil"/>
              <w:left w:val="nil"/>
              <w:bottom w:val="nil"/>
              <w:right w:val="nil"/>
            </w:tcBorders>
            <w:shd w:val="clear" w:color="auto" w:fill="auto"/>
            <w:noWrap/>
            <w:vAlign w:val="bottom"/>
            <w:hideMark/>
          </w:tcPr>
          <w:p w14:paraId="05AC95A8" w14:textId="77777777" w:rsidR="00FF3EB0" w:rsidRPr="00FF3EB0" w:rsidRDefault="00FF3EB0" w:rsidP="00FF3EB0">
            <w:pPr>
              <w:spacing w:after="0" w:line="240" w:lineRule="auto"/>
              <w:rPr>
                <w:rFonts w:ascii="Times New Roman" w:eastAsia="Times New Roman" w:hAnsi="Times New Roman" w:cs="Times New Roman"/>
                <w:sz w:val="20"/>
                <w:szCs w:val="20"/>
                <w:lang w:eastAsia="pt-BR"/>
              </w:rPr>
            </w:pPr>
          </w:p>
        </w:tc>
        <w:tc>
          <w:tcPr>
            <w:tcW w:w="2885" w:type="pct"/>
            <w:gridSpan w:val="5"/>
            <w:tcBorders>
              <w:top w:val="nil"/>
              <w:left w:val="nil"/>
              <w:bottom w:val="single" w:sz="4" w:space="0" w:color="FFFFFF"/>
              <w:right w:val="nil"/>
            </w:tcBorders>
            <w:shd w:val="clear" w:color="000000" w:fill="1B80C4"/>
            <w:noWrap/>
            <w:vAlign w:val="bottom"/>
            <w:hideMark/>
          </w:tcPr>
          <w:p w14:paraId="48F5EEC6"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xml:space="preserve"> Consolidado em 31/12/2022 </w:t>
            </w:r>
          </w:p>
        </w:tc>
      </w:tr>
      <w:tr w:rsidR="00FF3EB0" w:rsidRPr="00FF3EB0" w14:paraId="7E92924C" w14:textId="77777777" w:rsidTr="00FF3EB0">
        <w:trPr>
          <w:trHeight w:val="240"/>
        </w:trPr>
        <w:tc>
          <w:tcPr>
            <w:tcW w:w="1921" w:type="pct"/>
            <w:tcBorders>
              <w:top w:val="nil"/>
              <w:left w:val="nil"/>
              <w:bottom w:val="nil"/>
              <w:right w:val="nil"/>
            </w:tcBorders>
            <w:shd w:val="clear" w:color="auto" w:fill="auto"/>
            <w:noWrap/>
            <w:vAlign w:val="bottom"/>
            <w:hideMark/>
          </w:tcPr>
          <w:p w14:paraId="37534D47"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p>
        </w:tc>
        <w:tc>
          <w:tcPr>
            <w:tcW w:w="194" w:type="pct"/>
            <w:tcBorders>
              <w:top w:val="nil"/>
              <w:left w:val="nil"/>
              <w:bottom w:val="nil"/>
              <w:right w:val="nil"/>
            </w:tcBorders>
            <w:shd w:val="clear" w:color="auto" w:fill="auto"/>
            <w:noWrap/>
            <w:vAlign w:val="bottom"/>
            <w:hideMark/>
          </w:tcPr>
          <w:p w14:paraId="11C88073" w14:textId="77777777" w:rsidR="00FF3EB0" w:rsidRPr="00FF3EB0" w:rsidRDefault="00FF3EB0" w:rsidP="00FF3EB0">
            <w:pPr>
              <w:spacing w:after="0" w:line="240" w:lineRule="auto"/>
              <w:rPr>
                <w:rFonts w:ascii="Times New Roman" w:eastAsia="Times New Roman" w:hAnsi="Times New Roman" w:cs="Times New Roman"/>
                <w:sz w:val="20"/>
                <w:szCs w:val="20"/>
                <w:lang w:eastAsia="pt-BR"/>
              </w:rPr>
            </w:pPr>
          </w:p>
        </w:tc>
        <w:tc>
          <w:tcPr>
            <w:tcW w:w="1119" w:type="pct"/>
            <w:tcBorders>
              <w:top w:val="nil"/>
              <w:left w:val="nil"/>
              <w:bottom w:val="nil"/>
              <w:right w:val="nil"/>
            </w:tcBorders>
            <w:shd w:val="clear" w:color="000000" w:fill="1B80C4"/>
            <w:noWrap/>
            <w:vAlign w:val="bottom"/>
            <w:hideMark/>
          </w:tcPr>
          <w:p w14:paraId="53F48595"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xml:space="preserve"> A vencer </w:t>
            </w:r>
          </w:p>
        </w:tc>
        <w:tc>
          <w:tcPr>
            <w:tcW w:w="109" w:type="pct"/>
            <w:tcBorders>
              <w:top w:val="nil"/>
              <w:left w:val="nil"/>
              <w:bottom w:val="nil"/>
              <w:right w:val="nil"/>
            </w:tcBorders>
            <w:shd w:val="clear" w:color="000000" w:fill="1B80C4"/>
            <w:noWrap/>
            <w:vAlign w:val="bottom"/>
            <w:hideMark/>
          </w:tcPr>
          <w:p w14:paraId="66B57BBE"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w:t>
            </w:r>
          </w:p>
        </w:tc>
        <w:tc>
          <w:tcPr>
            <w:tcW w:w="837" w:type="pct"/>
            <w:tcBorders>
              <w:top w:val="nil"/>
              <w:left w:val="nil"/>
              <w:bottom w:val="nil"/>
              <w:right w:val="nil"/>
            </w:tcBorders>
            <w:shd w:val="clear" w:color="000000" w:fill="1B80C4"/>
            <w:noWrap/>
            <w:vAlign w:val="bottom"/>
            <w:hideMark/>
          </w:tcPr>
          <w:p w14:paraId="5B592753"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xml:space="preserve"> Vencidos até  </w:t>
            </w:r>
          </w:p>
        </w:tc>
        <w:tc>
          <w:tcPr>
            <w:tcW w:w="109" w:type="pct"/>
            <w:tcBorders>
              <w:top w:val="nil"/>
              <w:left w:val="nil"/>
              <w:bottom w:val="nil"/>
              <w:right w:val="nil"/>
            </w:tcBorders>
            <w:shd w:val="clear" w:color="000000" w:fill="1B80C4"/>
            <w:noWrap/>
            <w:vAlign w:val="bottom"/>
            <w:hideMark/>
          </w:tcPr>
          <w:p w14:paraId="06468C4C"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w:t>
            </w:r>
          </w:p>
        </w:tc>
        <w:tc>
          <w:tcPr>
            <w:tcW w:w="711" w:type="pct"/>
            <w:tcBorders>
              <w:top w:val="nil"/>
              <w:left w:val="nil"/>
              <w:bottom w:val="nil"/>
              <w:right w:val="nil"/>
            </w:tcBorders>
            <w:shd w:val="clear" w:color="000000" w:fill="1B80C4"/>
            <w:noWrap/>
            <w:vAlign w:val="bottom"/>
            <w:hideMark/>
          </w:tcPr>
          <w:p w14:paraId="5B80FDB9"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xml:space="preserve"> Total </w:t>
            </w:r>
          </w:p>
        </w:tc>
      </w:tr>
      <w:tr w:rsidR="00FF3EB0" w:rsidRPr="00FF3EB0" w14:paraId="73DF21F3" w14:textId="77777777" w:rsidTr="00FF3EB0">
        <w:trPr>
          <w:trHeight w:val="240"/>
        </w:trPr>
        <w:tc>
          <w:tcPr>
            <w:tcW w:w="1921" w:type="pct"/>
            <w:tcBorders>
              <w:top w:val="nil"/>
              <w:left w:val="nil"/>
              <w:bottom w:val="nil"/>
              <w:right w:val="nil"/>
            </w:tcBorders>
            <w:shd w:val="clear" w:color="auto" w:fill="auto"/>
            <w:noWrap/>
            <w:vAlign w:val="bottom"/>
            <w:hideMark/>
          </w:tcPr>
          <w:p w14:paraId="5803639F"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p>
        </w:tc>
        <w:tc>
          <w:tcPr>
            <w:tcW w:w="194" w:type="pct"/>
            <w:tcBorders>
              <w:top w:val="nil"/>
              <w:left w:val="nil"/>
              <w:bottom w:val="nil"/>
              <w:right w:val="nil"/>
            </w:tcBorders>
            <w:shd w:val="clear" w:color="auto" w:fill="auto"/>
            <w:noWrap/>
            <w:vAlign w:val="bottom"/>
            <w:hideMark/>
          </w:tcPr>
          <w:p w14:paraId="1511A7E7" w14:textId="77777777" w:rsidR="00FF3EB0" w:rsidRPr="00FF3EB0" w:rsidRDefault="00FF3EB0" w:rsidP="00FF3EB0">
            <w:pPr>
              <w:spacing w:after="0" w:line="240" w:lineRule="auto"/>
              <w:rPr>
                <w:rFonts w:ascii="Times New Roman" w:eastAsia="Times New Roman" w:hAnsi="Times New Roman" w:cs="Times New Roman"/>
                <w:sz w:val="20"/>
                <w:szCs w:val="20"/>
                <w:lang w:eastAsia="pt-BR"/>
              </w:rPr>
            </w:pPr>
          </w:p>
        </w:tc>
        <w:tc>
          <w:tcPr>
            <w:tcW w:w="1119" w:type="pct"/>
            <w:tcBorders>
              <w:top w:val="nil"/>
              <w:left w:val="nil"/>
              <w:bottom w:val="nil"/>
              <w:right w:val="nil"/>
            </w:tcBorders>
            <w:shd w:val="clear" w:color="000000" w:fill="1B80C4"/>
            <w:noWrap/>
            <w:vAlign w:val="bottom"/>
            <w:hideMark/>
          </w:tcPr>
          <w:p w14:paraId="6162F3ED"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w:t>
            </w:r>
          </w:p>
        </w:tc>
        <w:tc>
          <w:tcPr>
            <w:tcW w:w="109" w:type="pct"/>
            <w:tcBorders>
              <w:top w:val="nil"/>
              <w:left w:val="nil"/>
              <w:bottom w:val="nil"/>
              <w:right w:val="nil"/>
            </w:tcBorders>
            <w:shd w:val="clear" w:color="000000" w:fill="1B80C4"/>
            <w:noWrap/>
            <w:vAlign w:val="bottom"/>
            <w:hideMark/>
          </w:tcPr>
          <w:p w14:paraId="2C34AEFB"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w:t>
            </w:r>
          </w:p>
        </w:tc>
        <w:tc>
          <w:tcPr>
            <w:tcW w:w="837" w:type="pct"/>
            <w:tcBorders>
              <w:top w:val="nil"/>
              <w:left w:val="nil"/>
              <w:bottom w:val="nil"/>
              <w:right w:val="nil"/>
            </w:tcBorders>
            <w:shd w:val="clear" w:color="000000" w:fill="1B80C4"/>
            <w:noWrap/>
            <w:vAlign w:val="bottom"/>
            <w:hideMark/>
          </w:tcPr>
          <w:p w14:paraId="7C298B87"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xml:space="preserve"> 90 dias </w:t>
            </w:r>
          </w:p>
        </w:tc>
        <w:tc>
          <w:tcPr>
            <w:tcW w:w="109" w:type="pct"/>
            <w:tcBorders>
              <w:top w:val="nil"/>
              <w:left w:val="nil"/>
              <w:bottom w:val="nil"/>
              <w:right w:val="nil"/>
            </w:tcBorders>
            <w:shd w:val="clear" w:color="000000" w:fill="1B80C4"/>
            <w:noWrap/>
            <w:vAlign w:val="bottom"/>
            <w:hideMark/>
          </w:tcPr>
          <w:p w14:paraId="60DAAAA9"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w:t>
            </w:r>
          </w:p>
        </w:tc>
        <w:tc>
          <w:tcPr>
            <w:tcW w:w="711" w:type="pct"/>
            <w:tcBorders>
              <w:top w:val="nil"/>
              <w:left w:val="nil"/>
              <w:bottom w:val="nil"/>
              <w:right w:val="nil"/>
            </w:tcBorders>
            <w:shd w:val="clear" w:color="000000" w:fill="1B80C4"/>
            <w:noWrap/>
            <w:vAlign w:val="bottom"/>
            <w:hideMark/>
          </w:tcPr>
          <w:p w14:paraId="3FD1EF89" w14:textId="77777777" w:rsidR="00FF3EB0" w:rsidRPr="00FF3EB0" w:rsidRDefault="00FF3EB0" w:rsidP="00FF3EB0">
            <w:pPr>
              <w:spacing w:after="0" w:line="240" w:lineRule="auto"/>
              <w:jc w:val="center"/>
              <w:rPr>
                <w:rFonts w:ascii="Segoe UI" w:eastAsia="Times New Roman" w:hAnsi="Segoe UI" w:cs="Segoe UI"/>
                <w:b/>
                <w:bCs/>
                <w:color w:val="FFFFFF"/>
                <w:sz w:val="18"/>
                <w:szCs w:val="18"/>
                <w:lang w:eastAsia="pt-BR"/>
              </w:rPr>
            </w:pPr>
            <w:r w:rsidRPr="00FF3EB0">
              <w:rPr>
                <w:rFonts w:ascii="Segoe UI" w:eastAsia="Times New Roman" w:hAnsi="Segoe UI" w:cs="Segoe UI"/>
                <w:b/>
                <w:bCs/>
                <w:color w:val="FFFFFF"/>
                <w:sz w:val="18"/>
                <w:szCs w:val="18"/>
                <w:lang w:eastAsia="pt-BR"/>
              </w:rPr>
              <w:t> </w:t>
            </w:r>
          </w:p>
        </w:tc>
      </w:tr>
      <w:tr w:rsidR="00FF3EB0" w:rsidRPr="00FF3EB0" w14:paraId="1C10073C" w14:textId="77777777" w:rsidTr="00FF3EB0">
        <w:trPr>
          <w:trHeight w:val="240"/>
        </w:trPr>
        <w:tc>
          <w:tcPr>
            <w:tcW w:w="1921" w:type="pct"/>
            <w:tcBorders>
              <w:top w:val="nil"/>
              <w:left w:val="nil"/>
              <w:bottom w:val="nil"/>
              <w:right w:val="nil"/>
            </w:tcBorders>
            <w:shd w:val="clear" w:color="auto" w:fill="auto"/>
            <w:noWrap/>
            <w:vAlign w:val="center"/>
            <w:hideMark/>
          </w:tcPr>
          <w:p w14:paraId="5226568C" w14:textId="77777777" w:rsidR="00FF3EB0" w:rsidRPr="00FF3EB0" w:rsidRDefault="00FF3EB0" w:rsidP="00FF3EB0">
            <w:pPr>
              <w:spacing w:after="0" w:line="240" w:lineRule="auto"/>
              <w:rPr>
                <w:rFonts w:ascii="Segoe UI" w:eastAsia="Times New Roman" w:hAnsi="Segoe UI" w:cs="Segoe UI"/>
                <w:b/>
                <w:bCs/>
                <w:sz w:val="18"/>
                <w:szCs w:val="18"/>
                <w:lang w:eastAsia="pt-BR"/>
              </w:rPr>
            </w:pPr>
            <w:r w:rsidRPr="00FF3EB0">
              <w:rPr>
                <w:rFonts w:ascii="Segoe UI" w:eastAsia="Times New Roman" w:hAnsi="Segoe UI" w:cs="Segoe UI"/>
                <w:b/>
                <w:bCs/>
                <w:sz w:val="18"/>
                <w:szCs w:val="18"/>
                <w:lang w:eastAsia="pt-BR"/>
              </w:rPr>
              <w:t xml:space="preserve"> Suprimento/Fornecimento de energia </w:t>
            </w:r>
          </w:p>
        </w:tc>
        <w:tc>
          <w:tcPr>
            <w:tcW w:w="194" w:type="pct"/>
            <w:tcBorders>
              <w:top w:val="nil"/>
              <w:left w:val="nil"/>
              <w:bottom w:val="nil"/>
              <w:right w:val="nil"/>
            </w:tcBorders>
            <w:shd w:val="clear" w:color="auto" w:fill="auto"/>
            <w:noWrap/>
            <w:vAlign w:val="bottom"/>
            <w:hideMark/>
          </w:tcPr>
          <w:p w14:paraId="23D308A9" w14:textId="77777777" w:rsidR="00FF3EB0" w:rsidRPr="00FF3EB0" w:rsidRDefault="00FF3EB0" w:rsidP="00FF3EB0">
            <w:pPr>
              <w:spacing w:after="0" w:line="240" w:lineRule="auto"/>
              <w:rPr>
                <w:rFonts w:ascii="Segoe UI" w:eastAsia="Times New Roman" w:hAnsi="Segoe UI" w:cs="Segoe UI"/>
                <w:b/>
                <w:bCs/>
                <w:sz w:val="18"/>
                <w:szCs w:val="18"/>
                <w:lang w:eastAsia="pt-BR"/>
              </w:rPr>
            </w:pPr>
          </w:p>
        </w:tc>
        <w:tc>
          <w:tcPr>
            <w:tcW w:w="1119" w:type="pct"/>
            <w:tcBorders>
              <w:top w:val="nil"/>
              <w:left w:val="nil"/>
              <w:bottom w:val="nil"/>
              <w:right w:val="nil"/>
            </w:tcBorders>
            <w:shd w:val="clear" w:color="auto" w:fill="auto"/>
            <w:noWrap/>
            <w:vAlign w:val="bottom"/>
            <w:hideMark/>
          </w:tcPr>
          <w:p w14:paraId="72000007" w14:textId="77777777" w:rsidR="00FF3EB0" w:rsidRPr="00FF3EB0" w:rsidRDefault="00FF3EB0" w:rsidP="00FF3EB0">
            <w:pPr>
              <w:spacing w:after="0" w:line="240" w:lineRule="auto"/>
              <w:jc w:val="right"/>
              <w:rPr>
                <w:rFonts w:ascii="Times New Roman" w:eastAsia="Times New Roman" w:hAnsi="Times New Roman" w:cs="Times New Roman"/>
                <w:sz w:val="20"/>
                <w:szCs w:val="20"/>
                <w:lang w:eastAsia="pt-BR"/>
              </w:rPr>
            </w:pPr>
          </w:p>
        </w:tc>
        <w:tc>
          <w:tcPr>
            <w:tcW w:w="109" w:type="pct"/>
            <w:tcBorders>
              <w:top w:val="nil"/>
              <w:left w:val="nil"/>
              <w:bottom w:val="nil"/>
              <w:right w:val="nil"/>
            </w:tcBorders>
            <w:shd w:val="clear" w:color="auto" w:fill="auto"/>
            <w:noWrap/>
            <w:vAlign w:val="bottom"/>
            <w:hideMark/>
          </w:tcPr>
          <w:p w14:paraId="050DF512" w14:textId="77777777" w:rsidR="00FF3EB0" w:rsidRPr="00FF3EB0" w:rsidRDefault="00FF3EB0" w:rsidP="00FF3EB0">
            <w:pPr>
              <w:spacing w:after="0" w:line="240" w:lineRule="auto"/>
              <w:jc w:val="right"/>
              <w:rPr>
                <w:rFonts w:ascii="Times New Roman" w:eastAsia="Times New Roman" w:hAnsi="Times New Roman" w:cs="Times New Roman"/>
                <w:sz w:val="20"/>
                <w:szCs w:val="20"/>
                <w:lang w:eastAsia="pt-BR"/>
              </w:rPr>
            </w:pPr>
          </w:p>
        </w:tc>
        <w:tc>
          <w:tcPr>
            <w:tcW w:w="837" w:type="pct"/>
            <w:tcBorders>
              <w:top w:val="nil"/>
              <w:left w:val="nil"/>
              <w:bottom w:val="nil"/>
              <w:right w:val="nil"/>
            </w:tcBorders>
            <w:shd w:val="clear" w:color="auto" w:fill="auto"/>
            <w:noWrap/>
            <w:vAlign w:val="bottom"/>
            <w:hideMark/>
          </w:tcPr>
          <w:p w14:paraId="037F7601" w14:textId="77777777" w:rsidR="00FF3EB0" w:rsidRPr="00FF3EB0" w:rsidRDefault="00FF3EB0" w:rsidP="00FF3EB0">
            <w:pPr>
              <w:spacing w:after="0" w:line="240" w:lineRule="auto"/>
              <w:jc w:val="right"/>
              <w:rPr>
                <w:rFonts w:ascii="Times New Roman" w:eastAsia="Times New Roman" w:hAnsi="Times New Roman" w:cs="Times New Roman"/>
                <w:sz w:val="20"/>
                <w:szCs w:val="20"/>
                <w:lang w:eastAsia="pt-BR"/>
              </w:rPr>
            </w:pPr>
          </w:p>
        </w:tc>
        <w:tc>
          <w:tcPr>
            <w:tcW w:w="109" w:type="pct"/>
            <w:tcBorders>
              <w:top w:val="nil"/>
              <w:left w:val="nil"/>
              <w:bottom w:val="nil"/>
              <w:right w:val="nil"/>
            </w:tcBorders>
            <w:shd w:val="clear" w:color="auto" w:fill="auto"/>
            <w:noWrap/>
            <w:vAlign w:val="bottom"/>
            <w:hideMark/>
          </w:tcPr>
          <w:p w14:paraId="4BDEBC42" w14:textId="77777777" w:rsidR="00FF3EB0" w:rsidRPr="00FF3EB0" w:rsidRDefault="00FF3EB0" w:rsidP="00FF3EB0">
            <w:pPr>
              <w:spacing w:after="0" w:line="240" w:lineRule="auto"/>
              <w:jc w:val="right"/>
              <w:rPr>
                <w:rFonts w:ascii="Times New Roman" w:eastAsia="Times New Roman" w:hAnsi="Times New Roman" w:cs="Times New Roman"/>
                <w:sz w:val="20"/>
                <w:szCs w:val="20"/>
                <w:lang w:eastAsia="pt-BR"/>
              </w:rPr>
            </w:pPr>
          </w:p>
        </w:tc>
        <w:tc>
          <w:tcPr>
            <w:tcW w:w="711" w:type="pct"/>
            <w:tcBorders>
              <w:top w:val="nil"/>
              <w:left w:val="nil"/>
              <w:bottom w:val="nil"/>
              <w:right w:val="nil"/>
            </w:tcBorders>
            <w:shd w:val="clear" w:color="auto" w:fill="auto"/>
            <w:noWrap/>
            <w:vAlign w:val="bottom"/>
            <w:hideMark/>
          </w:tcPr>
          <w:p w14:paraId="3AE91D26" w14:textId="77777777" w:rsidR="00FF3EB0" w:rsidRPr="00FF3EB0" w:rsidRDefault="00FF3EB0" w:rsidP="00FF3EB0">
            <w:pPr>
              <w:spacing w:after="0" w:line="240" w:lineRule="auto"/>
              <w:jc w:val="right"/>
              <w:rPr>
                <w:rFonts w:ascii="Times New Roman" w:eastAsia="Times New Roman" w:hAnsi="Times New Roman" w:cs="Times New Roman"/>
                <w:sz w:val="20"/>
                <w:szCs w:val="20"/>
                <w:lang w:eastAsia="pt-BR"/>
              </w:rPr>
            </w:pPr>
          </w:p>
        </w:tc>
      </w:tr>
      <w:tr w:rsidR="00FF3EB0" w:rsidRPr="00FF3EB0" w14:paraId="45010A20" w14:textId="77777777" w:rsidTr="00FF3EB0">
        <w:trPr>
          <w:trHeight w:val="240"/>
        </w:trPr>
        <w:tc>
          <w:tcPr>
            <w:tcW w:w="1921" w:type="pct"/>
            <w:tcBorders>
              <w:top w:val="nil"/>
              <w:left w:val="nil"/>
              <w:bottom w:val="nil"/>
              <w:right w:val="nil"/>
            </w:tcBorders>
            <w:shd w:val="clear" w:color="auto" w:fill="auto"/>
            <w:noWrap/>
            <w:vAlign w:val="center"/>
            <w:hideMark/>
          </w:tcPr>
          <w:p w14:paraId="2DF246C4" w14:textId="77777777" w:rsidR="00FF3EB0" w:rsidRPr="00FF3EB0" w:rsidRDefault="00FF3EB0" w:rsidP="00FF3EB0">
            <w:pPr>
              <w:spacing w:after="0" w:line="240" w:lineRule="auto"/>
              <w:ind w:firstLineChars="200" w:firstLine="360"/>
              <w:rPr>
                <w:rFonts w:ascii="Segoe UI" w:eastAsia="Times New Roman" w:hAnsi="Segoe UI" w:cs="Segoe UI"/>
                <w:sz w:val="18"/>
                <w:szCs w:val="18"/>
                <w:lang w:eastAsia="pt-BR"/>
              </w:rPr>
            </w:pPr>
            <w:r w:rsidRPr="00FF3EB0">
              <w:rPr>
                <w:rFonts w:ascii="Segoe UI" w:eastAsia="Times New Roman" w:hAnsi="Segoe UI" w:cs="Segoe UI"/>
                <w:sz w:val="18"/>
                <w:szCs w:val="18"/>
                <w:lang w:eastAsia="pt-BR"/>
              </w:rPr>
              <w:t xml:space="preserve"> Energia contratada </w:t>
            </w:r>
          </w:p>
        </w:tc>
        <w:tc>
          <w:tcPr>
            <w:tcW w:w="194" w:type="pct"/>
            <w:tcBorders>
              <w:top w:val="nil"/>
              <w:left w:val="nil"/>
              <w:bottom w:val="nil"/>
              <w:right w:val="nil"/>
            </w:tcBorders>
            <w:shd w:val="clear" w:color="auto" w:fill="auto"/>
            <w:noWrap/>
            <w:vAlign w:val="bottom"/>
            <w:hideMark/>
          </w:tcPr>
          <w:p w14:paraId="429188FF" w14:textId="77777777" w:rsidR="00FF3EB0" w:rsidRPr="00FF3EB0" w:rsidRDefault="00FF3EB0" w:rsidP="00FF3EB0">
            <w:pPr>
              <w:spacing w:after="0" w:line="240" w:lineRule="auto"/>
              <w:ind w:firstLineChars="200" w:firstLine="360"/>
              <w:rPr>
                <w:rFonts w:ascii="Segoe UI" w:eastAsia="Times New Roman" w:hAnsi="Segoe UI" w:cs="Segoe UI"/>
                <w:sz w:val="18"/>
                <w:szCs w:val="18"/>
                <w:lang w:eastAsia="pt-BR"/>
              </w:rPr>
            </w:pPr>
          </w:p>
        </w:tc>
        <w:tc>
          <w:tcPr>
            <w:tcW w:w="1119" w:type="pct"/>
            <w:tcBorders>
              <w:top w:val="nil"/>
              <w:left w:val="nil"/>
              <w:bottom w:val="nil"/>
              <w:right w:val="nil"/>
            </w:tcBorders>
            <w:shd w:val="clear" w:color="auto" w:fill="auto"/>
            <w:noWrap/>
            <w:vAlign w:val="bottom"/>
            <w:hideMark/>
          </w:tcPr>
          <w:p w14:paraId="64417687"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r w:rsidRPr="00FF3EB0">
              <w:rPr>
                <w:rFonts w:ascii="Segoe UI" w:eastAsia="Times New Roman" w:hAnsi="Segoe UI" w:cs="Segoe UI"/>
                <w:color w:val="000000"/>
                <w:sz w:val="18"/>
                <w:szCs w:val="18"/>
                <w:lang w:eastAsia="pt-BR"/>
              </w:rPr>
              <w:t xml:space="preserve">                    3.744.706 </w:t>
            </w:r>
          </w:p>
        </w:tc>
        <w:tc>
          <w:tcPr>
            <w:tcW w:w="109" w:type="pct"/>
            <w:tcBorders>
              <w:top w:val="nil"/>
              <w:left w:val="nil"/>
              <w:bottom w:val="nil"/>
              <w:right w:val="nil"/>
            </w:tcBorders>
            <w:shd w:val="clear" w:color="auto" w:fill="auto"/>
            <w:noWrap/>
            <w:vAlign w:val="bottom"/>
            <w:hideMark/>
          </w:tcPr>
          <w:p w14:paraId="3E6CF55B"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p>
        </w:tc>
        <w:tc>
          <w:tcPr>
            <w:tcW w:w="837" w:type="pct"/>
            <w:tcBorders>
              <w:top w:val="nil"/>
              <w:left w:val="nil"/>
              <w:bottom w:val="nil"/>
              <w:right w:val="nil"/>
            </w:tcBorders>
            <w:shd w:val="clear" w:color="auto" w:fill="auto"/>
            <w:noWrap/>
            <w:vAlign w:val="bottom"/>
            <w:hideMark/>
          </w:tcPr>
          <w:p w14:paraId="750D7581"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r w:rsidRPr="00FF3EB0">
              <w:rPr>
                <w:rFonts w:ascii="Segoe UI" w:eastAsia="Times New Roman" w:hAnsi="Segoe UI" w:cs="Segoe UI"/>
                <w:color w:val="000000"/>
                <w:sz w:val="18"/>
                <w:szCs w:val="18"/>
                <w:lang w:eastAsia="pt-BR"/>
              </w:rPr>
              <w:t xml:space="preserve">                81.030 </w:t>
            </w:r>
          </w:p>
        </w:tc>
        <w:tc>
          <w:tcPr>
            <w:tcW w:w="109" w:type="pct"/>
            <w:tcBorders>
              <w:top w:val="nil"/>
              <w:left w:val="nil"/>
              <w:bottom w:val="nil"/>
              <w:right w:val="nil"/>
            </w:tcBorders>
            <w:shd w:val="clear" w:color="auto" w:fill="auto"/>
            <w:noWrap/>
            <w:vAlign w:val="bottom"/>
            <w:hideMark/>
          </w:tcPr>
          <w:p w14:paraId="2061C0B7"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612AE0DB"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r w:rsidRPr="00FF3EB0">
              <w:rPr>
                <w:rFonts w:ascii="Segoe UI" w:eastAsia="Times New Roman" w:hAnsi="Segoe UI" w:cs="Segoe UI"/>
                <w:color w:val="000000"/>
                <w:sz w:val="18"/>
                <w:szCs w:val="18"/>
                <w:lang w:eastAsia="pt-BR"/>
              </w:rPr>
              <w:t xml:space="preserve">       3.825.736 </w:t>
            </w:r>
          </w:p>
        </w:tc>
      </w:tr>
      <w:tr w:rsidR="00FF3EB0" w:rsidRPr="00FF3EB0" w14:paraId="7188E494" w14:textId="77777777" w:rsidTr="00FF3EB0">
        <w:trPr>
          <w:trHeight w:val="240"/>
        </w:trPr>
        <w:tc>
          <w:tcPr>
            <w:tcW w:w="1921" w:type="pct"/>
            <w:tcBorders>
              <w:top w:val="nil"/>
              <w:left w:val="nil"/>
              <w:bottom w:val="nil"/>
              <w:right w:val="nil"/>
            </w:tcBorders>
            <w:shd w:val="clear" w:color="auto" w:fill="auto"/>
            <w:noWrap/>
            <w:vAlign w:val="center"/>
            <w:hideMark/>
          </w:tcPr>
          <w:p w14:paraId="53EE3BED" w14:textId="77777777" w:rsidR="00FF3EB0" w:rsidRPr="00FF3EB0" w:rsidRDefault="00FF3EB0" w:rsidP="00FF3EB0">
            <w:pPr>
              <w:spacing w:after="0" w:line="240" w:lineRule="auto"/>
              <w:ind w:firstLineChars="200" w:firstLine="360"/>
              <w:rPr>
                <w:rFonts w:ascii="Segoe UI" w:eastAsia="Times New Roman" w:hAnsi="Segoe UI" w:cs="Segoe UI"/>
                <w:sz w:val="18"/>
                <w:szCs w:val="18"/>
                <w:lang w:eastAsia="pt-BR"/>
              </w:rPr>
            </w:pPr>
            <w:r w:rsidRPr="00FF3EB0">
              <w:rPr>
                <w:rFonts w:ascii="Segoe UI" w:eastAsia="Times New Roman" w:hAnsi="Segoe UI" w:cs="Segoe UI"/>
                <w:sz w:val="18"/>
                <w:szCs w:val="18"/>
                <w:lang w:eastAsia="pt-BR"/>
              </w:rPr>
              <w:t xml:space="preserve"> Outros </w:t>
            </w:r>
          </w:p>
        </w:tc>
        <w:tc>
          <w:tcPr>
            <w:tcW w:w="194" w:type="pct"/>
            <w:tcBorders>
              <w:top w:val="nil"/>
              <w:left w:val="nil"/>
              <w:bottom w:val="nil"/>
              <w:right w:val="nil"/>
            </w:tcBorders>
            <w:shd w:val="clear" w:color="auto" w:fill="auto"/>
            <w:noWrap/>
            <w:vAlign w:val="bottom"/>
            <w:hideMark/>
          </w:tcPr>
          <w:p w14:paraId="757DC5D1" w14:textId="77777777" w:rsidR="00FF3EB0" w:rsidRPr="00FF3EB0" w:rsidRDefault="00FF3EB0" w:rsidP="00FF3EB0">
            <w:pPr>
              <w:spacing w:after="0" w:line="240" w:lineRule="auto"/>
              <w:ind w:firstLineChars="200" w:firstLine="360"/>
              <w:rPr>
                <w:rFonts w:ascii="Segoe UI" w:eastAsia="Times New Roman" w:hAnsi="Segoe UI" w:cs="Segoe UI"/>
                <w:sz w:val="18"/>
                <w:szCs w:val="18"/>
                <w:lang w:eastAsia="pt-BR"/>
              </w:rPr>
            </w:pPr>
          </w:p>
        </w:tc>
        <w:tc>
          <w:tcPr>
            <w:tcW w:w="1119" w:type="pct"/>
            <w:tcBorders>
              <w:top w:val="nil"/>
              <w:left w:val="nil"/>
              <w:bottom w:val="nil"/>
              <w:right w:val="nil"/>
            </w:tcBorders>
            <w:shd w:val="clear" w:color="auto" w:fill="auto"/>
            <w:noWrap/>
            <w:vAlign w:val="bottom"/>
            <w:hideMark/>
          </w:tcPr>
          <w:p w14:paraId="751AD124"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r w:rsidRPr="00FF3EB0">
              <w:rPr>
                <w:rFonts w:ascii="Segoe UI" w:eastAsia="Times New Roman" w:hAnsi="Segoe UI" w:cs="Segoe UI"/>
                <w:color w:val="000000"/>
                <w:sz w:val="18"/>
                <w:szCs w:val="18"/>
                <w:lang w:eastAsia="pt-BR"/>
              </w:rPr>
              <w:t xml:space="preserve">                         90.855 </w:t>
            </w:r>
          </w:p>
        </w:tc>
        <w:tc>
          <w:tcPr>
            <w:tcW w:w="109" w:type="pct"/>
            <w:tcBorders>
              <w:top w:val="nil"/>
              <w:left w:val="nil"/>
              <w:bottom w:val="nil"/>
              <w:right w:val="nil"/>
            </w:tcBorders>
            <w:shd w:val="clear" w:color="auto" w:fill="auto"/>
            <w:noWrap/>
            <w:vAlign w:val="bottom"/>
            <w:hideMark/>
          </w:tcPr>
          <w:p w14:paraId="20D659C7"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p>
        </w:tc>
        <w:tc>
          <w:tcPr>
            <w:tcW w:w="837" w:type="pct"/>
            <w:tcBorders>
              <w:top w:val="nil"/>
              <w:left w:val="nil"/>
              <w:bottom w:val="nil"/>
              <w:right w:val="nil"/>
            </w:tcBorders>
            <w:shd w:val="clear" w:color="auto" w:fill="auto"/>
            <w:noWrap/>
            <w:vAlign w:val="bottom"/>
            <w:hideMark/>
          </w:tcPr>
          <w:p w14:paraId="5A3ED8F8" w14:textId="77777777" w:rsidR="00FF3EB0" w:rsidRPr="00FF3EB0" w:rsidRDefault="00FF3EB0" w:rsidP="00FF3EB0">
            <w:pPr>
              <w:spacing w:after="0" w:line="240" w:lineRule="auto"/>
              <w:jc w:val="right"/>
              <w:rPr>
                <w:rFonts w:ascii="Times New Roman" w:eastAsia="Times New Roman" w:hAnsi="Times New Roman" w:cs="Times New Roman"/>
                <w:sz w:val="20"/>
                <w:szCs w:val="20"/>
                <w:lang w:eastAsia="pt-BR"/>
              </w:rPr>
            </w:pPr>
          </w:p>
        </w:tc>
        <w:tc>
          <w:tcPr>
            <w:tcW w:w="109" w:type="pct"/>
            <w:tcBorders>
              <w:top w:val="nil"/>
              <w:left w:val="nil"/>
              <w:bottom w:val="nil"/>
              <w:right w:val="nil"/>
            </w:tcBorders>
            <w:shd w:val="clear" w:color="auto" w:fill="auto"/>
            <w:noWrap/>
            <w:vAlign w:val="bottom"/>
            <w:hideMark/>
          </w:tcPr>
          <w:p w14:paraId="38168C58" w14:textId="77777777" w:rsidR="00FF3EB0" w:rsidRPr="00FF3EB0" w:rsidRDefault="00FF3EB0" w:rsidP="00FF3EB0">
            <w:pPr>
              <w:spacing w:after="0" w:line="240" w:lineRule="auto"/>
              <w:jc w:val="right"/>
              <w:rPr>
                <w:rFonts w:ascii="Times New Roman" w:eastAsia="Times New Roman" w:hAnsi="Times New Roman" w:cs="Times New Roman"/>
                <w:sz w:val="20"/>
                <w:szCs w:val="20"/>
                <w:lang w:eastAsia="pt-BR"/>
              </w:rPr>
            </w:pPr>
          </w:p>
        </w:tc>
        <w:tc>
          <w:tcPr>
            <w:tcW w:w="711" w:type="pct"/>
            <w:tcBorders>
              <w:top w:val="nil"/>
              <w:left w:val="nil"/>
              <w:bottom w:val="nil"/>
              <w:right w:val="nil"/>
            </w:tcBorders>
            <w:shd w:val="clear" w:color="auto" w:fill="auto"/>
            <w:noWrap/>
            <w:vAlign w:val="bottom"/>
            <w:hideMark/>
          </w:tcPr>
          <w:p w14:paraId="5412D52C" w14:textId="77777777" w:rsidR="00FF3EB0" w:rsidRPr="00FF3EB0" w:rsidRDefault="00FF3EB0" w:rsidP="00FF3EB0">
            <w:pPr>
              <w:spacing w:after="0" w:line="240" w:lineRule="auto"/>
              <w:jc w:val="right"/>
              <w:rPr>
                <w:rFonts w:ascii="Segoe UI" w:eastAsia="Times New Roman" w:hAnsi="Segoe UI" w:cs="Segoe UI"/>
                <w:color w:val="000000"/>
                <w:sz w:val="18"/>
                <w:szCs w:val="18"/>
                <w:lang w:eastAsia="pt-BR"/>
              </w:rPr>
            </w:pPr>
            <w:r w:rsidRPr="00FF3EB0">
              <w:rPr>
                <w:rFonts w:ascii="Segoe UI" w:eastAsia="Times New Roman" w:hAnsi="Segoe UI" w:cs="Segoe UI"/>
                <w:color w:val="000000"/>
                <w:sz w:val="18"/>
                <w:szCs w:val="18"/>
                <w:lang w:eastAsia="pt-BR"/>
              </w:rPr>
              <w:t xml:space="preserve">            90.855 </w:t>
            </w:r>
          </w:p>
        </w:tc>
      </w:tr>
      <w:tr w:rsidR="00FF3EB0" w:rsidRPr="00FF3EB0" w14:paraId="12386409" w14:textId="77777777" w:rsidTr="00FF3EB0">
        <w:trPr>
          <w:trHeight w:val="255"/>
        </w:trPr>
        <w:tc>
          <w:tcPr>
            <w:tcW w:w="1921" w:type="pct"/>
            <w:tcBorders>
              <w:top w:val="nil"/>
              <w:left w:val="nil"/>
              <w:bottom w:val="nil"/>
              <w:right w:val="nil"/>
            </w:tcBorders>
            <w:shd w:val="clear" w:color="auto" w:fill="auto"/>
            <w:noWrap/>
            <w:vAlign w:val="bottom"/>
            <w:hideMark/>
          </w:tcPr>
          <w:p w14:paraId="2BB5FBAD" w14:textId="77777777" w:rsidR="00FF3EB0" w:rsidRPr="00FF3EB0" w:rsidRDefault="00FF3EB0" w:rsidP="00FF3EB0">
            <w:pPr>
              <w:spacing w:after="0" w:line="240" w:lineRule="auto"/>
              <w:rPr>
                <w:rFonts w:ascii="Segoe UI" w:eastAsia="Times New Roman" w:hAnsi="Segoe UI" w:cs="Segoe UI"/>
                <w:color w:val="000000"/>
                <w:sz w:val="18"/>
                <w:szCs w:val="18"/>
                <w:lang w:eastAsia="pt-BR"/>
              </w:rPr>
            </w:pPr>
          </w:p>
        </w:tc>
        <w:tc>
          <w:tcPr>
            <w:tcW w:w="194" w:type="pct"/>
            <w:tcBorders>
              <w:top w:val="nil"/>
              <w:left w:val="nil"/>
              <w:bottom w:val="nil"/>
              <w:right w:val="nil"/>
            </w:tcBorders>
            <w:shd w:val="clear" w:color="auto" w:fill="auto"/>
            <w:noWrap/>
            <w:vAlign w:val="bottom"/>
            <w:hideMark/>
          </w:tcPr>
          <w:p w14:paraId="7F84E3B3" w14:textId="77777777" w:rsidR="00FF3EB0" w:rsidRPr="00FF3EB0" w:rsidRDefault="00FF3EB0" w:rsidP="00FF3EB0">
            <w:pPr>
              <w:spacing w:after="0" w:line="240" w:lineRule="auto"/>
              <w:rPr>
                <w:rFonts w:ascii="Times New Roman" w:eastAsia="Times New Roman" w:hAnsi="Times New Roman" w:cs="Times New Roman"/>
                <w:sz w:val="20"/>
                <w:szCs w:val="20"/>
                <w:lang w:eastAsia="pt-BR"/>
              </w:rPr>
            </w:pPr>
          </w:p>
        </w:tc>
        <w:tc>
          <w:tcPr>
            <w:tcW w:w="1119" w:type="pct"/>
            <w:tcBorders>
              <w:top w:val="single" w:sz="4" w:space="0" w:color="1B80C4"/>
              <w:left w:val="nil"/>
              <w:bottom w:val="double" w:sz="6" w:space="0" w:color="1B80C4"/>
              <w:right w:val="nil"/>
            </w:tcBorders>
            <w:shd w:val="clear" w:color="auto" w:fill="auto"/>
            <w:noWrap/>
            <w:vAlign w:val="center"/>
            <w:hideMark/>
          </w:tcPr>
          <w:p w14:paraId="282051A6" w14:textId="77777777" w:rsidR="00FF3EB0" w:rsidRPr="00FF3EB0" w:rsidRDefault="00FF3EB0" w:rsidP="00FF3EB0">
            <w:pPr>
              <w:spacing w:after="0" w:line="240" w:lineRule="auto"/>
              <w:jc w:val="right"/>
              <w:rPr>
                <w:rFonts w:ascii="Segoe UI" w:eastAsia="Times New Roman" w:hAnsi="Segoe UI" w:cs="Segoe UI"/>
                <w:b/>
                <w:bCs/>
                <w:color w:val="000000"/>
                <w:sz w:val="18"/>
                <w:szCs w:val="18"/>
                <w:lang w:eastAsia="pt-BR"/>
              </w:rPr>
            </w:pPr>
            <w:r w:rsidRPr="00FF3EB0">
              <w:rPr>
                <w:rFonts w:ascii="Segoe UI" w:eastAsia="Times New Roman" w:hAnsi="Segoe UI" w:cs="Segoe UI"/>
                <w:b/>
                <w:bCs/>
                <w:color w:val="000000"/>
                <w:sz w:val="18"/>
                <w:szCs w:val="18"/>
                <w:lang w:eastAsia="pt-BR"/>
              </w:rPr>
              <w:t xml:space="preserve">                  3.835.561 </w:t>
            </w:r>
          </w:p>
        </w:tc>
        <w:tc>
          <w:tcPr>
            <w:tcW w:w="109" w:type="pct"/>
            <w:tcBorders>
              <w:top w:val="nil"/>
              <w:left w:val="nil"/>
              <w:bottom w:val="nil"/>
              <w:right w:val="nil"/>
            </w:tcBorders>
            <w:shd w:val="clear" w:color="auto" w:fill="auto"/>
            <w:vAlign w:val="center"/>
            <w:hideMark/>
          </w:tcPr>
          <w:p w14:paraId="7AE91E73" w14:textId="77777777" w:rsidR="00FF3EB0" w:rsidRPr="00FF3EB0" w:rsidRDefault="00FF3EB0" w:rsidP="00FF3EB0">
            <w:pPr>
              <w:spacing w:after="0" w:line="240" w:lineRule="auto"/>
              <w:jc w:val="right"/>
              <w:rPr>
                <w:rFonts w:ascii="Segoe UI" w:eastAsia="Times New Roman" w:hAnsi="Segoe UI" w:cs="Segoe UI"/>
                <w:b/>
                <w:bCs/>
                <w:color w:val="000000"/>
                <w:sz w:val="18"/>
                <w:szCs w:val="18"/>
                <w:lang w:eastAsia="pt-BR"/>
              </w:rPr>
            </w:pPr>
          </w:p>
        </w:tc>
        <w:tc>
          <w:tcPr>
            <w:tcW w:w="837" w:type="pct"/>
            <w:tcBorders>
              <w:top w:val="single" w:sz="4" w:space="0" w:color="1B80C4"/>
              <w:left w:val="nil"/>
              <w:bottom w:val="double" w:sz="6" w:space="0" w:color="1B80C4"/>
              <w:right w:val="nil"/>
            </w:tcBorders>
            <w:shd w:val="clear" w:color="auto" w:fill="auto"/>
            <w:noWrap/>
            <w:vAlign w:val="center"/>
            <w:hideMark/>
          </w:tcPr>
          <w:p w14:paraId="5C42171D" w14:textId="77777777" w:rsidR="00FF3EB0" w:rsidRPr="00FF3EB0" w:rsidRDefault="00FF3EB0" w:rsidP="00FF3EB0">
            <w:pPr>
              <w:spacing w:after="0" w:line="240" w:lineRule="auto"/>
              <w:jc w:val="right"/>
              <w:rPr>
                <w:rFonts w:ascii="Segoe UI" w:eastAsia="Times New Roman" w:hAnsi="Segoe UI" w:cs="Segoe UI"/>
                <w:b/>
                <w:bCs/>
                <w:color w:val="000000"/>
                <w:sz w:val="18"/>
                <w:szCs w:val="18"/>
                <w:lang w:eastAsia="pt-BR"/>
              </w:rPr>
            </w:pPr>
            <w:r w:rsidRPr="00FF3EB0">
              <w:rPr>
                <w:rFonts w:ascii="Segoe UI" w:eastAsia="Times New Roman" w:hAnsi="Segoe UI" w:cs="Segoe UI"/>
                <w:b/>
                <w:bCs/>
                <w:color w:val="000000"/>
                <w:sz w:val="18"/>
                <w:szCs w:val="18"/>
                <w:lang w:eastAsia="pt-BR"/>
              </w:rPr>
              <w:t xml:space="preserve">              81.030 </w:t>
            </w:r>
          </w:p>
        </w:tc>
        <w:tc>
          <w:tcPr>
            <w:tcW w:w="109" w:type="pct"/>
            <w:tcBorders>
              <w:top w:val="nil"/>
              <w:left w:val="nil"/>
              <w:bottom w:val="nil"/>
              <w:right w:val="nil"/>
            </w:tcBorders>
            <w:shd w:val="clear" w:color="auto" w:fill="auto"/>
            <w:noWrap/>
            <w:vAlign w:val="center"/>
            <w:hideMark/>
          </w:tcPr>
          <w:p w14:paraId="6E7D9EC1" w14:textId="77777777" w:rsidR="00FF3EB0" w:rsidRPr="00FF3EB0" w:rsidRDefault="00FF3EB0" w:rsidP="00FF3EB0">
            <w:pPr>
              <w:spacing w:after="0" w:line="240" w:lineRule="auto"/>
              <w:jc w:val="right"/>
              <w:rPr>
                <w:rFonts w:ascii="Segoe UI" w:eastAsia="Times New Roman" w:hAnsi="Segoe UI" w:cs="Segoe UI"/>
                <w:b/>
                <w:bCs/>
                <w:color w:val="000000"/>
                <w:sz w:val="18"/>
                <w:szCs w:val="18"/>
                <w:lang w:eastAsia="pt-BR"/>
              </w:rPr>
            </w:pPr>
          </w:p>
        </w:tc>
        <w:tc>
          <w:tcPr>
            <w:tcW w:w="711" w:type="pct"/>
            <w:tcBorders>
              <w:top w:val="single" w:sz="4" w:space="0" w:color="1B80C4"/>
              <w:left w:val="nil"/>
              <w:bottom w:val="double" w:sz="6" w:space="0" w:color="1B80C4"/>
              <w:right w:val="nil"/>
            </w:tcBorders>
            <w:shd w:val="clear" w:color="auto" w:fill="auto"/>
            <w:noWrap/>
            <w:vAlign w:val="center"/>
            <w:hideMark/>
          </w:tcPr>
          <w:p w14:paraId="64404F8B" w14:textId="77777777" w:rsidR="00FF3EB0" w:rsidRPr="00FF3EB0" w:rsidRDefault="00FF3EB0" w:rsidP="00FF3EB0">
            <w:pPr>
              <w:spacing w:after="0" w:line="240" w:lineRule="auto"/>
              <w:jc w:val="right"/>
              <w:rPr>
                <w:rFonts w:ascii="Segoe UI" w:eastAsia="Times New Roman" w:hAnsi="Segoe UI" w:cs="Segoe UI"/>
                <w:b/>
                <w:bCs/>
                <w:color w:val="000000"/>
                <w:sz w:val="18"/>
                <w:szCs w:val="18"/>
                <w:lang w:eastAsia="pt-BR"/>
              </w:rPr>
            </w:pPr>
            <w:r w:rsidRPr="00FF3EB0">
              <w:rPr>
                <w:rFonts w:ascii="Segoe UI" w:eastAsia="Times New Roman" w:hAnsi="Segoe UI" w:cs="Segoe UI"/>
                <w:b/>
                <w:bCs/>
                <w:color w:val="000000"/>
                <w:sz w:val="18"/>
                <w:szCs w:val="18"/>
                <w:lang w:eastAsia="pt-BR"/>
              </w:rPr>
              <w:t xml:space="preserve">     3.916.591 </w:t>
            </w:r>
          </w:p>
        </w:tc>
      </w:tr>
    </w:tbl>
    <w:p w14:paraId="42D2478E" w14:textId="77777777" w:rsidR="00714B13" w:rsidRDefault="00714B13" w:rsidP="00714B13">
      <w:pPr>
        <w:widowControl w:val="0"/>
        <w:autoSpaceDE w:val="0"/>
        <w:autoSpaceDN w:val="0"/>
        <w:spacing w:after="0"/>
        <w:jc w:val="both"/>
        <w:rPr>
          <w:rFonts w:ascii="Segoe UI" w:hAnsi="Segoe UI" w:cs="Segoe UI"/>
        </w:rPr>
      </w:pPr>
    </w:p>
    <w:p w14:paraId="089D204F" w14:textId="77777777" w:rsidR="008D441B" w:rsidRPr="000757BC" w:rsidRDefault="008D441B" w:rsidP="00714B13">
      <w:pPr>
        <w:widowControl w:val="0"/>
        <w:autoSpaceDE w:val="0"/>
        <w:autoSpaceDN w:val="0"/>
        <w:spacing w:after="0"/>
        <w:jc w:val="both"/>
        <w:rPr>
          <w:rFonts w:ascii="Segoe UI" w:hAnsi="Segoe UI" w:cs="Segoe UI"/>
        </w:rPr>
      </w:pPr>
    </w:p>
    <w:p w14:paraId="5B510A6E" w14:textId="07F7B823" w:rsidR="008A12C9" w:rsidRPr="000757BC" w:rsidRDefault="00581D1F" w:rsidP="003D554A">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7</w:t>
      </w:r>
      <w:r w:rsidR="002B1787" w:rsidRPr="000757BC">
        <w:rPr>
          <w:rFonts w:ascii="Segoe UI" w:hAnsi="Segoe UI" w:cs="Segoe UI"/>
          <w:b/>
          <w:color w:val="0070C0"/>
        </w:rPr>
        <w:t xml:space="preserve"> – TRIBUTOS A COMPENSAR </w:t>
      </w:r>
    </w:p>
    <w:p w14:paraId="0341DA10" w14:textId="225491E1" w:rsidR="00292050" w:rsidRDefault="00292050" w:rsidP="00FB23A8">
      <w:pPr>
        <w:widowControl w:val="0"/>
        <w:autoSpaceDE w:val="0"/>
        <w:autoSpaceDN w:val="0"/>
        <w:spacing w:after="0"/>
        <w:jc w:val="both"/>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5545"/>
        <w:gridCol w:w="1842"/>
        <w:gridCol w:w="277"/>
        <w:gridCol w:w="1833"/>
      </w:tblGrid>
      <w:tr w:rsidR="00FE01DA" w:rsidRPr="00FE01DA" w14:paraId="11C83059" w14:textId="77777777" w:rsidTr="00FE01DA">
        <w:trPr>
          <w:trHeight w:val="240"/>
        </w:trPr>
        <w:tc>
          <w:tcPr>
            <w:tcW w:w="2919" w:type="pct"/>
            <w:tcBorders>
              <w:top w:val="nil"/>
              <w:left w:val="nil"/>
              <w:bottom w:val="nil"/>
              <w:right w:val="nil"/>
            </w:tcBorders>
            <w:shd w:val="clear" w:color="auto" w:fill="auto"/>
            <w:noWrap/>
            <w:vAlign w:val="bottom"/>
            <w:hideMark/>
          </w:tcPr>
          <w:p w14:paraId="03E8D83D" w14:textId="77777777" w:rsidR="00FE01DA" w:rsidRPr="00FE01DA" w:rsidRDefault="00FE01DA" w:rsidP="00FE01DA">
            <w:pPr>
              <w:spacing w:after="0" w:line="240" w:lineRule="auto"/>
              <w:rPr>
                <w:rFonts w:ascii="Times New Roman" w:eastAsia="Times New Roman" w:hAnsi="Times New Roman" w:cs="Times New Roman"/>
                <w:sz w:val="24"/>
                <w:szCs w:val="24"/>
                <w:lang w:eastAsia="pt-BR"/>
              </w:rPr>
            </w:pPr>
          </w:p>
        </w:tc>
        <w:tc>
          <w:tcPr>
            <w:tcW w:w="970" w:type="pct"/>
            <w:tcBorders>
              <w:top w:val="nil"/>
              <w:left w:val="nil"/>
              <w:bottom w:val="nil"/>
              <w:right w:val="nil"/>
            </w:tcBorders>
            <w:shd w:val="clear" w:color="000000" w:fill="1B80C4"/>
            <w:noWrap/>
            <w:vAlign w:val="bottom"/>
            <w:hideMark/>
          </w:tcPr>
          <w:p w14:paraId="16BC4932"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xml:space="preserve"> Controladora </w:t>
            </w:r>
          </w:p>
        </w:tc>
        <w:tc>
          <w:tcPr>
            <w:tcW w:w="146" w:type="pct"/>
            <w:tcBorders>
              <w:top w:val="nil"/>
              <w:left w:val="nil"/>
              <w:bottom w:val="nil"/>
              <w:right w:val="nil"/>
            </w:tcBorders>
            <w:shd w:val="clear" w:color="000000" w:fill="1B80C4"/>
            <w:noWrap/>
            <w:vAlign w:val="bottom"/>
            <w:hideMark/>
          </w:tcPr>
          <w:p w14:paraId="5050BD02"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w:t>
            </w:r>
          </w:p>
        </w:tc>
        <w:tc>
          <w:tcPr>
            <w:tcW w:w="966" w:type="pct"/>
            <w:tcBorders>
              <w:top w:val="nil"/>
              <w:left w:val="nil"/>
              <w:bottom w:val="nil"/>
              <w:right w:val="nil"/>
            </w:tcBorders>
            <w:shd w:val="clear" w:color="000000" w:fill="1B80C4"/>
            <w:noWrap/>
            <w:vAlign w:val="bottom"/>
            <w:hideMark/>
          </w:tcPr>
          <w:p w14:paraId="446FD842"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xml:space="preserve"> Consolidado </w:t>
            </w:r>
          </w:p>
        </w:tc>
      </w:tr>
      <w:tr w:rsidR="00FE01DA" w:rsidRPr="00FE01DA" w14:paraId="5B202F52" w14:textId="77777777" w:rsidTr="005F44A6">
        <w:trPr>
          <w:trHeight w:val="240"/>
        </w:trPr>
        <w:tc>
          <w:tcPr>
            <w:tcW w:w="2919" w:type="pct"/>
            <w:tcBorders>
              <w:top w:val="nil"/>
              <w:left w:val="nil"/>
              <w:bottom w:val="nil"/>
              <w:right w:val="nil"/>
            </w:tcBorders>
            <w:shd w:val="clear" w:color="auto" w:fill="auto"/>
            <w:noWrap/>
            <w:vAlign w:val="bottom"/>
            <w:hideMark/>
          </w:tcPr>
          <w:p w14:paraId="47F38E0A"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p>
        </w:tc>
        <w:tc>
          <w:tcPr>
            <w:tcW w:w="970" w:type="pct"/>
            <w:tcBorders>
              <w:top w:val="single" w:sz="4" w:space="0" w:color="FFFFFF"/>
              <w:left w:val="nil"/>
              <w:bottom w:val="single" w:sz="4" w:space="0" w:color="FFFFFF"/>
              <w:right w:val="nil"/>
            </w:tcBorders>
            <w:shd w:val="clear" w:color="000000" w:fill="1B80C4"/>
            <w:noWrap/>
            <w:vAlign w:val="center"/>
            <w:hideMark/>
          </w:tcPr>
          <w:p w14:paraId="659CE8F3"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31/12/2022</w:t>
            </w:r>
          </w:p>
        </w:tc>
        <w:tc>
          <w:tcPr>
            <w:tcW w:w="146" w:type="pct"/>
            <w:tcBorders>
              <w:left w:val="nil"/>
              <w:right w:val="nil"/>
            </w:tcBorders>
            <w:shd w:val="clear" w:color="000000" w:fill="1B80C4"/>
            <w:noWrap/>
            <w:vAlign w:val="center"/>
            <w:hideMark/>
          </w:tcPr>
          <w:p w14:paraId="4FA1B1E1"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w:t>
            </w:r>
          </w:p>
        </w:tc>
        <w:tc>
          <w:tcPr>
            <w:tcW w:w="966" w:type="pct"/>
            <w:tcBorders>
              <w:top w:val="single" w:sz="4" w:space="0" w:color="FFFFFF"/>
              <w:left w:val="nil"/>
              <w:bottom w:val="single" w:sz="4" w:space="0" w:color="FFFFFF"/>
              <w:right w:val="nil"/>
            </w:tcBorders>
            <w:shd w:val="clear" w:color="000000" w:fill="1B80C4"/>
            <w:noWrap/>
            <w:vAlign w:val="center"/>
            <w:hideMark/>
          </w:tcPr>
          <w:p w14:paraId="0931EB65"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31/12/2022</w:t>
            </w:r>
          </w:p>
        </w:tc>
      </w:tr>
      <w:tr w:rsidR="00FE01DA" w:rsidRPr="00FE01DA" w14:paraId="4E90C900" w14:textId="77777777" w:rsidTr="005F44A6">
        <w:trPr>
          <w:trHeight w:val="240"/>
        </w:trPr>
        <w:tc>
          <w:tcPr>
            <w:tcW w:w="2919" w:type="pct"/>
            <w:tcBorders>
              <w:top w:val="nil"/>
              <w:left w:val="nil"/>
              <w:bottom w:val="nil"/>
              <w:right w:val="nil"/>
            </w:tcBorders>
            <w:shd w:val="clear" w:color="auto" w:fill="auto"/>
            <w:noWrap/>
            <w:vAlign w:val="center"/>
            <w:hideMark/>
          </w:tcPr>
          <w:p w14:paraId="7CC44E61" w14:textId="77777777" w:rsidR="00FE01DA" w:rsidRPr="00FE01DA" w:rsidRDefault="00FE01DA" w:rsidP="00FE01DA">
            <w:pPr>
              <w:spacing w:after="0" w:line="240" w:lineRule="auto"/>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PASEP e COFINS </w:t>
            </w:r>
          </w:p>
        </w:tc>
        <w:tc>
          <w:tcPr>
            <w:tcW w:w="970" w:type="pct"/>
            <w:tcBorders>
              <w:top w:val="nil"/>
              <w:left w:val="nil"/>
              <w:bottom w:val="nil"/>
              <w:right w:val="nil"/>
            </w:tcBorders>
            <w:shd w:val="clear" w:color="auto" w:fill="auto"/>
            <w:noWrap/>
            <w:vAlign w:val="center"/>
            <w:hideMark/>
          </w:tcPr>
          <w:p w14:paraId="11FFC72B"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171.371 </w:t>
            </w:r>
          </w:p>
        </w:tc>
        <w:tc>
          <w:tcPr>
            <w:tcW w:w="146" w:type="pct"/>
            <w:tcBorders>
              <w:left w:val="nil"/>
              <w:bottom w:val="nil"/>
              <w:right w:val="nil"/>
            </w:tcBorders>
            <w:shd w:val="clear" w:color="auto" w:fill="auto"/>
            <w:noWrap/>
            <w:vAlign w:val="center"/>
            <w:hideMark/>
          </w:tcPr>
          <w:p w14:paraId="1C886DB4"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p>
        </w:tc>
        <w:tc>
          <w:tcPr>
            <w:tcW w:w="966" w:type="pct"/>
            <w:tcBorders>
              <w:top w:val="nil"/>
              <w:left w:val="nil"/>
              <w:bottom w:val="nil"/>
              <w:right w:val="nil"/>
            </w:tcBorders>
            <w:shd w:val="clear" w:color="auto" w:fill="auto"/>
            <w:noWrap/>
            <w:vAlign w:val="center"/>
            <w:hideMark/>
          </w:tcPr>
          <w:p w14:paraId="38E544E5"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336.409 </w:t>
            </w:r>
          </w:p>
        </w:tc>
      </w:tr>
      <w:tr w:rsidR="00FE01DA" w:rsidRPr="00FE01DA" w14:paraId="774378FD" w14:textId="77777777" w:rsidTr="00FE01DA">
        <w:trPr>
          <w:trHeight w:val="240"/>
        </w:trPr>
        <w:tc>
          <w:tcPr>
            <w:tcW w:w="2919" w:type="pct"/>
            <w:tcBorders>
              <w:top w:val="nil"/>
              <w:left w:val="nil"/>
              <w:bottom w:val="nil"/>
              <w:right w:val="nil"/>
            </w:tcBorders>
            <w:shd w:val="clear" w:color="auto" w:fill="auto"/>
            <w:noWrap/>
            <w:vAlign w:val="bottom"/>
            <w:hideMark/>
          </w:tcPr>
          <w:p w14:paraId="237BED9A" w14:textId="77777777" w:rsidR="00FE01DA" w:rsidRPr="00FE01DA" w:rsidRDefault="00FE01DA" w:rsidP="00FE01DA">
            <w:pPr>
              <w:spacing w:after="0" w:line="240" w:lineRule="auto"/>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Outros </w:t>
            </w:r>
          </w:p>
        </w:tc>
        <w:tc>
          <w:tcPr>
            <w:tcW w:w="970" w:type="pct"/>
            <w:tcBorders>
              <w:top w:val="nil"/>
              <w:left w:val="nil"/>
              <w:bottom w:val="nil"/>
              <w:right w:val="nil"/>
            </w:tcBorders>
            <w:shd w:val="clear" w:color="auto" w:fill="auto"/>
            <w:noWrap/>
            <w:vAlign w:val="center"/>
            <w:hideMark/>
          </w:tcPr>
          <w:p w14:paraId="6456F64C"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   </w:t>
            </w:r>
          </w:p>
        </w:tc>
        <w:tc>
          <w:tcPr>
            <w:tcW w:w="146" w:type="pct"/>
            <w:tcBorders>
              <w:top w:val="nil"/>
              <w:left w:val="nil"/>
              <w:bottom w:val="nil"/>
              <w:right w:val="nil"/>
            </w:tcBorders>
            <w:shd w:val="clear" w:color="auto" w:fill="auto"/>
            <w:noWrap/>
            <w:vAlign w:val="center"/>
            <w:hideMark/>
          </w:tcPr>
          <w:p w14:paraId="7733BB24"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p>
        </w:tc>
        <w:tc>
          <w:tcPr>
            <w:tcW w:w="966" w:type="pct"/>
            <w:tcBorders>
              <w:top w:val="nil"/>
              <w:left w:val="nil"/>
              <w:bottom w:val="nil"/>
              <w:right w:val="nil"/>
            </w:tcBorders>
            <w:shd w:val="clear" w:color="auto" w:fill="auto"/>
            <w:noWrap/>
            <w:vAlign w:val="center"/>
            <w:hideMark/>
          </w:tcPr>
          <w:p w14:paraId="169F45BF"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4.357 </w:t>
            </w:r>
          </w:p>
        </w:tc>
      </w:tr>
      <w:tr w:rsidR="00FE01DA" w:rsidRPr="00FE01DA" w14:paraId="7037D21B" w14:textId="77777777" w:rsidTr="00FE01DA">
        <w:trPr>
          <w:trHeight w:val="255"/>
        </w:trPr>
        <w:tc>
          <w:tcPr>
            <w:tcW w:w="2919" w:type="pct"/>
            <w:tcBorders>
              <w:top w:val="nil"/>
              <w:left w:val="nil"/>
              <w:bottom w:val="nil"/>
              <w:right w:val="nil"/>
            </w:tcBorders>
            <w:shd w:val="clear" w:color="auto" w:fill="auto"/>
            <w:noWrap/>
            <w:vAlign w:val="center"/>
            <w:hideMark/>
          </w:tcPr>
          <w:p w14:paraId="7285827C"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p>
        </w:tc>
        <w:tc>
          <w:tcPr>
            <w:tcW w:w="970" w:type="pct"/>
            <w:tcBorders>
              <w:top w:val="single" w:sz="4" w:space="0" w:color="1B80C4"/>
              <w:left w:val="nil"/>
              <w:bottom w:val="double" w:sz="6" w:space="0" w:color="1B80C4"/>
              <w:right w:val="nil"/>
            </w:tcBorders>
            <w:shd w:val="clear" w:color="auto" w:fill="auto"/>
            <w:noWrap/>
            <w:vAlign w:val="center"/>
            <w:hideMark/>
          </w:tcPr>
          <w:p w14:paraId="06EBC390" w14:textId="77777777" w:rsidR="00FE01DA" w:rsidRPr="00FE01DA" w:rsidRDefault="00FE01DA" w:rsidP="00FE01DA">
            <w:pPr>
              <w:spacing w:after="0" w:line="240" w:lineRule="auto"/>
              <w:jc w:val="right"/>
              <w:rPr>
                <w:rFonts w:ascii="Segoe UI" w:eastAsia="Times New Roman" w:hAnsi="Segoe UI" w:cs="Segoe UI"/>
                <w:b/>
                <w:bCs/>
                <w:color w:val="000000"/>
                <w:sz w:val="18"/>
                <w:szCs w:val="18"/>
                <w:lang w:eastAsia="pt-BR"/>
              </w:rPr>
            </w:pPr>
            <w:r w:rsidRPr="00FE01DA">
              <w:rPr>
                <w:rFonts w:ascii="Segoe UI" w:eastAsia="Times New Roman" w:hAnsi="Segoe UI" w:cs="Segoe UI"/>
                <w:b/>
                <w:bCs/>
                <w:color w:val="000000"/>
                <w:sz w:val="18"/>
                <w:szCs w:val="18"/>
                <w:lang w:eastAsia="pt-BR"/>
              </w:rPr>
              <w:t xml:space="preserve">         171.371 </w:t>
            </w:r>
          </w:p>
        </w:tc>
        <w:tc>
          <w:tcPr>
            <w:tcW w:w="146" w:type="pct"/>
            <w:tcBorders>
              <w:top w:val="nil"/>
              <w:left w:val="nil"/>
              <w:bottom w:val="nil"/>
              <w:right w:val="nil"/>
            </w:tcBorders>
            <w:shd w:val="clear" w:color="auto" w:fill="auto"/>
            <w:noWrap/>
            <w:vAlign w:val="center"/>
            <w:hideMark/>
          </w:tcPr>
          <w:p w14:paraId="1DBA302D" w14:textId="77777777" w:rsidR="00FE01DA" w:rsidRPr="00FE01DA" w:rsidRDefault="00FE01DA" w:rsidP="00FE01DA">
            <w:pPr>
              <w:spacing w:after="0" w:line="240" w:lineRule="auto"/>
              <w:jc w:val="right"/>
              <w:rPr>
                <w:rFonts w:ascii="Segoe UI" w:eastAsia="Times New Roman" w:hAnsi="Segoe UI" w:cs="Segoe UI"/>
                <w:b/>
                <w:bCs/>
                <w:color w:val="000000"/>
                <w:sz w:val="18"/>
                <w:szCs w:val="18"/>
                <w:lang w:eastAsia="pt-BR"/>
              </w:rPr>
            </w:pPr>
          </w:p>
        </w:tc>
        <w:tc>
          <w:tcPr>
            <w:tcW w:w="966" w:type="pct"/>
            <w:tcBorders>
              <w:top w:val="single" w:sz="4" w:space="0" w:color="1B80C4"/>
              <w:left w:val="nil"/>
              <w:bottom w:val="double" w:sz="6" w:space="0" w:color="1B80C4"/>
              <w:right w:val="nil"/>
            </w:tcBorders>
            <w:shd w:val="clear" w:color="auto" w:fill="auto"/>
            <w:noWrap/>
            <w:vAlign w:val="center"/>
            <w:hideMark/>
          </w:tcPr>
          <w:p w14:paraId="0AD6DF0E" w14:textId="77777777" w:rsidR="00FE01DA" w:rsidRPr="00FE01DA" w:rsidRDefault="00FE01DA" w:rsidP="00FE01DA">
            <w:pPr>
              <w:spacing w:after="0" w:line="240" w:lineRule="auto"/>
              <w:jc w:val="right"/>
              <w:rPr>
                <w:rFonts w:ascii="Segoe UI" w:eastAsia="Times New Roman" w:hAnsi="Segoe UI" w:cs="Segoe UI"/>
                <w:b/>
                <w:bCs/>
                <w:color w:val="000000"/>
                <w:sz w:val="18"/>
                <w:szCs w:val="18"/>
                <w:lang w:eastAsia="pt-BR"/>
              </w:rPr>
            </w:pPr>
            <w:r w:rsidRPr="00FE01DA">
              <w:rPr>
                <w:rFonts w:ascii="Segoe UI" w:eastAsia="Times New Roman" w:hAnsi="Segoe UI" w:cs="Segoe UI"/>
                <w:b/>
                <w:bCs/>
                <w:color w:val="000000"/>
                <w:sz w:val="18"/>
                <w:szCs w:val="18"/>
                <w:lang w:eastAsia="pt-BR"/>
              </w:rPr>
              <w:t xml:space="preserve">         340.766 </w:t>
            </w:r>
          </w:p>
        </w:tc>
      </w:tr>
    </w:tbl>
    <w:p w14:paraId="216D172B" w14:textId="77777777" w:rsidR="00A32A5F" w:rsidRDefault="00A32A5F" w:rsidP="00FB23A8">
      <w:pPr>
        <w:widowControl w:val="0"/>
        <w:autoSpaceDE w:val="0"/>
        <w:autoSpaceDN w:val="0"/>
        <w:spacing w:after="0"/>
        <w:jc w:val="both"/>
        <w:rPr>
          <w:rFonts w:ascii="Segoe UI" w:hAnsi="Segoe UI" w:cs="Segoe UI"/>
        </w:rPr>
      </w:pPr>
    </w:p>
    <w:p w14:paraId="43227D3B" w14:textId="6F0D586A" w:rsidR="002B1787" w:rsidRPr="000757BC" w:rsidRDefault="00581D1F" w:rsidP="00D775C7">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8</w:t>
      </w:r>
      <w:r w:rsidR="002B1787" w:rsidRPr="000757BC">
        <w:rPr>
          <w:rFonts w:ascii="Segoe UI" w:hAnsi="Segoe UI" w:cs="Segoe UI"/>
          <w:b/>
          <w:color w:val="0070C0"/>
        </w:rPr>
        <w:t xml:space="preserve"> – IMPOSTO</w:t>
      </w:r>
      <w:r w:rsidR="00F24E4C" w:rsidRPr="000757BC">
        <w:rPr>
          <w:rFonts w:ascii="Segoe UI" w:hAnsi="Segoe UI" w:cs="Segoe UI"/>
          <w:b/>
          <w:color w:val="0070C0"/>
        </w:rPr>
        <w:t xml:space="preserve"> DE RENDA E CONTRIBUIÇÃO SOCIAL</w:t>
      </w:r>
    </w:p>
    <w:p w14:paraId="1D2B09F1" w14:textId="77777777" w:rsidR="00B42E8E" w:rsidRPr="000757BC" w:rsidRDefault="00B42E8E" w:rsidP="00CB3B07">
      <w:pPr>
        <w:widowControl w:val="0"/>
        <w:autoSpaceDE w:val="0"/>
        <w:autoSpaceDN w:val="0"/>
        <w:spacing w:after="0"/>
        <w:jc w:val="both"/>
        <w:rPr>
          <w:rFonts w:ascii="Segoe UI" w:hAnsi="Segoe UI" w:cs="Segoe UI"/>
          <w:color w:val="0070C0"/>
        </w:rPr>
      </w:pPr>
    </w:p>
    <w:p w14:paraId="17291D4C" w14:textId="541F059A" w:rsidR="00B42E8E" w:rsidRPr="000757BC" w:rsidRDefault="00B42E8E" w:rsidP="00CB3B07">
      <w:pPr>
        <w:spacing w:after="0"/>
        <w:jc w:val="both"/>
        <w:rPr>
          <w:rFonts w:ascii="Segoe UI" w:hAnsi="Segoe UI" w:cs="Segoe UI"/>
          <w:b/>
          <w:snapToGrid w:val="0"/>
          <w:color w:val="0070C0"/>
        </w:rPr>
      </w:pPr>
      <w:r w:rsidRPr="000757BC">
        <w:rPr>
          <w:rFonts w:ascii="Segoe UI" w:hAnsi="Segoe UI" w:cs="Segoe UI"/>
          <w:b/>
          <w:snapToGrid w:val="0"/>
          <w:color w:val="0070C0"/>
        </w:rPr>
        <w:t xml:space="preserve">8.1 – Imposto de renda e contribuição social </w:t>
      </w:r>
      <w:r w:rsidR="003C2EA8">
        <w:rPr>
          <w:rFonts w:ascii="Segoe UI" w:hAnsi="Segoe UI" w:cs="Segoe UI"/>
          <w:b/>
          <w:snapToGrid w:val="0"/>
          <w:color w:val="0070C0"/>
        </w:rPr>
        <w:t>(A</w:t>
      </w:r>
      <w:r w:rsidRPr="000757BC">
        <w:rPr>
          <w:rFonts w:ascii="Segoe UI" w:hAnsi="Segoe UI" w:cs="Segoe UI"/>
          <w:b/>
          <w:snapToGrid w:val="0"/>
          <w:color w:val="0070C0"/>
        </w:rPr>
        <w:t>tivo</w:t>
      </w:r>
      <w:r w:rsidR="003C2EA8">
        <w:rPr>
          <w:rFonts w:ascii="Segoe UI" w:hAnsi="Segoe UI" w:cs="Segoe UI"/>
          <w:b/>
          <w:snapToGrid w:val="0"/>
          <w:color w:val="0070C0"/>
        </w:rPr>
        <w:t>)</w:t>
      </w:r>
    </w:p>
    <w:p w14:paraId="1F55AFAC" w14:textId="77777777" w:rsidR="00934C06" w:rsidRPr="000757BC" w:rsidRDefault="00934C06" w:rsidP="00714B13">
      <w:pPr>
        <w:widowControl w:val="0"/>
        <w:autoSpaceDE w:val="0"/>
        <w:autoSpaceDN w:val="0"/>
        <w:spacing w:after="0"/>
        <w:jc w:val="both"/>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5545"/>
        <w:gridCol w:w="1842"/>
        <w:gridCol w:w="277"/>
        <w:gridCol w:w="1833"/>
      </w:tblGrid>
      <w:tr w:rsidR="00FE01DA" w:rsidRPr="00FE01DA" w14:paraId="6660D150" w14:textId="77777777" w:rsidTr="00FE01DA">
        <w:trPr>
          <w:trHeight w:val="240"/>
        </w:trPr>
        <w:tc>
          <w:tcPr>
            <w:tcW w:w="2919" w:type="pct"/>
            <w:tcBorders>
              <w:top w:val="nil"/>
              <w:left w:val="nil"/>
              <w:bottom w:val="nil"/>
              <w:right w:val="nil"/>
            </w:tcBorders>
            <w:shd w:val="clear" w:color="auto" w:fill="auto"/>
            <w:noWrap/>
            <w:vAlign w:val="bottom"/>
            <w:hideMark/>
          </w:tcPr>
          <w:p w14:paraId="184D684C" w14:textId="77777777" w:rsidR="00FE01DA" w:rsidRPr="00FE01DA" w:rsidRDefault="00FE01DA" w:rsidP="00FE01DA">
            <w:pPr>
              <w:spacing w:after="0" w:line="240" w:lineRule="auto"/>
              <w:rPr>
                <w:rFonts w:ascii="Times New Roman" w:eastAsia="Times New Roman" w:hAnsi="Times New Roman" w:cs="Times New Roman"/>
                <w:sz w:val="24"/>
                <w:szCs w:val="24"/>
                <w:lang w:eastAsia="pt-BR"/>
              </w:rPr>
            </w:pPr>
          </w:p>
        </w:tc>
        <w:tc>
          <w:tcPr>
            <w:tcW w:w="970" w:type="pct"/>
            <w:tcBorders>
              <w:top w:val="nil"/>
              <w:left w:val="nil"/>
              <w:bottom w:val="nil"/>
              <w:right w:val="nil"/>
            </w:tcBorders>
            <w:shd w:val="clear" w:color="000000" w:fill="1B80C4"/>
            <w:noWrap/>
            <w:vAlign w:val="bottom"/>
            <w:hideMark/>
          </w:tcPr>
          <w:p w14:paraId="6CA6E2FB"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xml:space="preserve"> Controladora </w:t>
            </w:r>
          </w:p>
        </w:tc>
        <w:tc>
          <w:tcPr>
            <w:tcW w:w="146" w:type="pct"/>
            <w:tcBorders>
              <w:top w:val="nil"/>
              <w:left w:val="nil"/>
              <w:bottom w:val="nil"/>
              <w:right w:val="nil"/>
            </w:tcBorders>
            <w:shd w:val="clear" w:color="000000" w:fill="1B80C4"/>
            <w:noWrap/>
            <w:vAlign w:val="bottom"/>
            <w:hideMark/>
          </w:tcPr>
          <w:p w14:paraId="595E99F0"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w:t>
            </w:r>
          </w:p>
        </w:tc>
        <w:tc>
          <w:tcPr>
            <w:tcW w:w="966" w:type="pct"/>
            <w:tcBorders>
              <w:top w:val="nil"/>
              <w:left w:val="nil"/>
              <w:bottom w:val="nil"/>
              <w:right w:val="nil"/>
            </w:tcBorders>
            <w:shd w:val="clear" w:color="000000" w:fill="1B80C4"/>
            <w:noWrap/>
            <w:vAlign w:val="bottom"/>
            <w:hideMark/>
          </w:tcPr>
          <w:p w14:paraId="1D44759D"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xml:space="preserve"> Consolidado </w:t>
            </w:r>
          </w:p>
        </w:tc>
      </w:tr>
      <w:tr w:rsidR="00FE01DA" w:rsidRPr="00FE01DA" w14:paraId="30E8AEEE" w14:textId="77777777" w:rsidTr="005F44A6">
        <w:trPr>
          <w:trHeight w:val="240"/>
        </w:trPr>
        <w:tc>
          <w:tcPr>
            <w:tcW w:w="2919" w:type="pct"/>
            <w:tcBorders>
              <w:top w:val="nil"/>
              <w:left w:val="nil"/>
              <w:bottom w:val="nil"/>
              <w:right w:val="nil"/>
            </w:tcBorders>
            <w:shd w:val="clear" w:color="auto" w:fill="auto"/>
            <w:noWrap/>
            <w:vAlign w:val="bottom"/>
            <w:hideMark/>
          </w:tcPr>
          <w:p w14:paraId="2B4ADCA1"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p>
        </w:tc>
        <w:tc>
          <w:tcPr>
            <w:tcW w:w="970" w:type="pct"/>
            <w:tcBorders>
              <w:top w:val="single" w:sz="4" w:space="0" w:color="FFFFFF"/>
              <w:left w:val="nil"/>
              <w:bottom w:val="single" w:sz="4" w:space="0" w:color="FFFFFF"/>
              <w:right w:val="nil"/>
            </w:tcBorders>
            <w:shd w:val="clear" w:color="000000" w:fill="1B80C4"/>
            <w:noWrap/>
            <w:vAlign w:val="center"/>
            <w:hideMark/>
          </w:tcPr>
          <w:p w14:paraId="71FEDBE9"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31/12/2022</w:t>
            </w:r>
          </w:p>
        </w:tc>
        <w:tc>
          <w:tcPr>
            <w:tcW w:w="146" w:type="pct"/>
            <w:tcBorders>
              <w:left w:val="nil"/>
              <w:right w:val="nil"/>
            </w:tcBorders>
            <w:shd w:val="clear" w:color="000000" w:fill="1B80C4"/>
            <w:noWrap/>
            <w:vAlign w:val="center"/>
            <w:hideMark/>
          </w:tcPr>
          <w:p w14:paraId="5947682A"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 </w:t>
            </w:r>
          </w:p>
        </w:tc>
        <w:tc>
          <w:tcPr>
            <w:tcW w:w="966" w:type="pct"/>
            <w:tcBorders>
              <w:top w:val="single" w:sz="4" w:space="0" w:color="FFFFFF"/>
              <w:left w:val="nil"/>
              <w:bottom w:val="single" w:sz="4" w:space="0" w:color="FFFFFF"/>
              <w:right w:val="nil"/>
            </w:tcBorders>
            <w:shd w:val="clear" w:color="000000" w:fill="1B80C4"/>
            <w:noWrap/>
            <w:vAlign w:val="center"/>
            <w:hideMark/>
          </w:tcPr>
          <w:p w14:paraId="2373EA1A"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r w:rsidRPr="00FE01DA">
              <w:rPr>
                <w:rFonts w:ascii="Segoe UI" w:eastAsia="Times New Roman" w:hAnsi="Segoe UI" w:cs="Segoe UI"/>
                <w:b/>
                <w:bCs/>
                <w:color w:val="FFFFFF"/>
                <w:sz w:val="18"/>
                <w:szCs w:val="18"/>
                <w:lang w:eastAsia="pt-BR"/>
              </w:rPr>
              <w:t>31/12/2022</w:t>
            </w:r>
          </w:p>
        </w:tc>
      </w:tr>
      <w:tr w:rsidR="00FE01DA" w:rsidRPr="00FE01DA" w14:paraId="31887983" w14:textId="77777777" w:rsidTr="005F44A6">
        <w:trPr>
          <w:trHeight w:val="240"/>
        </w:trPr>
        <w:tc>
          <w:tcPr>
            <w:tcW w:w="2919" w:type="pct"/>
            <w:tcBorders>
              <w:top w:val="nil"/>
              <w:left w:val="nil"/>
              <w:bottom w:val="nil"/>
              <w:right w:val="nil"/>
            </w:tcBorders>
            <w:shd w:val="clear" w:color="auto" w:fill="auto"/>
            <w:noWrap/>
            <w:vAlign w:val="bottom"/>
            <w:hideMark/>
          </w:tcPr>
          <w:p w14:paraId="698B9EE0" w14:textId="77777777" w:rsidR="00FE01DA" w:rsidRPr="00FE01DA" w:rsidRDefault="00FE01DA" w:rsidP="00FE01DA">
            <w:pPr>
              <w:spacing w:after="0" w:line="240" w:lineRule="auto"/>
              <w:jc w:val="center"/>
              <w:rPr>
                <w:rFonts w:ascii="Segoe UI" w:eastAsia="Times New Roman" w:hAnsi="Segoe UI" w:cs="Segoe UI"/>
                <w:b/>
                <w:bCs/>
                <w:color w:val="FFFFFF"/>
                <w:sz w:val="18"/>
                <w:szCs w:val="18"/>
                <w:lang w:eastAsia="pt-BR"/>
              </w:rPr>
            </w:pPr>
          </w:p>
        </w:tc>
        <w:tc>
          <w:tcPr>
            <w:tcW w:w="970" w:type="pct"/>
            <w:tcBorders>
              <w:top w:val="nil"/>
              <w:left w:val="nil"/>
              <w:bottom w:val="nil"/>
              <w:right w:val="nil"/>
            </w:tcBorders>
            <w:shd w:val="clear" w:color="auto" w:fill="auto"/>
            <w:noWrap/>
            <w:vAlign w:val="bottom"/>
            <w:hideMark/>
          </w:tcPr>
          <w:p w14:paraId="2C5ADCFB" w14:textId="77777777" w:rsidR="00FE01DA" w:rsidRPr="00FE01DA" w:rsidRDefault="00FE01DA" w:rsidP="00FE01DA">
            <w:pPr>
              <w:spacing w:after="0" w:line="240" w:lineRule="auto"/>
              <w:rPr>
                <w:rFonts w:ascii="Times New Roman" w:eastAsia="Times New Roman" w:hAnsi="Times New Roman" w:cs="Times New Roman"/>
                <w:sz w:val="20"/>
                <w:szCs w:val="20"/>
                <w:lang w:eastAsia="pt-BR"/>
              </w:rPr>
            </w:pPr>
          </w:p>
        </w:tc>
        <w:tc>
          <w:tcPr>
            <w:tcW w:w="146" w:type="pct"/>
            <w:tcBorders>
              <w:left w:val="nil"/>
              <w:bottom w:val="nil"/>
              <w:right w:val="nil"/>
            </w:tcBorders>
            <w:shd w:val="clear" w:color="auto" w:fill="auto"/>
            <w:noWrap/>
            <w:vAlign w:val="bottom"/>
            <w:hideMark/>
          </w:tcPr>
          <w:p w14:paraId="34DC4859" w14:textId="77777777" w:rsidR="00FE01DA" w:rsidRPr="00FE01DA" w:rsidRDefault="00FE01DA" w:rsidP="00FE01DA">
            <w:pPr>
              <w:spacing w:after="0" w:line="240" w:lineRule="auto"/>
              <w:rPr>
                <w:rFonts w:ascii="Times New Roman" w:eastAsia="Times New Roman" w:hAnsi="Times New Roman" w:cs="Times New Roman"/>
                <w:sz w:val="20"/>
                <w:szCs w:val="20"/>
                <w:lang w:eastAsia="pt-BR"/>
              </w:rPr>
            </w:pPr>
          </w:p>
        </w:tc>
        <w:tc>
          <w:tcPr>
            <w:tcW w:w="966" w:type="pct"/>
            <w:tcBorders>
              <w:top w:val="nil"/>
              <w:left w:val="nil"/>
              <w:bottom w:val="nil"/>
              <w:right w:val="nil"/>
            </w:tcBorders>
            <w:shd w:val="clear" w:color="auto" w:fill="auto"/>
            <w:noWrap/>
            <w:vAlign w:val="bottom"/>
            <w:hideMark/>
          </w:tcPr>
          <w:p w14:paraId="01D05CE5" w14:textId="77777777" w:rsidR="00FE01DA" w:rsidRPr="00FE01DA" w:rsidRDefault="00FE01DA" w:rsidP="00FE01DA">
            <w:pPr>
              <w:spacing w:after="0" w:line="240" w:lineRule="auto"/>
              <w:rPr>
                <w:rFonts w:ascii="Times New Roman" w:eastAsia="Times New Roman" w:hAnsi="Times New Roman" w:cs="Times New Roman"/>
                <w:sz w:val="20"/>
                <w:szCs w:val="20"/>
                <w:lang w:eastAsia="pt-BR"/>
              </w:rPr>
            </w:pPr>
          </w:p>
        </w:tc>
      </w:tr>
      <w:tr w:rsidR="00FE01DA" w:rsidRPr="00FE01DA" w14:paraId="3E4ADC86" w14:textId="77777777" w:rsidTr="00FE01DA">
        <w:trPr>
          <w:trHeight w:val="240"/>
        </w:trPr>
        <w:tc>
          <w:tcPr>
            <w:tcW w:w="2919" w:type="pct"/>
            <w:tcBorders>
              <w:top w:val="nil"/>
              <w:left w:val="nil"/>
              <w:bottom w:val="nil"/>
              <w:right w:val="nil"/>
            </w:tcBorders>
            <w:shd w:val="clear" w:color="auto" w:fill="auto"/>
            <w:noWrap/>
            <w:vAlign w:val="center"/>
            <w:hideMark/>
          </w:tcPr>
          <w:p w14:paraId="5BAA5289" w14:textId="77777777" w:rsidR="00FE01DA" w:rsidRPr="00FE01DA" w:rsidRDefault="00FE01DA" w:rsidP="00FE01DA">
            <w:pPr>
              <w:spacing w:after="0" w:line="240" w:lineRule="auto"/>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Impostos a compensar  </w:t>
            </w:r>
          </w:p>
        </w:tc>
        <w:tc>
          <w:tcPr>
            <w:tcW w:w="970" w:type="pct"/>
            <w:tcBorders>
              <w:top w:val="nil"/>
              <w:left w:val="nil"/>
              <w:bottom w:val="nil"/>
              <w:right w:val="nil"/>
            </w:tcBorders>
            <w:shd w:val="clear" w:color="auto" w:fill="auto"/>
            <w:noWrap/>
            <w:vAlign w:val="center"/>
            <w:hideMark/>
          </w:tcPr>
          <w:p w14:paraId="302D283D"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13.530 </w:t>
            </w:r>
          </w:p>
        </w:tc>
        <w:tc>
          <w:tcPr>
            <w:tcW w:w="146" w:type="pct"/>
            <w:tcBorders>
              <w:top w:val="nil"/>
              <w:left w:val="nil"/>
              <w:bottom w:val="nil"/>
              <w:right w:val="nil"/>
            </w:tcBorders>
            <w:shd w:val="clear" w:color="auto" w:fill="auto"/>
            <w:noWrap/>
            <w:vAlign w:val="center"/>
            <w:hideMark/>
          </w:tcPr>
          <w:p w14:paraId="4F6D772A"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p>
        </w:tc>
        <w:tc>
          <w:tcPr>
            <w:tcW w:w="966" w:type="pct"/>
            <w:tcBorders>
              <w:top w:val="nil"/>
              <w:left w:val="nil"/>
              <w:bottom w:val="nil"/>
              <w:right w:val="nil"/>
            </w:tcBorders>
            <w:shd w:val="clear" w:color="auto" w:fill="auto"/>
            <w:noWrap/>
            <w:vAlign w:val="center"/>
            <w:hideMark/>
          </w:tcPr>
          <w:p w14:paraId="35815948"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43.736 </w:t>
            </w:r>
          </w:p>
        </w:tc>
      </w:tr>
      <w:tr w:rsidR="00FE01DA" w:rsidRPr="00FE01DA" w14:paraId="1C266CA2" w14:textId="77777777" w:rsidTr="00FE01DA">
        <w:trPr>
          <w:trHeight w:val="240"/>
        </w:trPr>
        <w:tc>
          <w:tcPr>
            <w:tcW w:w="2919" w:type="pct"/>
            <w:tcBorders>
              <w:top w:val="nil"/>
              <w:left w:val="nil"/>
              <w:bottom w:val="nil"/>
              <w:right w:val="nil"/>
            </w:tcBorders>
            <w:shd w:val="clear" w:color="auto" w:fill="auto"/>
            <w:noWrap/>
            <w:vAlign w:val="bottom"/>
            <w:hideMark/>
          </w:tcPr>
          <w:p w14:paraId="58FAD174" w14:textId="3FBF76F3" w:rsidR="00FE01DA" w:rsidRPr="00FE01DA" w:rsidRDefault="00FE01DA" w:rsidP="00FE01DA">
            <w:pPr>
              <w:spacing w:after="0" w:line="240" w:lineRule="auto"/>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w:t>
            </w:r>
            <w:r w:rsidR="003C2EA8" w:rsidRPr="00FE01DA">
              <w:rPr>
                <w:rFonts w:ascii="Segoe UI" w:eastAsia="Times New Roman" w:hAnsi="Segoe UI" w:cs="Segoe UI"/>
                <w:color w:val="000000"/>
                <w:sz w:val="18"/>
                <w:szCs w:val="18"/>
                <w:lang w:eastAsia="pt-BR"/>
              </w:rPr>
              <w:t xml:space="preserve">IRPJ e CSLL </w:t>
            </w:r>
            <w:r w:rsidR="003C2EA8">
              <w:rPr>
                <w:rFonts w:ascii="Segoe UI" w:eastAsia="Times New Roman" w:hAnsi="Segoe UI" w:cs="Segoe UI"/>
                <w:color w:val="000000"/>
                <w:sz w:val="18"/>
                <w:szCs w:val="18"/>
                <w:lang w:eastAsia="pt-BR"/>
              </w:rPr>
              <w:t>-</w:t>
            </w:r>
            <w:r w:rsidRPr="00FE01DA">
              <w:rPr>
                <w:rFonts w:ascii="Segoe UI" w:eastAsia="Times New Roman" w:hAnsi="Segoe UI" w:cs="Segoe UI"/>
                <w:color w:val="000000"/>
                <w:sz w:val="18"/>
                <w:szCs w:val="18"/>
                <w:lang w:eastAsia="pt-BR"/>
              </w:rPr>
              <w:t xml:space="preserve"> Exercícios anteriores (a) </w:t>
            </w:r>
          </w:p>
        </w:tc>
        <w:tc>
          <w:tcPr>
            <w:tcW w:w="970" w:type="pct"/>
            <w:tcBorders>
              <w:top w:val="nil"/>
              <w:left w:val="nil"/>
              <w:bottom w:val="nil"/>
              <w:right w:val="nil"/>
            </w:tcBorders>
            <w:shd w:val="clear" w:color="auto" w:fill="auto"/>
            <w:noWrap/>
            <w:vAlign w:val="center"/>
            <w:hideMark/>
          </w:tcPr>
          <w:p w14:paraId="294221A3"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   </w:t>
            </w:r>
          </w:p>
        </w:tc>
        <w:tc>
          <w:tcPr>
            <w:tcW w:w="146" w:type="pct"/>
            <w:tcBorders>
              <w:top w:val="nil"/>
              <w:left w:val="nil"/>
              <w:bottom w:val="nil"/>
              <w:right w:val="nil"/>
            </w:tcBorders>
            <w:shd w:val="clear" w:color="auto" w:fill="auto"/>
            <w:noWrap/>
            <w:vAlign w:val="center"/>
            <w:hideMark/>
          </w:tcPr>
          <w:p w14:paraId="69114387"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p>
        </w:tc>
        <w:tc>
          <w:tcPr>
            <w:tcW w:w="966" w:type="pct"/>
            <w:tcBorders>
              <w:top w:val="nil"/>
              <w:left w:val="nil"/>
              <w:bottom w:val="nil"/>
              <w:right w:val="nil"/>
            </w:tcBorders>
            <w:shd w:val="clear" w:color="auto" w:fill="auto"/>
            <w:noWrap/>
            <w:vAlign w:val="center"/>
            <w:hideMark/>
          </w:tcPr>
          <w:p w14:paraId="56587FA9"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r w:rsidRPr="00FE01DA">
              <w:rPr>
                <w:rFonts w:ascii="Segoe UI" w:eastAsia="Times New Roman" w:hAnsi="Segoe UI" w:cs="Segoe UI"/>
                <w:color w:val="000000"/>
                <w:sz w:val="18"/>
                <w:szCs w:val="18"/>
                <w:lang w:eastAsia="pt-BR"/>
              </w:rPr>
              <w:t xml:space="preserve">             57.742 </w:t>
            </w:r>
          </w:p>
        </w:tc>
      </w:tr>
      <w:tr w:rsidR="00FE01DA" w:rsidRPr="00FE01DA" w14:paraId="03ED5A19" w14:textId="77777777" w:rsidTr="00FE01DA">
        <w:trPr>
          <w:trHeight w:val="255"/>
        </w:trPr>
        <w:tc>
          <w:tcPr>
            <w:tcW w:w="2919" w:type="pct"/>
            <w:tcBorders>
              <w:top w:val="nil"/>
              <w:left w:val="nil"/>
              <w:bottom w:val="nil"/>
              <w:right w:val="nil"/>
            </w:tcBorders>
            <w:shd w:val="clear" w:color="auto" w:fill="auto"/>
            <w:noWrap/>
            <w:vAlign w:val="center"/>
            <w:hideMark/>
          </w:tcPr>
          <w:p w14:paraId="09224E75" w14:textId="77777777" w:rsidR="00FE01DA" w:rsidRPr="00FE01DA" w:rsidRDefault="00FE01DA" w:rsidP="00FE01DA">
            <w:pPr>
              <w:spacing w:after="0" w:line="240" w:lineRule="auto"/>
              <w:jc w:val="right"/>
              <w:rPr>
                <w:rFonts w:ascii="Segoe UI" w:eastAsia="Times New Roman" w:hAnsi="Segoe UI" w:cs="Segoe UI"/>
                <w:color w:val="000000"/>
                <w:sz w:val="18"/>
                <w:szCs w:val="18"/>
                <w:lang w:eastAsia="pt-BR"/>
              </w:rPr>
            </w:pPr>
          </w:p>
        </w:tc>
        <w:tc>
          <w:tcPr>
            <w:tcW w:w="970" w:type="pct"/>
            <w:tcBorders>
              <w:top w:val="single" w:sz="4" w:space="0" w:color="1B80C4"/>
              <w:left w:val="nil"/>
              <w:bottom w:val="double" w:sz="6" w:space="0" w:color="1B80C4"/>
              <w:right w:val="nil"/>
            </w:tcBorders>
            <w:shd w:val="clear" w:color="auto" w:fill="auto"/>
            <w:noWrap/>
            <w:vAlign w:val="center"/>
            <w:hideMark/>
          </w:tcPr>
          <w:p w14:paraId="04289C8C" w14:textId="77777777" w:rsidR="00FE01DA" w:rsidRPr="00FE01DA" w:rsidRDefault="00FE01DA" w:rsidP="00FE01DA">
            <w:pPr>
              <w:spacing w:after="0" w:line="240" w:lineRule="auto"/>
              <w:jc w:val="right"/>
              <w:rPr>
                <w:rFonts w:ascii="Segoe UI" w:eastAsia="Times New Roman" w:hAnsi="Segoe UI" w:cs="Segoe UI"/>
                <w:b/>
                <w:bCs/>
                <w:color w:val="000000"/>
                <w:sz w:val="18"/>
                <w:szCs w:val="18"/>
                <w:lang w:eastAsia="pt-BR"/>
              </w:rPr>
            </w:pPr>
            <w:r w:rsidRPr="00FE01DA">
              <w:rPr>
                <w:rFonts w:ascii="Segoe UI" w:eastAsia="Times New Roman" w:hAnsi="Segoe UI" w:cs="Segoe UI"/>
                <w:b/>
                <w:bCs/>
                <w:color w:val="000000"/>
                <w:sz w:val="18"/>
                <w:szCs w:val="18"/>
                <w:lang w:eastAsia="pt-BR"/>
              </w:rPr>
              <w:t xml:space="preserve">            13.530 </w:t>
            </w:r>
          </w:p>
        </w:tc>
        <w:tc>
          <w:tcPr>
            <w:tcW w:w="146" w:type="pct"/>
            <w:tcBorders>
              <w:top w:val="nil"/>
              <w:left w:val="nil"/>
              <w:bottom w:val="nil"/>
              <w:right w:val="nil"/>
            </w:tcBorders>
            <w:shd w:val="clear" w:color="auto" w:fill="auto"/>
            <w:noWrap/>
            <w:vAlign w:val="center"/>
            <w:hideMark/>
          </w:tcPr>
          <w:p w14:paraId="250A699F" w14:textId="77777777" w:rsidR="00FE01DA" w:rsidRPr="00FE01DA" w:rsidRDefault="00FE01DA" w:rsidP="00FE01DA">
            <w:pPr>
              <w:spacing w:after="0" w:line="240" w:lineRule="auto"/>
              <w:jc w:val="right"/>
              <w:rPr>
                <w:rFonts w:ascii="Segoe UI" w:eastAsia="Times New Roman" w:hAnsi="Segoe UI" w:cs="Segoe UI"/>
                <w:b/>
                <w:bCs/>
                <w:color w:val="000000"/>
                <w:sz w:val="18"/>
                <w:szCs w:val="18"/>
                <w:lang w:eastAsia="pt-BR"/>
              </w:rPr>
            </w:pPr>
          </w:p>
        </w:tc>
        <w:tc>
          <w:tcPr>
            <w:tcW w:w="966" w:type="pct"/>
            <w:tcBorders>
              <w:top w:val="single" w:sz="4" w:space="0" w:color="1B80C4"/>
              <w:left w:val="nil"/>
              <w:bottom w:val="double" w:sz="6" w:space="0" w:color="1B80C4"/>
              <w:right w:val="nil"/>
            </w:tcBorders>
            <w:shd w:val="clear" w:color="auto" w:fill="auto"/>
            <w:noWrap/>
            <w:vAlign w:val="center"/>
            <w:hideMark/>
          </w:tcPr>
          <w:p w14:paraId="1B82CC89" w14:textId="77777777" w:rsidR="00FE01DA" w:rsidRPr="00FE01DA" w:rsidRDefault="00FE01DA" w:rsidP="00FE01DA">
            <w:pPr>
              <w:spacing w:after="0" w:line="240" w:lineRule="auto"/>
              <w:jc w:val="right"/>
              <w:rPr>
                <w:rFonts w:ascii="Segoe UI" w:eastAsia="Times New Roman" w:hAnsi="Segoe UI" w:cs="Segoe UI"/>
                <w:b/>
                <w:bCs/>
                <w:color w:val="000000"/>
                <w:sz w:val="18"/>
                <w:szCs w:val="18"/>
                <w:lang w:eastAsia="pt-BR"/>
              </w:rPr>
            </w:pPr>
            <w:r w:rsidRPr="00FE01DA">
              <w:rPr>
                <w:rFonts w:ascii="Segoe UI" w:eastAsia="Times New Roman" w:hAnsi="Segoe UI" w:cs="Segoe UI"/>
                <w:b/>
                <w:bCs/>
                <w:color w:val="000000"/>
                <w:sz w:val="18"/>
                <w:szCs w:val="18"/>
                <w:lang w:eastAsia="pt-BR"/>
              </w:rPr>
              <w:t xml:space="preserve">         101.478 </w:t>
            </w:r>
          </w:p>
        </w:tc>
      </w:tr>
    </w:tbl>
    <w:p w14:paraId="06DD77CC" w14:textId="77777777" w:rsidR="00584991" w:rsidRDefault="00584991" w:rsidP="00365412">
      <w:pPr>
        <w:pStyle w:val="PargrafodaLista"/>
        <w:widowControl w:val="0"/>
        <w:pBdr>
          <w:top w:val="nil"/>
          <w:left w:val="nil"/>
          <w:bottom w:val="nil"/>
          <w:right w:val="nil"/>
          <w:between w:val="nil"/>
          <w:bar w:val="nil"/>
        </w:pBdr>
        <w:ind w:left="357"/>
        <w:rPr>
          <w:rFonts w:ascii="Segoe UI" w:eastAsia="Segoe UI" w:hAnsi="Segoe UI" w:cs="Segoe UI"/>
          <w:sz w:val="20"/>
          <w:szCs w:val="20"/>
        </w:rPr>
      </w:pPr>
    </w:p>
    <w:p w14:paraId="51210EB2" w14:textId="23BC2313" w:rsidR="004C0B74" w:rsidRDefault="00365412" w:rsidP="00E03252">
      <w:pPr>
        <w:pStyle w:val="PargrafodaLista"/>
        <w:widowControl w:val="0"/>
        <w:numPr>
          <w:ilvl w:val="0"/>
          <w:numId w:val="13"/>
        </w:numPr>
        <w:pBdr>
          <w:top w:val="nil"/>
          <w:left w:val="nil"/>
          <w:bottom w:val="nil"/>
          <w:right w:val="nil"/>
          <w:between w:val="nil"/>
          <w:bar w:val="nil"/>
        </w:pBdr>
        <w:ind w:left="357"/>
        <w:rPr>
          <w:rFonts w:ascii="Segoe UI" w:eastAsia="Segoe UI" w:hAnsi="Segoe UI" w:cs="Segoe UI"/>
          <w:sz w:val="20"/>
          <w:szCs w:val="20"/>
        </w:rPr>
      </w:pPr>
      <w:r w:rsidRPr="002758DC">
        <w:rPr>
          <w:rFonts w:ascii="Segoe UI" w:eastAsia="Segoe UI" w:hAnsi="Segoe UI" w:cs="Segoe UI"/>
          <w:sz w:val="20"/>
          <w:szCs w:val="20"/>
        </w:rPr>
        <w:t>Antecipações de IRPJ/CSLL de exercícios anteriores que</w:t>
      </w:r>
      <w:r>
        <w:rPr>
          <w:rFonts w:ascii="Segoe UI" w:eastAsia="Segoe UI" w:hAnsi="Segoe UI" w:cs="Segoe UI"/>
          <w:sz w:val="20"/>
          <w:szCs w:val="20"/>
        </w:rPr>
        <w:t xml:space="preserve"> serão compensadas após a transmissão da Escrituração Contábil Fiscal – ECF no terceiro trimestre de 2023. </w:t>
      </w:r>
    </w:p>
    <w:p w14:paraId="039A4687" w14:textId="77777777" w:rsidR="004C0B74" w:rsidRDefault="004C0B74">
      <w:pPr>
        <w:rPr>
          <w:rFonts w:ascii="Segoe UI" w:eastAsia="Segoe UI" w:hAnsi="Segoe UI" w:cs="Segoe UI"/>
          <w:sz w:val="20"/>
          <w:szCs w:val="20"/>
          <w:lang w:eastAsia="pt-BR"/>
        </w:rPr>
      </w:pPr>
      <w:r>
        <w:rPr>
          <w:rFonts w:ascii="Segoe UI" w:eastAsia="Segoe UI" w:hAnsi="Segoe UI" w:cs="Segoe UI"/>
          <w:sz w:val="20"/>
          <w:szCs w:val="20"/>
        </w:rPr>
        <w:br w:type="page"/>
      </w:r>
    </w:p>
    <w:p w14:paraId="3E8F46EE" w14:textId="48870823" w:rsidR="004C0B74" w:rsidRPr="000757BC" w:rsidRDefault="004C0B74" w:rsidP="004C0B74">
      <w:pPr>
        <w:spacing w:after="0"/>
        <w:jc w:val="both"/>
        <w:rPr>
          <w:rFonts w:ascii="Segoe UI" w:hAnsi="Segoe UI" w:cs="Segoe UI"/>
          <w:b/>
          <w:snapToGrid w:val="0"/>
          <w:color w:val="0070C0"/>
        </w:rPr>
      </w:pPr>
      <w:r w:rsidRPr="000757BC">
        <w:rPr>
          <w:rFonts w:ascii="Segoe UI" w:hAnsi="Segoe UI" w:cs="Segoe UI"/>
          <w:b/>
          <w:snapToGrid w:val="0"/>
          <w:color w:val="0070C0"/>
        </w:rPr>
        <w:lastRenderedPageBreak/>
        <w:t>8.</w:t>
      </w:r>
      <w:r w:rsidR="002F2951">
        <w:rPr>
          <w:rFonts w:ascii="Segoe UI" w:hAnsi="Segoe UI" w:cs="Segoe UI"/>
          <w:b/>
          <w:snapToGrid w:val="0"/>
          <w:color w:val="0070C0"/>
        </w:rPr>
        <w:t>2</w:t>
      </w:r>
      <w:r w:rsidRPr="000757BC">
        <w:rPr>
          <w:rFonts w:ascii="Segoe UI" w:hAnsi="Segoe UI" w:cs="Segoe UI"/>
          <w:b/>
          <w:snapToGrid w:val="0"/>
          <w:color w:val="0070C0"/>
        </w:rPr>
        <w:t xml:space="preserve"> – Imposto de renda e contribuição social diferidos</w:t>
      </w:r>
      <w:r>
        <w:rPr>
          <w:rFonts w:ascii="Segoe UI" w:hAnsi="Segoe UI" w:cs="Segoe UI"/>
          <w:b/>
          <w:snapToGrid w:val="0"/>
          <w:color w:val="0070C0"/>
        </w:rPr>
        <w:t xml:space="preserve"> (Passivo)</w:t>
      </w:r>
    </w:p>
    <w:p w14:paraId="19A0EBDC" w14:textId="77777777" w:rsidR="004C0B74" w:rsidRPr="000757BC" w:rsidRDefault="004C0B74" w:rsidP="004C0B74">
      <w:pPr>
        <w:spacing w:after="0"/>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6465"/>
        <w:gridCol w:w="1477"/>
        <w:gridCol w:w="190"/>
        <w:gridCol w:w="1365"/>
      </w:tblGrid>
      <w:tr w:rsidR="004C0B74" w:rsidRPr="00AB1B53" w14:paraId="34485856" w14:textId="77777777">
        <w:trPr>
          <w:trHeight w:val="240"/>
        </w:trPr>
        <w:tc>
          <w:tcPr>
            <w:tcW w:w="3417" w:type="pct"/>
            <w:tcBorders>
              <w:top w:val="nil"/>
              <w:left w:val="nil"/>
              <w:bottom w:val="nil"/>
              <w:right w:val="nil"/>
            </w:tcBorders>
            <w:shd w:val="clear" w:color="auto" w:fill="auto"/>
            <w:noWrap/>
            <w:vAlign w:val="bottom"/>
            <w:hideMark/>
          </w:tcPr>
          <w:p w14:paraId="4D8510C4" w14:textId="77777777" w:rsidR="004C0B74" w:rsidRPr="00AB1B53" w:rsidRDefault="004C0B74">
            <w:pPr>
              <w:spacing w:after="0" w:line="240" w:lineRule="auto"/>
              <w:rPr>
                <w:rFonts w:ascii="Times New Roman" w:eastAsia="Times New Roman" w:hAnsi="Times New Roman" w:cs="Times New Roman"/>
                <w:sz w:val="24"/>
                <w:szCs w:val="24"/>
                <w:lang w:eastAsia="pt-BR"/>
              </w:rPr>
            </w:pPr>
          </w:p>
        </w:tc>
        <w:tc>
          <w:tcPr>
            <w:tcW w:w="766" w:type="pct"/>
            <w:tcBorders>
              <w:top w:val="nil"/>
              <w:left w:val="nil"/>
              <w:bottom w:val="single" w:sz="4" w:space="0" w:color="F2F2F2"/>
              <w:right w:val="nil"/>
            </w:tcBorders>
            <w:shd w:val="clear" w:color="000000" w:fill="1B80C4"/>
            <w:noWrap/>
            <w:vAlign w:val="bottom"/>
            <w:hideMark/>
          </w:tcPr>
          <w:p w14:paraId="04E111BD" w14:textId="77777777" w:rsidR="004C0B74" w:rsidRPr="00AB1B53" w:rsidRDefault="004C0B74">
            <w:pPr>
              <w:spacing w:after="0" w:line="240" w:lineRule="auto"/>
              <w:jc w:val="center"/>
              <w:rPr>
                <w:rFonts w:ascii="Segoe UI" w:eastAsia="Times New Roman" w:hAnsi="Segoe UI" w:cs="Segoe UI"/>
                <w:b/>
                <w:bCs/>
                <w:color w:val="FFFFFF"/>
                <w:sz w:val="18"/>
                <w:szCs w:val="18"/>
                <w:lang w:eastAsia="pt-BR"/>
              </w:rPr>
            </w:pPr>
            <w:r w:rsidRPr="00AB1B53">
              <w:rPr>
                <w:rFonts w:ascii="Segoe UI" w:eastAsia="Times New Roman" w:hAnsi="Segoe UI" w:cs="Segoe UI"/>
                <w:b/>
                <w:bCs/>
                <w:color w:val="FFFFFF"/>
                <w:sz w:val="18"/>
                <w:szCs w:val="18"/>
                <w:lang w:eastAsia="pt-BR"/>
              </w:rPr>
              <w:t xml:space="preserve"> Controladora </w:t>
            </w:r>
          </w:p>
        </w:tc>
        <w:tc>
          <w:tcPr>
            <w:tcW w:w="107" w:type="pct"/>
            <w:tcBorders>
              <w:top w:val="nil"/>
              <w:left w:val="nil"/>
              <w:bottom w:val="nil"/>
              <w:right w:val="nil"/>
            </w:tcBorders>
            <w:shd w:val="clear" w:color="000000" w:fill="1B80C4"/>
            <w:noWrap/>
            <w:vAlign w:val="center"/>
            <w:hideMark/>
          </w:tcPr>
          <w:p w14:paraId="49722DAA" w14:textId="77777777" w:rsidR="004C0B74" w:rsidRPr="00AB1B53" w:rsidRDefault="004C0B74">
            <w:pPr>
              <w:spacing w:after="0" w:line="240" w:lineRule="auto"/>
              <w:jc w:val="center"/>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w:t>
            </w:r>
          </w:p>
        </w:tc>
        <w:tc>
          <w:tcPr>
            <w:tcW w:w="710" w:type="pct"/>
            <w:tcBorders>
              <w:top w:val="nil"/>
              <w:left w:val="nil"/>
              <w:bottom w:val="single" w:sz="4" w:space="0" w:color="F2F2F2"/>
              <w:right w:val="nil"/>
            </w:tcBorders>
            <w:shd w:val="clear" w:color="000000" w:fill="1B80C4"/>
            <w:noWrap/>
            <w:vAlign w:val="bottom"/>
            <w:hideMark/>
          </w:tcPr>
          <w:p w14:paraId="3C4EC0D4" w14:textId="77777777" w:rsidR="004C0B74" w:rsidRPr="00AB1B53" w:rsidRDefault="004C0B74">
            <w:pPr>
              <w:spacing w:after="0" w:line="240" w:lineRule="auto"/>
              <w:jc w:val="center"/>
              <w:rPr>
                <w:rFonts w:ascii="Segoe UI" w:eastAsia="Times New Roman" w:hAnsi="Segoe UI" w:cs="Segoe UI"/>
                <w:b/>
                <w:bCs/>
                <w:color w:val="FFFFFF"/>
                <w:sz w:val="18"/>
                <w:szCs w:val="18"/>
                <w:lang w:eastAsia="pt-BR"/>
              </w:rPr>
            </w:pPr>
            <w:r w:rsidRPr="00AB1B53">
              <w:rPr>
                <w:rFonts w:ascii="Segoe UI" w:eastAsia="Times New Roman" w:hAnsi="Segoe UI" w:cs="Segoe UI"/>
                <w:b/>
                <w:bCs/>
                <w:color w:val="FFFFFF"/>
                <w:sz w:val="18"/>
                <w:szCs w:val="18"/>
                <w:lang w:eastAsia="pt-BR"/>
              </w:rPr>
              <w:t xml:space="preserve"> Consolidado </w:t>
            </w:r>
          </w:p>
        </w:tc>
      </w:tr>
      <w:tr w:rsidR="004C0B74" w:rsidRPr="00AB1B53" w14:paraId="631DDCE3" w14:textId="77777777">
        <w:trPr>
          <w:trHeight w:val="240"/>
        </w:trPr>
        <w:tc>
          <w:tcPr>
            <w:tcW w:w="3417" w:type="pct"/>
            <w:tcBorders>
              <w:top w:val="nil"/>
              <w:left w:val="nil"/>
              <w:bottom w:val="nil"/>
              <w:right w:val="nil"/>
            </w:tcBorders>
            <w:shd w:val="clear" w:color="auto" w:fill="auto"/>
            <w:noWrap/>
            <w:vAlign w:val="bottom"/>
            <w:hideMark/>
          </w:tcPr>
          <w:p w14:paraId="5671B47B" w14:textId="77777777" w:rsidR="004C0B74" w:rsidRPr="00AB1B53" w:rsidRDefault="004C0B74">
            <w:pPr>
              <w:spacing w:after="0" w:line="240" w:lineRule="auto"/>
              <w:jc w:val="center"/>
              <w:rPr>
                <w:rFonts w:ascii="Segoe UI" w:eastAsia="Times New Roman" w:hAnsi="Segoe UI" w:cs="Segoe UI"/>
                <w:b/>
                <w:bCs/>
                <w:color w:val="FFFFFF"/>
                <w:sz w:val="18"/>
                <w:szCs w:val="18"/>
                <w:lang w:eastAsia="pt-BR"/>
              </w:rPr>
            </w:pPr>
          </w:p>
        </w:tc>
        <w:tc>
          <w:tcPr>
            <w:tcW w:w="766" w:type="pct"/>
            <w:tcBorders>
              <w:top w:val="nil"/>
              <w:left w:val="nil"/>
              <w:bottom w:val="nil"/>
              <w:right w:val="nil"/>
            </w:tcBorders>
            <w:shd w:val="clear" w:color="000000" w:fill="1B80C4"/>
            <w:noWrap/>
            <w:vAlign w:val="bottom"/>
            <w:hideMark/>
          </w:tcPr>
          <w:p w14:paraId="6325B955" w14:textId="77777777" w:rsidR="004C0B74" w:rsidRPr="00AB1B53" w:rsidRDefault="004C0B74">
            <w:pPr>
              <w:spacing w:after="0" w:line="240" w:lineRule="auto"/>
              <w:jc w:val="center"/>
              <w:rPr>
                <w:rFonts w:ascii="Segoe UI" w:eastAsia="Times New Roman" w:hAnsi="Segoe UI" w:cs="Segoe UI"/>
                <w:b/>
                <w:bCs/>
                <w:color w:val="FFFFFF"/>
                <w:sz w:val="18"/>
                <w:szCs w:val="18"/>
                <w:lang w:eastAsia="pt-BR"/>
              </w:rPr>
            </w:pPr>
            <w:r w:rsidRPr="00AB1B53">
              <w:rPr>
                <w:rFonts w:ascii="Segoe UI" w:eastAsia="Times New Roman" w:hAnsi="Segoe UI" w:cs="Segoe UI"/>
                <w:b/>
                <w:bCs/>
                <w:color w:val="FFFFFF"/>
                <w:sz w:val="18"/>
                <w:szCs w:val="18"/>
                <w:lang w:eastAsia="pt-BR"/>
              </w:rPr>
              <w:t>31/12/2022</w:t>
            </w:r>
          </w:p>
        </w:tc>
        <w:tc>
          <w:tcPr>
            <w:tcW w:w="107" w:type="pct"/>
            <w:tcBorders>
              <w:top w:val="nil"/>
              <w:left w:val="nil"/>
              <w:bottom w:val="nil"/>
              <w:right w:val="nil"/>
            </w:tcBorders>
            <w:shd w:val="clear" w:color="000000" w:fill="1B80C4"/>
            <w:noWrap/>
            <w:vAlign w:val="center"/>
            <w:hideMark/>
          </w:tcPr>
          <w:p w14:paraId="3943EC3D" w14:textId="77777777" w:rsidR="004C0B74" w:rsidRPr="00AB1B53" w:rsidRDefault="004C0B74">
            <w:pPr>
              <w:spacing w:after="0" w:line="240" w:lineRule="auto"/>
              <w:jc w:val="center"/>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w:t>
            </w:r>
          </w:p>
        </w:tc>
        <w:tc>
          <w:tcPr>
            <w:tcW w:w="710" w:type="pct"/>
            <w:tcBorders>
              <w:top w:val="nil"/>
              <w:left w:val="nil"/>
              <w:bottom w:val="nil"/>
              <w:right w:val="nil"/>
            </w:tcBorders>
            <w:shd w:val="clear" w:color="000000" w:fill="1B80C4"/>
            <w:noWrap/>
            <w:vAlign w:val="bottom"/>
            <w:hideMark/>
          </w:tcPr>
          <w:p w14:paraId="7DCAAB62" w14:textId="77777777" w:rsidR="004C0B74" w:rsidRPr="00AB1B53" w:rsidRDefault="004C0B74">
            <w:pPr>
              <w:spacing w:after="0" w:line="240" w:lineRule="auto"/>
              <w:jc w:val="center"/>
              <w:rPr>
                <w:rFonts w:ascii="Segoe UI" w:eastAsia="Times New Roman" w:hAnsi="Segoe UI" w:cs="Segoe UI"/>
                <w:b/>
                <w:bCs/>
                <w:color w:val="FFFFFF"/>
                <w:sz w:val="18"/>
                <w:szCs w:val="18"/>
                <w:lang w:eastAsia="pt-BR"/>
              </w:rPr>
            </w:pPr>
            <w:r w:rsidRPr="00AB1B53">
              <w:rPr>
                <w:rFonts w:ascii="Segoe UI" w:eastAsia="Times New Roman" w:hAnsi="Segoe UI" w:cs="Segoe UI"/>
                <w:b/>
                <w:bCs/>
                <w:color w:val="FFFFFF"/>
                <w:sz w:val="18"/>
                <w:szCs w:val="18"/>
                <w:lang w:eastAsia="pt-BR"/>
              </w:rPr>
              <w:t>31/12/2022</w:t>
            </w:r>
          </w:p>
        </w:tc>
      </w:tr>
      <w:tr w:rsidR="004C0B74" w:rsidRPr="00AB1B53" w14:paraId="13948B5E" w14:textId="77777777">
        <w:trPr>
          <w:trHeight w:val="240"/>
        </w:trPr>
        <w:tc>
          <w:tcPr>
            <w:tcW w:w="3417" w:type="pct"/>
            <w:tcBorders>
              <w:top w:val="nil"/>
              <w:left w:val="nil"/>
              <w:bottom w:val="nil"/>
              <w:right w:val="nil"/>
            </w:tcBorders>
            <w:shd w:val="clear" w:color="auto" w:fill="auto"/>
            <w:noWrap/>
            <w:vAlign w:val="bottom"/>
            <w:hideMark/>
          </w:tcPr>
          <w:p w14:paraId="0BAFEE46" w14:textId="77777777" w:rsidR="004C0B74" w:rsidRPr="00AB1B53" w:rsidRDefault="004C0B74">
            <w:pPr>
              <w:spacing w:after="0" w:line="240" w:lineRule="auto"/>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xml:space="preserve"> Base diferido </w:t>
            </w:r>
          </w:p>
        </w:tc>
        <w:tc>
          <w:tcPr>
            <w:tcW w:w="766" w:type="pct"/>
            <w:tcBorders>
              <w:top w:val="nil"/>
              <w:left w:val="nil"/>
              <w:bottom w:val="nil"/>
              <w:right w:val="nil"/>
            </w:tcBorders>
            <w:shd w:val="clear" w:color="auto" w:fill="auto"/>
            <w:noWrap/>
            <w:vAlign w:val="bottom"/>
            <w:hideMark/>
          </w:tcPr>
          <w:p w14:paraId="7754A5EE" w14:textId="77777777" w:rsidR="004C0B74" w:rsidRPr="00AB1B53" w:rsidRDefault="004C0B74">
            <w:pPr>
              <w:spacing w:after="0" w:line="240" w:lineRule="auto"/>
              <w:rPr>
                <w:rFonts w:ascii="Segoe UI" w:eastAsia="Times New Roman" w:hAnsi="Segoe UI" w:cs="Segoe UI"/>
                <w:b/>
                <w:bCs/>
                <w:color w:val="000000"/>
                <w:sz w:val="18"/>
                <w:szCs w:val="18"/>
                <w:lang w:eastAsia="pt-BR"/>
              </w:rPr>
            </w:pPr>
          </w:p>
        </w:tc>
        <w:tc>
          <w:tcPr>
            <w:tcW w:w="107" w:type="pct"/>
            <w:tcBorders>
              <w:top w:val="nil"/>
              <w:left w:val="nil"/>
              <w:bottom w:val="nil"/>
              <w:right w:val="nil"/>
            </w:tcBorders>
            <w:shd w:val="clear" w:color="auto" w:fill="auto"/>
            <w:noWrap/>
            <w:vAlign w:val="bottom"/>
            <w:hideMark/>
          </w:tcPr>
          <w:p w14:paraId="056E85A3" w14:textId="77777777" w:rsidR="004C0B74" w:rsidRPr="00AB1B53" w:rsidRDefault="004C0B74">
            <w:pPr>
              <w:spacing w:after="0" w:line="240" w:lineRule="auto"/>
              <w:rPr>
                <w:rFonts w:ascii="Times New Roman" w:eastAsia="Times New Roman" w:hAnsi="Times New Roman" w:cs="Times New Roman"/>
                <w:sz w:val="20"/>
                <w:szCs w:val="20"/>
                <w:lang w:eastAsia="pt-BR"/>
              </w:rPr>
            </w:pPr>
          </w:p>
        </w:tc>
        <w:tc>
          <w:tcPr>
            <w:tcW w:w="710" w:type="pct"/>
            <w:tcBorders>
              <w:top w:val="nil"/>
              <w:left w:val="nil"/>
              <w:bottom w:val="nil"/>
              <w:right w:val="nil"/>
            </w:tcBorders>
            <w:shd w:val="clear" w:color="auto" w:fill="auto"/>
            <w:noWrap/>
            <w:vAlign w:val="bottom"/>
            <w:hideMark/>
          </w:tcPr>
          <w:p w14:paraId="7C098086" w14:textId="77777777" w:rsidR="004C0B74" w:rsidRPr="00AB1B53" w:rsidRDefault="004C0B74">
            <w:pPr>
              <w:spacing w:after="0" w:line="240" w:lineRule="auto"/>
              <w:rPr>
                <w:rFonts w:ascii="Times New Roman" w:eastAsia="Times New Roman" w:hAnsi="Times New Roman" w:cs="Times New Roman"/>
                <w:sz w:val="20"/>
                <w:szCs w:val="20"/>
                <w:lang w:eastAsia="pt-BR"/>
              </w:rPr>
            </w:pPr>
          </w:p>
        </w:tc>
      </w:tr>
      <w:tr w:rsidR="004C0B74" w:rsidRPr="00AB1B53" w14:paraId="4420911D" w14:textId="77777777">
        <w:trPr>
          <w:trHeight w:val="240"/>
        </w:trPr>
        <w:tc>
          <w:tcPr>
            <w:tcW w:w="3417" w:type="pct"/>
            <w:tcBorders>
              <w:top w:val="nil"/>
              <w:left w:val="nil"/>
              <w:bottom w:val="nil"/>
              <w:right w:val="nil"/>
            </w:tcBorders>
            <w:shd w:val="clear" w:color="auto" w:fill="auto"/>
            <w:noWrap/>
            <w:vAlign w:val="bottom"/>
            <w:hideMark/>
          </w:tcPr>
          <w:p w14:paraId="44B36433" w14:textId="77777777" w:rsidR="004C0B74" w:rsidRPr="00AB1B53" w:rsidRDefault="004C0B74">
            <w:pPr>
              <w:spacing w:after="0" w:line="240" w:lineRule="auto"/>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Variação cambial </w:t>
            </w:r>
          </w:p>
        </w:tc>
        <w:tc>
          <w:tcPr>
            <w:tcW w:w="766" w:type="pct"/>
            <w:tcBorders>
              <w:top w:val="nil"/>
              <w:left w:val="nil"/>
              <w:bottom w:val="nil"/>
              <w:right w:val="nil"/>
            </w:tcBorders>
            <w:shd w:val="clear" w:color="auto" w:fill="auto"/>
            <w:noWrap/>
            <w:vAlign w:val="center"/>
            <w:hideMark/>
          </w:tcPr>
          <w:p w14:paraId="3117C435"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(25.585)</w:t>
            </w:r>
          </w:p>
        </w:tc>
        <w:tc>
          <w:tcPr>
            <w:tcW w:w="107" w:type="pct"/>
            <w:tcBorders>
              <w:top w:val="nil"/>
              <w:left w:val="nil"/>
              <w:bottom w:val="nil"/>
              <w:right w:val="nil"/>
            </w:tcBorders>
            <w:shd w:val="clear" w:color="auto" w:fill="auto"/>
            <w:noWrap/>
            <w:vAlign w:val="bottom"/>
            <w:hideMark/>
          </w:tcPr>
          <w:p w14:paraId="77CEEA43"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p>
        </w:tc>
        <w:tc>
          <w:tcPr>
            <w:tcW w:w="710" w:type="pct"/>
            <w:tcBorders>
              <w:top w:val="nil"/>
              <w:left w:val="nil"/>
              <w:bottom w:val="nil"/>
              <w:right w:val="nil"/>
            </w:tcBorders>
            <w:shd w:val="clear" w:color="auto" w:fill="auto"/>
            <w:noWrap/>
            <w:vAlign w:val="center"/>
            <w:hideMark/>
          </w:tcPr>
          <w:p w14:paraId="57FDF158"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(25.585)</w:t>
            </w:r>
          </w:p>
        </w:tc>
      </w:tr>
      <w:tr w:rsidR="004C0B74" w:rsidRPr="00AB1B53" w14:paraId="6F9DB9C0" w14:textId="77777777">
        <w:trPr>
          <w:trHeight w:val="240"/>
        </w:trPr>
        <w:tc>
          <w:tcPr>
            <w:tcW w:w="3417" w:type="pct"/>
            <w:tcBorders>
              <w:top w:val="nil"/>
              <w:left w:val="nil"/>
              <w:bottom w:val="nil"/>
              <w:right w:val="nil"/>
            </w:tcBorders>
            <w:shd w:val="clear" w:color="auto" w:fill="auto"/>
            <w:noWrap/>
            <w:vAlign w:val="bottom"/>
            <w:hideMark/>
          </w:tcPr>
          <w:p w14:paraId="306BDEB3" w14:textId="77777777" w:rsidR="004C0B74" w:rsidRPr="00AB1B53" w:rsidRDefault="004C0B74">
            <w:pPr>
              <w:spacing w:after="0" w:line="240" w:lineRule="auto"/>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Provisões diversas </w:t>
            </w:r>
          </w:p>
        </w:tc>
        <w:tc>
          <w:tcPr>
            <w:tcW w:w="766" w:type="pct"/>
            <w:tcBorders>
              <w:top w:val="nil"/>
              <w:left w:val="nil"/>
              <w:bottom w:val="nil"/>
              <w:right w:val="nil"/>
            </w:tcBorders>
            <w:shd w:val="clear" w:color="auto" w:fill="auto"/>
            <w:noWrap/>
            <w:vAlign w:val="center"/>
            <w:hideMark/>
          </w:tcPr>
          <w:p w14:paraId="354B58B6"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(214)</w:t>
            </w:r>
          </w:p>
        </w:tc>
        <w:tc>
          <w:tcPr>
            <w:tcW w:w="107" w:type="pct"/>
            <w:tcBorders>
              <w:top w:val="nil"/>
              <w:left w:val="nil"/>
              <w:bottom w:val="nil"/>
              <w:right w:val="nil"/>
            </w:tcBorders>
            <w:shd w:val="clear" w:color="auto" w:fill="auto"/>
            <w:noWrap/>
            <w:vAlign w:val="bottom"/>
            <w:hideMark/>
          </w:tcPr>
          <w:p w14:paraId="2697163C"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p>
        </w:tc>
        <w:tc>
          <w:tcPr>
            <w:tcW w:w="710" w:type="pct"/>
            <w:tcBorders>
              <w:top w:val="nil"/>
              <w:left w:val="nil"/>
              <w:bottom w:val="nil"/>
              <w:right w:val="nil"/>
            </w:tcBorders>
            <w:shd w:val="clear" w:color="auto" w:fill="auto"/>
            <w:noWrap/>
            <w:vAlign w:val="center"/>
            <w:hideMark/>
          </w:tcPr>
          <w:p w14:paraId="0D3CC6A7"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3.662 </w:t>
            </w:r>
          </w:p>
        </w:tc>
      </w:tr>
      <w:tr w:rsidR="004C0B74" w:rsidRPr="00AB1B53" w14:paraId="211D867A" w14:textId="77777777">
        <w:trPr>
          <w:trHeight w:val="240"/>
        </w:trPr>
        <w:tc>
          <w:tcPr>
            <w:tcW w:w="3417" w:type="pct"/>
            <w:tcBorders>
              <w:top w:val="nil"/>
              <w:left w:val="nil"/>
              <w:bottom w:val="nil"/>
              <w:right w:val="nil"/>
            </w:tcBorders>
            <w:shd w:val="clear" w:color="auto" w:fill="auto"/>
            <w:noWrap/>
            <w:vAlign w:val="bottom"/>
            <w:hideMark/>
          </w:tcPr>
          <w:p w14:paraId="10EBE6BA" w14:textId="77777777" w:rsidR="004C0B74" w:rsidRPr="00AB1B53" w:rsidRDefault="004C0B74">
            <w:pPr>
              <w:spacing w:after="0" w:line="240" w:lineRule="auto"/>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Compra vantajosa </w:t>
            </w:r>
          </w:p>
        </w:tc>
        <w:tc>
          <w:tcPr>
            <w:tcW w:w="766" w:type="pct"/>
            <w:tcBorders>
              <w:top w:val="nil"/>
              <w:left w:val="nil"/>
              <w:bottom w:val="nil"/>
              <w:right w:val="nil"/>
            </w:tcBorders>
            <w:shd w:val="clear" w:color="auto" w:fill="auto"/>
            <w:noWrap/>
            <w:vAlign w:val="center"/>
            <w:hideMark/>
          </w:tcPr>
          <w:p w14:paraId="44FF174E"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88.510 </w:t>
            </w:r>
          </w:p>
        </w:tc>
        <w:tc>
          <w:tcPr>
            <w:tcW w:w="107" w:type="pct"/>
            <w:tcBorders>
              <w:top w:val="nil"/>
              <w:left w:val="nil"/>
              <w:bottom w:val="nil"/>
              <w:right w:val="nil"/>
            </w:tcBorders>
            <w:shd w:val="clear" w:color="auto" w:fill="auto"/>
            <w:noWrap/>
            <w:vAlign w:val="bottom"/>
            <w:hideMark/>
          </w:tcPr>
          <w:p w14:paraId="092DEBD9"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p>
        </w:tc>
        <w:tc>
          <w:tcPr>
            <w:tcW w:w="710" w:type="pct"/>
            <w:tcBorders>
              <w:top w:val="nil"/>
              <w:left w:val="nil"/>
              <w:bottom w:val="nil"/>
              <w:right w:val="nil"/>
            </w:tcBorders>
            <w:shd w:val="clear" w:color="auto" w:fill="auto"/>
            <w:noWrap/>
            <w:vAlign w:val="center"/>
            <w:hideMark/>
          </w:tcPr>
          <w:p w14:paraId="41BD9582"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88.510 </w:t>
            </w:r>
          </w:p>
        </w:tc>
      </w:tr>
      <w:tr w:rsidR="004C0B74" w:rsidRPr="00AB1B53" w14:paraId="285FFB68" w14:textId="77777777">
        <w:trPr>
          <w:trHeight w:val="240"/>
        </w:trPr>
        <w:tc>
          <w:tcPr>
            <w:tcW w:w="3417" w:type="pct"/>
            <w:tcBorders>
              <w:top w:val="nil"/>
              <w:left w:val="nil"/>
              <w:bottom w:val="nil"/>
              <w:right w:val="nil"/>
            </w:tcBorders>
            <w:shd w:val="clear" w:color="auto" w:fill="auto"/>
            <w:noWrap/>
            <w:vAlign w:val="center"/>
            <w:hideMark/>
          </w:tcPr>
          <w:p w14:paraId="04BCBF87"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p>
        </w:tc>
        <w:tc>
          <w:tcPr>
            <w:tcW w:w="766" w:type="pct"/>
            <w:tcBorders>
              <w:top w:val="single" w:sz="4" w:space="0" w:color="1B80C4"/>
              <w:left w:val="nil"/>
              <w:bottom w:val="nil"/>
              <w:right w:val="nil"/>
            </w:tcBorders>
            <w:shd w:val="clear" w:color="auto" w:fill="auto"/>
            <w:noWrap/>
            <w:vAlign w:val="center"/>
            <w:hideMark/>
          </w:tcPr>
          <w:p w14:paraId="580C6347" w14:textId="77777777" w:rsidR="004C0B74" w:rsidRPr="00AB1B53" w:rsidRDefault="004C0B74">
            <w:pPr>
              <w:spacing w:after="0" w:line="240" w:lineRule="auto"/>
              <w:jc w:val="right"/>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xml:space="preserve">              62.711 </w:t>
            </w:r>
          </w:p>
        </w:tc>
        <w:tc>
          <w:tcPr>
            <w:tcW w:w="107" w:type="pct"/>
            <w:tcBorders>
              <w:top w:val="nil"/>
              <w:left w:val="nil"/>
              <w:bottom w:val="nil"/>
              <w:right w:val="nil"/>
            </w:tcBorders>
            <w:shd w:val="clear" w:color="auto" w:fill="auto"/>
            <w:noWrap/>
            <w:vAlign w:val="bottom"/>
            <w:hideMark/>
          </w:tcPr>
          <w:p w14:paraId="6E496E56" w14:textId="77777777" w:rsidR="004C0B74" w:rsidRPr="00AB1B53" w:rsidRDefault="004C0B74">
            <w:pPr>
              <w:spacing w:after="0" w:line="240" w:lineRule="auto"/>
              <w:jc w:val="right"/>
              <w:rPr>
                <w:rFonts w:ascii="Segoe UI" w:eastAsia="Times New Roman" w:hAnsi="Segoe UI" w:cs="Segoe UI"/>
                <w:b/>
                <w:bCs/>
                <w:color w:val="000000"/>
                <w:sz w:val="18"/>
                <w:szCs w:val="18"/>
                <w:lang w:eastAsia="pt-BR"/>
              </w:rPr>
            </w:pPr>
          </w:p>
        </w:tc>
        <w:tc>
          <w:tcPr>
            <w:tcW w:w="710" w:type="pct"/>
            <w:tcBorders>
              <w:top w:val="single" w:sz="4" w:space="0" w:color="1B80C4"/>
              <w:left w:val="nil"/>
              <w:bottom w:val="nil"/>
              <w:right w:val="nil"/>
            </w:tcBorders>
            <w:shd w:val="clear" w:color="auto" w:fill="auto"/>
            <w:noWrap/>
            <w:vAlign w:val="center"/>
            <w:hideMark/>
          </w:tcPr>
          <w:p w14:paraId="121AC764" w14:textId="77777777" w:rsidR="004C0B74" w:rsidRPr="00AB1B53" w:rsidRDefault="004C0B74">
            <w:pPr>
              <w:spacing w:after="0" w:line="240" w:lineRule="auto"/>
              <w:jc w:val="right"/>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xml:space="preserve">            66.587 </w:t>
            </w:r>
          </w:p>
        </w:tc>
      </w:tr>
      <w:tr w:rsidR="004C0B74" w:rsidRPr="00AB1B53" w14:paraId="439C84F8" w14:textId="77777777">
        <w:trPr>
          <w:trHeight w:val="240"/>
        </w:trPr>
        <w:tc>
          <w:tcPr>
            <w:tcW w:w="3417" w:type="pct"/>
            <w:tcBorders>
              <w:top w:val="nil"/>
              <w:left w:val="nil"/>
              <w:bottom w:val="nil"/>
              <w:right w:val="nil"/>
            </w:tcBorders>
            <w:shd w:val="clear" w:color="auto" w:fill="auto"/>
            <w:noWrap/>
            <w:vAlign w:val="bottom"/>
            <w:hideMark/>
          </w:tcPr>
          <w:p w14:paraId="053C817A" w14:textId="77777777" w:rsidR="004C0B74" w:rsidRPr="00AB1B53" w:rsidRDefault="004C0B74">
            <w:pPr>
              <w:spacing w:after="0" w:line="240" w:lineRule="auto"/>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xml:space="preserve"> Impostos: </w:t>
            </w:r>
          </w:p>
        </w:tc>
        <w:tc>
          <w:tcPr>
            <w:tcW w:w="766" w:type="pct"/>
            <w:tcBorders>
              <w:top w:val="nil"/>
              <w:left w:val="nil"/>
              <w:bottom w:val="nil"/>
              <w:right w:val="nil"/>
            </w:tcBorders>
            <w:shd w:val="clear" w:color="auto" w:fill="auto"/>
            <w:noWrap/>
            <w:vAlign w:val="bottom"/>
            <w:hideMark/>
          </w:tcPr>
          <w:p w14:paraId="7D3FDDBD" w14:textId="77777777" w:rsidR="004C0B74" w:rsidRPr="00AB1B53" w:rsidRDefault="004C0B74">
            <w:pPr>
              <w:spacing w:after="0" w:line="240" w:lineRule="auto"/>
              <w:rPr>
                <w:rFonts w:ascii="Segoe UI" w:eastAsia="Times New Roman" w:hAnsi="Segoe UI" w:cs="Segoe UI"/>
                <w:b/>
                <w:bCs/>
                <w:color w:val="000000"/>
                <w:sz w:val="18"/>
                <w:szCs w:val="18"/>
                <w:lang w:eastAsia="pt-BR"/>
              </w:rPr>
            </w:pPr>
          </w:p>
        </w:tc>
        <w:tc>
          <w:tcPr>
            <w:tcW w:w="107" w:type="pct"/>
            <w:tcBorders>
              <w:top w:val="nil"/>
              <w:left w:val="nil"/>
              <w:bottom w:val="nil"/>
              <w:right w:val="nil"/>
            </w:tcBorders>
            <w:shd w:val="clear" w:color="auto" w:fill="auto"/>
            <w:noWrap/>
            <w:vAlign w:val="bottom"/>
            <w:hideMark/>
          </w:tcPr>
          <w:p w14:paraId="162A9340" w14:textId="77777777" w:rsidR="004C0B74" w:rsidRPr="00AB1B53" w:rsidRDefault="004C0B74">
            <w:pPr>
              <w:spacing w:after="0" w:line="240" w:lineRule="auto"/>
              <w:rPr>
                <w:rFonts w:ascii="Times New Roman" w:eastAsia="Times New Roman" w:hAnsi="Times New Roman" w:cs="Times New Roman"/>
                <w:sz w:val="20"/>
                <w:szCs w:val="20"/>
                <w:lang w:eastAsia="pt-BR"/>
              </w:rPr>
            </w:pPr>
          </w:p>
        </w:tc>
        <w:tc>
          <w:tcPr>
            <w:tcW w:w="710" w:type="pct"/>
            <w:tcBorders>
              <w:top w:val="nil"/>
              <w:left w:val="nil"/>
              <w:bottom w:val="nil"/>
              <w:right w:val="nil"/>
            </w:tcBorders>
            <w:shd w:val="clear" w:color="auto" w:fill="auto"/>
            <w:noWrap/>
            <w:vAlign w:val="bottom"/>
            <w:hideMark/>
          </w:tcPr>
          <w:p w14:paraId="7A5FADD4" w14:textId="77777777" w:rsidR="004C0B74" w:rsidRPr="00AB1B53" w:rsidRDefault="004C0B74">
            <w:pPr>
              <w:spacing w:after="0" w:line="240" w:lineRule="auto"/>
              <w:rPr>
                <w:rFonts w:ascii="Times New Roman" w:eastAsia="Times New Roman" w:hAnsi="Times New Roman" w:cs="Times New Roman"/>
                <w:sz w:val="20"/>
                <w:szCs w:val="20"/>
                <w:lang w:eastAsia="pt-BR"/>
              </w:rPr>
            </w:pPr>
          </w:p>
        </w:tc>
      </w:tr>
      <w:tr w:rsidR="004C0B74" w:rsidRPr="00AB1B53" w14:paraId="7A3F2A1D" w14:textId="77777777">
        <w:trPr>
          <w:trHeight w:val="240"/>
        </w:trPr>
        <w:tc>
          <w:tcPr>
            <w:tcW w:w="3417" w:type="pct"/>
            <w:tcBorders>
              <w:top w:val="nil"/>
              <w:left w:val="nil"/>
              <w:bottom w:val="nil"/>
              <w:right w:val="nil"/>
            </w:tcBorders>
            <w:shd w:val="clear" w:color="auto" w:fill="auto"/>
            <w:noWrap/>
            <w:vAlign w:val="center"/>
            <w:hideMark/>
          </w:tcPr>
          <w:p w14:paraId="66A5E7BF" w14:textId="77777777" w:rsidR="004C0B74" w:rsidRPr="00AB1B53" w:rsidRDefault="004C0B74">
            <w:pPr>
              <w:spacing w:after="0" w:line="240" w:lineRule="auto"/>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IR Diferido - 25% </w:t>
            </w:r>
          </w:p>
        </w:tc>
        <w:tc>
          <w:tcPr>
            <w:tcW w:w="766" w:type="pct"/>
            <w:tcBorders>
              <w:top w:val="nil"/>
              <w:left w:val="nil"/>
              <w:bottom w:val="nil"/>
              <w:right w:val="nil"/>
            </w:tcBorders>
            <w:shd w:val="clear" w:color="auto" w:fill="auto"/>
            <w:noWrap/>
            <w:vAlign w:val="center"/>
            <w:hideMark/>
          </w:tcPr>
          <w:p w14:paraId="05B8796F"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15.677 </w:t>
            </w:r>
          </w:p>
        </w:tc>
        <w:tc>
          <w:tcPr>
            <w:tcW w:w="107" w:type="pct"/>
            <w:tcBorders>
              <w:top w:val="nil"/>
              <w:left w:val="nil"/>
              <w:bottom w:val="nil"/>
              <w:right w:val="nil"/>
            </w:tcBorders>
            <w:shd w:val="clear" w:color="auto" w:fill="auto"/>
            <w:noWrap/>
            <w:vAlign w:val="bottom"/>
            <w:hideMark/>
          </w:tcPr>
          <w:p w14:paraId="11175225"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p>
        </w:tc>
        <w:tc>
          <w:tcPr>
            <w:tcW w:w="710" w:type="pct"/>
            <w:tcBorders>
              <w:top w:val="nil"/>
              <w:left w:val="nil"/>
              <w:bottom w:val="nil"/>
              <w:right w:val="nil"/>
            </w:tcBorders>
            <w:shd w:val="clear" w:color="auto" w:fill="auto"/>
            <w:noWrap/>
            <w:vAlign w:val="center"/>
            <w:hideMark/>
          </w:tcPr>
          <w:p w14:paraId="46B71F78"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16.645 </w:t>
            </w:r>
          </w:p>
        </w:tc>
      </w:tr>
      <w:tr w:rsidR="004C0B74" w:rsidRPr="00AB1B53" w14:paraId="6F0D25D5" w14:textId="77777777">
        <w:trPr>
          <w:trHeight w:val="240"/>
        </w:trPr>
        <w:tc>
          <w:tcPr>
            <w:tcW w:w="3417" w:type="pct"/>
            <w:tcBorders>
              <w:top w:val="nil"/>
              <w:left w:val="nil"/>
              <w:bottom w:val="nil"/>
              <w:right w:val="nil"/>
            </w:tcBorders>
            <w:shd w:val="clear" w:color="auto" w:fill="auto"/>
            <w:noWrap/>
            <w:vAlign w:val="center"/>
            <w:hideMark/>
          </w:tcPr>
          <w:p w14:paraId="643F8D79" w14:textId="77777777" w:rsidR="004C0B74" w:rsidRPr="00AB1B53" w:rsidRDefault="004C0B74">
            <w:pPr>
              <w:spacing w:after="0" w:line="240" w:lineRule="auto"/>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CS Diferida - 9% </w:t>
            </w:r>
          </w:p>
        </w:tc>
        <w:tc>
          <w:tcPr>
            <w:tcW w:w="766" w:type="pct"/>
            <w:tcBorders>
              <w:top w:val="nil"/>
              <w:left w:val="nil"/>
              <w:bottom w:val="nil"/>
              <w:right w:val="nil"/>
            </w:tcBorders>
            <w:shd w:val="clear" w:color="auto" w:fill="auto"/>
            <w:noWrap/>
            <w:vAlign w:val="center"/>
            <w:hideMark/>
          </w:tcPr>
          <w:p w14:paraId="75234D5F"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5.644 </w:t>
            </w:r>
          </w:p>
        </w:tc>
        <w:tc>
          <w:tcPr>
            <w:tcW w:w="107" w:type="pct"/>
            <w:tcBorders>
              <w:top w:val="nil"/>
              <w:left w:val="nil"/>
              <w:bottom w:val="nil"/>
              <w:right w:val="nil"/>
            </w:tcBorders>
            <w:shd w:val="clear" w:color="auto" w:fill="auto"/>
            <w:noWrap/>
            <w:vAlign w:val="bottom"/>
            <w:hideMark/>
          </w:tcPr>
          <w:p w14:paraId="665C1D5C"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p>
        </w:tc>
        <w:tc>
          <w:tcPr>
            <w:tcW w:w="710" w:type="pct"/>
            <w:tcBorders>
              <w:top w:val="nil"/>
              <w:left w:val="nil"/>
              <w:bottom w:val="nil"/>
              <w:right w:val="nil"/>
            </w:tcBorders>
            <w:shd w:val="clear" w:color="auto" w:fill="auto"/>
            <w:noWrap/>
            <w:vAlign w:val="center"/>
            <w:hideMark/>
          </w:tcPr>
          <w:p w14:paraId="76DF4954"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r w:rsidRPr="00AB1B53">
              <w:rPr>
                <w:rFonts w:ascii="Segoe UI" w:eastAsia="Times New Roman" w:hAnsi="Segoe UI" w:cs="Segoe UI"/>
                <w:color w:val="000000"/>
                <w:sz w:val="18"/>
                <w:szCs w:val="18"/>
                <w:lang w:eastAsia="pt-BR"/>
              </w:rPr>
              <w:t xml:space="preserve">                5.994 </w:t>
            </w:r>
          </w:p>
        </w:tc>
      </w:tr>
      <w:tr w:rsidR="004C0B74" w:rsidRPr="00AB1B53" w14:paraId="1A6505A9" w14:textId="77777777">
        <w:trPr>
          <w:trHeight w:val="255"/>
        </w:trPr>
        <w:tc>
          <w:tcPr>
            <w:tcW w:w="3417" w:type="pct"/>
            <w:tcBorders>
              <w:top w:val="nil"/>
              <w:left w:val="nil"/>
              <w:bottom w:val="nil"/>
              <w:right w:val="nil"/>
            </w:tcBorders>
            <w:shd w:val="clear" w:color="auto" w:fill="auto"/>
            <w:noWrap/>
            <w:vAlign w:val="bottom"/>
            <w:hideMark/>
          </w:tcPr>
          <w:p w14:paraId="66714234" w14:textId="77777777" w:rsidR="004C0B74" w:rsidRPr="00AB1B53" w:rsidRDefault="004C0B74">
            <w:pPr>
              <w:spacing w:after="0" w:line="240" w:lineRule="auto"/>
              <w:jc w:val="right"/>
              <w:rPr>
                <w:rFonts w:ascii="Segoe UI" w:eastAsia="Times New Roman" w:hAnsi="Segoe UI" w:cs="Segoe UI"/>
                <w:color w:val="000000"/>
                <w:sz w:val="18"/>
                <w:szCs w:val="18"/>
                <w:lang w:eastAsia="pt-BR"/>
              </w:rPr>
            </w:pPr>
          </w:p>
        </w:tc>
        <w:tc>
          <w:tcPr>
            <w:tcW w:w="766" w:type="pct"/>
            <w:tcBorders>
              <w:top w:val="single" w:sz="4" w:space="0" w:color="1B80C4"/>
              <w:left w:val="nil"/>
              <w:bottom w:val="double" w:sz="6" w:space="0" w:color="1B80C4"/>
              <w:right w:val="nil"/>
            </w:tcBorders>
            <w:shd w:val="clear" w:color="auto" w:fill="auto"/>
            <w:noWrap/>
            <w:vAlign w:val="center"/>
            <w:hideMark/>
          </w:tcPr>
          <w:p w14:paraId="2205BF67" w14:textId="77777777" w:rsidR="004C0B74" w:rsidRPr="00AB1B53" w:rsidRDefault="004C0B74">
            <w:pPr>
              <w:spacing w:after="0" w:line="240" w:lineRule="auto"/>
              <w:jc w:val="right"/>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xml:space="preserve">              21.321 </w:t>
            </w:r>
          </w:p>
        </w:tc>
        <w:tc>
          <w:tcPr>
            <w:tcW w:w="107" w:type="pct"/>
            <w:tcBorders>
              <w:top w:val="nil"/>
              <w:left w:val="nil"/>
              <w:bottom w:val="nil"/>
              <w:right w:val="nil"/>
            </w:tcBorders>
            <w:shd w:val="clear" w:color="auto" w:fill="auto"/>
            <w:noWrap/>
            <w:vAlign w:val="bottom"/>
            <w:hideMark/>
          </w:tcPr>
          <w:p w14:paraId="518C8538" w14:textId="77777777" w:rsidR="004C0B74" w:rsidRPr="00AB1B53" w:rsidRDefault="004C0B74">
            <w:pPr>
              <w:spacing w:after="0" w:line="240" w:lineRule="auto"/>
              <w:jc w:val="right"/>
              <w:rPr>
                <w:rFonts w:ascii="Segoe UI" w:eastAsia="Times New Roman" w:hAnsi="Segoe UI" w:cs="Segoe UI"/>
                <w:b/>
                <w:bCs/>
                <w:color w:val="000000"/>
                <w:sz w:val="18"/>
                <w:szCs w:val="18"/>
                <w:lang w:eastAsia="pt-BR"/>
              </w:rPr>
            </w:pPr>
          </w:p>
        </w:tc>
        <w:tc>
          <w:tcPr>
            <w:tcW w:w="710" w:type="pct"/>
            <w:tcBorders>
              <w:top w:val="single" w:sz="4" w:space="0" w:color="1B80C4"/>
              <w:left w:val="nil"/>
              <w:bottom w:val="double" w:sz="6" w:space="0" w:color="1B80C4"/>
              <w:right w:val="nil"/>
            </w:tcBorders>
            <w:shd w:val="clear" w:color="auto" w:fill="auto"/>
            <w:noWrap/>
            <w:vAlign w:val="center"/>
            <w:hideMark/>
          </w:tcPr>
          <w:p w14:paraId="16DF9508" w14:textId="77777777" w:rsidR="004C0B74" w:rsidRPr="00AB1B53" w:rsidRDefault="004C0B74">
            <w:pPr>
              <w:spacing w:after="0" w:line="240" w:lineRule="auto"/>
              <w:jc w:val="right"/>
              <w:rPr>
                <w:rFonts w:ascii="Segoe UI" w:eastAsia="Times New Roman" w:hAnsi="Segoe UI" w:cs="Segoe UI"/>
                <w:b/>
                <w:bCs/>
                <w:color w:val="000000"/>
                <w:sz w:val="18"/>
                <w:szCs w:val="18"/>
                <w:lang w:eastAsia="pt-BR"/>
              </w:rPr>
            </w:pPr>
            <w:r w:rsidRPr="00AB1B53">
              <w:rPr>
                <w:rFonts w:ascii="Segoe UI" w:eastAsia="Times New Roman" w:hAnsi="Segoe UI" w:cs="Segoe UI"/>
                <w:b/>
                <w:bCs/>
                <w:color w:val="000000"/>
                <w:sz w:val="18"/>
                <w:szCs w:val="18"/>
                <w:lang w:eastAsia="pt-BR"/>
              </w:rPr>
              <w:t xml:space="preserve">            22.639 </w:t>
            </w:r>
          </w:p>
        </w:tc>
      </w:tr>
    </w:tbl>
    <w:p w14:paraId="0EE5C9BE" w14:textId="77777777" w:rsidR="00CD7D6F" w:rsidRDefault="00CD7D6F" w:rsidP="00833B69">
      <w:pPr>
        <w:rPr>
          <w:rFonts w:ascii="Segoe UI" w:hAnsi="Segoe UI" w:cs="Segoe UI"/>
          <w:b/>
          <w:snapToGrid w:val="0"/>
          <w:color w:val="0070C0"/>
        </w:rPr>
      </w:pPr>
    </w:p>
    <w:p w14:paraId="4286CEC1" w14:textId="38B9B5B6" w:rsidR="00755A01" w:rsidRDefault="00934C06" w:rsidP="00CD7D6F">
      <w:pPr>
        <w:rPr>
          <w:rFonts w:ascii="Segoe UI" w:hAnsi="Segoe UI" w:cs="Segoe UI"/>
          <w:b/>
          <w:snapToGrid w:val="0"/>
          <w:color w:val="0070C0"/>
        </w:rPr>
      </w:pPr>
      <w:r w:rsidRPr="000757BC">
        <w:rPr>
          <w:rFonts w:ascii="Segoe UI" w:hAnsi="Segoe UI" w:cs="Segoe UI"/>
          <w:b/>
          <w:snapToGrid w:val="0"/>
          <w:color w:val="0070C0"/>
        </w:rPr>
        <w:t>8.</w:t>
      </w:r>
      <w:r w:rsidR="002F2951">
        <w:rPr>
          <w:rFonts w:ascii="Segoe UI" w:hAnsi="Segoe UI" w:cs="Segoe UI"/>
          <w:b/>
          <w:snapToGrid w:val="0"/>
          <w:color w:val="0070C0"/>
        </w:rPr>
        <w:t>3</w:t>
      </w:r>
      <w:r w:rsidRPr="000757BC">
        <w:rPr>
          <w:rFonts w:ascii="Segoe UI" w:hAnsi="Segoe UI" w:cs="Segoe UI"/>
          <w:b/>
          <w:snapToGrid w:val="0"/>
          <w:color w:val="0070C0"/>
        </w:rPr>
        <w:t xml:space="preserve"> – Imposto de renda e contribuição social </w:t>
      </w:r>
      <w:r w:rsidR="003C2EA8">
        <w:rPr>
          <w:rFonts w:ascii="Segoe UI" w:hAnsi="Segoe UI" w:cs="Segoe UI"/>
          <w:b/>
          <w:snapToGrid w:val="0"/>
          <w:color w:val="0070C0"/>
        </w:rPr>
        <w:t>(Resultado)</w:t>
      </w:r>
    </w:p>
    <w:tbl>
      <w:tblPr>
        <w:tblW w:w="5000" w:type="pct"/>
        <w:tblCellMar>
          <w:left w:w="70" w:type="dxa"/>
          <w:right w:w="70" w:type="dxa"/>
        </w:tblCellMar>
        <w:tblLook w:val="04A0" w:firstRow="1" w:lastRow="0" w:firstColumn="1" w:lastColumn="0" w:noHBand="0" w:noVBand="1"/>
      </w:tblPr>
      <w:tblGrid>
        <w:gridCol w:w="6490"/>
        <w:gridCol w:w="1454"/>
        <w:gridCol w:w="200"/>
        <w:gridCol w:w="1353"/>
      </w:tblGrid>
      <w:tr w:rsidR="0002009E" w:rsidRPr="0002009E" w14:paraId="22B96B54" w14:textId="77777777" w:rsidTr="0002009E">
        <w:trPr>
          <w:trHeight w:val="240"/>
        </w:trPr>
        <w:tc>
          <w:tcPr>
            <w:tcW w:w="3418" w:type="pct"/>
            <w:tcBorders>
              <w:top w:val="nil"/>
              <w:left w:val="nil"/>
              <w:bottom w:val="nil"/>
              <w:right w:val="nil"/>
            </w:tcBorders>
            <w:shd w:val="clear" w:color="auto" w:fill="auto"/>
            <w:noWrap/>
            <w:vAlign w:val="bottom"/>
            <w:hideMark/>
          </w:tcPr>
          <w:p w14:paraId="485EAF38" w14:textId="77777777" w:rsidR="0002009E" w:rsidRPr="0002009E" w:rsidRDefault="0002009E" w:rsidP="0002009E">
            <w:pPr>
              <w:spacing w:after="0" w:line="240" w:lineRule="auto"/>
              <w:rPr>
                <w:rFonts w:ascii="Times New Roman" w:eastAsia="Times New Roman" w:hAnsi="Times New Roman" w:cs="Times New Roman"/>
                <w:sz w:val="24"/>
                <w:szCs w:val="24"/>
                <w:lang w:eastAsia="pt-BR"/>
              </w:rPr>
            </w:pPr>
          </w:p>
        </w:tc>
        <w:tc>
          <w:tcPr>
            <w:tcW w:w="765" w:type="pct"/>
            <w:tcBorders>
              <w:top w:val="nil"/>
              <w:left w:val="nil"/>
              <w:bottom w:val="single" w:sz="4" w:space="0" w:color="F2F2F2"/>
              <w:right w:val="nil"/>
            </w:tcBorders>
            <w:shd w:val="clear" w:color="000000" w:fill="1B80C4"/>
            <w:noWrap/>
            <w:vAlign w:val="bottom"/>
            <w:hideMark/>
          </w:tcPr>
          <w:p w14:paraId="7374DDC5" w14:textId="77777777" w:rsidR="0002009E" w:rsidRPr="0002009E" w:rsidRDefault="0002009E" w:rsidP="0002009E">
            <w:pPr>
              <w:spacing w:after="0" w:line="240" w:lineRule="auto"/>
              <w:jc w:val="center"/>
              <w:rPr>
                <w:rFonts w:ascii="Segoe UI" w:eastAsia="Times New Roman" w:hAnsi="Segoe UI" w:cs="Segoe UI"/>
                <w:b/>
                <w:bCs/>
                <w:color w:val="FFFFFF"/>
                <w:sz w:val="18"/>
                <w:szCs w:val="18"/>
                <w:lang w:eastAsia="pt-BR"/>
              </w:rPr>
            </w:pPr>
            <w:r w:rsidRPr="0002009E">
              <w:rPr>
                <w:rFonts w:ascii="Segoe UI" w:eastAsia="Times New Roman" w:hAnsi="Segoe UI" w:cs="Segoe UI"/>
                <w:b/>
                <w:bCs/>
                <w:color w:val="FFFFFF"/>
                <w:sz w:val="18"/>
                <w:szCs w:val="18"/>
                <w:lang w:eastAsia="pt-BR"/>
              </w:rPr>
              <w:t xml:space="preserve"> Controladora </w:t>
            </w:r>
          </w:p>
        </w:tc>
        <w:tc>
          <w:tcPr>
            <w:tcW w:w="107" w:type="pct"/>
            <w:tcBorders>
              <w:top w:val="nil"/>
              <w:left w:val="nil"/>
              <w:bottom w:val="nil"/>
              <w:right w:val="nil"/>
            </w:tcBorders>
            <w:shd w:val="clear" w:color="000000" w:fill="1B80C4"/>
            <w:noWrap/>
            <w:vAlign w:val="center"/>
            <w:hideMark/>
          </w:tcPr>
          <w:p w14:paraId="656CB404" w14:textId="77777777" w:rsidR="0002009E" w:rsidRPr="0002009E" w:rsidRDefault="0002009E" w:rsidP="0002009E">
            <w:pPr>
              <w:spacing w:after="0" w:line="240" w:lineRule="auto"/>
              <w:jc w:val="center"/>
              <w:rPr>
                <w:rFonts w:ascii="Segoe UI" w:eastAsia="Times New Roman" w:hAnsi="Segoe UI" w:cs="Segoe UI"/>
                <w:b/>
                <w:bCs/>
                <w:color w:val="FFFFFF"/>
                <w:sz w:val="18"/>
                <w:szCs w:val="18"/>
                <w:lang w:eastAsia="pt-BR"/>
              </w:rPr>
            </w:pPr>
            <w:r w:rsidRPr="0002009E">
              <w:rPr>
                <w:rFonts w:ascii="Segoe UI" w:eastAsia="Times New Roman" w:hAnsi="Segoe UI" w:cs="Segoe UI"/>
                <w:b/>
                <w:bCs/>
                <w:color w:val="FFFFFF"/>
                <w:sz w:val="18"/>
                <w:szCs w:val="18"/>
                <w:lang w:eastAsia="pt-BR"/>
              </w:rPr>
              <w:t> </w:t>
            </w:r>
          </w:p>
        </w:tc>
        <w:tc>
          <w:tcPr>
            <w:tcW w:w="709" w:type="pct"/>
            <w:tcBorders>
              <w:top w:val="nil"/>
              <w:left w:val="nil"/>
              <w:bottom w:val="single" w:sz="4" w:space="0" w:color="F2F2F2"/>
              <w:right w:val="nil"/>
            </w:tcBorders>
            <w:shd w:val="clear" w:color="000000" w:fill="1B80C4"/>
            <w:noWrap/>
            <w:vAlign w:val="bottom"/>
            <w:hideMark/>
          </w:tcPr>
          <w:p w14:paraId="1642FB8F" w14:textId="77777777" w:rsidR="0002009E" w:rsidRPr="0002009E" w:rsidRDefault="0002009E" w:rsidP="0002009E">
            <w:pPr>
              <w:spacing w:after="0" w:line="240" w:lineRule="auto"/>
              <w:jc w:val="center"/>
              <w:rPr>
                <w:rFonts w:ascii="Segoe UI" w:eastAsia="Times New Roman" w:hAnsi="Segoe UI" w:cs="Segoe UI"/>
                <w:b/>
                <w:bCs/>
                <w:color w:val="FFFFFF"/>
                <w:sz w:val="18"/>
                <w:szCs w:val="18"/>
                <w:lang w:eastAsia="pt-BR"/>
              </w:rPr>
            </w:pPr>
            <w:r w:rsidRPr="0002009E">
              <w:rPr>
                <w:rFonts w:ascii="Segoe UI" w:eastAsia="Times New Roman" w:hAnsi="Segoe UI" w:cs="Segoe UI"/>
                <w:b/>
                <w:bCs/>
                <w:color w:val="FFFFFF"/>
                <w:sz w:val="18"/>
                <w:szCs w:val="18"/>
                <w:lang w:eastAsia="pt-BR"/>
              </w:rPr>
              <w:t xml:space="preserve"> Consolidado </w:t>
            </w:r>
          </w:p>
        </w:tc>
      </w:tr>
      <w:tr w:rsidR="0002009E" w:rsidRPr="0002009E" w14:paraId="78794953" w14:textId="77777777" w:rsidTr="0002009E">
        <w:trPr>
          <w:trHeight w:val="240"/>
        </w:trPr>
        <w:tc>
          <w:tcPr>
            <w:tcW w:w="3418" w:type="pct"/>
            <w:tcBorders>
              <w:top w:val="nil"/>
              <w:left w:val="nil"/>
              <w:bottom w:val="nil"/>
              <w:right w:val="nil"/>
            </w:tcBorders>
            <w:shd w:val="clear" w:color="auto" w:fill="auto"/>
            <w:noWrap/>
            <w:vAlign w:val="bottom"/>
            <w:hideMark/>
          </w:tcPr>
          <w:p w14:paraId="3E5728D8" w14:textId="77777777" w:rsidR="0002009E" w:rsidRPr="0002009E" w:rsidRDefault="0002009E" w:rsidP="0002009E">
            <w:pPr>
              <w:spacing w:after="0" w:line="240" w:lineRule="auto"/>
              <w:jc w:val="center"/>
              <w:rPr>
                <w:rFonts w:ascii="Segoe UI" w:eastAsia="Times New Roman" w:hAnsi="Segoe UI" w:cs="Segoe UI"/>
                <w:b/>
                <w:bCs/>
                <w:color w:val="FFFFFF"/>
                <w:sz w:val="18"/>
                <w:szCs w:val="18"/>
                <w:lang w:eastAsia="pt-BR"/>
              </w:rPr>
            </w:pPr>
          </w:p>
        </w:tc>
        <w:tc>
          <w:tcPr>
            <w:tcW w:w="765" w:type="pct"/>
            <w:tcBorders>
              <w:top w:val="nil"/>
              <w:left w:val="nil"/>
              <w:bottom w:val="nil"/>
              <w:right w:val="nil"/>
            </w:tcBorders>
            <w:shd w:val="clear" w:color="000000" w:fill="1B80C4"/>
            <w:noWrap/>
            <w:vAlign w:val="bottom"/>
            <w:hideMark/>
          </w:tcPr>
          <w:p w14:paraId="30C6AA35" w14:textId="77777777" w:rsidR="0002009E" w:rsidRPr="0002009E" w:rsidRDefault="0002009E" w:rsidP="0002009E">
            <w:pPr>
              <w:spacing w:after="0" w:line="240" w:lineRule="auto"/>
              <w:jc w:val="center"/>
              <w:rPr>
                <w:rFonts w:ascii="Segoe UI" w:eastAsia="Times New Roman" w:hAnsi="Segoe UI" w:cs="Segoe UI"/>
                <w:b/>
                <w:bCs/>
                <w:color w:val="FFFFFF"/>
                <w:sz w:val="18"/>
                <w:szCs w:val="18"/>
                <w:lang w:eastAsia="pt-BR"/>
              </w:rPr>
            </w:pPr>
            <w:r w:rsidRPr="0002009E">
              <w:rPr>
                <w:rFonts w:ascii="Segoe UI" w:eastAsia="Times New Roman" w:hAnsi="Segoe UI" w:cs="Segoe UI"/>
                <w:b/>
                <w:bCs/>
                <w:color w:val="FFFFFF"/>
                <w:sz w:val="18"/>
                <w:szCs w:val="18"/>
                <w:lang w:eastAsia="pt-BR"/>
              </w:rPr>
              <w:t>31/12/2022</w:t>
            </w:r>
          </w:p>
        </w:tc>
        <w:tc>
          <w:tcPr>
            <w:tcW w:w="107" w:type="pct"/>
            <w:tcBorders>
              <w:top w:val="nil"/>
              <w:left w:val="nil"/>
              <w:bottom w:val="nil"/>
              <w:right w:val="nil"/>
            </w:tcBorders>
            <w:shd w:val="clear" w:color="000000" w:fill="1B80C4"/>
            <w:noWrap/>
            <w:vAlign w:val="center"/>
            <w:hideMark/>
          </w:tcPr>
          <w:p w14:paraId="507C6E86" w14:textId="77777777" w:rsidR="0002009E" w:rsidRPr="0002009E" w:rsidRDefault="0002009E" w:rsidP="0002009E">
            <w:pPr>
              <w:spacing w:after="0" w:line="240" w:lineRule="auto"/>
              <w:jc w:val="center"/>
              <w:rPr>
                <w:rFonts w:ascii="Segoe UI" w:eastAsia="Times New Roman" w:hAnsi="Segoe UI" w:cs="Segoe UI"/>
                <w:b/>
                <w:bCs/>
                <w:color w:val="FFFFFF"/>
                <w:sz w:val="18"/>
                <w:szCs w:val="18"/>
                <w:lang w:eastAsia="pt-BR"/>
              </w:rPr>
            </w:pPr>
            <w:r w:rsidRPr="0002009E">
              <w:rPr>
                <w:rFonts w:ascii="Segoe UI" w:eastAsia="Times New Roman" w:hAnsi="Segoe UI" w:cs="Segoe UI"/>
                <w:b/>
                <w:bCs/>
                <w:color w:val="FFFFFF"/>
                <w:sz w:val="18"/>
                <w:szCs w:val="18"/>
                <w:lang w:eastAsia="pt-BR"/>
              </w:rPr>
              <w:t> </w:t>
            </w:r>
          </w:p>
        </w:tc>
        <w:tc>
          <w:tcPr>
            <w:tcW w:w="709" w:type="pct"/>
            <w:tcBorders>
              <w:top w:val="nil"/>
              <w:left w:val="nil"/>
              <w:bottom w:val="nil"/>
              <w:right w:val="nil"/>
            </w:tcBorders>
            <w:shd w:val="clear" w:color="000000" w:fill="1B80C4"/>
            <w:noWrap/>
            <w:vAlign w:val="bottom"/>
            <w:hideMark/>
          </w:tcPr>
          <w:p w14:paraId="50A8D828" w14:textId="77777777" w:rsidR="0002009E" w:rsidRPr="0002009E" w:rsidRDefault="0002009E" w:rsidP="0002009E">
            <w:pPr>
              <w:spacing w:after="0" w:line="240" w:lineRule="auto"/>
              <w:jc w:val="center"/>
              <w:rPr>
                <w:rFonts w:ascii="Segoe UI" w:eastAsia="Times New Roman" w:hAnsi="Segoe UI" w:cs="Segoe UI"/>
                <w:b/>
                <w:bCs/>
                <w:color w:val="FFFFFF"/>
                <w:sz w:val="18"/>
                <w:szCs w:val="18"/>
                <w:lang w:eastAsia="pt-BR"/>
              </w:rPr>
            </w:pPr>
            <w:r w:rsidRPr="0002009E">
              <w:rPr>
                <w:rFonts w:ascii="Segoe UI" w:eastAsia="Times New Roman" w:hAnsi="Segoe UI" w:cs="Segoe UI"/>
                <w:b/>
                <w:bCs/>
                <w:color w:val="FFFFFF"/>
                <w:sz w:val="18"/>
                <w:szCs w:val="18"/>
                <w:lang w:eastAsia="pt-BR"/>
              </w:rPr>
              <w:t>31/12/2022</w:t>
            </w:r>
          </w:p>
        </w:tc>
      </w:tr>
      <w:tr w:rsidR="0002009E" w:rsidRPr="0002009E" w14:paraId="26B68FD3" w14:textId="77777777" w:rsidTr="0002009E">
        <w:trPr>
          <w:trHeight w:val="240"/>
        </w:trPr>
        <w:tc>
          <w:tcPr>
            <w:tcW w:w="3418" w:type="pct"/>
            <w:tcBorders>
              <w:top w:val="nil"/>
              <w:left w:val="nil"/>
              <w:bottom w:val="nil"/>
              <w:right w:val="nil"/>
            </w:tcBorders>
            <w:shd w:val="clear" w:color="auto" w:fill="auto"/>
            <w:noWrap/>
            <w:vAlign w:val="bottom"/>
            <w:hideMark/>
          </w:tcPr>
          <w:p w14:paraId="5FFEEA57" w14:textId="77777777" w:rsidR="0002009E" w:rsidRPr="0002009E" w:rsidRDefault="0002009E" w:rsidP="0002009E">
            <w:pPr>
              <w:spacing w:after="0" w:line="240" w:lineRule="auto"/>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Lucro antes do IRPJ e CSLL</w:t>
            </w:r>
          </w:p>
        </w:tc>
        <w:tc>
          <w:tcPr>
            <w:tcW w:w="765" w:type="pct"/>
            <w:tcBorders>
              <w:top w:val="nil"/>
              <w:left w:val="nil"/>
              <w:bottom w:val="nil"/>
              <w:right w:val="nil"/>
            </w:tcBorders>
            <w:shd w:val="clear" w:color="auto" w:fill="auto"/>
            <w:noWrap/>
            <w:vAlign w:val="center"/>
            <w:hideMark/>
          </w:tcPr>
          <w:p w14:paraId="5170E8BE"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 xml:space="preserve">            183.444 </w:t>
            </w:r>
          </w:p>
        </w:tc>
        <w:tc>
          <w:tcPr>
            <w:tcW w:w="107" w:type="pct"/>
            <w:tcBorders>
              <w:top w:val="nil"/>
              <w:left w:val="nil"/>
              <w:bottom w:val="nil"/>
              <w:right w:val="nil"/>
            </w:tcBorders>
            <w:shd w:val="clear" w:color="auto" w:fill="auto"/>
            <w:noWrap/>
            <w:vAlign w:val="bottom"/>
            <w:hideMark/>
          </w:tcPr>
          <w:p w14:paraId="739D9265"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p>
        </w:tc>
        <w:tc>
          <w:tcPr>
            <w:tcW w:w="709" w:type="pct"/>
            <w:tcBorders>
              <w:top w:val="nil"/>
              <w:left w:val="nil"/>
              <w:bottom w:val="nil"/>
              <w:right w:val="nil"/>
            </w:tcBorders>
            <w:shd w:val="clear" w:color="auto" w:fill="auto"/>
            <w:noWrap/>
            <w:vAlign w:val="center"/>
            <w:hideMark/>
          </w:tcPr>
          <w:p w14:paraId="7F061091"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 xml:space="preserve">          236.992 </w:t>
            </w:r>
          </w:p>
        </w:tc>
      </w:tr>
      <w:tr w:rsidR="0002009E" w:rsidRPr="0002009E" w14:paraId="7946BA71" w14:textId="77777777" w:rsidTr="0002009E">
        <w:trPr>
          <w:trHeight w:val="240"/>
        </w:trPr>
        <w:tc>
          <w:tcPr>
            <w:tcW w:w="3418" w:type="pct"/>
            <w:tcBorders>
              <w:top w:val="nil"/>
              <w:left w:val="nil"/>
              <w:bottom w:val="nil"/>
              <w:right w:val="nil"/>
            </w:tcBorders>
            <w:shd w:val="clear" w:color="auto" w:fill="auto"/>
            <w:noWrap/>
            <w:vAlign w:val="bottom"/>
            <w:hideMark/>
          </w:tcPr>
          <w:p w14:paraId="44B862F3" w14:textId="77777777" w:rsidR="0002009E" w:rsidRPr="0002009E" w:rsidRDefault="0002009E" w:rsidP="0002009E">
            <w:pPr>
              <w:spacing w:after="0" w:line="240" w:lineRule="auto"/>
              <w:ind w:firstLineChars="200" w:firstLine="360"/>
              <w:rPr>
                <w:rFonts w:ascii="Segoe UI" w:eastAsia="Times New Roman" w:hAnsi="Segoe UI" w:cs="Segoe UI"/>
                <w:sz w:val="18"/>
                <w:szCs w:val="18"/>
                <w:lang w:eastAsia="pt-BR"/>
              </w:rPr>
            </w:pPr>
            <w:r w:rsidRPr="0002009E">
              <w:rPr>
                <w:rFonts w:ascii="Segoe UI" w:eastAsia="Times New Roman" w:hAnsi="Segoe UI" w:cs="Segoe UI"/>
                <w:sz w:val="18"/>
                <w:szCs w:val="18"/>
                <w:lang w:eastAsia="pt-BR"/>
              </w:rPr>
              <w:t>- Adições (+) e Exclusões (-)</w:t>
            </w:r>
          </w:p>
        </w:tc>
        <w:tc>
          <w:tcPr>
            <w:tcW w:w="765" w:type="pct"/>
            <w:tcBorders>
              <w:top w:val="nil"/>
              <w:left w:val="nil"/>
              <w:bottom w:val="nil"/>
              <w:right w:val="nil"/>
            </w:tcBorders>
            <w:shd w:val="clear" w:color="auto" w:fill="auto"/>
            <w:noWrap/>
            <w:vAlign w:val="bottom"/>
            <w:hideMark/>
          </w:tcPr>
          <w:p w14:paraId="70B8E130" w14:textId="77777777" w:rsidR="0002009E" w:rsidRPr="0002009E" w:rsidRDefault="0002009E" w:rsidP="0002009E">
            <w:pPr>
              <w:spacing w:after="0" w:line="240" w:lineRule="auto"/>
              <w:rPr>
                <w:rFonts w:ascii="Segoe UI" w:eastAsia="Times New Roman" w:hAnsi="Segoe UI" w:cs="Segoe UI"/>
                <w:sz w:val="18"/>
                <w:szCs w:val="18"/>
                <w:lang w:eastAsia="pt-BR"/>
              </w:rPr>
            </w:pPr>
            <w:r w:rsidRPr="0002009E">
              <w:rPr>
                <w:rFonts w:ascii="Segoe UI" w:eastAsia="Times New Roman" w:hAnsi="Segoe UI" w:cs="Segoe UI"/>
                <w:sz w:val="18"/>
                <w:szCs w:val="18"/>
                <w:lang w:eastAsia="pt-BR"/>
              </w:rPr>
              <w:t xml:space="preserve">                44.642 </w:t>
            </w:r>
          </w:p>
        </w:tc>
        <w:tc>
          <w:tcPr>
            <w:tcW w:w="107" w:type="pct"/>
            <w:tcBorders>
              <w:top w:val="nil"/>
              <w:left w:val="nil"/>
              <w:bottom w:val="nil"/>
              <w:right w:val="nil"/>
            </w:tcBorders>
            <w:shd w:val="clear" w:color="auto" w:fill="auto"/>
            <w:noWrap/>
            <w:vAlign w:val="bottom"/>
            <w:hideMark/>
          </w:tcPr>
          <w:p w14:paraId="7FA3D144" w14:textId="77777777" w:rsidR="0002009E" w:rsidRPr="0002009E" w:rsidRDefault="0002009E" w:rsidP="0002009E">
            <w:pPr>
              <w:spacing w:after="0" w:line="240" w:lineRule="auto"/>
              <w:rPr>
                <w:rFonts w:ascii="Segoe UI" w:eastAsia="Times New Roman" w:hAnsi="Segoe UI" w:cs="Segoe UI"/>
                <w:sz w:val="18"/>
                <w:szCs w:val="18"/>
                <w:lang w:eastAsia="pt-BR"/>
              </w:rPr>
            </w:pPr>
          </w:p>
        </w:tc>
        <w:tc>
          <w:tcPr>
            <w:tcW w:w="709" w:type="pct"/>
            <w:tcBorders>
              <w:top w:val="nil"/>
              <w:left w:val="nil"/>
              <w:bottom w:val="nil"/>
              <w:right w:val="nil"/>
            </w:tcBorders>
            <w:shd w:val="clear" w:color="auto" w:fill="auto"/>
            <w:noWrap/>
            <w:vAlign w:val="bottom"/>
            <w:hideMark/>
          </w:tcPr>
          <w:p w14:paraId="4AA00E05" w14:textId="77777777" w:rsidR="0002009E" w:rsidRPr="0002009E" w:rsidRDefault="0002009E" w:rsidP="0002009E">
            <w:pPr>
              <w:spacing w:after="0" w:line="240" w:lineRule="auto"/>
              <w:rPr>
                <w:rFonts w:ascii="Segoe UI" w:eastAsia="Times New Roman" w:hAnsi="Segoe UI" w:cs="Segoe UI"/>
                <w:sz w:val="18"/>
                <w:szCs w:val="18"/>
                <w:lang w:eastAsia="pt-BR"/>
              </w:rPr>
            </w:pPr>
            <w:r w:rsidRPr="0002009E">
              <w:rPr>
                <w:rFonts w:ascii="Segoe UI" w:eastAsia="Times New Roman" w:hAnsi="Segoe UI" w:cs="Segoe UI"/>
                <w:sz w:val="18"/>
                <w:szCs w:val="18"/>
                <w:lang w:eastAsia="pt-BR"/>
              </w:rPr>
              <w:t xml:space="preserve">            338.811 </w:t>
            </w:r>
          </w:p>
        </w:tc>
      </w:tr>
      <w:tr w:rsidR="0002009E" w:rsidRPr="0002009E" w14:paraId="591A368B" w14:textId="77777777" w:rsidTr="0002009E">
        <w:trPr>
          <w:trHeight w:val="255"/>
        </w:trPr>
        <w:tc>
          <w:tcPr>
            <w:tcW w:w="3418" w:type="pct"/>
            <w:tcBorders>
              <w:top w:val="nil"/>
              <w:left w:val="nil"/>
              <w:bottom w:val="nil"/>
              <w:right w:val="nil"/>
            </w:tcBorders>
            <w:shd w:val="clear" w:color="auto" w:fill="auto"/>
            <w:noWrap/>
            <w:vAlign w:val="bottom"/>
            <w:hideMark/>
          </w:tcPr>
          <w:p w14:paraId="296B7F15" w14:textId="77777777" w:rsidR="0002009E" w:rsidRPr="0002009E" w:rsidRDefault="0002009E" w:rsidP="0002009E">
            <w:pPr>
              <w:spacing w:after="0" w:line="240" w:lineRule="auto"/>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Base de cálculo dos tributos:</w:t>
            </w:r>
          </w:p>
        </w:tc>
        <w:tc>
          <w:tcPr>
            <w:tcW w:w="765" w:type="pct"/>
            <w:tcBorders>
              <w:top w:val="single" w:sz="4" w:space="0" w:color="1B80C4"/>
              <w:left w:val="nil"/>
              <w:bottom w:val="double" w:sz="6" w:space="0" w:color="1B80C4"/>
              <w:right w:val="nil"/>
            </w:tcBorders>
            <w:shd w:val="clear" w:color="auto" w:fill="auto"/>
            <w:noWrap/>
            <w:vAlign w:val="center"/>
            <w:hideMark/>
          </w:tcPr>
          <w:p w14:paraId="1BF71030"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 xml:space="preserve">            228.086 </w:t>
            </w:r>
          </w:p>
        </w:tc>
        <w:tc>
          <w:tcPr>
            <w:tcW w:w="107" w:type="pct"/>
            <w:tcBorders>
              <w:top w:val="nil"/>
              <w:left w:val="nil"/>
              <w:bottom w:val="nil"/>
              <w:right w:val="nil"/>
            </w:tcBorders>
            <w:shd w:val="clear" w:color="auto" w:fill="auto"/>
            <w:noWrap/>
            <w:vAlign w:val="bottom"/>
            <w:hideMark/>
          </w:tcPr>
          <w:p w14:paraId="7034C6D2"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p>
        </w:tc>
        <w:tc>
          <w:tcPr>
            <w:tcW w:w="709" w:type="pct"/>
            <w:tcBorders>
              <w:top w:val="single" w:sz="4" w:space="0" w:color="1B80C4"/>
              <w:left w:val="nil"/>
              <w:bottom w:val="double" w:sz="6" w:space="0" w:color="1B80C4"/>
              <w:right w:val="nil"/>
            </w:tcBorders>
            <w:shd w:val="clear" w:color="auto" w:fill="auto"/>
            <w:noWrap/>
            <w:vAlign w:val="center"/>
            <w:hideMark/>
          </w:tcPr>
          <w:p w14:paraId="33BC47C6"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 xml:space="preserve">          575.803 </w:t>
            </w:r>
          </w:p>
        </w:tc>
      </w:tr>
      <w:tr w:rsidR="0002009E" w:rsidRPr="0002009E" w14:paraId="1D1FEE35" w14:textId="77777777" w:rsidTr="0002009E">
        <w:trPr>
          <w:trHeight w:val="255"/>
        </w:trPr>
        <w:tc>
          <w:tcPr>
            <w:tcW w:w="3418" w:type="pct"/>
            <w:tcBorders>
              <w:top w:val="nil"/>
              <w:left w:val="nil"/>
              <w:bottom w:val="nil"/>
              <w:right w:val="nil"/>
            </w:tcBorders>
            <w:shd w:val="clear" w:color="auto" w:fill="auto"/>
            <w:noWrap/>
            <w:vAlign w:val="bottom"/>
            <w:hideMark/>
          </w:tcPr>
          <w:p w14:paraId="5DAB5480"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p>
        </w:tc>
        <w:tc>
          <w:tcPr>
            <w:tcW w:w="765" w:type="pct"/>
            <w:tcBorders>
              <w:top w:val="nil"/>
              <w:left w:val="nil"/>
              <w:bottom w:val="nil"/>
              <w:right w:val="nil"/>
            </w:tcBorders>
            <w:shd w:val="clear" w:color="auto" w:fill="auto"/>
            <w:noWrap/>
            <w:vAlign w:val="bottom"/>
            <w:hideMark/>
          </w:tcPr>
          <w:p w14:paraId="10D5A2D2" w14:textId="77777777" w:rsidR="0002009E" w:rsidRPr="0002009E" w:rsidRDefault="0002009E" w:rsidP="0002009E">
            <w:pPr>
              <w:spacing w:after="0" w:line="240" w:lineRule="auto"/>
              <w:ind w:firstLineChars="200" w:firstLine="400"/>
              <w:rPr>
                <w:rFonts w:ascii="Times New Roman" w:eastAsia="Times New Roman" w:hAnsi="Times New Roman" w:cs="Times New Roman"/>
                <w:sz w:val="20"/>
                <w:szCs w:val="20"/>
                <w:lang w:eastAsia="pt-BR"/>
              </w:rPr>
            </w:pPr>
          </w:p>
        </w:tc>
        <w:tc>
          <w:tcPr>
            <w:tcW w:w="107" w:type="pct"/>
            <w:tcBorders>
              <w:top w:val="nil"/>
              <w:left w:val="nil"/>
              <w:bottom w:val="nil"/>
              <w:right w:val="nil"/>
            </w:tcBorders>
            <w:shd w:val="clear" w:color="auto" w:fill="auto"/>
            <w:noWrap/>
            <w:vAlign w:val="bottom"/>
            <w:hideMark/>
          </w:tcPr>
          <w:p w14:paraId="6ED4107A" w14:textId="77777777" w:rsidR="0002009E" w:rsidRPr="0002009E" w:rsidRDefault="0002009E" w:rsidP="0002009E">
            <w:pPr>
              <w:spacing w:after="0" w:line="240" w:lineRule="auto"/>
              <w:rPr>
                <w:rFonts w:ascii="Times New Roman" w:eastAsia="Times New Roman" w:hAnsi="Times New Roman" w:cs="Times New Roman"/>
                <w:sz w:val="20"/>
                <w:szCs w:val="20"/>
                <w:lang w:eastAsia="pt-BR"/>
              </w:rPr>
            </w:pPr>
          </w:p>
        </w:tc>
        <w:tc>
          <w:tcPr>
            <w:tcW w:w="709" w:type="pct"/>
            <w:tcBorders>
              <w:top w:val="nil"/>
              <w:left w:val="nil"/>
              <w:bottom w:val="nil"/>
              <w:right w:val="nil"/>
            </w:tcBorders>
            <w:shd w:val="clear" w:color="auto" w:fill="auto"/>
            <w:noWrap/>
            <w:vAlign w:val="bottom"/>
            <w:hideMark/>
          </w:tcPr>
          <w:p w14:paraId="58890F61" w14:textId="77777777" w:rsidR="0002009E" w:rsidRPr="0002009E" w:rsidRDefault="0002009E" w:rsidP="0002009E">
            <w:pPr>
              <w:spacing w:after="0" w:line="240" w:lineRule="auto"/>
              <w:rPr>
                <w:rFonts w:ascii="Times New Roman" w:eastAsia="Times New Roman" w:hAnsi="Times New Roman" w:cs="Times New Roman"/>
                <w:sz w:val="20"/>
                <w:szCs w:val="20"/>
                <w:lang w:eastAsia="pt-BR"/>
              </w:rPr>
            </w:pPr>
          </w:p>
        </w:tc>
      </w:tr>
      <w:tr w:rsidR="0002009E" w:rsidRPr="0002009E" w14:paraId="498A6749" w14:textId="77777777" w:rsidTr="0002009E">
        <w:trPr>
          <w:trHeight w:val="240"/>
        </w:trPr>
        <w:tc>
          <w:tcPr>
            <w:tcW w:w="3418" w:type="pct"/>
            <w:tcBorders>
              <w:top w:val="nil"/>
              <w:left w:val="nil"/>
              <w:bottom w:val="nil"/>
              <w:right w:val="nil"/>
            </w:tcBorders>
            <w:shd w:val="clear" w:color="auto" w:fill="auto"/>
            <w:noWrap/>
            <w:vAlign w:val="bottom"/>
            <w:hideMark/>
          </w:tcPr>
          <w:p w14:paraId="6D02254B" w14:textId="5933B57E" w:rsidR="0002009E" w:rsidRPr="0002009E" w:rsidRDefault="0002009E" w:rsidP="0002009E">
            <w:pPr>
              <w:spacing w:after="0" w:line="240" w:lineRule="auto"/>
              <w:ind w:firstLineChars="200" w:firstLine="360"/>
              <w:rPr>
                <w:rFonts w:ascii="Segoe UI" w:eastAsia="Times New Roman" w:hAnsi="Segoe UI" w:cs="Segoe UI"/>
                <w:sz w:val="18"/>
                <w:szCs w:val="18"/>
                <w:lang w:eastAsia="pt-BR"/>
              </w:rPr>
            </w:pPr>
            <w:r w:rsidRPr="0002009E">
              <w:rPr>
                <w:rFonts w:ascii="Segoe UI" w:eastAsia="Times New Roman" w:hAnsi="Segoe UI" w:cs="Segoe UI"/>
                <w:sz w:val="18"/>
                <w:szCs w:val="18"/>
                <w:lang w:eastAsia="pt-BR"/>
              </w:rPr>
              <w:t>Alíquota  -  IRPJ (15% +10% adicional) e CSLL (9%)</w:t>
            </w:r>
          </w:p>
        </w:tc>
        <w:tc>
          <w:tcPr>
            <w:tcW w:w="765" w:type="pct"/>
            <w:tcBorders>
              <w:top w:val="nil"/>
              <w:left w:val="nil"/>
              <w:bottom w:val="nil"/>
              <w:right w:val="nil"/>
            </w:tcBorders>
            <w:shd w:val="clear" w:color="auto" w:fill="auto"/>
            <w:noWrap/>
            <w:vAlign w:val="bottom"/>
            <w:hideMark/>
          </w:tcPr>
          <w:p w14:paraId="065D9760" w14:textId="77777777" w:rsidR="0002009E" w:rsidRPr="0002009E" w:rsidRDefault="0002009E" w:rsidP="0002009E">
            <w:pPr>
              <w:spacing w:after="0" w:line="240" w:lineRule="auto"/>
              <w:jc w:val="right"/>
              <w:rPr>
                <w:rFonts w:ascii="Segoe UI" w:eastAsia="Times New Roman" w:hAnsi="Segoe UI" w:cs="Segoe UI"/>
                <w:sz w:val="18"/>
                <w:szCs w:val="18"/>
                <w:lang w:eastAsia="pt-BR"/>
              </w:rPr>
            </w:pPr>
            <w:r w:rsidRPr="0002009E">
              <w:rPr>
                <w:rFonts w:ascii="Segoe UI" w:eastAsia="Times New Roman" w:hAnsi="Segoe UI" w:cs="Segoe UI"/>
                <w:sz w:val="18"/>
                <w:szCs w:val="18"/>
                <w:lang w:eastAsia="pt-BR"/>
              </w:rPr>
              <w:t>34%</w:t>
            </w:r>
          </w:p>
        </w:tc>
        <w:tc>
          <w:tcPr>
            <w:tcW w:w="107" w:type="pct"/>
            <w:tcBorders>
              <w:top w:val="nil"/>
              <w:left w:val="nil"/>
              <w:bottom w:val="nil"/>
              <w:right w:val="nil"/>
            </w:tcBorders>
            <w:shd w:val="clear" w:color="auto" w:fill="auto"/>
            <w:noWrap/>
            <w:vAlign w:val="bottom"/>
            <w:hideMark/>
          </w:tcPr>
          <w:p w14:paraId="4F84EB5B" w14:textId="77777777" w:rsidR="0002009E" w:rsidRPr="0002009E" w:rsidRDefault="0002009E" w:rsidP="0002009E">
            <w:pPr>
              <w:spacing w:after="0" w:line="240" w:lineRule="auto"/>
              <w:jc w:val="right"/>
              <w:rPr>
                <w:rFonts w:ascii="Segoe UI" w:eastAsia="Times New Roman" w:hAnsi="Segoe UI" w:cs="Segoe UI"/>
                <w:sz w:val="18"/>
                <w:szCs w:val="18"/>
                <w:lang w:eastAsia="pt-BR"/>
              </w:rPr>
            </w:pPr>
          </w:p>
        </w:tc>
        <w:tc>
          <w:tcPr>
            <w:tcW w:w="709" w:type="pct"/>
            <w:tcBorders>
              <w:top w:val="nil"/>
              <w:left w:val="nil"/>
              <w:bottom w:val="nil"/>
              <w:right w:val="nil"/>
            </w:tcBorders>
            <w:shd w:val="clear" w:color="auto" w:fill="auto"/>
            <w:noWrap/>
            <w:vAlign w:val="bottom"/>
            <w:hideMark/>
          </w:tcPr>
          <w:p w14:paraId="3945E5B7" w14:textId="77777777" w:rsidR="0002009E" w:rsidRPr="0002009E" w:rsidRDefault="0002009E" w:rsidP="0002009E">
            <w:pPr>
              <w:spacing w:after="0" w:line="240" w:lineRule="auto"/>
              <w:jc w:val="right"/>
              <w:rPr>
                <w:rFonts w:ascii="Segoe UI" w:eastAsia="Times New Roman" w:hAnsi="Segoe UI" w:cs="Segoe UI"/>
                <w:sz w:val="18"/>
                <w:szCs w:val="18"/>
                <w:lang w:eastAsia="pt-BR"/>
              </w:rPr>
            </w:pPr>
            <w:r w:rsidRPr="0002009E">
              <w:rPr>
                <w:rFonts w:ascii="Segoe UI" w:eastAsia="Times New Roman" w:hAnsi="Segoe UI" w:cs="Segoe UI"/>
                <w:sz w:val="18"/>
                <w:szCs w:val="18"/>
                <w:lang w:eastAsia="pt-BR"/>
              </w:rPr>
              <w:t>34%</w:t>
            </w:r>
          </w:p>
        </w:tc>
      </w:tr>
      <w:tr w:rsidR="0002009E" w:rsidRPr="0002009E" w14:paraId="086CB5F2" w14:textId="77777777" w:rsidTr="0002009E">
        <w:trPr>
          <w:trHeight w:val="255"/>
        </w:trPr>
        <w:tc>
          <w:tcPr>
            <w:tcW w:w="3418" w:type="pct"/>
            <w:tcBorders>
              <w:top w:val="nil"/>
              <w:left w:val="nil"/>
              <w:bottom w:val="nil"/>
              <w:right w:val="nil"/>
            </w:tcBorders>
            <w:shd w:val="clear" w:color="auto" w:fill="auto"/>
            <w:noWrap/>
            <w:vAlign w:val="bottom"/>
            <w:hideMark/>
          </w:tcPr>
          <w:p w14:paraId="5DA93223" w14:textId="526899F2" w:rsidR="0002009E" w:rsidRPr="0002009E" w:rsidRDefault="0002009E" w:rsidP="0002009E">
            <w:pPr>
              <w:spacing w:after="0" w:line="240" w:lineRule="auto"/>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Tributos correntes e diferido</w:t>
            </w:r>
          </w:p>
        </w:tc>
        <w:tc>
          <w:tcPr>
            <w:tcW w:w="765" w:type="pct"/>
            <w:tcBorders>
              <w:top w:val="single" w:sz="4" w:space="0" w:color="1B80C4"/>
              <w:left w:val="nil"/>
              <w:bottom w:val="double" w:sz="6" w:space="0" w:color="1B80C4"/>
              <w:right w:val="nil"/>
            </w:tcBorders>
            <w:shd w:val="clear" w:color="auto" w:fill="auto"/>
            <w:noWrap/>
            <w:vAlign w:val="center"/>
            <w:hideMark/>
          </w:tcPr>
          <w:p w14:paraId="3EF541A8"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 xml:space="preserve">              77.549 </w:t>
            </w:r>
          </w:p>
        </w:tc>
        <w:tc>
          <w:tcPr>
            <w:tcW w:w="107" w:type="pct"/>
            <w:tcBorders>
              <w:top w:val="nil"/>
              <w:left w:val="nil"/>
              <w:bottom w:val="nil"/>
              <w:right w:val="nil"/>
            </w:tcBorders>
            <w:shd w:val="clear" w:color="auto" w:fill="auto"/>
            <w:noWrap/>
            <w:vAlign w:val="bottom"/>
            <w:hideMark/>
          </w:tcPr>
          <w:p w14:paraId="61E494CF"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p>
        </w:tc>
        <w:tc>
          <w:tcPr>
            <w:tcW w:w="709" w:type="pct"/>
            <w:tcBorders>
              <w:top w:val="single" w:sz="4" w:space="0" w:color="1B80C4"/>
              <w:left w:val="nil"/>
              <w:bottom w:val="double" w:sz="6" w:space="0" w:color="1B80C4"/>
              <w:right w:val="nil"/>
            </w:tcBorders>
            <w:shd w:val="clear" w:color="auto" w:fill="auto"/>
            <w:noWrap/>
            <w:vAlign w:val="center"/>
            <w:hideMark/>
          </w:tcPr>
          <w:p w14:paraId="192DADAE" w14:textId="77777777" w:rsidR="0002009E" w:rsidRPr="0002009E" w:rsidRDefault="0002009E" w:rsidP="0002009E">
            <w:pPr>
              <w:spacing w:after="0" w:line="240" w:lineRule="auto"/>
              <w:jc w:val="right"/>
              <w:rPr>
                <w:rFonts w:ascii="Segoe UI" w:eastAsia="Times New Roman" w:hAnsi="Segoe UI" w:cs="Segoe UI"/>
                <w:b/>
                <w:bCs/>
                <w:sz w:val="18"/>
                <w:szCs w:val="18"/>
                <w:lang w:eastAsia="pt-BR"/>
              </w:rPr>
            </w:pPr>
            <w:r w:rsidRPr="0002009E">
              <w:rPr>
                <w:rFonts w:ascii="Segoe UI" w:eastAsia="Times New Roman" w:hAnsi="Segoe UI" w:cs="Segoe UI"/>
                <w:b/>
                <w:bCs/>
                <w:sz w:val="18"/>
                <w:szCs w:val="18"/>
                <w:lang w:eastAsia="pt-BR"/>
              </w:rPr>
              <w:t xml:space="preserve">          195.773 </w:t>
            </w:r>
          </w:p>
        </w:tc>
      </w:tr>
    </w:tbl>
    <w:p w14:paraId="0CF1AFA3" w14:textId="77777777" w:rsidR="00CD7D6F" w:rsidRDefault="00CD7D6F" w:rsidP="00CB3B07">
      <w:pPr>
        <w:spacing w:after="0"/>
        <w:jc w:val="both"/>
        <w:rPr>
          <w:rFonts w:ascii="Segoe UI" w:hAnsi="Segoe UI" w:cs="Segoe UI"/>
          <w:b/>
          <w:snapToGrid w:val="0"/>
          <w:color w:val="0070C0"/>
        </w:rPr>
      </w:pPr>
    </w:p>
    <w:p w14:paraId="1EE74152" w14:textId="4FA65AA7" w:rsidR="00AB1B53" w:rsidRPr="00A769D2" w:rsidRDefault="00A769D2" w:rsidP="00A769D2">
      <w:pPr>
        <w:jc w:val="both"/>
        <w:rPr>
          <w:rFonts w:ascii="Segoe UI" w:hAnsi="Segoe UI" w:cs="Segoe UI"/>
          <w:snapToGrid w:val="0"/>
        </w:rPr>
      </w:pPr>
      <w:r w:rsidRPr="00A769D2">
        <w:rPr>
          <w:rFonts w:ascii="Segoe UI" w:hAnsi="Segoe UI" w:cs="Segoe UI"/>
          <w:snapToGrid w:val="0"/>
        </w:rPr>
        <w:t>A E</w:t>
      </w:r>
      <w:r>
        <w:rPr>
          <w:rFonts w:ascii="Segoe UI" w:hAnsi="Segoe UI" w:cs="Segoe UI"/>
          <w:snapToGrid w:val="0"/>
        </w:rPr>
        <w:t>letronuclear</w:t>
      </w:r>
      <w:r w:rsidRPr="00A769D2">
        <w:rPr>
          <w:rFonts w:ascii="Segoe UI" w:hAnsi="Segoe UI" w:cs="Segoe UI"/>
          <w:snapToGrid w:val="0"/>
        </w:rPr>
        <w:t xml:space="preserve"> não apresenta perspectiva de lucro tributável futuro consistente e, desta forma, os créditos tributários diferidos de diferenças temporárias não são registrados nas demonstrações financeiras, os quais somam o valor de R$ 2.520.281 em 31 de dezembro de 2022</w:t>
      </w:r>
      <w:r>
        <w:rPr>
          <w:rFonts w:ascii="Segoe UI" w:hAnsi="Segoe UI" w:cs="Segoe UI"/>
          <w:snapToGrid w:val="0"/>
        </w:rPr>
        <w:t>.</w:t>
      </w:r>
    </w:p>
    <w:p w14:paraId="36B0408F" w14:textId="5FE9F480" w:rsidR="00CF5F07" w:rsidRPr="000757BC" w:rsidRDefault="00581D1F" w:rsidP="00D775C7">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9</w:t>
      </w:r>
      <w:r w:rsidR="002B1787" w:rsidRPr="000757BC">
        <w:rPr>
          <w:rFonts w:ascii="Segoe UI" w:hAnsi="Segoe UI" w:cs="Segoe UI"/>
          <w:b/>
          <w:color w:val="0070C0"/>
        </w:rPr>
        <w:t xml:space="preserve"> – ESTOQUE DE COMBUSTÍVEL NUCLEAR</w:t>
      </w:r>
    </w:p>
    <w:p w14:paraId="22A97343" w14:textId="77777777" w:rsidR="003874B9" w:rsidRPr="000757BC" w:rsidRDefault="003874B9" w:rsidP="00714B13">
      <w:pPr>
        <w:spacing w:after="0"/>
        <w:rPr>
          <w:rFonts w:ascii="Segoe UI" w:hAnsi="Segoe UI" w:cs="Segoe UI"/>
        </w:rPr>
      </w:pPr>
    </w:p>
    <w:p w14:paraId="59B7857D" w14:textId="5A49FFB3" w:rsidR="00CF5F07" w:rsidRPr="000757BC" w:rsidRDefault="00CF5F07" w:rsidP="00934C06">
      <w:pPr>
        <w:spacing w:after="0"/>
        <w:jc w:val="both"/>
        <w:rPr>
          <w:rFonts w:ascii="Segoe UI" w:hAnsi="Segoe UI" w:cs="Segoe UI"/>
          <w:snapToGrid w:val="0"/>
        </w:rPr>
      </w:pPr>
      <w:r w:rsidRPr="000757BC">
        <w:rPr>
          <w:rFonts w:ascii="Segoe UI" w:hAnsi="Segoe UI" w:cs="Segoe UI"/>
          <w:snapToGrid w:val="0"/>
        </w:rPr>
        <w:t xml:space="preserve">O combustível nuclear utilizado nas </w:t>
      </w:r>
      <w:r w:rsidR="002E7D73">
        <w:rPr>
          <w:rFonts w:ascii="Segoe UI" w:hAnsi="Segoe UI" w:cs="Segoe UI"/>
          <w:snapToGrid w:val="0"/>
        </w:rPr>
        <w:t>u</w:t>
      </w:r>
      <w:r w:rsidRPr="000757BC">
        <w:rPr>
          <w:rFonts w:ascii="Segoe UI" w:hAnsi="Segoe UI" w:cs="Segoe UI"/>
          <w:snapToGrid w:val="0"/>
        </w:rPr>
        <w:t xml:space="preserve">sinas nucleares Angra 1 </w:t>
      </w:r>
      <w:r w:rsidR="007C0256">
        <w:rPr>
          <w:rFonts w:ascii="Segoe UI" w:hAnsi="Segoe UI" w:cs="Segoe UI"/>
          <w:snapToGrid w:val="0"/>
        </w:rPr>
        <w:t>e</w:t>
      </w:r>
      <w:r w:rsidRPr="000757BC">
        <w:rPr>
          <w:rFonts w:ascii="Segoe UI" w:hAnsi="Segoe UI" w:cs="Segoe UI"/>
          <w:snapToGrid w:val="0"/>
        </w:rPr>
        <w:t xml:space="preserve"> 2 é constituído de elementos fabricados com componentes metálicos e pastilhas de urânio em seu interior. </w:t>
      </w:r>
    </w:p>
    <w:p w14:paraId="7088F66E" w14:textId="77777777" w:rsidR="003874B9" w:rsidRPr="000757BC" w:rsidRDefault="003874B9" w:rsidP="00934C06">
      <w:pPr>
        <w:spacing w:after="0"/>
        <w:jc w:val="both"/>
        <w:rPr>
          <w:rFonts w:ascii="Segoe UI" w:hAnsi="Segoe UI" w:cs="Segoe UI"/>
          <w:snapToGrid w:val="0"/>
        </w:rPr>
      </w:pPr>
    </w:p>
    <w:p w14:paraId="5162DAFD" w14:textId="77777777" w:rsidR="00CF5F07" w:rsidRPr="000757BC" w:rsidRDefault="00CF5F07" w:rsidP="00934C06">
      <w:pPr>
        <w:spacing w:after="0"/>
        <w:jc w:val="both"/>
        <w:rPr>
          <w:rFonts w:ascii="Segoe UI" w:hAnsi="Segoe UI" w:cs="Segoe UI"/>
          <w:snapToGrid w:val="0"/>
        </w:rPr>
      </w:pPr>
      <w:r w:rsidRPr="000757BC">
        <w:rPr>
          <w:rFonts w:ascii="Segoe UI" w:hAnsi="Segoe UI" w:cs="Segoe UI"/>
          <w:snapToGrid w:val="0"/>
        </w:rPr>
        <w:t xml:space="preserve">Na sua etapa inicial de formação, são adquiridos o minério de urânio e os serviços necessários à sua fabricação,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5877EDA8" w14:textId="77777777" w:rsidR="003874B9" w:rsidRPr="000757BC" w:rsidRDefault="003874B9" w:rsidP="00934C06">
      <w:pPr>
        <w:spacing w:after="0"/>
        <w:jc w:val="both"/>
        <w:rPr>
          <w:rFonts w:ascii="Segoe UI" w:hAnsi="Segoe UI" w:cs="Segoe UI"/>
          <w:snapToGrid w:val="0"/>
        </w:rPr>
      </w:pPr>
    </w:p>
    <w:p w14:paraId="0BE52664" w14:textId="268090FA" w:rsidR="00CF5F07" w:rsidRPr="000757BC" w:rsidRDefault="00CF5F07" w:rsidP="00CF5F07">
      <w:pPr>
        <w:jc w:val="both"/>
        <w:rPr>
          <w:rFonts w:ascii="Segoe UI" w:hAnsi="Segoe UI" w:cs="Segoe UI"/>
          <w:snapToGrid w:val="0"/>
        </w:rPr>
      </w:pPr>
      <w:r w:rsidRPr="000757BC">
        <w:rPr>
          <w:rFonts w:ascii="Segoe UI" w:hAnsi="Segoe UI" w:cs="Segoe UI"/>
          <w:snapToGrid w:val="0"/>
        </w:rPr>
        <w:t>A amortização do combustível nuclear ocorre pela perda do potencial de energia térmica dos elementos, que proporciona a geração de energia elétrica. A amortização não é linear, não havendo geração de energia, não há amortização.</w:t>
      </w:r>
    </w:p>
    <w:p w14:paraId="2D46810B" w14:textId="77777777" w:rsidR="0024042C" w:rsidRDefault="0024042C">
      <w:pPr>
        <w:rPr>
          <w:rFonts w:ascii="Segoe UI" w:hAnsi="Segoe UI" w:cs="Segoe UI"/>
          <w:snapToGrid w:val="0"/>
        </w:rPr>
      </w:pPr>
      <w:r>
        <w:rPr>
          <w:rFonts w:ascii="Segoe UI" w:hAnsi="Segoe UI" w:cs="Segoe UI"/>
          <w:snapToGrid w:val="0"/>
        </w:rPr>
        <w:br w:type="page"/>
      </w:r>
    </w:p>
    <w:p w14:paraId="70FE946E" w14:textId="10638F22" w:rsidR="00A978AF" w:rsidRDefault="00CF5F07" w:rsidP="001D2624">
      <w:pPr>
        <w:jc w:val="both"/>
        <w:rPr>
          <w:rFonts w:ascii="Segoe UI" w:hAnsi="Segoe UI" w:cs="Segoe UI"/>
          <w:snapToGrid w:val="0"/>
        </w:rPr>
      </w:pPr>
      <w:r w:rsidRPr="000757BC">
        <w:rPr>
          <w:rFonts w:ascii="Segoe UI" w:hAnsi="Segoe UI" w:cs="Segoe UI"/>
          <w:snapToGrid w:val="0"/>
        </w:rPr>
        <w:lastRenderedPageBreak/>
        <w:t xml:space="preserve">Abaixo, está apresentada a </w:t>
      </w:r>
      <w:r w:rsidR="0010151C" w:rsidRPr="000757BC">
        <w:rPr>
          <w:rFonts w:ascii="Segoe UI" w:hAnsi="Segoe UI" w:cs="Segoe UI"/>
          <w:snapToGrid w:val="0"/>
        </w:rPr>
        <w:t>composição</w:t>
      </w:r>
      <w:r w:rsidRPr="000757BC">
        <w:rPr>
          <w:rFonts w:ascii="Segoe UI" w:hAnsi="Segoe UI" w:cs="Segoe UI"/>
          <w:snapToGrid w:val="0"/>
        </w:rPr>
        <w:t xml:space="preserve"> do estoque de combustível nuclear destinado à operação da </w:t>
      </w:r>
      <w:r w:rsidR="002E7D73">
        <w:rPr>
          <w:rFonts w:ascii="Segoe UI" w:hAnsi="Segoe UI" w:cs="Segoe UI"/>
          <w:snapToGrid w:val="0"/>
        </w:rPr>
        <w:t>u</w:t>
      </w:r>
      <w:r w:rsidRPr="000757BC">
        <w:rPr>
          <w:rFonts w:ascii="Segoe UI" w:hAnsi="Segoe UI" w:cs="Segoe UI"/>
          <w:snapToGrid w:val="0"/>
        </w:rPr>
        <w:t>sina Angra 1 e 2:</w:t>
      </w:r>
      <w:r w:rsidR="002B1787" w:rsidRPr="000757BC">
        <w:rPr>
          <w:rFonts w:ascii="Segoe UI" w:hAnsi="Segoe UI" w:cs="Segoe UI"/>
          <w:snapToGrid w:val="0"/>
        </w:rPr>
        <w:t xml:space="preserve"> </w:t>
      </w:r>
    </w:p>
    <w:tbl>
      <w:tblPr>
        <w:tblW w:w="5000" w:type="pct"/>
        <w:tblCellMar>
          <w:left w:w="70" w:type="dxa"/>
          <w:right w:w="70" w:type="dxa"/>
        </w:tblCellMar>
        <w:tblLook w:val="04A0" w:firstRow="1" w:lastRow="0" w:firstColumn="1" w:lastColumn="0" w:noHBand="0" w:noVBand="1"/>
      </w:tblPr>
      <w:tblGrid>
        <w:gridCol w:w="6678"/>
        <w:gridCol w:w="2819"/>
      </w:tblGrid>
      <w:tr w:rsidR="00BA64EB" w:rsidRPr="00BA64EB" w14:paraId="2AB8F50B" w14:textId="77777777" w:rsidTr="00193AE4">
        <w:trPr>
          <w:trHeight w:val="29"/>
        </w:trPr>
        <w:tc>
          <w:tcPr>
            <w:tcW w:w="3516" w:type="pct"/>
            <w:tcBorders>
              <w:top w:val="nil"/>
              <w:left w:val="nil"/>
              <w:bottom w:val="nil"/>
              <w:right w:val="nil"/>
            </w:tcBorders>
            <w:shd w:val="clear" w:color="auto" w:fill="auto"/>
            <w:noWrap/>
            <w:vAlign w:val="bottom"/>
            <w:hideMark/>
          </w:tcPr>
          <w:p w14:paraId="2FDB7008" w14:textId="77777777" w:rsidR="00BA64EB" w:rsidRPr="00BA64EB" w:rsidRDefault="00BA64EB" w:rsidP="00BA64EB">
            <w:pPr>
              <w:spacing w:after="0" w:line="240" w:lineRule="auto"/>
              <w:rPr>
                <w:rFonts w:ascii="Times New Roman" w:eastAsia="Times New Roman" w:hAnsi="Times New Roman" w:cs="Times New Roman"/>
                <w:sz w:val="24"/>
                <w:szCs w:val="24"/>
                <w:lang w:eastAsia="pt-BR"/>
              </w:rPr>
            </w:pPr>
          </w:p>
        </w:tc>
        <w:tc>
          <w:tcPr>
            <w:tcW w:w="1484" w:type="pct"/>
            <w:tcBorders>
              <w:top w:val="nil"/>
              <w:left w:val="nil"/>
              <w:bottom w:val="nil"/>
              <w:right w:val="nil"/>
            </w:tcBorders>
            <w:shd w:val="clear" w:color="000000" w:fill="1B80C4"/>
            <w:noWrap/>
            <w:vAlign w:val="bottom"/>
            <w:hideMark/>
          </w:tcPr>
          <w:p w14:paraId="1065C165" w14:textId="76903DF7" w:rsidR="00BA64EB" w:rsidRPr="00BA64EB" w:rsidRDefault="00BA64EB" w:rsidP="00A4491A">
            <w:pPr>
              <w:spacing w:after="0" w:line="240" w:lineRule="auto"/>
              <w:jc w:val="center"/>
              <w:rPr>
                <w:rFonts w:ascii="Segoe UI" w:eastAsia="Times New Roman" w:hAnsi="Segoe UI" w:cs="Segoe UI"/>
                <w:b/>
                <w:bCs/>
                <w:color w:val="FFFFFF"/>
                <w:sz w:val="18"/>
                <w:szCs w:val="18"/>
                <w:lang w:eastAsia="pt-BR"/>
              </w:rPr>
            </w:pPr>
            <w:r w:rsidRPr="00BA64EB">
              <w:rPr>
                <w:rFonts w:ascii="Segoe UI" w:eastAsia="Times New Roman" w:hAnsi="Segoe UI" w:cs="Segoe UI"/>
                <w:b/>
                <w:bCs/>
                <w:color w:val="FFFFFF"/>
                <w:sz w:val="18"/>
                <w:szCs w:val="18"/>
                <w:lang w:eastAsia="pt-BR"/>
              </w:rPr>
              <w:t>Consolidado</w:t>
            </w:r>
          </w:p>
        </w:tc>
      </w:tr>
      <w:tr w:rsidR="00BA64EB" w:rsidRPr="00BA64EB" w14:paraId="6CA86882" w14:textId="77777777" w:rsidTr="00193AE4">
        <w:trPr>
          <w:trHeight w:val="29"/>
        </w:trPr>
        <w:tc>
          <w:tcPr>
            <w:tcW w:w="3516" w:type="pct"/>
            <w:tcBorders>
              <w:top w:val="nil"/>
              <w:left w:val="nil"/>
              <w:bottom w:val="nil"/>
              <w:right w:val="nil"/>
            </w:tcBorders>
            <w:shd w:val="clear" w:color="auto" w:fill="auto"/>
            <w:noWrap/>
            <w:vAlign w:val="bottom"/>
            <w:hideMark/>
          </w:tcPr>
          <w:p w14:paraId="149D6710" w14:textId="77777777" w:rsidR="00BA64EB" w:rsidRPr="00BA64EB" w:rsidRDefault="00BA64EB" w:rsidP="00BA64EB">
            <w:pPr>
              <w:spacing w:after="0" w:line="240" w:lineRule="auto"/>
              <w:jc w:val="center"/>
              <w:rPr>
                <w:rFonts w:ascii="Segoe UI" w:eastAsia="Times New Roman" w:hAnsi="Segoe UI" w:cs="Segoe UI"/>
                <w:b/>
                <w:bCs/>
                <w:color w:val="FFFFFF"/>
                <w:sz w:val="18"/>
                <w:szCs w:val="18"/>
                <w:lang w:eastAsia="pt-BR"/>
              </w:rPr>
            </w:pPr>
          </w:p>
        </w:tc>
        <w:tc>
          <w:tcPr>
            <w:tcW w:w="1484" w:type="pct"/>
            <w:tcBorders>
              <w:top w:val="single" w:sz="4" w:space="0" w:color="FFFFFF"/>
              <w:left w:val="nil"/>
              <w:bottom w:val="single" w:sz="4" w:space="0" w:color="FFFFFF"/>
              <w:right w:val="nil"/>
            </w:tcBorders>
            <w:shd w:val="clear" w:color="000000" w:fill="1B80C4"/>
            <w:noWrap/>
            <w:vAlign w:val="center"/>
            <w:hideMark/>
          </w:tcPr>
          <w:p w14:paraId="75878FE6" w14:textId="77777777" w:rsidR="00BA64EB" w:rsidRPr="00BA64EB" w:rsidRDefault="00BA64EB" w:rsidP="00A4491A">
            <w:pPr>
              <w:spacing w:after="0" w:line="240" w:lineRule="auto"/>
              <w:jc w:val="center"/>
              <w:rPr>
                <w:rFonts w:ascii="Segoe UI" w:eastAsia="Times New Roman" w:hAnsi="Segoe UI" w:cs="Segoe UI"/>
                <w:b/>
                <w:bCs/>
                <w:color w:val="FFFFFF"/>
                <w:sz w:val="18"/>
                <w:szCs w:val="18"/>
                <w:lang w:eastAsia="pt-BR"/>
              </w:rPr>
            </w:pPr>
            <w:r w:rsidRPr="00BA64EB">
              <w:rPr>
                <w:rFonts w:ascii="Segoe UI" w:eastAsia="Times New Roman" w:hAnsi="Segoe UI" w:cs="Segoe UI"/>
                <w:b/>
                <w:bCs/>
                <w:color w:val="FFFFFF"/>
                <w:sz w:val="18"/>
                <w:szCs w:val="18"/>
                <w:lang w:eastAsia="pt-BR"/>
              </w:rPr>
              <w:t>31/12/2022</w:t>
            </w:r>
          </w:p>
        </w:tc>
      </w:tr>
      <w:tr w:rsidR="00BA64EB" w:rsidRPr="00BA64EB" w14:paraId="2A1CC512" w14:textId="77777777" w:rsidTr="00193AE4">
        <w:trPr>
          <w:trHeight w:val="29"/>
        </w:trPr>
        <w:tc>
          <w:tcPr>
            <w:tcW w:w="3516" w:type="pct"/>
            <w:tcBorders>
              <w:top w:val="nil"/>
              <w:left w:val="nil"/>
              <w:bottom w:val="nil"/>
              <w:right w:val="nil"/>
            </w:tcBorders>
            <w:shd w:val="clear" w:color="auto" w:fill="auto"/>
            <w:noWrap/>
            <w:vAlign w:val="center"/>
            <w:hideMark/>
          </w:tcPr>
          <w:p w14:paraId="13BE2A1B" w14:textId="4E1C31A7" w:rsidR="00BA64EB" w:rsidRPr="00BA64EB" w:rsidRDefault="00BA64EB" w:rsidP="00BA64EB">
            <w:pPr>
              <w:spacing w:after="0" w:line="240" w:lineRule="auto"/>
              <w:rPr>
                <w:rFonts w:ascii="Segoe UI" w:eastAsia="Times New Roman" w:hAnsi="Segoe UI" w:cs="Segoe UI"/>
                <w:b/>
                <w:bCs/>
                <w:color w:val="000000"/>
                <w:sz w:val="18"/>
                <w:szCs w:val="18"/>
                <w:lang w:eastAsia="pt-BR"/>
              </w:rPr>
            </w:pPr>
            <w:r w:rsidRPr="00BA64EB">
              <w:rPr>
                <w:rFonts w:ascii="Segoe UI" w:eastAsia="Times New Roman" w:hAnsi="Segoe UI" w:cs="Segoe UI"/>
                <w:b/>
                <w:bCs/>
                <w:color w:val="000000"/>
                <w:sz w:val="18"/>
                <w:szCs w:val="18"/>
                <w:lang w:eastAsia="pt-BR"/>
              </w:rPr>
              <w:t xml:space="preserve"> </w:t>
            </w:r>
            <w:r w:rsidR="00567750">
              <w:rPr>
                <w:rFonts w:ascii="Segoe UI" w:eastAsia="Times New Roman" w:hAnsi="Segoe UI" w:cs="Segoe UI"/>
                <w:b/>
                <w:bCs/>
                <w:color w:val="000000"/>
                <w:sz w:val="18"/>
                <w:szCs w:val="18"/>
                <w:lang w:eastAsia="pt-BR"/>
              </w:rPr>
              <w:t>C</w:t>
            </w:r>
            <w:r w:rsidRPr="00BA64EB">
              <w:rPr>
                <w:rFonts w:ascii="Segoe UI" w:eastAsia="Times New Roman" w:hAnsi="Segoe UI" w:cs="Segoe UI"/>
                <w:b/>
                <w:bCs/>
                <w:color w:val="000000"/>
                <w:sz w:val="18"/>
                <w:szCs w:val="18"/>
                <w:lang w:eastAsia="pt-BR"/>
              </w:rPr>
              <w:t xml:space="preserve">irculante </w:t>
            </w:r>
          </w:p>
        </w:tc>
        <w:tc>
          <w:tcPr>
            <w:tcW w:w="1484" w:type="pct"/>
            <w:tcBorders>
              <w:top w:val="nil"/>
              <w:left w:val="nil"/>
              <w:bottom w:val="nil"/>
              <w:right w:val="nil"/>
            </w:tcBorders>
            <w:shd w:val="clear" w:color="auto" w:fill="auto"/>
            <w:noWrap/>
            <w:vAlign w:val="center"/>
            <w:hideMark/>
          </w:tcPr>
          <w:p w14:paraId="0162106D" w14:textId="77777777" w:rsidR="00BA64EB" w:rsidRPr="00BA64EB" w:rsidRDefault="00BA64EB" w:rsidP="00BA64EB">
            <w:pPr>
              <w:spacing w:after="0" w:line="240" w:lineRule="auto"/>
              <w:rPr>
                <w:rFonts w:ascii="Segoe UI" w:eastAsia="Times New Roman" w:hAnsi="Segoe UI" w:cs="Segoe UI"/>
                <w:b/>
                <w:bCs/>
                <w:color w:val="000000"/>
                <w:sz w:val="18"/>
                <w:szCs w:val="18"/>
                <w:lang w:eastAsia="pt-BR"/>
              </w:rPr>
            </w:pPr>
          </w:p>
        </w:tc>
      </w:tr>
      <w:tr w:rsidR="00BA64EB" w:rsidRPr="00BA64EB" w14:paraId="121EE6FC" w14:textId="77777777" w:rsidTr="00193AE4">
        <w:trPr>
          <w:trHeight w:val="29"/>
        </w:trPr>
        <w:tc>
          <w:tcPr>
            <w:tcW w:w="3516" w:type="pct"/>
            <w:tcBorders>
              <w:top w:val="nil"/>
              <w:left w:val="nil"/>
              <w:bottom w:val="nil"/>
              <w:right w:val="nil"/>
            </w:tcBorders>
            <w:shd w:val="clear" w:color="auto" w:fill="auto"/>
            <w:noWrap/>
            <w:vAlign w:val="center"/>
            <w:hideMark/>
          </w:tcPr>
          <w:p w14:paraId="2CC1021B" w14:textId="77777777" w:rsidR="00BA64EB" w:rsidRPr="00BA64EB" w:rsidRDefault="00BA64EB" w:rsidP="00BA64EB">
            <w:pPr>
              <w:spacing w:after="0" w:line="240" w:lineRule="auto"/>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Elementos prontos </w:t>
            </w:r>
          </w:p>
        </w:tc>
        <w:tc>
          <w:tcPr>
            <w:tcW w:w="1484" w:type="pct"/>
            <w:tcBorders>
              <w:top w:val="nil"/>
              <w:left w:val="nil"/>
              <w:bottom w:val="nil"/>
              <w:right w:val="nil"/>
            </w:tcBorders>
            <w:shd w:val="clear" w:color="auto" w:fill="auto"/>
            <w:noWrap/>
            <w:vAlign w:val="center"/>
            <w:hideMark/>
          </w:tcPr>
          <w:p w14:paraId="037A9E7E" w14:textId="77777777" w:rsidR="00BA64EB" w:rsidRPr="00BA64EB" w:rsidRDefault="00BA64EB" w:rsidP="00BA64EB">
            <w:pPr>
              <w:spacing w:after="0" w:line="240" w:lineRule="auto"/>
              <w:jc w:val="right"/>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886.415 </w:t>
            </w:r>
          </w:p>
        </w:tc>
      </w:tr>
      <w:tr w:rsidR="00BA64EB" w:rsidRPr="00BA64EB" w14:paraId="3EAF650A" w14:textId="77777777" w:rsidTr="00193AE4">
        <w:trPr>
          <w:trHeight w:val="29"/>
        </w:trPr>
        <w:tc>
          <w:tcPr>
            <w:tcW w:w="3516" w:type="pct"/>
            <w:tcBorders>
              <w:top w:val="nil"/>
              <w:left w:val="nil"/>
              <w:bottom w:val="nil"/>
              <w:right w:val="nil"/>
            </w:tcBorders>
            <w:shd w:val="clear" w:color="auto" w:fill="auto"/>
            <w:noWrap/>
            <w:vAlign w:val="center"/>
            <w:hideMark/>
          </w:tcPr>
          <w:p w14:paraId="46900AE8" w14:textId="77777777" w:rsidR="00BA64EB" w:rsidRPr="00BA64EB" w:rsidRDefault="00BA64EB" w:rsidP="00BA64EB">
            <w:pPr>
              <w:spacing w:after="0" w:line="240" w:lineRule="auto"/>
              <w:jc w:val="right"/>
              <w:rPr>
                <w:rFonts w:ascii="Segoe UI" w:eastAsia="Times New Roman" w:hAnsi="Segoe UI" w:cs="Segoe UI"/>
                <w:color w:val="000000"/>
                <w:sz w:val="18"/>
                <w:szCs w:val="18"/>
                <w:lang w:eastAsia="pt-BR"/>
              </w:rPr>
            </w:pPr>
          </w:p>
        </w:tc>
        <w:tc>
          <w:tcPr>
            <w:tcW w:w="1484" w:type="pct"/>
            <w:tcBorders>
              <w:top w:val="single" w:sz="4" w:space="0" w:color="1B80C4"/>
              <w:left w:val="nil"/>
              <w:bottom w:val="nil"/>
              <w:right w:val="nil"/>
            </w:tcBorders>
            <w:shd w:val="clear" w:color="auto" w:fill="auto"/>
            <w:noWrap/>
            <w:vAlign w:val="center"/>
            <w:hideMark/>
          </w:tcPr>
          <w:p w14:paraId="1EFF2EB4" w14:textId="77777777" w:rsidR="00BA64EB" w:rsidRPr="00BA64EB" w:rsidRDefault="00BA64EB" w:rsidP="00BA64EB">
            <w:pPr>
              <w:spacing w:after="0" w:line="240" w:lineRule="auto"/>
              <w:jc w:val="right"/>
              <w:rPr>
                <w:rFonts w:ascii="Segoe UI" w:eastAsia="Times New Roman" w:hAnsi="Segoe UI" w:cs="Segoe UI"/>
                <w:b/>
                <w:bCs/>
                <w:color w:val="000000"/>
                <w:sz w:val="18"/>
                <w:szCs w:val="18"/>
                <w:lang w:eastAsia="pt-BR"/>
              </w:rPr>
            </w:pPr>
            <w:r w:rsidRPr="00BA64EB">
              <w:rPr>
                <w:rFonts w:ascii="Segoe UI" w:eastAsia="Times New Roman" w:hAnsi="Segoe UI" w:cs="Segoe UI"/>
                <w:b/>
                <w:bCs/>
                <w:color w:val="000000"/>
                <w:sz w:val="18"/>
                <w:szCs w:val="18"/>
                <w:lang w:eastAsia="pt-BR"/>
              </w:rPr>
              <w:t xml:space="preserve">                           886.415 </w:t>
            </w:r>
          </w:p>
        </w:tc>
      </w:tr>
      <w:tr w:rsidR="00BA64EB" w:rsidRPr="00BA64EB" w14:paraId="5976AFD1" w14:textId="77777777" w:rsidTr="00193AE4">
        <w:trPr>
          <w:trHeight w:val="29"/>
        </w:trPr>
        <w:tc>
          <w:tcPr>
            <w:tcW w:w="3516" w:type="pct"/>
            <w:tcBorders>
              <w:top w:val="nil"/>
              <w:left w:val="nil"/>
              <w:bottom w:val="nil"/>
              <w:right w:val="nil"/>
            </w:tcBorders>
            <w:shd w:val="clear" w:color="auto" w:fill="auto"/>
            <w:noWrap/>
            <w:vAlign w:val="center"/>
            <w:hideMark/>
          </w:tcPr>
          <w:p w14:paraId="69C40C91" w14:textId="5AEA36A7" w:rsidR="00BA64EB" w:rsidRPr="00BA64EB" w:rsidRDefault="00BA64EB" w:rsidP="00BA64EB">
            <w:pPr>
              <w:spacing w:after="0" w:line="240" w:lineRule="auto"/>
              <w:rPr>
                <w:rFonts w:ascii="Segoe UI" w:eastAsia="Times New Roman" w:hAnsi="Segoe UI" w:cs="Segoe UI"/>
                <w:b/>
                <w:bCs/>
                <w:color w:val="000000"/>
                <w:sz w:val="18"/>
                <w:szCs w:val="18"/>
                <w:lang w:eastAsia="pt-BR"/>
              </w:rPr>
            </w:pPr>
            <w:r w:rsidRPr="00BA64EB">
              <w:rPr>
                <w:rFonts w:ascii="Segoe UI" w:eastAsia="Times New Roman" w:hAnsi="Segoe UI" w:cs="Segoe UI"/>
                <w:b/>
                <w:bCs/>
                <w:color w:val="000000"/>
                <w:sz w:val="18"/>
                <w:szCs w:val="18"/>
                <w:lang w:eastAsia="pt-BR"/>
              </w:rPr>
              <w:t xml:space="preserve"> </w:t>
            </w:r>
            <w:r w:rsidR="00567750">
              <w:rPr>
                <w:rFonts w:ascii="Segoe UI" w:eastAsia="Times New Roman" w:hAnsi="Segoe UI" w:cs="Segoe UI"/>
                <w:b/>
                <w:bCs/>
                <w:color w:val="000000"/>
                <w:sz w:val="18"/>
                <w:szCs w:val="18"/>
                <w:lang w:eastAsia="pt-BR"/>
              </w:rPr>
              <w:t>N</w:t>
            </w:r>
            <w:r w:rsidRPr="00BA64EB">
              <w:rPr>
                <w:rFonts w:ascii="Segoe UI" w:eastAsia="Times New Roman" w:hAnsi="Segoe UI" w:cs="Segoe UI"/>
                <w:b/>
                <w:bCs/>
                <w:color w:val="000000"/>
                <w:sz w:val="18"/>
                <w:szCs w:val="18"/>
                <w:lang w:eastAsia="pt-BR"/>
              </w:rPr>
              <w:t xml:space="preserve">ão circulante </w:t>
            </w:r>
          </w:p>
        </w:tc>
        <w:tc>
          <w:tcPr>
            <w:tcW w:w="1484" w:type="pct"/>
            <w:tcBorders>
              <w:top w:val="nil"/>
              <w:left w:val="nil"/>
              <w:bottom w:val="nil"/>
              <w:right w:val="nil"/>
            </w:tcBorders>
            <w:shd w:val="clear" w:color="auto" w:fill="auto"/>
            <w:noWrap/>
            <w:vAlign w:val="center"/>
            <w:hideMark/>
          </w:tcPr>
          <w:p w14:paraId="21231203" w14:textId="77777777" w:rsidR="00BA64EB" w:rsidRPr="00BA64EB" w:rsidRDefault="00BA64EB" w:rsidP="00BA64EB">
            <w:pPr>
              <w:spacing w:after="0" w:line="240" w:lineRule="auto"/>
              <w:rPr>
                <w:rFonts w:ascii="Segoe UI" w:eastAsia="Times New Roman" w:hAnsi="Segoe UI" w:cs="Segoe UI"/>
                <w:b/>
                <w:bCs/>
                <w:color w:val="000000"/>
                <w:sz w:val="18"/>
                <w:szCs w:val="18"/>
                <w:lang w:eastAsia="pt-BR"/>
              </w:rPr>
            </w:pPr>
          </w:p>
        </w:tc>
      </w:tr>
      <w:tr w:rsidR="00BA64EB" w:rsidRPr="00BA64EB" w14:paraId="01F7D469" w14:textId="77777777" w:rsidTr="00193AE4">
        <w:trPr>
          <w:trHeight w:val="29"/>
        </w:trPr>
        <w:tc>
          <w:tcPr>
            <w:tcW w:w="3516" w:type="pct"/>
            <w:tcBorders>
              <w:top w:val="nil"/>
              <w:left w:val="nil"/>
              <w:bottom w:val="nil"/>
              <w:right w:val="nil"/>
            </w:tcBorders>
            <w:shd w:val="clear" w:color="auto" w:fill="auto"/>
            <w:noWrap/>
            <w:vAlign w:val="center"/>
            <w:hideMark/>
          </w:tcPr>
          <w:p w14:paraId="3943BDA4" w14:textId="77777777" w:rsidR="00BA64EB" w:rsidRPr="00BA64EB" w:rsidRDefault="00BA64EB" w:rsidP="00BA64EB">
            <w:pPr>
              <w:spacing w:after="0" w:line="240" w:lineRule="auto"/>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Elementos prontos bruto </w:t>
            </w:r>
          </w:p>
        </w:tc>
        <w:tc>
          <w:tcPr>
            <w:tcW w:w="1484" w:type="pct"/>
            <w:tcBorders>
              <w:top w:val="nil"/>
              <w:left w:val="nil"/>
              <w:bottom w:val="nil"/>
              <w:right w:val="nil"/>
            </w:tcBorders>
            <w:shd w:val="clear" w:color="auto" w:fill="auto"/>
            <w:noWrap/>
            <w:vAlign w:val="center"/>
            <w:hideMark/>
          </w:tcPr>
          <w:p w14:paraId="76CF18D0" w14:textId="77777777" w:rsidR="00BA64EB" w:rsidRPr="00BA64EB" w:rsidRDefault="00BA64EB" w:rsidP="00BA64EB">
            <w:pPr>
              <w:spacing w:after="0" w:line="240" w:lineRule="auto"/>
              <w:jc w:val="right"/>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748.796 </w:t>
            </w:r>
          </w:p>
        </w:tc>
      </w:tr>
      <w:tr w:rsidR="00BA64EB" w:rsidRPr="00BA64EB" w14:paraId="2CF27FA6" w14:textId="77777777" w:rsidTr="00193AE4">
        <w:trPr>
          <w:trHeight w:val="29"/>
        </w:trPr>
        <w:tc>
          <w:tcPr>
            <w:tcW w:w="3516" w:type="pct"/>
            <w:tcBorders>
              <w:top w:val="nil"/>
              <w:left w:val="nil"/>
              <w:bottom w:val="nil"/>
              <w:right w:val="nil"/>
            </w:tcBorders>
            <w:shd w:val="clear" w:color="auto" w:fill="auto"/>
            <w:noWrap/>
            <w:vAlign w:val="center"/>
            <w:hideMark/>
          </w:tcPr>
          <w:p w14:paraId="1B9C628A" w14:textId="77777777" w:rsidR="00BA64EB" w:rsidRPr="00BA64EB" w:rsidRDefault="00BA64EB" w:rsidP="00BA64EB">
            <w:pPr>
              <w:spacing w:after="0" w:line="240" w:lineRule="auto"/>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Concentrado de urânio </w:t>
            </w:r>
          </w:p>
        </w:tc>
        <w:tc>
          <w:tcPr>
            <w:tcW w:w="1484" w:type="pct"/>
            <w:tcBorders>
              <w:top w:val="nil"/>
              <w:left w:val="nil"/>
              <w:bottom w:val="nil"/>
              <w:right w:val="nil"/>
            </w:tcBorders>
            <w:shd w:val="clear" w:color="auto" w:fill="auto"/>
            <w:noWrap/>
            <w:vAlign w:val="center"/>
            <w:hideMark/>
          </w:tcPr>
          <w:p w14:paraId="597D09EC" w14:textId="77777777" w:rsidR="00BA64EB" w:rsidRPr="00BA64EB" w:rsidRDefault="00BA64EB" w:rsidP="00BA64EB">
            <w:pPr>
              <w:spacing w:after="0" w:line="240" w:lineRule="auto"/>
              <w:jc w:val="right"/>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513.218 </w:t>
            </w:r>
          </w:p>
        </w:tc>
      </w:tr>
      <w:tr w:rsidR="00BA64EB" w:rsidRPr="00BA64EB" w14:paraId="409E5AEF" w14:textId="77777777" w:rsidTr="00193AE4">
        <w:trPr>
          <w:trHeight w:val="29"/>
        </w:trPr>
        <w:tc>
          <w:tcPr>
            <w:tcW w:w="3516" w:type="pct"/>
            <w:tcBorders>
              <w:top w:val="nil"/>
              <w:left w:val="nil"/>
              <w:bottom w:val="nil"/>
              <w:right w:val="nil"/>
            </w:tcBorders>
            <w:shd w:val="clear" w:color="auto" w:fill="auto"/>
            <w:noWrap/>
            <w:vAlign w:val="center"/>
            <w:hideMark/>
          </w:tcPr>
          <w:p w14:paraId="6E17BFC5" w14:textId="77777777" w:rsidR="00BA64EB" w:rsidRPr="00BA64EB" w:rsidRDefault="00BA64EB" w:rsidP="00BA64EB">
            <w:pPr>
              <w:spacing w:after="0" w:line="240" w:lineRule="auto"/>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Serviços em curso </w:t>
            </w:r>
          </w:p>
        </w:tc>
        <w:tc>
          <w:tcPr>
            <w:tcW w:w="1484" w:type="pct"/>
            <w:tcBorders>
              <w:top w:val="nil"/>
              <w:left w:val="nil"/>
              <w:bottom w:val="nil"/>
              <w:right w:val="nil"/>
            </w:tcBorders>
            <w:shd w:val="clear" w:color="auto" w:fill="auto"/>
            <w:noWrap/>
            <w:vAlign w:val="center"/>
            <w:hideMark/>
          </w:tcPr>
          <w:p w14:paraId="2024D8D0" w14:textId="77777777" w:rsidR="00BA64EB" w:rsidRPr="00BA64EB" w:rsidRDefault="00BA64EB" w:rsidP="00BA64EB">
            <w:pPr>
              <w:spacing w:after="0" w:line="240" w:lineRule="auto"/>
              <w:jc w:val="right"/>
              <w:rPr>
                <w:rFonts w:ascii="Segoe UI" w:eastAsia="Times New Roman" w:hAnsi="Segoe UI" w:cs="Segoe UI"/>
                <w:color w:val="000000"/>
                <w:sz w:val="18"/>
                <w:szCs w:val="18"/>
                <w:lang w:eastAsia="pt-BR"/>
              </w:rPr>
            </w:pPr>
            <w:r w:rsidRPr="00BA64EB">
              <w:rPr>
                <w:rFonts w:ascii="Segoe UI" w:eastAsia="Times New Roman" w:hAnsi="Segoe UI" w:cs="Segoe UI"/>
                <w:color w:val="000000"/>
                <w:sz w:val="18"/>
                <w:szCs w:val="18"/>
                <w:lang w:eastAsia="pt-BR"/>
              </w:rPr>
              <w:t xml:space="preserve">                             630.872 </w:t>
            </w:r>
          </w:p>
        </w:tc>
      </w:tr>
      <w:tr w:rsidR="00BA64EB" w:rsidRPr="00BA64EB" w14:paraId="2E030957" w14:textId="77777777" w:rsidTr="00193AE4">
        <w:trPr>
          <w:trHeight w:val="29"/>
        </w:trPr>
        <w:tc>
          <w:tcPr>
            <w:tcW w:w="3516" w:type="pct"/>
            <w:tcBorders>
              <w:top w:val="nil"/>
              <w:left w:val="nil"/>
              <w:bottom w:val="nil"/>
              <w:right w:val="nil"/>
            </w:tcBorders>
            <w:shd w:val="clear" w:color="auto" w:fill="auto"/>
            <w:noWrap/>
            <w:vAlign w:val="center"/>
            <w:hideMark/>
          </w:tcPr>
          <w:p w14:paraId="16136595" w14:textId="77777777" w:rsidR="00BA64EB" w:rsidRPr="00BA64EB" w:rsidRDefault="00BA64EB" w:rsidP="00BA64EB">
            <w:pPr>
              <w:spacing w:after="0" w:line="240" w:lineRule="auto"/>
              <w:jc w:val="right"/>
              <w:rPr>
                <w:rFonts w:ascii="Segoe UI" w:eastAsia="Times New Roman" w:hAnsi="Segoe UI" w:cs="Segoe UI"/>
                <w:color w:val="000000"/>
                <w:sz w:val="18"/>
                <w:szCs w:val="18"/>
                <w:lang w:eastAsia="pt-BR"/>
              </w:rPr>
            </w:pPr>
          </w:p>
        </w:tc>
        <w:tc>
          <w:tcPr>
            <w:tcW w:w="1484" w:type="pct"/>
            <w:tcBorders>
              <w:top w:val="single" w:sz="4" w:space="0" w:color="1B80C4"/>
              <w:left w:val="nil"/>
              <w:bottom w:val="nil"/>
              <w:right w:val="nil"/>
            </w:tcBorders>
            <w:shd w:val="clear" w:color="auto" w:fill="auto"/>
            <w:noWrap/>
            <w:vAlign w:val="center"/>
            <w:hideMark/>
          </w:tcPr>
          <w:p w14:paraId="012CC80B" w14:textId="77777777" w:rsidR="00BA64EB" w:rsidRPr="00BA64EB" w:rsidRDefault="00BA64EB" w:rsidP="00BA64EB">
            <w:pPr>
              <w:spacing w:after="0" w:line="240" w:lineRule="auto"/>
              <w:jc w:val="right"/>
              <w:rPr>
                <w:rFonts w:ascii="Segoe UI" w:eastAsia="Times New Roman" w:hAnsi="Segoe UI" w:cs="Segoe UI"/>
                <w:b/>
                <w:bCs/>
                <w:color w:val="000000"/>
                <w:sz w:val="18"/>
                <w:szCs w:val="18"/>
                <w:lang w:eastAsia="pt-BR"/>
              </w:rPr>
            </w:pPr>
            <w:r w:rsidRPr="00BA64EB">
              <w:rPr>
                <w:rFonts w:ascii="Segoe UI" w:eastAsia="Times New Roman" w:hAnsi="Segoe UI" w:cs="Segoe UI"/>
                <w:b/>
                <w:bCs/>
                <w:color w:val="000000"/>
                <w:sz w:val="18"/>
                <w:szCs w:val="18"/>
                <w:lang w:eastAsia="pt-BR"/>
              </w:rPr>
              <w:t xml:space="preserve">                       1.892.886 </w:t>
            </w:r>
          </w:p>
        </w:tc>
      </w:tr>
      <w:tr w:rsidR="00BA64EB" w:rsidRPr="00BA64EB" w14:paraId="5423EC5D" w14:textId="77777777" w:rsidTr="00193AE4">
        <w:trPr>
          <w:trHeight w:val="29"/>
        </w:trPr>
        <w:tc>
          <w:tcPr>
            <w:tcW w:w="3516" w:type="pct"/>
            <w:tcBorders>
              <w:top w:val="nil"/>
              <w:left w:val="nil"/>
              <w:bottom w:val="nil"/>
              <w:right w:val="nil"/>
            </w:tcBorders>
            <w:shd w:val="clear" w:color="auto" w:fill="auto"/>
            <w:noWrap/>
            <w:vAlign w:val="bottom"/>
            <w:hideMark/>
          </w:tcPr>
          <w:p w14:paraId="458A230D" w14:textId="77777777" w:rsidR="00BA64EB" w:rsidRPr="00BA64EB" w:rsidRDefault="00BA64EB" w:rsidP="00BA64EB">
            <w:pPr>
              <w:spacing w:after="0" w:line="240" w:lineRule="auto"/>
              <w:jc w:val="right"/>
              <w:rPr>
                <w:rFonts w:ascii="Segoe UI" w:eastAsia="Times New Roman" w:hAnsi="Segoe UI" w:cs="Segoe UI"/>
                <w:b/>
                <w:bCs/>
                <w:color w:val="000000"/>
                <w:sz w:val="18"/>
                <w:szCs w:val="18"/>
                <w:lang w:eastAsia="pt-BR"/>
              </w:rPr>
            </w:pPr>
          </w:p>
        </w:tc>
        <w:tc>
          <w:tcPr>
            <w:tcW w:w="1484" w:type="pct"/>
            <w:tcBorders>
              <w:top w:val="nil"/>
              <w:left w:val="nil"/>
              <w:bottom w:val="nil"/>
              <w:right w:val="nil"/>
            </w:tcBorders>
            <w:shd w:val="clear" w:color="auto" w:fill="auto"/>
            <w:noWrap/>
            <w:vAlign w:val="bottom"/>
            <w:hideMark/>
          </w:tcPr>
          <w:p w14:paraId="5F6F83E6" w14:textId="77777777" w:rsidR="00BA64EB" w:rsidRPr="00BA64EB" w:rsidRDefault="00BA64EB" w:rsidP="00BA64EB">
            <w:pPr>
              <w:spacing w:after="0" w:line="240" w:lineRule="auto"/>
              <w:rPr>
                <w:rFonts w:ascii="Times New Roman" w:eastAsia="Times New Roman" w:hAnsi="Times New Roman" w:cs="Times New Roman"/>
                <w:sz w:val="20"/>
                <w:szCs w:val="20"/>
                <w:lang w:eastAsia="pt-BR"/>
              </w:rPr>
            </w:pPr>
          </w:p>
        </w:tc>
      </w:tr>
      <w:tr w:rsidR="00BA64EB" w:rsidRPr="00BA64EB" w14:paraId="7E7B4851" w14:textId="77777777" w:rsidTr="00193AE4">
        <w:trPr>
          <w:trHeight w:val="29"/>
        </w:trPr>
        <w:tc>
          <w:tcPr>
            <w:tcW w:w="3516" w:type="pct"/>
            <w:tcBorders>
              <w:top w:val="nil"/>
              <w:left w:val="nil"/>
              <w:bottom w:val="nil"/>
              <w:right w:val="nil"/>
            </w:tcBorders>
            <w:shd w:val="clear" w:color="auto" w:fill="auto"/>
            <w:noWrap/>
            <w:vAlign w:val="bottom"/>
            <w:hideMark/>
          </w:tcPr>
          <w:p w14:paraId="012F9583" w14:textId="77777777" w:rsidR="00BA64EB" w:rsidRPr="00BA64EB" w:rsidRDefault="00BA64EB" w:rsidP="00BA64EB">
            <w:pPr>
              <w:spacing w:after="0" w:line="240" w:lineRule="auto"/>
              <w:rPr>
                <w:rFonts w:ascii="Times New Roman" w:eastAsia="Times New Roman" w:hAnsi="Times New Roman" w:cs="Times New Roman"/>
                <w:sz w:val="20"/>
                <w:szCs w:val="20"/>
                <w:lang w:eastAsia="pt-BR"/>
              </w:rPr>
            </w:pPr>
          </w:p>
        </w:tc>
        <w:tc>
          <w:tcPr>
            <w:tcW w:w="1484" w:type="pct"/>
            <w:tcBorders>
              <w:top w:val="single" w:sz="4" w:space="0" w:color="1B80C4"/>
              <w:left w:val="nil"/>
              <w:bottom w:val="double" w:sz="6" w:space="0" w:color="1B80C4"/>
              <w:right w:val="nil"/>
            </w:tcBorders>
            <w:shd w:val="clear" w:color="auto" w:fill="auto"/>
            <w:noWrap/>
            <w:vAlign w:val="center"/>
            <w:hideMark/>
          </w:tcPr>
          <w:p w14:paraId="19878162" w14:textId="77777777" w:rsidR="00BA64EB" w:rsidRPr="00BA64EB" w:rsidRDefault="00BA64EB" w:rsidP="00BA64EB">
            <w:pPr>
              <w:spacing w:after="0" w:line="240" w:lineRule="auto"/>
              <w:jc w:val="right"/>
              <w:rPr>
                <w:rFonts w:ascii="Segoe UI" w:eastAsia="Times New Roman" w:hAnsi="Segoe UI" w:cs="Segoe UI"/>
                <w:b/>
                <w:bCs/>
                <w:color w:val="000000"/>
                <w:sz w:val="18"/>
                <w:szCs w:val="18"/>
                <w:lang w:eastAsia="pt-BR"/>
              </w:rPr>
            </w:pPr>
            <w:r w:rsidRPr="00BA64EB">
              <w:rPr>
                <w:rFonts w:ascii="Segoe UI" w:eastAsia="Times New Roman" w:hAnsi="Segoe UI" w:cs="Segoe UI"/>
                <w:b/>
                <w:bCs/>
                <w:color w:val="000000"/>
                <w:sz w:val="18"/>
                <w:szCs w:val="18"/>
                <w:lang w:eastAsia="pt-BR"/>
              </w:rPr>
              <w:t xml:space="preserve">                       2.779.301 </w:t>
            </w:r>
          </w:p>
        </w:tc>
      </w:tr>
    </w:tbl>
    <w:p w14:paraId="50316561" w14:textId="1F8547B0" w:rsidR="00767F55" w:rsidRDefault="00767F55">
      <w:pPr>
        <w:rPr>
          <w:rFonts w:ascii="Segoe UI" w:hAnsi="Segoe UI" w:cs="Segoe UI"/>
          <w:snapToGrid w:val="0"/>
        </w:rPr>
      </w:pPr>
    </w:p>
    <w:p w14:paraId="39B4AFA3" w14:textId="387A54A9" w:rsidR="008E1C69" w:rsidRDefault="007364BB" w:rsidP="008D441B">
      <w:pPr>
        <w:tabs>
          <w:tab w:val="left" w:pos="567"/>
          <w:tab w:val="left" w:pos="1134"/>
          <w:tab w:val="left" w:pos="1701"/>
          <w:tab w:val="left" w:pos="2268"/>
          <w:tab w:val="left" w:pos="2835"/>
        </w:tabs>
        <w:jc w:val="both"/>
        <w:outlineLvl w:val="0"/>
        <w:rPr>
          <w:rFonts w:ascii="Segoe UI" w:hAnsi="Segoe UI" w:cs="Segoe UI"/>
          <w:b/>
          <w:color w:val="0070C0"/>
        </w:rPr>
      </w:pPr>
      <w:r w:rsidRPr="00C2090A">
        <w:rPr>
          <w:rFonts w:ascii="Segoe UI" w:hAnsi="Segoe UI" w:cs="Segoe UI"/>
          <w:b/>
          <w:color w:val="0070C0"/>
        </w:rPr>
        <w:t>10</w:t>
      </w:r>
      <w:r w:rsidR="003A6C4B" w:rsidRPr="00482C5E">
        <w:rPr>
          <w:rFonts w:ascii="Segoe UI" w:hAnsi="Segoe UI"/>
          <w:b/>
          <w:color w:val="1B80C4"/>
        </w:rPr>
        <w:t xml:space="preserve"> </w:t>
      </w:r>
      <w:r w:rsidR="003A6C4B" w:rsidRPr="001444E0">
        <w:rPr>
          <w:rFonts w:ascii="Segoe UI" w:hAnsi="Segoe UI" w:cs="Segoe UI"/>
          <w:b/>
          <w:color w:val="1B80C4"/>
        </w:rPr>
        <w:t>–</w:t>
      </w:r>
      <w:r w:rsidR="003A6C4B" w:rsidRPr="00482C5E">
        <w:rPr>
          <w:rFonts w:ascii="Segoe UI" w:hAnsi="Segoe UI"/>
          <w:b/>
          <w:color w:val="1B80C4"/>
        </w:rPr>
        <w:t xml:space="preserve"> </w:t>
      </w:r>
      <w:r w:rsidRPr="00C2090A">
        <w:rPr>
          <w:rFonts w:ascii="Segoe UI" w:hAnsi="Segoe UI" w:cs="Segoe UI"/>
          <w:b/>
          <w:color w:val="0070C0"/>
        </w:rPr>
        <w:t>OUTROS</w:t>
      </w:r>
      <w:r w:rsidRPr="000757BC">
        <w:rPr>
          <w:rFonts w:ascii="Segoe UI" w:hAnsi="Segoe UI" w:cs="Segoe UI"/>
          <w:b/>
          <w:color w:val="0070C0"/>
        </w:rPr>
        <w:t xml:space="preserve"> </w:t>
      </w:r>
      <w:r w:rsidR="007B24A5">
        <w:rPr>
          <w:rFonts w:ascii="Segoe UI" w:hAnsi="Segoe UI" w:cs="Segoe UI"/>
          <w:b/>
          <w:color w:val="0070C0"/>
        </w:rPr>
        <w:t xml:space="preserve"> </w:t>
      </w:r>
    </w:p>
    <w:p w14:paraId="59287C96" w14:textId="313168DD" w:rsidR="006D433E" w:rsidRPr="00D04BFD" w:rsidRDefault="006D433E" w:rsidP="00D04BFD">
      <w:pPr>
        <w:jc w:val="both"/>
        <w:rPr>
          <w:rFonts w:ascii="Segoe UI" w:hAnsi="Segoe UI" w:cs="Segoe UI"/>
          <w:b/>
          <w:color w:val="0070C0"/>
          <w:bdr w:val="nil"/>
        </w:rPr>
      </w:pPr>
      <w:r w:rsidRPr="00D04BFD">
        <w:rPr>
          <w:rFonts w:ascii="Segoe UI" w:hAnsi="Segoe UI" w:cs="Segoe UI"/>
          <w:b/>
          <w:color w:val="0070C0"/>
          <w:bdr w:val="nil"/>
        </w:rPr>
        <w:t>10.1 – Outros Ativos</w:t>
      </w:r>
    </w:p>
    <w:tbl>
      <w:tblPr>
        <w:tblW w:w="5000" w:type="pct"/>
        <w:tblCellMar>
          <w:left w:w="70" w:type="dxa"/>
          <w:right w:w="70" w:type="dxa"/>
        </w:tblCellMar>
        <w:tblLook w:val="04A0" w:firstRow="1" w:lastRow="0" w:firstColumn="1" w:lastColumn="0" w:noHBand="0" w:noVBand="1"/>
      </w:tblPr>
      <w:tblGrid>
        <w:gridCol w:w="5020"/>
        <w:gridCol w:w="2086"/>
        <w:gridCol w:w="313"/>
        <w:gridCol w:w="2078"/>
      </w:tblGrid>
      <w:tr w:rsidR="00C376B7" w:rsidRPr="00C376B7" w14:paraId="694221FC" w14:textId="77777777" w:rsidTr="00C376B7">
        <w:trPr>
          <w:trHeight w:val="240"/>
        </w:trPr>
        <w:tc>
          <w:tcPr>
            <w:tcW w:w="2643" w:type="pct"/>
            <w:tcBorders>
              <w:top w:val="nil"/>
              <w:left w:val="nil"/>
              <w:bottom w:val="nil"/>
              <w:right w:val="nil"/>
            </w:tcBorders>
            <w:shd w:val="clear" w:color="auto" w:fill="auto"/>
            <w:noWrap/>
            <w:vAlign w:val="bottom"/>
            <w:hideMark/>
          </w:tcPr>
          <w:p w14:paraId="12A8CEC9" w14:textId="77777777" w:rsidR="00C376B7" w:rsidRPr="00C376B7" w:rsidRDefault="00C376B7" w:rsidP="00C376B7">
            <w:pPr>
              <w:spacing w:after="0" w:line="240" w:lineRule="auto"/>
              <w:rPr>
                <w:rFonts w:ascii="Times New Roman" w:eastAsia="Times New Roman" w:hAnsi="Times New Roman" w:cs="Times New Roman"/>
                <w:sz w:val="24"/>
                <w:szCs w:val="24"/>
                <w:lang w:eastAsia="pt-BR"/>
              </w:rPr>
            </w:pPr>
          </w:p>
        </w:tc>
        <w:tc>
          <w:tcPr>
            <w:tcW w:w="1098" w:type="pct"/>
            <w:tcBorders>
              <w:top w:val="nil"/>
              <w:left w:val="nil"/>
              <w:bottom w:val="nil"/>
              <w:right w:val="nil"/>
            </w:tcBorders>
            <w:shd w:val="clear" w:color="000000" w:fill="1B80C4"/>
            <w:noWrap/>
            <w:vAlign w:val="bottom"/>
            <w:hideMark/>
          </w:tcPr>
          <w:p w14:paraId="7111A412" w14:textId="38C4D0DD" w:rsidR="00C376B7" w:rsidRPr="00C376B7" w:rsidRDefault="00C376B7" w:rsidP="007A0CF6">
            <w:pPr>
              <w:spacing w:after="0" w:line="240" w:lineRule="auto"/>
              <w:jc w:val="center"/>
              <w:rPr>
                <w:rFonts w:ascii="Segoe UI" w:eastAsia="Times New Roman" w:hAnsi="Segoe UI" w:cs="Segoe UI"/>
                <w:b/>
                <w:bCs/>
                <w:color w:val="FFFFFF"/>
                <w:sz w:val="18"/>
                <w:szCs w:val="18"/>
                <w:lang w:eastAsia="pt-BR"/>
              </w:rPr>
            </w:pPr>
            <w:r w:rsidRPr="00C376B7">
              <w:rPr>
                <w:rFonts w:ascii="Segoe UI" w:eastAsia="Times New Roman" w:hAnsi="Segoe UI" w:cs="Segoe UI"/>
                <w:b/>
                <w:bCs/>
                <w:color w:val="FFFFFF"/>
                <w:sz w:val="18"/>
                <w:szCs w:val="18"/>
                <w:lang w:eastAsia="pt-BR"/>
              </w:rPr>
              <w:t>Controladora</w:t>
            </w:r>
          </w:p>
        </w:tc>
        <w:tc>
          <w:tcPr>
            <w:tcW w:w="165" w:type="pct"/>
            <w:tcBorders>
              <w:top w:val="nil"/>
              <w:left w:val="nil"/>
              <w:bottom w:val="nil"/>
              <w:right w:val="nil"/>
            </w:tcBorders>
            <w:shd w:val="clear" w:color="000000" w:fill="1B80C4"/>
            <w:noWrap/>
            <w:vAlign w:val="bottom"/>
            <w:hideMark/>
          </w:tcPr>
          <w:p w14:paraId="4CD04970" w14:textId="718D91F0" w:rsidR="00C376B7" w:rsidRPr="00C376B7" w:rsidRDefault="00C376B7" w:rsidP="007A0CF6">
            <w:pPr>
              <w:spacing w:after="0" w:line="240" w:lineRule="auto"/>
              <w:jc w:val="center"/>
              <w:rPr>
                <w:rFonts w:ascii="Segoe UI" w:eastAsia="Times New Roman" w:hAnsi="Segoe UI" w:cs="Segoe UI"/>
                <w:b/>
                <w:bCs/>
                <w:color w:val="FFFFFF"/>
                <w:sz w:val="18"/>
                <w:szCs w:val="18"/>
                <w:lang w:eastAsia="pt-BR"/>
              </w:rPr>
            </w:pPr>
          </w:p>
        </w:tc>
        <w:tc>
          <w:tcPr>
            <w:tcW w:w="1094" w:type="pct"/>
            <w:tcBorders>
              <w:top w:val="nil"/>
              <w:left w:val="nil"/>
              <w:bottom w:val="nil"/>
              <w:right w:val="nil"/>
            </w:tcBorders>
            <w:shd w:val="clear" w:color="000000" w:fill="1B80C4"/>
            <w:noWrap/>
            <w:vAlign w:val="bottom"/>
            <w:hideMark/>
          </w:tcPr>
          <w:p w14:paraId="6D9E341D" w14:textId="195C3DC1" w:rsidR="00C376B7" w:rsidRPr="00C376B7" w:rsidRDefault="00C376B7" w:rsidP="007A0CF6">
            <w:pPr>
              <w:spacing w:after="0" w:line="240" w:lineRule="auto"/>
              <w:jc w:val="center"/>
              <w:rPr>
                <w:rFonts w:ascii="Segoe UI" w:eastAsia="Times New Roman" w:hAnsi="Segoe UI" w:cs="Segoe UI"/>
                <w:b/>
                <w:bCs/>
                <w:color w:val="FFFFFF"/>
                <w:sz w:val="18"/>
                <w:szCs w:val="18"/>
                <w:lang w:eastAsia="pt-BR"/>
              </w:rPr>
            </w:pPr>
            <w:r w:rsidRPr="00C376B7">
              <w:rPr>
                <w:rFonts w:ascii="Segoe UI" w:eastAsia="Times New Roman" w:hAnsi="Segoe UI" w:cs="Segoe UI"/>
                <w:b/>
                <w:bCs/>
                <w:color w:val="FFFFFF"/>
                <w:sz w:val="18"/>
                <w:szCs w:val="18"/>
                <w:lang w:eastAsia="pt-BR"/>
              </w:rPr>
              <w:t>Consolidado</w:t>
            </w:r>
          </w:p>
        </w:tc>
      </w:tr>
      <w:tr w:rsidR="00C376B7" w:rsidRPr="00C376B7" w14:paraId="50655D1E" w14:textId="77777777" w:rsidTr="007A0CF6">
        <w:trPr>
          <w:trHeight w:val="240"/>
        </w:trPr>
        <w:tc>
          <w:tcPr>
            <w:tcW w:w="2643" w:type="pct"/>
            <w:tcBorders>
              <w:top w:val="nil"/>
              <w:left w:val="nil"/>
              <w:bottom w:val="nil"/>
              <w:right w:val="nil"/>
            </w:tcBorders>
            <w:shd w:val="clear" w:color="auto" w:fill="auto"/>
            <w:noWrap/>
            <w:vAlign w:val="bottom"/>
            <w:hideMark/>
          </w:tcPr>
          <w:p w14:paraId="291EBEA7" w14:textId="77777777" w:rsidR="00C376B7" w:rsidRPr="00C376B7" w:rsidRDefault="00C376B7" w:rsidP="00C376B7">
            <w:pPr>
              <w:spacing w:after="0" w:line="240" w:lineRule="auto"/>
              <w:jc w:val="center"/>
              <w:rPr>
                <w:rFonts w:ascii="Segoe UI" w:eastAsia="Times New Roman" w:hAnsi="Segoe UI" w:cs="Segoe UI"/>
                <w:b/>
                <w:bCs/>
                <w:color w:val="FFFFFF"/>
                <w:sz w:val="18"/>
                <w:szCs w:val="18"/>
                <w:lang w:eastAsia="pt-BR"/>
              </w:rPr>
            </w:pPr>
          </w:p>
        </w:tc>
        <w:tc>
          <w:tcPr>
            <w:tcW w:w="1098" w:type="pct"/>
            <w:tcBorders>
              <w:top w:val="single" w:sz="4" w:space="0" w:color="FFFFFF"/>
              <w:left w:val="nil"/>
              <w:bottom w:val="single" w:sz="4" w:space="0" w:color="FFFFFF"/>
              <w:right w:val="nil"/>
            </w:tcBorders>
            <w:shd w:val="clear" w:color="000000" w:fill="1B80C4"/>
            <w:noWrap/>
            <w:vAlign w:val="center"/>
            <w:hideMark/>
          </w:tcPr>
          <w:p w14:paraId="1B84DB0C" w14:textId="77777777" w:rsidR="00C376B7" w:rsidRPr="00C376B7" w:rsidRDefault="00C376B7" w:rsidP="007A0CF6">
            <w:pPr>
              <w:spacing w:after="0" w:line="240" w:lineRule="auto"/>
              <w:jc w:val="center"/>
              <w:rPr>
                <w:rFonts w:ascii="Segoe UI" w:eastAsia="Times New Roman" w:hAnsi="Segoe UI" w:cs="Segoe UI"/>
                <w:b/>
                <w:bCs/>
                <w:color w:val="FFFFFF"/>
                <w:sz w:val="18"/>
                <w:szCs w:val="18"/>
                <w:lang w:eastAsia="pt-BR"/>
              </w:rPr>
            </w:pPr>
            <w:r w:rsidRPr="00C376B7">
              <w:rPr>
                <w:rFonts w:ascii="Segoe UI" w:eastAsia="Times New Roman" w:hAnsi="Segoe UI" w:cs="Segoe UI"/>
                <w:b/>
                <w:bCs/>
                <w:color w:val="FFFFFF"/>
                <w:sz w:val="18"/>
                <w:szCs w:val="18"/>
                <w:lang w:eastAsia="pt-BR"/>
              </w:rPr>
              <w:t>31/12/2022</w:t>
            </w:r>
          </w:p>
        </w:tc>
        <w:tc>
          <w:tcPr>
            <w:tcW w:w="165" w:type="pct"/>
            <w:tcBorders>
              <w:left w:val="nil"/>
              <w:right w:val="nil"/>
            </w:tcBorders>
            <w:shd w:val="clear" w:color="000000" w:fill="1B80C4"/>
            <w:noWrap/>
            <w:vAlign w:val="center"/>
            <w:hideMark/>
          </w:tcPr>
          <w:p w14:paraId="52D40EAF" w14:textId="02B9CEAA" w:rsidR="00C376B7" w:rsidRPr="00C376B7" w:rsidRDefault="00C376B7" w:rsidP="007A0CF6">
            <w:pPr>
              <w:spacing w:after="0" w:line="240" w:lineRule="auto"/>
              <w:jc w:val="center"/>
              <w:rPr>
                <w:rFonts w:ascii="Segoe UI" w:eastAsia="Times New Roman" w:hAnsi="Segoe UI" w:cs="Segoe UI"/>
                <w:b/>
                <w:bCs/>
                <w:color w:val="FFFFFF"/>
                <w:sz w:val="18"/>
                <w:szCs w:val="18"/>
                <w:lang w:eastAsia="pt-BR"/>
              </w:rPr>
            </w:pPr>
          </w:p>
        </w:tc>
        <w:tc>
          <w:tcPr>
            <w:tcW w:w="1094" w:type="pct"/>
            <w:tcBorders>
              <w:top w:val="single" w:sz="4" w:space="0" w:color="FFFFFF"/>
              <w:left w:val="nil"/>
              <w:bottom w:val="single" w:sz="4" w:space="0" w:color="FFFFFF"/>
              <w:right w:val="nil"/>
            </w:tcBorders>
            <w:shd w:val="clear" w:color="000000" w:fill="1B80C4"/>
            <w:noWrap/>
            <w:vAlign w:val="center"/>
            <w:hideMark/>
          </w:tcPr>
          <w:p w14:paraId="2C4439AD" w14:textId="77777777" w:rsidR="00C376B7" w:rsidRPr="00C376B7" w:rsidRDefault="00C376B7" w:rsidP="007A0CF6">
            <w:pPr>
              <w:spacing w:after="0" w:line="240" w:lineRule="auto"/>
              <w:jc w:val="center"/>
              <w:rPr>
                <w:rFonts w:ascii="Segoe UI" w:eastAsia="Times New Roman" w:hAnsi="Segoe UI" w:cs="Segoe UI"/>
                <w:b/>
                <w:bCs/>
                <w:color w:val="FFFFFF"/>
                <w:sz w:val="18"/>
                <w:szCs w:val="18"/>
                <w:lang w:eastAsia="pt-BR"/>
              </w:rPr>
            </w:pPr>
            <w:r w:rsidRPr="00C376B7">
              <w:rPr>
                <w:rFonts w:ascii="Segoe UI" w:eastAsia="Times New Roman" w:hAnsi="Segoe UI" w:cs="Segoe UI"/>
                <w:b/>
                <w:bCs/>
                <w:color w:val="FFFFFF"/>
                <w:sz w:val="18"/>
                <w:szCs w:val="18"/>
                <w:lang w:eastAsia="pt-BR"/>
              </w:rPr>
              <w:t>31/12/2022</w:t>
            </w:r>
          </w:p>
        </w:tc>
      </w:tr>
      <w:tr w:rsidR="00C376B7" w:rsidRPr="00C376B7" w14:paraId="71553B84" w14:textId="77777777" w:rsidTr="007A0CF6">
        <w:trPr>
          <w:trHeight w:val="240"/>
        </w:trPr>
        <w:tc>
          <w:tcPr>
            <w:tcW w:w="2643" w:type="pct"/>
            <w:tcBorders>
              <w:top w:val="nil"/>
              <w:left w:val="nil"/>
              <w:bottom w:val="nil"/>
              <w:right w:val="nil"/>
            </w:tcBorders>
            <w:shd w:val="clear" w:color="auto" w:fill="auto"/>
            <w:noWrap/>
            <w:vAlign w:val="center"/>
            <w:hideMark/>
          </w:tcPr>
          <w:p w14:paraId="5398DD6A" w14:textId="4E1A5ACD"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Diferimento Itaipu </w:t>
            </w:r>
            <w:r w:rsidR="00AB6857">
              <w:rPr>
                <w:rFonts w:ascii="Segoe UI" w:eastAsia="Times New Roman" w:hAnsi="Segoe UI" w:cs="Segoe UI"/>
                <w:color w:val="000000"/>
                <w:sz w:val="18"/>
                <w:szCs w:val="18"/>
                <w:lang w:eastAsia="pt-BR"/>
              </w:rPr>
              <w:t>(a)</w:t>
            </w:r>
          </w:p>
        </w:tc>
        <w:tc>
          <w:tcPr>
            <w:tcW w:w="1098" w:type="pct"/>
            <w:tcBorders>
              <w:top w:val="nil"/>
              <w:left w:val="nil"/>
              <w:bottom w:val="nil"/>
              <w:right w:val="nil"/>
            </w:tcBorders>
            <w:shd w:val="clear" w:color="auto" w:fill="auto"/>
            <w:noWrap/>
            <w:vAlign w:val="center"/>
            <w:hideMark/>
          </w:tcPr>
          <w:p w14:paraId="2A730A38" w14:textId="3B07AA54"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2.455.636</w:t>
            </w:r>
          </w:p>
        </w:tc>
        <w:tc>
          <w:tcPr>
            <w:tcW w:w="165" w:type="pct"/>
            <w:tcBorders>
              <w:left w:val="nil"/>
              <w:bottom w:val="nil"/>
              <w:right w:val="nil"/>
            </w:tcBorders>
            <w:shd w:val="clear" w:color="auto" w:fill="auto"/>
            <w:noWrap/>
            <w:vAlign w:val="bottom"/>
            <w:hideMark/>
          </w:tcPr>
          <w:p w14:paraId="1A5BD09A"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4F5E57A5" w14:textId="383A9B96"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2.455.636</w:t>
            </w:r>
          </w:p>
        </w:tc>
      </w:tr>
      <w:tr w:rsidR="00C376B7" w:rsidRPr="00C376B7" w14:paraId="6DB1FC25" w14:textId="77777777" w:rsidTr="00C376B7">
        <w:trPr>
          <w:trHeight w:val="240"/>
        </w:trPr>
        <w:tc>
          <w:tcPr>
            <w:tcW w:w="2643" w:type="pct"/>
            <w:tcBorders>
              <w:top w:val="nil"/>
              <w:left w:val="nil"/>
              <w:bottom w:val="nil"/>
              <w:right w:val="nil"/>
            </w:tcBorders>
            <w:shd w:val="clear" w:color="auto" w:fill="auto"/>
            <w:noWrap/>
            <w:vAlign w:val="center"/>
            <w:hideMark/>
          </w:tcPr>
          <w:p w14:paraId="6DD92A57" w14:textId="77777777"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Ressarcimento  </w:t>
            </w:r>
          </w:p>
        </w:tc>
        <w:tc>
          <w:tcPr>
            <w:tcW w:w="1098" w:type="pct"/>
            <w:tcBorders>
              <w:top w:val="nil"/>
              <w:left w:val="nil"/>
              <w:bottom w:val="nil"/>
              <w:right w:val="nil"/>
            </w:tcBorders>
            <w:shd w:val="clear" w:color="auto" w:fill="auto"/>
            <w:noWrap/>
            <w:vAlign w:val="center"/>
            <w:hideMark/>
          </w:tcPr>
          <w:p w14:paraId="3F3A4151" w14:textId="71F24E4F"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69</w:t>
            </w:r>
          </w:p>
        </w:tc>
        <w:tc>
          <w:tcPr>
            <w:tcW w:w="165" w:type="pct"/>
            <w:tcBorders>
              <w:top w:val="nil"/>
              <w:left w:val="nil"/>
              <w:bottom w:val="nil"/>
              <w:right w:val="nil"/>
            </w:tcBorders>
            <w:shd w:val="clear" w:color="auto" w:fill="auto"/>
            <w:noWrap/>
            <w:vAlign w:val="bottom"/>
            <w:hideMark/>
          </w:tcPr>
          <w:p w14:paraId="38E8A80D"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5083DC94" w14:textId="2B5A75BA"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69</w:t>
            </w:r>
          </w:p>
        </w:tc>
      </w:tr>
      <w:tr w:rsidR="00C376B7" w:rsidRPr="00C376B7" w14:paraId="45E41AD6" w14:textId="77777777" w:rsidTr="00C376B7">
        <w:trPr>
          <w:trHeight w:val="240"/>
        </w:trPr>
        <w:tc>
          <w:tcPr>
            <w:tcW w:w="2643" w:type="pct"/>
            <w:tcBorders>
              <w:top w:val="nil"/>
              <w:left w:val="nil"/>
              <w:bottom w:val="nil"/>
              <w:right w:val="nil"/>
            </w:tcBorders>
            <w:shd w:val="clear" w:color="auto" w:fill="auto"/>
            <w:noWrap/>
            <w:vAlign w:val="center"/>
            <w:hideMark/>
          </w:tcPr>
          <w:p w14:paraId="6023043C" w14:textId="77777777"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Seguros </w:t>
            </w:r>
          </w:p>
        </w:tc>
        <w:tc>
          <w:tcPr>
            <w:tcW w:w="1098" w:type="pct"/>
            <w:tcBorders>
              <w:top w:val="nil"/>
              <w:left w:val="nil"/>
              <w:bottom w:val="nil"/>
              <w:right w:val="nil"/>
            </w:tcBorders>
            <w:shd w:val="clear" w:color="auto" w:fill="auto"/>
            <w:noWrap/>
            <w:vAlign w:val="center"/>
            <w:hideMark/>
          </w:tcPr>
          <w:p w14:paraId="3A66681C" w14:textId="00D08C29"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w:t>
            </w:r>
          </w:p>
        </w:tc>
        <w:tc>
          <w:tcPr>
            <w:tcW w:w="165" w:type="pct"/>
            <w:tcBorders>
              <w:top w:val="nil"/>
              <w:left w:val="nil"/>
              <w:bottom w:val="nil"/>
              <w:right w:val="nil"/>
            </w:tcBorders>
            <w:shd w:val="clear" w:color="auto" w:fill="auto"/>
            <w:noWrap/>
            <w:vAlign w:val="bottom"/>
            <w:hideMark/>
          </w:tcPr>
          <w:p w14:paraId="05B4CCBF"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041F754F" w14:textId="7C48E5E4"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32.546</w:t>
            </w:r>
          </w:p>
        </w:tc>
      </w:tr>
      <w:tr w:rsidR="00C376B7" w:rsidRPr="00C376B7" w14:paraId="2AC1F91D" w14:textId="77777777" w:rsidTr="00C376B7">
        <w:trPr>
          <w:trHeight w:val="240"/>
        </w:trPr>
        <w:tc>
          <w:tcPr>
            <w:tcW w:w="2643" w:type="pct"/>
            <w:tcBorders>
              <w:top w:val="nil"/>
              <w:left w:val="nil"/>
              <w:bottom w:val="nil"/>
              <w:right w:val="nil"/>
            </w:tcBorders>
            <w:shd w:val="clear" w:color="auto" w:fill="auto"/>
            <w:noWrap/>
            <w:vAlign w:val="center"/>
            <w:hideMark/>
          </w:tcPr>
          <w:p w14:paraId="5AE653FD" w14:textId="77777777"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Impostos </w:t>
            </w:r>
          </w:p>
        </w:tc>
        <w:tc>
          <w:tcPr>
            <w:tcW w:w="1098" w:type="pct"/>
            <w:tcBorders>
              <w:top w:val="nil"/>
              <w:left w:val="nil"/>
              <w:bottom w:val="nil"/>
              <w:right w:val="nil"/>
            </w:tcBorders>
            <w:shd w:val="clear" w:color="auto" w:fill="auto"/>
            <w:noWrap/>
            <w:vAlign w:val="center"/>
            <w:hideMark/>
          </w:tcPr>
          <w:p w14:paraId="5130FF5B" w14:textId="479C6630"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w:t>
            </w:r>
          </w:p>
        </w:tc>
        <w:tc>
          <w:tcPr>
            <w:tcW w:w="165" w:type="pct"/>
            <w:tcBorders>
              <w:top w:val="nil"/>
              <w:left w:val="nil"/>
              <w:bottom w:val="nil"/>
              <w:right w:val="nil"/>
            </w:tcBorders>
            <w:shd w:val="clear" w:color="auto" w:fill="auto"/>
            <w:noWrap/>
            <w:vAlign w:val="bottom"/>
            <w:hideMark/>
          </w:tcPr>
          <w:p w14:paraId="5FC115DB"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0D705D8F" w14:textId="2F257208"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27.542</w:t>
            </w:r>
          </w:p>
        </w:tc>
      </w:tr>
      <w:tr w:rsidR="00C376B7" w:rsidRPr="00C376B7" w14:paraId="3AB1AB78" w14:textId="77777777" w:rsidTr="00C376B7">
        <w:trPr>
          <w:trHeight w:val="240"/>
        </w:trPr>
        <w:tc>
          <w:tcPr>
            <w:tcW w:w="2643" w:type="pct"/>
            <w:tcBorders>
              <w:top w:val="nil"/>
              <w:left w:val="nil"/>
              <w:bottom w:val="nil"/>
              <w:right w:val="nil"/>
            </w:tcBorders>
            <w:shd w:val="clear" w:color="auto" w:fill="auto"/>
            <w:noWrap/>
            <w:vAlign w:val="center"/>
            <w:hideMark/>
          </w:tcPr>
          <w:p w14:paraId="6E7E8FEB" w14:textId="77777777"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Desativações em curso </w:t>
            </w:r>
          </w:p>
        </w:tc>
        <w:tc>
          <w:tcPr>
            <w:tcW w:w="1098" w:type="pct"/>
            <w:tcBorders>
              <w:top w:val="nil"/>
              <w:left w:val="nil"/>
              <w:bottom w:val="nil"/>
              <w:right w:val="nil"/>
            </w:tcBorders>
            <w:shd w:val="clear" w:color="auto" w:fill="auto"/>
            <w:noWrap/>
            <w:vAlign w:val="center"/>
            <w:hideMark/>
          </w:tcPr>
          <w:p w14:paraId="08642808" w14:textId="1FC1E130"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w:t>
            </w:r>
          </w:p>
        </w:tc>
        <w:tc>
          <w:tcPr>
            <w:tcW w:w="165" w:type="pct"/>
            <w:tcBorders>
              <w:top w:val="nil"/>
              <w:left w:val="nil"/>
              <w:bottom w:val="nil"/>
              <w:right w:val="nil"/>
            </w:tcBorders>
            <w:shd w:val="clear" w:color="auto" w:fill="auto"/>
            <w:noWrap/>
            <w:vAlign w:val="bottom"/>
            <w:hideMark/>
          </w:tcPr>
          <w:p w14:paraId="05605F8D"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5D3E50E1" w14:textId="5E2D7745"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(5.518)</w:t>
            </w:r>
          </w:p>
        </w:tc>
      </w:tr>
      <w:tr w:rsidR="00C376B7" w:rsidRPr="00C376B7" w14:paraId="61C9BAAB" w14:textId="77777777" w:rsidTr="00C376B7">
        <w:trPr>
          <w:trHeight w:val="240"/>
        </w:trPr>
        <w:tc>
          <w:tcPr>
            <w:tcW w:w="2643" w:type="pct"/>
            <w:tcBorders>
              <w:top w:val="nil"/>
              <w:left w:val="nil"/>
              <w:bottom w:val="nil"/>
              <w:right w:val="nil"/>
            </w:tcBorders>
            <w:shd w:val="clear" w:color="auto" w:fill="auto"/>
            <w:noWrap/>
            <w:vAlign w:val="center"/>
            <w:hideMark/>
          </w:tcPr>
          <w:p w14:paraId="4D0BEB5E" w14:textId="77777777"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Diversos </w:t>
            </w:r>
          </w:p>
        </w:tc>
        <w:tc>
          <w:tcPr>
            <w:tcW w:w="1098" w:type="pct"/>
            <w:tcBorders>
              <w:top w:val="nil"/>
              <w:left w:val="nil"/>
              <w:bottom w:val="nil"/>
              <w:right w:val="nil"/>
            </w:tcBorders>
            <w:shd w:val="clear" w:color="auto" w:fill="auto"/>
            <w:noWrap/>
            <w:vAlign w:val="center"/>
            <w:hideMark/>
          </w:tcPr>
          <w:p w14:paraId="5D5147A5" w14:textId="4EA96916"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22.483</w:t>
            </w:r>
          </w:p>
        </w:tc>
        <w:tc>
          <w:tcPr>
            <w:tcW w:w="165" w:type="pct"/>
            <w:tcBorders>
              <w:top w:val="nil"/>
              <w:left w:val="nil"/>
              <w:bottom w:val="nil"/>
              <w:right w:val="nil"/>
            </w:tcBorders>
            <w:shd w:val="clear" w:color="auto" w:fill="auto"/>
            <w:noWrap/>
            <w:vAlign w:val="bottom"/>
            <w:hideMark/>
          </w:tcPr>
          <w:p w14:paraId="12365E42"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4ACAD13C" w14:textId="46E097BA"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115.611</w:t>
            </w:r>
          </w:p>
        </w:tc>
      </w:tr>
      <w:tr w:rsidR="00C376B7" w:rsidRPr="00C376B7" w14:paraId="7E37F159" w14:textId="77777777" w:rsidTr="00C376B7">
        <w:trPr>
          <w:trHeight w:val="255"/>
        </w:trPr>
        <w:tc>
          <w:tcPr>
            <w:tcW w:w="2643" w:type="pct"/>
            <w:tcBorders>
              <w:top w:val="nil"/>
              <w:left w:val="nil"/>
              <w:bottom w:val="nil"/>
              <w:right w:val="nil"/>
            </w:tcBorders>
            <w:shd w:val="clear" w:color="auto" w:fill="auto"/>
            <w:noWrap/>
            <w:vAlign w:val="center"/>
            <w:hideMark/>
          </w:tcPr>
          <w:p w14:paraId="130B2417"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8" w:type="pct"/>
            <w:tcBorders>
              <w:top w:val="single" w:sz="4" w:space="0" w:color="1B80C4"/>
              <w:left w:val="nil"/>
              <w:bottom w:val="double" w:sz="6" w:space="0" w:color="1B80C4"/>
              <w:right w:val="nil"/>
            </w:tcBorders>
            <w:shd w:val="clear" w:color="auto" w:fill="auto"/>
            <w:noWrap/>
            <w:vAlign w:val="center"/>
            <w:hideMark/>
          </w:tcPr>
          <w:p w14:paraId="2D744466" w14:textId="20EFA1DA" w:rsidR="00C376B7" w:rsidRPr="00C376B7" w:rsidRDefault="00C376B7" w:rsidP="00C376B7">
            <w:pPr>
              <w:spacing w:after="0" w:line="240" w:lineRule="auto"/>
              <w:jc w:val="right"/>
              <w:rPr>
                <w:rFonts w:ascii="Segoe UI" w:eastAsia="Times New Roman" w:hAnsi="Segoe UI" w:cs="Segoe UI"/>
                <w:b/>
                <w:bCs/>
                <w:color w:val="000000"/>
                <w:sz w:val="18"/>
                <w:szCs w:val="18"/>
                <w:lang w:eastAsia="pt-BR"/>
              </w:rPr>
            </w:pPr>
            <w:r w:rsidRPr="00C376B7">
              <w:rPr>
                <w:rFonts w:ascii="Segoe UI" w:eastAsia="Times New Roman" w:hAnsi="Segoe UI" w:cs="Segoe UI"/>
                <w:b/>
                <w:bCs/>
                <w:color w:val="000000"/>
                <w:sz w:val="18"/>
                <w:szCs w:val="18"/>
                <w:lang w:eastAsia="pt-BR"/>
              </w:rPr>
              <w:t>2.478.188</w:t>
            </w:r>
          </w:p>
        </w:tc>
        <w:tc>
          <w:tcPr>
            <w:tcW w:w="165" w:type="pct"/>
            <w:tcBorders>
              <w:top w:val="nil"/>
              <w:left w:val="nil"/>
              <w:bottom w:val="nil"/>
              <w:right w:val="nil"/>
            </w:tcBorders>
            <w:shd w:val="clear" w:color="auto" w:fill="auto"/>
            <w:noWrap/>
            <w:vAlign w:val="bottom"/>
            <w:hideMark/>
          </w:tcPr>
          <w:p w14:paraId="6070BFD0" w14:textId="77777777" w:rsidR="00C376B7" w:rsidRPr="00C376B7" w:rsidRDefault="00C376B7" w:rsidP="00C376B7">
            <w:pPr>
              <w:spacing w:after="0" w:line="240" w:lineRule="auto"/>
              <w:jc w:val="right"/>
              <w:rPr>
                <w:rFonts w:ascii="Segoe UI" w:eastAsia="Times New Roman" w:hAnsi="Segoe UI" w:cs="Segoe UI"/>
                <w:b/>
                <w:bCs/>
                <w:color w:val="000000"/>
                <w:sz w:val="18"/>
                <w:szCs w:val="18"/>
                <w:lang w:eastAsia="pt-BR"/>
              </w:rPr>
            </w:pPr>
          </w:p>
        </w:tc>
        <w:tc>
          <w:tcPr>
            <w:tcW w:w="1094" w:type="pct"/>
            <w:tcBorders>
              <w:top w:val="single" w:sz="4" w:space="0" w:color="1B80C4"/>
              <w:left w:val="nil"/>
              <w:bottom w:val="double" w:sz="6" w:space="0" w:color="1B80C4"/>
              <w:right w:val="nil"/>
            </w:tcBorders>
            <w:shd w:val="clear" w:color="auto" w:fill="auto"/>
            <w:noWrap/>
            <w:vAlign w:val="center"/>
            <w:hideMark/>
          </w:tcPr>
          <w:p w14:paraId="607B88B2" w14:textId="4D2AA685" w:rsidR="00C376B7" w:rsidRPr="00C376B7" w:rsidRDefault="00C376B7" w:rsidP="00C376B7">
            <w:pPr>
              <w:spacing w:after="0" w:line="240" w:lineRule="auto"/>
              <w:jc w:val="right"/>
              <w:rPr>
                <w:rFonts w:ascii="Segoe UI" w:eastAsia="Times New Roman" w:hAnsi="Segoe UI" w:cs="Segoe UI"/>
                <w:b/>
                <w:bCs/>
                <w:color w:val="000000"/>
                <w:sz w:val="18"/>
                <w:szCs w:val="18"/>
                <w:lang w:eastAsia="pt-BR"/>
              </w:rPr>
            </w:pPr>
            <w:r w:rsidRPr="00C376B7">
              <w:rPr>
                <w:rFonts w:ascii="Segoe UI" w:eastAsia="Times New Roman" w:hAnsi="Segoe UI" w:cs="Segoe UI"/>
                <w:b/>
                <w:bCs/>
                <w:color w:val="000000"/>
                <w:sz w:val="18"/>
                <w:szCs w:val="18"/>
                <w:lang w:eastAsia="pt-BR"/>
              </w:rPr>
              <w:t>2.625.886</w:t>
            </w:r>
          </w:p>
        </w:tc>
      </w:tr>
      <w:tr w:rsidR="00C376B7" w:rsidRPr="00C376B7" w14:paraId="66266CE0" w14:textId="77777777" w:rsidTr="00C376B7">
        <w:trPr>
          <w:trHeight w:val="255"/>
        </w:trPr>
        <w:tc>
          <w:tcPr>
            <w:tcW w:w="2643" w:type="pct"/>
            <w:tcBorders>
              <w:top w:val="nil"/>
              <w:left w:val="nil"/>
              <w:bottom w:val="nil"/>
              <w:right w:val="nil"/>
            </w:tcBorders>
            <w:shd w:val="clear" w:color="auto" w:fill="auto"/>
            <w:noWrap/>
            <w:vAlign w:val="bottom"/>
            <w:hideMark/>
          </w:tcPr>
          <w:p w14:paraId="4332D79F" w14:textId="77777777" w:rsidR="00C376B7" w:rsidRPr="00C376B7" w:rsidRDefault="00C376B7" w:rsidP="00C376B7">
            <w:pPr>
              <w:spacing w:after="0" w:line="240" w:lineRule="auto"/>
              <w:jc w:val="right"/>
              <w:rPr>
                <w:rFonts w:ascii="Segoe UI" w:eastAsia="Times New Roman" w:hAnsi="Segoe UI" w:cs="Segoe UI"/>
                <w:b/>
                <w:bCs/>
                <w:color w:val="000000"/>
                <w:sz w:val="18"/>
                <w:szCs w:val="18"/>
                <w:lang w:eastAsia="pt-BR"/>
              </w:rPr>
            </w:pPr>
          </w:p>
        </w:tc>
        <w:tc>
          <w:tcPr>
            <w:tcW w:w="1098" w:type="pct"/>
            <w:tcBorders>
              <w:top w:val="nil"/>
              <w:left w:val="nil"/>
              <w:bottom w:val="nil"/>
              <w:right w:val="nil"/>
            </w:tcBorders>
            <w:shd w:val="clear" w:color="auto" w:fill="auto"/>
            <w:noWrap/>
            <w:vAlign w:val="bottom"/>
            <w:hideMark/>
          </w:tcPr>
          <w:p w14:paraId="1086C502" w14:textId="77777777" w:rsidR="00C376B7" w:rsidRPr="00C376B7" w:rsidRDefault="00C376B7" w:rsidP="00C376B7">
            <w:pPr>
              <w:spacing w:after="0" w:line="240" w:lineRule="auto"/>
              <w:jc w:val="right"/>
              <w:rPr>
                <w:rFonts w:ascii="Times New Roman" w:eastAsia="Times New Roman" w:hAnsi="Times New Roman" w:cs="Times New Roman"/>
                <w:sz w:val="20"/>
                <w:szCs w:val="20"/>
                <w:lang w:eastAsia="pt-BR"/>
              </w:rPr>
            </w:pPr>
          </w:p>
        </w:tc>
        <w:tc>
          <w:tcPr>
            <w:tcW w:w="165" w:type="pct"/>
            <w:tcBorders>
              <w:top w:val="nil"/>
              <w:left w:val="nil"/>
              <w:bottom w:val="nil"/>
              <w:right w:val="nil"/>
            </w:tcBorders>
            <w:shd w:val="clear" w:color="auto" w:fill="auto"/>
            <w:noWrap/>
            <w:vAlign w:val="bottom"/>
            <w:hideMark/>
          </w:tcPr>
          <w:p w14:paraId="1D4093D4" w14:textId="77777777" w:rsidR="00C376B7" w:rsidRPr="00C376B7" w:rsidRDefault="00C376B7" w:rsidP="00C376B7">
            <w:pPr>
              <w:spacing w:after="0" w:line="240" w:lineRule="auto"/>
              <w:jc w:val="right"/>
              <w:rPr>
                <w:rFonts w:ascii="Times New Roman" w:eastAsia="Times New Roman" w:hAnsi="Times New Roman" w:cs="Times New Roman"/>
                <w:sz w:val="20"/>
                <w:szCs w:val="20"/>
                <w:lang w:eastAsia="pt-BR"/>
              </w:rPr>
            </w:pPr>
          </w:p>
        </w:tc>
        <w:tc>
          <w:tcPr>
            <w:tcW w:w="1094" w:type="pct"/>
            <w:tcBorders>
              <w:top w:val="nil"/>
              <w:left w:val="nil"/>
              <w:bottom w:val="nil"/>
              <w:right w:val="nil"/>
            </w:tcBorders>
            <w:shd w:val="clear" w:color="auto" w:fill="auto"/>
            <w:noWrap/>
            <w:vAlign w:val="bottom"/>
            <w:hideMark/>
          </w:tcPr>
          <w:p w14:paraId="5173E509" w14:textId="77777777" w:rsidR="00C376B7" w:rsidRPr="00C376B7" w:rsidRDefault="00C376B7" w:rsidP="00C376B7">
            <w:pPr>
              <w:spacing w:after="0" w:line="240" w:lineRule="auto"/>
              <w:jc w:val="right"/>
              <w:rPr>
                <w:rFonts w:ascii="Times New Roman" w:eastAsia="Times New Roman" w:hAnsi="Times New Roman" w:cs="Times New Roman"/>
                <w:sz w:val="20"/>
                <w:szCs w:val="20"/>
                <w:lang w:eastAsia="pt-BR"/>
              </w:rPr>
            </w:pPr>
          </w:p>
        </w:tc>
      </w:tr>
      <w:tr w:rsidR="00C376B7" w:rsidRPr="00C376B7" w14:paraId="3ABC9AC3" w14:textId="77777777" w:rsidTr="00C376B7">
        <w:trPr>
          <w:trHeight w:val="240"/>
        </w:trPr>
        <w:tc>
          <w:tcPr>
            <w:tcW w:w="2643" w:type="pct"/>
            <w:tcBorders>
              <w:top w:val="nil"/>
              <w:left w:val="nil"/>
              <w:bottom w:val="nil"/>
              <w:right w:val="nil"/>
            </w:tcBorders>
            <w:shd w:val="clear" w:color="auto" w:fill="auto"/>
            <w:noWrap/>
            <w:vAlign w:val="bottom"/>
            <w:hideMark/>
          </w:tcPr>
          <w:p w14:paraId="6B2BA8B6" w14:textId="77777777"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Circulante </w:t>
            </w:r>
          </w:p>
        </w:tc>
        <w:tc>
          <w:tcPr>
            <w:tcW w:w="1098" w:type="pct"/>
            <w:tcBorders>
              <w:top w:val="nil"/>
              <w:left w:val="nil"/>
              <w:bottom w:val="nil"/>
              <w:right w:val="nil"/>
            </w:tcBorders>
            <w:shd w:val="clear" w:color="auto" w:fill="auto"/>
            <w:noWrap/>
            <w:vAlign w:val="bottom"/>
            <w:hideMark/>
          </w:tcPr>
          <w:p w14:paraId="04F43812" w14:textId="0AB6A5B5"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685.547</w:t>
            </w:r>
          </w:p>
        </w:tc>
        <w:tc>
          <w:tcPr>
            <w:tcW w:w="165" w:type="pct"/>
            <w:tcBorders>
              <w:top w:val="nil"/>
              <w:left w:val="nil"/>
              <w:bottom w:val="nil"/>
              <w:right w:val="nil"/>
            </w:tcBorders>
            <w:shd w:val="clear" w:color="auto" w:fill="auto"/>
            <w:noWrap/>
            <w:vAlign w:val="bottom"/>
            <w:hideMark/>
          </w:tcPr>
          <w:p w14:paraId="2817B806"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30FB7B79" w14:textId="1F4E8450"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798.764</w:t>
            </w:r>
          </w:p>
        </w:tc>
      </w:tr>
      <w:tr w:rsidR="00C376B7" w:rsidRPr="00C376B7" w14:paraId="16E93FBA" w14:textId="77777777" w:rsidTr="00C376B7">
        <w:trPr>
          <w:trHeight w:val="240"/>
        </w:trPr>
        <w:tc>
          <w:tcPr>
            <w:tcW w:w="2643" w:type="pct"/>
            <w:tcBorders>
              <w:top w:val="nil"/>
              <w:left w:val="nil"/>
              <w:bottom w:val="nil"/>
              <w:right w:val="nil"/>
            </w:tcBorders>
            <w:shd w:val="clear" w:color="auto" w:fill="auto"/>
            <w:noWrap/>
            <w:vAlign w:val="bottom"/>
            <w:hideMark/>
          </w:tcPr>
          <w:p w14:paraId="708A0174" w14:textId="77777777" w:rsidR="00C376B7" w:rsidRPr="00C376B7" w:rsidRDefault="00C376B7" w:rsidP="00C376B7">
            <w:pPr>
              <w:spacing w:after="0" w:line="240" w:lineRule="auto"/>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 xml:space="preserve"> Não Circulante </w:t>
            </w:r>
          </w:p>
        </w:tc>
        <w:tc>
          <w:tcPr>
            <w:tcW w:w="1098" w:type="pct"/>
            <w:tcBorders>
              <w:top w:val="nil"/>
              <w:left w:val="nil"/>
              <w:bottom w:val="nil"/>
              <w:right w:val="nil"/>
            </w:tcBorders>
            <w:shd w:val="clear" w:color="auto" w:fill="auto"/>
            <w:noWrap/>
            <w:vAlign w:val="bottom"/>
            <w:hideMark/>
          </w:tcPr>
          <w:p w14:paraId="7966BE71" w14:textId="32DD8E48"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1.792.641</w:t>
            </w:r>
          </w:p>
        </w:tc>
        <w:tc>
          <w:tcPr>
            <w:tcW w:w="165" w:type="pct"/>
            <w:tcBorders>
              <w:top w:val="nil"/>
              <w:left w:val="nil"/>
              <w:bottom w:val="nil"/>
              <w:right w:val="nil"/>
            </w:tcBorders>
            <w:shd w:val="clear" w:color="auto" w:fill="auto"/>
            <w:noWrap/>
            <w:vAlign w:val="bottom"/>
            <w:hideMark/>
          </w:tcPr>
          <w:p w14:paraId="75A4E644"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5222AA39" w14:textId="240D1F9B"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r w:rsidRPr="00C376B7">
              <w:rPr>
                <w:rFonts w:ascii="Segoe UI" w:eastAsia="Times New Roman" w:hAnsi="Segoe UI" w:cs="Segoe UI"/>
                <w:color w:val="000000"/>
                <w:sz w:val="18"/>
                <w:szCs w:val="18"/>
                <w:lang w:eastAsia="pt-BR"/>
              </w:rPr>
              <w:t>1.827.122</w:t>
            </w:r>
          </w:p>
        </w:tc>
      </w:tr>
      <w:tr w:rsidR="00C376B7" w:rsidRPr="00C376B7" w14:paraId="10E3452E" w14:textId="77777777" w:rsidTr="00C376B7">
        <w:trPr>
          <w:trHeight w:val="255"/>
        </w:trPr>
        <w:tc>
          <w:tcPr>
            <w:tcW w:w="2643" w:type="pct"/>
            <w:tcBorders>
              <w:top w:val="nil"/>
              <w:left w:val="nil"/>
              <w:bottom w:val="nil"/>
              <w:right w:val="nil"/>
            </w:tcBorders>
            <w:shd w:val="clear" w:color="auto" w:fill="auto"/>
            <w:noWrap/>
            <w:vAlign w:val="bottom"/>
            <w:hideMark/>
          </w:tcPr>
          <w:p w14:paraId="0D3E6F15" w14:textId="77777777" w:rsidR="00C376B7" w:rsidRPr="00C376B7" w:rsidRDefault="00C376B7" w:rsidP="00C376B7">
            <w:pPr>
              <w:spacing w:after="0" w:line="240" w:lineRule="auto"/>
              <w:jc w:val="right"/>
              <w:rPr>
                <w:rFonts w:ascii="Segoe UI" w:eastAsia="Times New Roman" w:hAnsi="Segoe UI" w:cs="Segoe UI"/>
                <w:color w:val="000000"/>
                <w:sz w:val="18"/>
                <w:szCs w:val="18"/>
                <w:lang w:eastAsia="pt-BR"/>
              </w:rPr>
            </w:pPr>
          </w:p>
        </w:tc>
        <w:tc>
          <w:tcPr>
            <w:tcW w:w="1098" w:type="pct"/>
            <w:tcBorders>
              <w:top w:val="single" w:sz="4" w:space="0" w:color="1B80C4"/>
              <w:left w:val="nil"/>
              <w:bottom w:val="double" w:sz="6" w:space="0" w:color="1B80C4"/>
              <w:right w:val="nil"/>
            </w:tcBorders>
            <w:shd w:val="clear" w:color="auto" w:fill="auto"/>
            <w:noWrap/>
            <w:vAlign w:val="center"/>
            <w:hideMark/>
          </w:tcPr>
          <w:p w14:paraId="2F38280F" w14:textId="54D104EC" w:rsidR="00C376B7" w:rsidRPr="00C376B7" w:rsidRDefault="00C376B7" w:rsidP="00C376B7">
            <w:pPr>
              <w:spacing w:after="0" w:line="240" w:lineRule="auto"/>
              <w:jc w:val="right"/>
              <w:rPr>
                <w:rFonts w:ascii="Segoe UI" w:eastAsia="Times New Roman" w:hAnsi="Segoe UI" w:cs="Segoe UI"/>
                <w:b/>
                <w:bCs/>
                <w:color w:val="000000"/>
                <w:sz w:val="18"/>
                <w:szCs w:val="18"/>
                <w:lang w:eastAsia="pt-BR"/>
              </w:rPr>
            </w:pPr>
            <w:r w:rsidRPr="00C376B7">
              <w:rPr>
                <w:rFonts w:ascii="Segoe UI" w:eastAsia="Times New Roman" w:hAnsi="Segoe UI" w:cs="Segoe UI"/>
                <w:b/>
                <w:bCs/>
                <w:color w:val="000000"/>
                <w:sz w:val="18"/>
                <w:szCs w:val="18"/>
                <w:lang w:eastAsia="pt-BR"/>
              </w:rPr>
              <w:t>2.478.188</w:t>
            </w:r>
          </w:p>
        </w:tc>
        <w:tc>
          <w:tcPr>
            <w:tcW w:w="165" w:type="pct"/>
            <w:tcBorders>
              <w:top w:val="nil"/>
              <w:left w:val="nil"/>
              <w:bottom w:val="nil"/>
              <w:right w:val="nil"/>
            </w:tcBorders>
            <w:shd w:val="clear" w:color="auto" w:fill="auto"/>
            <w:noWrap/>
            <w:vAlign w:val="bottom"/>
            <w:hideMark/>
          </w:tcPr>
          <w:p w14:paraId="1865A077" w14:textId="77777777" w:rsidR="00C376B7" w:rsidRPr="00C376B7" w:rsidRDefault="00C376B7" w:rsidP="00C376B7">
            <w:pPr>
              <w:spacing w:after="0" w:line="240" w:lineRule="auto"/>
              <w:jc w:val="right"/>
              <w:rPr>
                <w:rFonts w:ascii="Segoe UI" w:eastAsia="Times New Roman" w:hAnsi="Segoe UI" w:cs="Segoe UI"/>
                <w:b/>
                <w:bCs/>
                <w:color w:val="000000"/>
                <w:sz w:val="18"/>
                <w:szCs w:val="18"/>
                <w:lang w:eastAsia="pt-BR"/>
              </w:rPr>
            </w:pPr>
          </w:p>
        </w:tc>
        <w:tc>
          <w:tcPr>
            <w:tcW w:w="1094" w:type="pct"/>
            <w:tcBorders>
              <w:top w:val="single" w:sz="4" w:space="0" w:color="1B80C4"/>
              <w:left w:val="nil"/>
              <w:bottom w:val="double" w:sz="6" w:space="0" w:color="1B80C4"/>
              <w:right w:val="nil"/>
            </w:tcBorders>
            <w:shd w:val="clear" w:color="auto" w:fill="auto"/>
            <w:noWrap/>
            <w:vAlign w:val="center"/>
            <w:hideMark/>
          </w:tcPr>
          <w:p w14:paraId="0DC9C6FB" w14:textId="0F5C6497" w:rsidR="00C376B7" w:rsidRPr="00C376B7" w:rsidRDefault="00C376B7" w:rsidP="00C376B7">
            <w:pPr>
              <w:spacing w:after="0" w:line="240" w:lineRule="auto"/>
              <w:jc w:val="right"/>
              <w:rPr>
                <w:rFonts w:ascii="Segoe UI" w:eastAsia="Times New Roman" w:hAnsi="Segoe UI" w:cs="Segoe UI"/>
                <w:b/>
                <w:bCs/>
                <w:color w:val="000000"/>
                <w:sz w:val="18"/>
                <w:szCs w:val="18"/>
                <w:lang w:eastAsia="pt-BR"/>
              </w:rPr>
            </w:pPr>
            <w:r w:rsidRPr="00C376B7">
              <w:rPr>
                <w:rFonts w:ascii="Segoe UI" w:eastAsia="Times New Roman" w:hAnsi="Segoe UI" w:cs="Segoe UI"/>
                <w:b/>
                <w:bCs/>
                <w:color w:val="000000"/>
                <w:sz w:val="18"/>
                <w:szCs w:val="18"/>
                <w:lang w:eastAsia="pt-BR"/>
              </w:rPr>
              <w:t>2.625.886</w:t>
            </w:r>
          </w:p>
        </w:tc>
      </w:tr>
    </w:tbl>
    <w:p w14:paraId="10D2AFCE" w14:textId="4CA7B71E" w:rsidR="00A32A5F" w:rsidRDefault="008E1C69">
      <w:pPr>
        <w:rPr>
          <w:rFonts w:ascii="Segoe UI" w:hAnsi="Segoe UI" w:cs="Segoe UI"/>
          <w:b/>
          <w:color w:val="0070C0"/>
        </w:rPr>
      </w:pPr>
      <w:r>
        <w:rPr>
          <w:rFonts w:ascii="Segoe UI" w:hAnsi="Segoe UI" w:cs="Segoe UI"/>
          <w:b/>
          <w:color w:val="0070C0"/>
        </w:rPr>
        <w:t xml:space="preserve"> </w:t>
      </w:r>
    </w:p>
    <w:p w14:paraId="39C38437" w14:textId="3853BCD9" w:rsidR="006D433E" w:rsidRPr="00D04BFD" w:rsidRDefault="006D433E" w:rsidP="00D04BFD">
      <w:pPr>
        <w:jc w:val="both"/>
        <w:rPr>
          <w:rFonts w:ascii="Segoe UI" w:hAnsi="Segoe UI" w:cs="Segoe UI"/>
          <w:b/>
          <w:color w:val="0070C0"/>
          <w:bdr w:val="nil"/>
        </w:rPr>
      </w:pPr>
      <w:r w:rsidRPr="00D04BFD">
        <w:rPr>
          <w:rFonts w:ascii="Segoe UI" w:hAnsi="Segoe UI" w:cs="Segoe UI"/>
          <w:b/>
          <w:color w:val="0070C0"/>
          <w:bdr w:val="nil"/>
        </w:rPr>
        <w:t>10.</w:t>
      </w:r>
      <w:r w:rsidR="00567750">
        <w:rPr>
          <w:rFonts w:ascii="Segoe UI" w:hAnsi="Segoe UI" w:cs="Segoe UI"/>
          <w:b/>
          <w:color w:val="0070C0"/>
          <w:bdr w:val="nil"/>
        </w:rPr>
        <w:t>2</w:t>
      </w:r>
      <w:r w:rsidRPr="00D04BFD">
        <w:rPr>
          <w:rFonts w:ascii="Segoe UI" w:hAnsi="Segoe UI" w:cs="Segoe UI"/>
          <w:b/>
          <w:color w:val="0070C0"/>
          <w:bdr w:val="nil"/>
        </w:rPr>
        <w:t xml:space="preserve"> – Outros Passivos</w:t>
      </w:r>
    </w:p>
    <w:tbl>
      <w:tblPr>
        <w:tblW w:w="5000" w:type="pct"/>
        <w:tblCellMar>
          <w:left w:w="70" w:type="dxa"/>
          <w:right w:w="70" w:type="dxa"/>
        </w:tblCellMar>
        <w:tblLook w:val="04A0" w:firstRow="1" w:lastRow="0" w:firstColumn="1" w:lastColumn="0" w:noHBand="0" w:noVBand="1"/>
      </w:tblPr>
      <w:tblGrid>
        <w:gridCol w:w="5020"/>
        <w:gridCol w:w="2086"/>
        <w:gridCol w:w="313"/>
        <w:gridCol w:w="2078"/>
      </w:tblGrid>
      <w:tr w:rsidR="00F40D2F" w:rsidRPr="00F40D2F" w14:paraId="0192E5E7" w14:textId="77777777" w:rsidTr="00F40D2F">
        <w:trPr>
          <w:trHeight w:val="240"/>
        </w:trPr>
        <w:tc>
          <w:tcPr>
            <w:tcW w:w="2643" w:type="pct"/>
            <w:tcBorders>
              <w:top w:val="nil"/>
              <w:left w:val="nil"/>
              <w:bottom w:val="nil"/>
              <w:right w:val="nil"/>
            </w:tcBorders>
            <w:shd w:val="clear" w:color="auto" w:fill="auto"/>
            <w:noWrap/>
            <w:vAlign w:val="bottom"/>
            <w:hideMark/>
          </w:tcPr>
          <w:p w14:paraId="715A75C1" w14:textId="77777777" w:rsidR="00F40D2F" w:rsidRPr="00F40D2F" w:rsidRDefault="00F40D2F" w:rsidP="00F40D2F">
            <w:pPr>
              <w:spacing w:after="0" w:line="240" w:lineRule="auto"/>
              <w:rPr>
                <w:rFonts w:ascii="Times New Roman" w:eastAsia="Times New Roman" w:hAnsi="Times New Roman" w:cs="Times New Roman"/>
                <w:sz w:val="24"/>
                <w:szCs w:val="24"/>
                <w:lang w:eastAsia="pt-BR"/>
              </w:rPr>
            </w:pPr>
          </w:p>
        </w:tc>
        <w:tc>
          <w:tcPr>
            <w:tcW w:w="1098" w:type="pct"/>
            <w:tcBorders>
              <w:top w:val="nil"/>
              <w:left w:val="nil"/>
              <w:bottom w:val="nil"/>
              <w:right w:val="nil"/>
            </w:tcBorders>
            <w:shd w:val="clear" w:color="000000" w:fill="1B80C4"/>
            <w:noWrap/>
            <w:vAlign w:val="bottom"/>
            <w:hideMark/>
          </w:tcPr>
          <w:p w14:paraId="36645DBB" w14:textId="22BB0795" w:rsidR="00F40D2F" w:rsidRPr="00F40D2F" w:rsidRDefault="00F40D2F" w:rsidP="007A0CF6">
            <w:pPr>
              <w:spacing w:after="0" w:line="240" w:lineRule="auto"/>
              <w:jc w:val="center"/>
              <w:rPr>
                <w:rFonts w:ascii="Segoe UI" w:eastAsia="Times New Roman" w:hAnsi="Segoe UI" w:cs="Segoe UI"/>
                <w:b/>
                <w:bCs/>
                <w:color w:val="FFFFFF"/>
                <w:sz w:val="18"/>
                <w:szCs w:val="18"/>
                <w:lang w:eastAsia="pt-BR"/>
              </w:rPr>
            </w:pPr>
            <w:r w:rsidRPr="00F40D2F">
              <w:rPr>
                <w:rFonts w:ascii="Segoe UI" w:eastAsia="Times New Roman" w:hAnsi="Segoe UI" w:cs="Segoe UI"/>
                <w:b/>
                <w:bCs/>
                <w:color w:val="FFFFFF"/>
                <w:sz w:val="18"/>
                <w:szCs w:val="18"/>
                <w:lang w:eastAsia="pt-BR"/>
              </w:rPr>
              <w:t>Controladora</w:t>
            </w:r>
          </w:p>
        </w:tc>
        <w:tc>
          <w:tcPr>
            <w:tcW w:w="165" w:type="pct"/>
            <w:tcBorders>
              <w:top w:val="nil"/>
              <w:left w:val="nil"/>
              <w:bottom w:val="nil"/>
              <w:right w:val="nil"/>
            </w:tcBorders>
            <w:shd w:val="clear" w:color="000000" w:fill="1B80C4"/>
            <w:noWrap/>
            <w:vAlign w:val="bottom"/>
            <w:hideMark/>
          </w:tcPr>
          <w:p w14:paraId="436CA913" w14:textId="7C1E95F9" w:rsidR="00F40D2F" w:rsidRPr="00F40D2F" w:rsidRDefault="00F40D2F" w:rsidP="007A0CF6">
            <w:pPr>
              <w:spacing w:after="0" w:line="240" w:lineRule="auto"/>
              <w:jc w:val="center"/>
              <w:rPr>
                <w:rFonts w:ascii="Segoe UI" w:eastAsia="Times New Roman" w:hAnsi="Segoe UI" w:cs="Segoe UI"/>
                <w:b/>
                <w:bCs/>
                <w:color w:val="FFFFFF"/>
                <w:sz w:val="18"/>
                <w:szCs w:val="18"/>
                <w:lang w:eastAsia="pt-BR"/>
              </w:rPr>
            </w:pPr>
          </w:p>
        </w:tc>
        <w:tc>
          <w:tcPr>
            <w:tcW w:w="1094" w:type="pct"/>
            <w:tcBorders>
              <w:top w:val="nil"/>
              <w:left w:val="nil"/>
              <w:bottom w:val="nil"/>
              <w:right w:val="nil"/>
            </w:tcBorders>
            <w:shd w:val="clear" w:color="000000" w:fill="1B80C4"/>
            <w:noWrap/>
            <w:vAlign w:val="bottom"/>
            <w:hideMark/>
          </w:tcPr>
          <w:p w14:paraId="3A9F0516" w14:textId="2717B4BB" w:rsidR="00F40D2F" w:rsidRPr="00F40D2F" w:rsidRDefault="00F40D2F" w:rsidP="007A0CF6">
            <w:pPr>
              <w:spacing w:after="0" w:line="240" w:lineRule="auto"/>
              <w:jc w:val="center"/>
              <w:rPr>
                <w:rFonts w:ascii="Segoe UI" w:eastAsia="Times New Roman" w:hAnsi="Segoe UI" w:cs="Segoe UI"/>
                <w:b/>
                <w:bCs/>
                <w:color w:val="FFFFFF"/>
                <w:sz w:val="18"/>
                <w:szCs w:val="18"/>
                <w:lang w:eastAsia="pt-BR"/>
              </w:rPr>
            </w:pPr>
            <w:r w:rsidRPr="00F40D2F">
              <w:rPr>
                <w:rFonts w:ascii="Segoe UI" w:eastAsia="Times New Roman" w:hAnsi="Segoe UI" w:cs="Segoe UI"/>
                <w:b/>
                <w:bCs/>
                <w:color w:val="FFFFFF"/>
                <w:sz w:val="18"/>
                <w:szCs w:val="18"/>
                <w:lang w:eastAsia="pt-BR"/>
              </w:rPr>
              <w:t>Consolidado</w:t>
            </w:r>
          </w:p>
        </w:tc>
      </w:tr>
      <w:tr w:rsidR="00F40D2F" w:rsidRPr="00F40D2F" w14:paraId="73CFF064" w14:textId="77777777" w:rsidTr="007A0CF6">
        <w:trPr>
          <w:trHeight w:val="240"/>
        </w:trPr>
        <w:tc>
          <w:tcPr>
            <w:tcW w:w="2643" w:type="pct"/>
            <w:tcBorders>
              <w:top w:val="nil"/>
              <w:left w:val="nil"/>
              <w:bottom w:val="nil"/>
              <w:right w:val="nil"/>
            </w:tcBorders>
            <w:shd w:val="clear" w:color="auto" w:fill="auto"/>
            <w:noWrap/>
            <w:vAlign w:val="bottom"/>
            <w:hideMark/>
          </w:tcPr>
          <w:p w14:paraId="7B8A7846" w14:textId="77777777" w:rsidR="00F40D2F" w:rsidRPr="00F40D2F" w:rsidRDefault="00F40D2F" w:rsidP="00F40D2F">
            <w:pPr>
              <w:spacing w:after="0" w:line="240" w:lineRule="auto"/>
              <w:jc w:val="center"/>
              <w:rPr>
                <w:rFonts w:ascii="Segoe UI" w:eastAsia="Times New Roman" w:hAnsi="Segoe UI" w:cs="Segoe UI"/>
                <w:b/>
                <w:bCs/>
                <w:color w:val="FFFFFF"/>
                <w:sz w:val="18"/>
                <w:szCs w:val="18"/>
                <w:lang w:eastAsia="pt-BR"/>
              </w:rPr>
            </w:pPr>
          </w:p>
        </w:tc>
        <w:tc>
          <w:tcPr>
            <w:tcW w:w="1098" w:type="pct"/>
            <w:tcBorders>
              <w:top w:val="single" w:sz="4" w:space="0" w:color="FFFFFF"/>
              <w:left w:val="nil"/>
              <w:bottom w:val="single" w:sz="4" w:space="0" w:color="FFFFFF"/>
              <w:right w:val="nil"/>
            </w:tcBorders>
            <w:shd w:val="clear" w:color="000000" w:fill="1B80C4"/>
            <w:noWrap/>
            <w:vAlign w:val="center"/>
            <w:hideMark/>
          </w:tcPr>
          <w:p w14:paraId="0A351FD4" w14:textId="77777777" w:rsidR="00F40D2F" w:rsidRPr="00F40D2F" w:rsidRDefault="00F40D2F" w:rsidP="007A0CF6">
            <w:pPr>
              <w:spacing w:after="0" w:line="240" w:lineRule="auto"/>
              <w:jc w:val="center"/>
              <w:rPr>
                <w:rFonts w:ascii="Segoe UI" w:eastAsia="Times New Roman" w:hAnsi="Segoe UI" w:cs="Segoe UI"/>
                <w:b/>
                <w:bCs/>
                <w:color w:val="FFFFFF"/>
                <w:sz w:val="18"/>
                <w:szCs w:val="18"/>
                <w:lang w:eastAsia="pt-BR"/>
              </w:rPr>
            </w:pPr>
            <w:r w:rsidRPr="00F40D2F">
              <w:rPr>
                <w:rFonts w:ascii="Segoe UI" w:eastAsia="Times New Roman" w:hAnsi="Segoe UI" w:cs="Segoe UI"/>
                <w:b/>
                <w:bCs/>
                <w:color w:val="FFFFFF"/>
                <w:sz w:val="18"/>
                <w:szCs w:val="18"/>
                <w:lang w:eastAsia="pt-BR"/>
              </w:rPr>
              <w:t>31/12/2022</w:t>
            </w:r>
          </w:p>
        </w:tc>
        <w:tc>
          <w:tcPr>
            <w:tcW w:w="165" w:type="pct"/>
            <w:tcBorders>
              <w:left w:val="nil"/>
              <w:right w:val="nil"/>
            </w:tcBorders>
            <w:shd w:val="clear" w:color="000000" w:fill="1B80C4"/>
            <w:noWrap/>
            <w:vAlign w:val="center"/>
            <w:hideMark/>
          </w:tcPr>
          <w:p w14:paraId="3312B38D" w14:textId="537D299F" w:rsidR="00F40D2F" w:rsidRPr="00F40D2F" w:rsidRDefault="00F40D2F" w:rsidP="007A0CF6">
            <w:pPr>
              <w:spacing w:after="0" w:line="240" w:lineRule="auto"/>
              <w:jc w:val="center"/>
              <w:rPr>
                <w:rFonts w:ascii="Segoe UI" w:eastAsia="Times New Roman" w:hAnsi="Segoe UI" w:cs="Segoe UI"/>
                <w:b/>
                <w:bCs/>
                <w:color w:val="FFFFFF"/>
                <w:sz w:val="18"/>
                <w:szCs w:val="18"/>
                <w:lang w:eastAsia="pt-BR"/>
              </w:rPr>
            </w:pPr>
          </w:p>
        </w:tc>
        <w:tc>
          <w:tcPr>
            <w:tcW w:w="1094" w:type="pct"/>
            <w:tcBorders>
              <w:top w:val="single" w:sz="4" w:space="0" w:color="FFFFFF"/>
              <w:left w:val="nil"/>
              <w:bottom w:val="single" w:sz="4" w:space="0" w:color="FFFFFF"/>
              <w:right w:val="nil"/>
            </w:tcBorders>
            <w:shd w:val="clear" w:color="000000" w:fill="1B80C4"/>
            <w:noWrap/>
            <w:vAlign w:val="center"/>
            <w:hideMark/>
          </w:tcPr>
          <w:p w14:paraId="6F7EF027" w14:textId="77777777" w:rsidR="00F40D2F" w:rsidRPr="00F40D2F" w:rsidRDefault="00F40D2F" w:rsidP="007A0CF6">
            <w:pPr>
              <w:spacing w:after="0" w:line="240" w:lineRule="auto"/>
              <w:jc w:val="center"/>
              <w:rPr>
                <w:rFonts w:ascii="Segoe UI" w:eastAsia="Times New Roman" w:hAnsi="Segoe UI" w:cs="Segoe UI"/>
                <w:b/>
                <w:bCs/>
                <w:color w:val="FFFFFF"/>
                <w:sz w:val="18"/>
                <w:szCs w:val="18"/>
                <w:lang w:eastAsia="pt-BR"/>
              </w:rPr>
            </w:pPr>
            <w:r w:rsidRPr="00F40D2F">
              <w:rPr>
                <w:rFonts w:ascii="Segoe UI" w:eastAsia="Times New Roman" w:hAnsi="Segoe UI" w:cs="Segoe UI"/>
                <w:b/>
                <w:bCs/>
                <w:color w:val="FFFFFF"/>
                <w:sz w:val="18"/>
                <w:szCs w:val="18"/>
                <w:lang w:eastAsia="pt-BR"/>
              </w:rPr>
              <w:t>31/12/2022</w:t>
            </w:r>
          </w:p>
        </w:tc>
      </w:tr>
      <w:tr w:rsidR="00F40D2F" w:rsidRPr="00F40D2F" w14:paraId="725A571B" w14:textId="77777777" w:rsidTr="00F40D2F">
        <w:trPr>
          <w:trHeight w:val="240"/>
        </w:trPr>
        <w:tc>
          <w:tcPr>
            <w:tcW w:w="2643" w:type="pct"/>
            <w:tcBorders>
              <w:top w:val="nil"/>
              <w:left w:val="nil"/>
              <w:bottom w:val="nil"/>
              <w:right w:val="nil"/>
            </w:tcBorders>
            <w:shd w:val="clear" w:color="auto" w:fill="auto"/>
            <w:noWrap/>
            <w:vAlign w:val="center"/>
            <w:hideMark/>
          </w:tcPr>
          <w:p w14:paraId="0462F260" w14:textId="07A716A5" w:rsidR="00F40D2F" w:rsidRPr="00F40D2F" w:rsidRDefault="00F40D2F" w:rsidP="00F40D2F">
            <w:pPr>
              <w:spacing w:after="0" w:line="240" w:lineRule="auto"/>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 xml:space="preserve"> Diferimento Itaipu </w:t>
            </w:r>
            <w:r w:rsidR="00365EF8">
              <w:rPr>
                <w:rFonts w:ascii="Segoe UI" w:eastAsia="Times New Roman" w:hAnsi="Segoe UI" w:cs="Segoe UI"/>
                <w:color w:val="000000"/>
                <w:sz w:val="18"/>
                <w:szCs w:val="18"/>
                <w:lang w:eastAsia="pt-BR"/>
              </w:rPr>
              <w:t>(a)</w:t>
            </w:r>
          </w:p>
        </w:tc>
        <w:tc>
          <w:tcPr>
            <w:tcW w:w="1098" w:type="pct"/>
            <w:tcBorders>
              <w:top w:val="nil"/>
              <w:left w:val="nil"/>
              <w:bottom w:val="nil"/>
              <w:right w:val="nil"/>
            </w:tcBorders>
            <w:shd w:val="clear" w:color="auto" w:fill="auto"/>
            <w:noWrap/>
            <w:vAlign w:val="center"/>
            <w:hideMark/>
          </w:tcPr>
          <w:p w14:paraId="62F909DD" w14:textId="734A9AFD"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2.455.636</w:t>
            </w:r>
          </w:p>
        </w:tc>
        <w:tc>
          <w:tcPr>
            <w:tcW w:w="165" w:type="pct"/>
            <w:tcBorders>
              <w:top w:val="nil"/>
              <w:left w:val="nil"/>
              <w:bottom w:val="nil"/>
              <w:right w:val="nil"/>
            </w:tcBorders>
            <w:shd w:val="clear" w:color="auto" w:fill="auto"/>
            <w:noWrap/>
            <w:vAlign w:val="bottom"/>
            <w:hideMark/>
          </w:tcPr>
          <w:p w14:paraId="06FC5DF2" w14:textId="77777777"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1AACCDA8" w14:textId="5FCBFAD2"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2.455.636</w:t>
            </w:r>
          </w:p>
        </w:tc>
      </w:tr>
      <w:tr w:rsidR="00F40D2F" w:rsidRPr="00F40D2F" w14:paraId="66E88DC1" w14:textId="77777777" w:rsidTr="00F40D2F">
        <w:trPr>
          <w:trHeight w:val="240"/>
        </w:trPr>
        <w:tc>
          <w:tcPr>
            <w:tcW w:w="2643" w:type="pct"/>
            <w:tcBorders>
              <w:top w:val="nil"/>
              <w:left w:val="nil"/>
              <w:bottom w:val="nil"/>
              <w:right w:val="nil"/>
            </w:tcBorders>
            <w:shd w:val="clear" w:color="auto" w:fill="auto"/>
            <w:noWrap/>
            <w:vAlign w:val="center"/>
            <w:hideMark/>
          </w:tcPr>
          <w:p w14:paraId="0ECCA60A" w14:textId="77777777" w:rsidR="00F40D2F" w:rsidRPr="00F40D2F" w:rsidRDefault="00F40D2F" w:rsidP="00F40D2F">
            <w:pPr>
              <w:spacing w:after="0" w:line="240" w:lineRule="auto"/>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 xml:space="preserve"> Diversos </w:t>
            </w:r>
          </w:p>
        </w:tc>
        <w:tc>
          <w:tcPr>
            <w:tcW w:w="1098" w:type="pct"/>
            <w:tcBorders>
              <w:top w:val="nil"/>
              <w:left w:val="nil"/>
              <w:bottom w:val="nil"/>
              <w:right w:val="nil"/>
            </w:tcBorders>
            <w:shd w:val="clear" w:color="auto" w:fill="auto"/>
            <w:noWrap/>
            <w:vAlign w:val="center"/>
            <w:hideMark/>
          </w:tcPr>
          <w:p w14:paraId="5C0A9197" w14:textId="3E05C35C"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31.669</w:t>
            </w:r>
          </w:p>
        </w:tc>
        <w:tc>
          <w:tcPr>
            <w:tcW w:w="165" w:type="pct"/>
            <w:tcBorders>
              <w:top w:val="nil"/>
              <w:left w:val="nil"/>
              <w:bottom w:val="nil"/>
              <w:right w:val="nil"/>
            </w:tcBorders>
            <w:shd w:val="clear" w:color="auto" w:fill="auto"/>
            <w:noWrap/>
            <w:vAlign w:val="bottom"/>
            <w:hideMark/>
          </w:tcPr>
          <w:p w14:paraId="1C804465" w14:textId="77777777"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7FCC97CD" w14:textId="6FF51589"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68.015</w:t>
            </w:r>
          </w:p>
        </w:tc>
      </w:tr>
      <w:tr w:rsidR="00F40D2F" w:rsidRPr="00F40D2F" w14:paraId="67998ADA" w14:textId="77777777" w:rsidTr="00F40D2F">
        <w:trPr>
          <w:trHeight w:val="255"/>
        </w:trPr>
        <w:tc>
          <w:tcPr>
            <w:tcW w:w="2643" w:type="pct"/>
            <w:tcBorders>
              <w:top w:val="nil"/>
              <w:left w:val="nil"/>
              <w:bottom w:val="nil"/>
              <w:right w:val="nil"/>
            </w:tcBorders>
            <w:shd w:val="clear" w:color="auto" w:fill="auto"/>
            <w:noWrap/>
            <w:vAlign w:val="center"/>
            <w:hideMark/>
          </w:tcPr>
          <w:p w14:paraId="02930FBE" w14:textId="77777777"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p>
        </w:tc>
        <w:tc>
          <w:tcPr>
            <w:tcW w:w="1098" w:type="pct"/>
            <w:tcBorders>
              <w:top w:val="single" w:sz="4" w:space="0" w:color="1B80C4"/>
              <w:left w:val="nil"/>
              <w:bottom w:val="double" w:sz="6" w:space="0" w:color="1B80C4"/>
              <w:right w:val="nil"/>
            </w:tcBorders>
            <w:shd w:val="clear" w:color="auto" w:fill="auto"/>
            <w:noWrap/>
            <w:vAlign w:val="center"/>
            <w:hideMark/>
          </w:tcPr>
          <w:p w14:paraId="5ECF8B58" w14:textId="2E777F0B" w:rsidR="00F40D2F" w:rsidRPr="00F40D2F" w:rsidRDefault="00F40D2F" w:rsidP="00F40D2F">
            <w:pPr>
              <w:spacing w:after="0" w:line="240" w:lineRule="auto"/>
              <w:jc w:val="right"/>
              <w:rPr>
                <w:rFonts w:ascii="Segoe UI" w:eastAsia="Times New Roman" w:hAnsi="Segoe UI" w:cs="Segoe UI"/>
                <w:b/>
                <w:bCs/>
                <w:color w:val="000000"/>
                <w:sz w:val="18"/>
                <w:szCs w:val="18"/>
                <w:lang w:eastAsia="pt-BR"/>
              </w:rPr>
            </w:pPr>
            <w:r w:rsidRPr="00F40D2F">
              <w:rPr>
                <w:rFonts w:ascii="Segoe UI" w:eastAsia="Times New Roman" w:hAnsi="Segoe UI" w:cs="Segoe UI"/>
                <w:b/>
                <w:bCs/>
                <w:color w:val="000000"/>
                <w:sz w:val="18"/>
                <w:szCs w:val="18"/>
                <w:lang w:eastAsia="pt-BR"/>
              </w:rPr>
              <w:t>2.487.305</w:t>
            </w:r>
          </w:p>
        </w:tc>
        <w:tc>
          <w:tcPr>
            <w:tcW w:w="165" w:type="pct"/>
            <w:tcBorders>
              <w:top w:val="nil"/>
              <w:left w:val="nil"/>
              <w:bottom w:val="nil"/>
              <w:right w:val="nil"/>
            </w:tcBorders>
            <w:shd w:val="clear" w:color="auto" w:fill="auto"/>
            <w:noWrap/>
            <w:vAlign w:val="bottom"/>
            <w:hideMark/>
          </w:tcPr>
          <w:p w14:paraId="5B2185F6" w14:textId="77777777" w:rsidR="00F40D2F" w:rsidRPr="00F40D2F" w:rsidRDefault="00F40D2F" w:rsidP="00F40D2F">
            <w:pPr>
              <w:spacing w:after="0" w:line="240" w:lineRule="auto"/>
              <w:jc w:val="right"/>
              <w:rPr>
                <w:rFonts w:ascii="Segoe UI" w:eastAsia="Times New Roman" w:hAnsi="Segoe UI" w:cs="Segoe UI"/>
                <w:b/>
                <w:bCs/>
                <w:color w:val="000000"/>
                <w:sz w:val="18"/>
                <w:szCs w:val="18"/>
                <w:lang w:eastAsia="pt-BR"/>
              </w:rPr>
            </w:pPr>
          </w:p>
        </w:tc>
        <w:tc>
          <w:tcPr>
            <w:tcW w:w="1094" w:type="pct"/>
            <w:tcBorders>
              <w:top w:val="single" w:sz="4" w:space="0" w:color="1B80C4"/>
              <w:left w:val="nil"/>
              <w:bottom w:val="double" w:sz="6" w:space="0" w:color="1B80C4"/>
              <w:right w:val="nil"/>
            </w:tcBorders>
            <w:shd w:val="clear" w:color="auto" w:fill="auto"/>
            <w:noWrap/>
            <w:vAlign w:val="center"/>
            <w:hideMark/>
          </w:tcPr>
          <w:p w14:paraId="301D1ACA" w14:textId="39873309" w:rsidR="00F40D2F" w:rsidRPr="00F40D2F" w:rsidRDefault="00F40D2F" w:rsidP="00F40D2F">
            <w:pPr>
              <w:spacing w:after="0" w:line="240" w:lineRule="auto"/>
              <w:jc w:val="right"/>
              <w:rPr>
                <w:rFonts w:ascii="Segoe UI" w:eastAsia="Times New Roman" w:hAnsi="Segoe UI" w:cs="Segoe UI"/>
                <w:b/>
                <w:bCs/>
                <w:color w:val="000000"/>
                <w:sz w:val="18"/>
                <w:szCs w:val="18"/>
                <w:lang w:eastAsia="pt-BR"/>
              </w:rPr>
            </w:pPr>
            <w:r w:rsidRPr="00F40D2F">
              <w:rPr>
                <w:rFonts w:ascii="Segoe UI" w:eastAsia="Times New Roman" w:hAnsi="Segoe UI" w:cs="Segoe UI"/>
                <w:b/>
                <w:bCs/>
                <w:color w:val="000000"/>
                <w:sz w:val="18"/>
                <w:szCs w:val="18"/>
                <w:lang w:eastAsia="pt-BR"/>
              </w:rPr>
              <w:t>2.523.651</w:t>
            </w:r>
          </w:p>
        </w:tc>
      </w:tr>
      <w:tr w:rsidR="00F40D2F" w:rsidRPr="00F40D2F" w14:paraId="30F70BBA" w14:textId="77777777" w:rsidTr="00F40D2F">
        <w:trPr>
          <w:trHeight w:val="255"/>
        </w:trPr>
        <w:tc>
          <w:tcPr>
            <w:tcW w:w="2643" w:type="pct"/>
            <w:tcBorders>
              <w:top w:val="nil"/>
              <w:left w:val="nil"/>
              <w:bottom w:val="nil"/>
              <w:right w:val="nil"/>
            </w:tcBorders>
            <w:shd w:val="clear" w:color="auto" w:fill="auto"/>
            <w:noWrap/>
            <w:vAlign w:val="bottom"/>
            <w:hideMark/>
          </w:tcPr>
          <w:p w14:paraId="0870B460" w14:textId="77777777" w:rsidR="00F40D2F" w:rsidRPr="00F40D2F" w:rsidRDefault="00F40D2F" w:rsidP="00F40D2F">
            <w:pPr>
              <w:spacing w:after="0" w:line="240" w:lineRule="auto"/>
              <w:jc w:val="right"/>
              <w:rPr>
                <w:rFonts w:ascii="Segoe UI" w:eastAsia="Times New Roman" w:hAnsi="Segoe UI" w:cs="Segoe UI"/>
                <w:b/>
                <w:bCs/>
                <w:color w:val="000000"/>
                <w:sz w:val="18"/>
                <w:szCs w:val="18"/>
                <w:lang w:eastAsia="pt-BR"/>
              </w:rPr>
            </w:pPr>
          </w:p>
        </w:tc>
        <w:tc>
          <w:tcPr>
            <w:tcW w:w="1098" w:type="pct"/>
            <w:tcBorders>
              <w:top w:val="nil"/>
              <w:left w:val="nil"/>
              <w:bottom w:val="nil"/>
              <w:right w:val="nil"/>
            </w:tcBorders>
            <w:shd w:val="clear" w:color="auto" w:fill="auto"/>
            <w:noWrap/>
            <w:vAlign w:val="bottom"/>
            <w:hideMark/>
          </w:tcPr>
          <w:p w14:paraId="66C47EEB" w14:textId="77777777" w:rsidR="00F40D2F" w:rsidRPr="00F40D2F" w:rsidRDefault="00F40D2F" w:rsidP="00F40D2F">
            <w:pPr>
              <w:spacing w:after="0" w:line="240" w:lineRule="auto"/>
              <w:jc w:val="right"/>
              <w:rPr>
                <w:rFonts w:ascii="Times New Roman" w:eastAsia="Times New Roman" w:hAnsi="Times New Roman" w:cs="Times New Roman"/>
                <w:sz w:val="20"/>
                <w:szCs w:val="20"/>
                <w:lang w:eastAsia="pt-BR"/>
              </w:rPr>
            </w:pPr>
          </w:p>
        </w:tc>
        <w:tc>
          <w:tcPr>
            <w:tcW w:w="165" w:type="pct"/>
            <w:tcBorders>
              <w:top w:val="nil"/>
              <w:left w:val="nil"/>
              <w:bottom w:val="nil"/>
              <w:right w:val="nil"/>
            </w:tcBorders>
            <w:shd w:val="clear" w:color="auto" w:fill="auto"/>
            <w:noWrap/>
            <w:vAlign w:val="bottom"/>
            <w:hideMark/>
          </w:tcPr>
          <w:p w14:paraId="1B45F87B" w14:textId="77777777" w:rsidR="00F40D2F" w:rsidRPr="00F40D2F" w:rsidRDefault="00F40D2F" w:rsidP="00F40D2F">
            <w:pPr>
              <w:spacing w:after="0" w:line="240" w:lineRule="auto"/>
              <w:jc w:val="right"/>
              <w:rPr>
                <w:rFonts w:ascii="Times New Roman" w:eastAsia="Times New Roman" w:hAnsi="Times New Roman" w:cs="Times New Roman"/>
                <w:sz w:val="20"/>
                <w:szCs w:val="20"/>
                <w:lang w:eastAsia="pt-BR"/>
              </w:rPr>
            </w:pPr>
          </w:p>
        </w:tc>
        <w:tc>
          <w:tcPr>
            <w:tcW w:w="1094" w:type="pct"/>
            <w:tcBorders>
              <w:top w:val="nil"/>
              <w:left w:val="nil"/>
              <w:bottom w:val="nil"/>
              <w:right w:val="nil"/>
            </w:tcBorders>
            <w:shd w:val="clear" w:color="auto" w:fill="auto"/>
            <w:noWrap/>
            <w:vAlign w:val="bottom"/>
            <w:hideMark/>
          </w:tcPr>
          <w:p w14:paraId="665A4ADE" w14:textId="77777777" w:rsidR="00F40D2F" w:rsidRPr="00F40D2F" w:rsidRDefault="00F40D2F" w:rsidP="00F40D2F">
            <w:pPr>
              <w:spacing w:after="0" w:line="240" w:lineRule="auto"/>
              <w:jc w:val="right"/>
              <w:rPr>
                <w:rFonts w:ascii="Times New Roman" w:eastAsia="Times New Roman" w:hAnsi="Times New Roman" w:cs="Times New Roman"/>
                <w:sz w:val="20"/>
                <w:szCs w:val="20"/>
                <w:lang w:eastAsia="pt-BR"/>
              </w:rPr>
            </w:pPr>
          </w:p>
        </w:tc>
      </w:tr>
      <w:tr w:rsidR="00F40D2F" w:rsidRPr="00F40D2F" w14:paraId="144468C5" w14:textId="77777777" w:rsidTr="00F40D2F">
        <w:trPr>
          <w:trHeight w:val="240"/>
        </w:trPr>
        <w:tc>
          <w:tcPr>
            <w:tcW w:w="2643" w:type="pct"/>
            <w:tcBorders>
              <w:top w:val="nil"/>
              <w:left w:val="nil"/>
              <w:bottom w:val="nil"/>
              <w:right w:val="nil"/>
            </w:tcBorders>
            <w:shd w:val="clear" w:color="auto" w:fill="auto"/>
            <w:noWrap/>
            <w:vAlign w:val="bottom"/>
            <w:hideMark/>
          </w:tcPr>
          <w:p w14:paraId="1089B9B0" w14:textId="77777777" w:rsidR="00F40D2F" w:rsidRPr="00F40D2F" w:rsidRDefault="00F40D2F" w:rsidP="00F40D2F">
            <w:pPr>
              <w:spacing w:after="0" w:line="240" w:lineRule="auto"/>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 xml:space="preserve"> Circulante </w:t>
            </w:r>
          </w:p>
        </w:tc>
        <w:tc>
          <w:tcPr>
            <w:tcW w:w="1098" w:type="pct"/>
            <w:tcBorders>
              <w:top w:val="nil"/>
              <w:left w:val="nil"/>
              <w:bottom w:val="nil"/>
              <w:right w:val="nil"/>
            </w:tcBorders>
            <w:shd w:val="clear" w:color="auto" w:fill="auto"/>
            <w:noWrap/>
            <w:vAlign w:val="bottom"/>
            <w:hideMark/>
          </w:tcPr>
          <w:p w14:paraId="0EA5439F" w14:textId="42FA37AE"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695.299</w:t>
            </w:r>
          </w:p>
        </w:tc>
        <w:tc>
          <w:tcPr>
            <w:tcW w:w="165" w:type="pct"/>
            <w:tcBorders>
              <w:top w:val="nil"/>
              <w:left w:val="nil"/>
              <w:bottom w:val="nil"/>
              <w:right w:val="nil"/>
            </w:tcBorders>
            <w:shd w:val="clear" w:color="auto" w:fill="auto"/>
            <w:noWrap/>
            <w:vAlign w:val="bottom"/>
            <w:hideMark/>
          </w:tcPr>
          <w:p w14:paraId="751FE474" w14:textId="77777777"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638C3119" w14:textId="51ADA97C"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729.971</w:t>
            </w:r>
          </w:p>
        </w:tc>
      </w:tr>
      <w:tr w:rsidR="00F40D2F" w:rsidRPr="00F40D2F" w14:paraId="4D1D8EEF" w14:textId="77777777" w:rsidTr="00F40D2F">
        <w:trPr>
          <w:trHeight w:val="240"/>
        </w:trPr>
        <w:tc>
          <w:tcPr>
            <w:tcW w:w="2643" w:type="pct"/>
            <w:tcBorders>
              <w:top w:val="nil"/>
              <w:left w:val="nil"/>
              <w:bottom w:val="nil"/>
              <w:right w:val="nil"/>
            </w:tcBorders>
            <w:shd w:val="clear" w:color="auto" w:fill="auto"/>
            <w:noWrap/>
            <w:vAlign w:val="bottom"/>
            <w:hideMark/>
          </w:tcPr>
          <w:p w14:paraId="1F741B7F" w14:textId="77777777" w:rsidR="00F40D2F" w:rsidRPr="00F40D2F" w:rsidRDefault="00F40D2F" w:rsidP="00F40D2F">
            <w:pPr>
              <w:spacing w:after="0" w:line="240" w:lineRule="auto"/>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 xml:space="preserve"> Não Circulante </w:t>
            </w:r>
          </w:p>
        </w:tc>
        <w:tc>
          <w:tcPr>
            <w:tcW w:w="1098" w:type="pct"/>
            <w:tcBorders>
              <w:top w:val="nil"/>
              <w:left w:val="nil"/>
              <w:bottom w:val="nil"/>
              <w:right w:val="nil"/>
            </w:tcBorders>
            <w:shd w:val="clear" w:color="auto" w:fill="auto"/>
            <w:noWrap/>
            <w:vAlign w:val="bottom"/>
            <w:hideMark/>
          </w:tcPr>
          <w:p w14:paraId="444F8704" w14:textId="37F7D6C6"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1.792.006</w:t>
            </w:r>
          </w:p>
        </w:tc>
        <w:tc>
          <w:tcPr>
            <w:tcW w:w="165" w:type="pct"/>
            <w:tcBorders>
              <w:top w:val="nil"/>
              <w:left w:val="nil"/>
              <w:bottom w:val="nil"/>
              <w:right w:val="nil"/>
            </w:tcBorders>
            <w:shd w:val="clear" w:color="auto" w:fill="auto"/>
            <w:noWrap/>
            <w:vAlign w:val="bottom"/>
            <w:hideMark/>
          </w:tcPr>
          <w:p w14:paraId="39FB80EA" w14:textId="77777777"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p>
        </w:tc>
        <w:tc>
          <w:tcPr>
            <w:tcW w:w="1094" w:type="pct"/>
            <w:tcBorders>
              <w:top w:val="nil"/>
              <w:left w:val="nil"/>
              <w:bottom w:val="nil"/>
              <w:right w:val="nil"/>
            </w:tcBorders>
            <w:shd w:val="clear" w:color="auto" w:fill="auto"/>
            <w:noWrap/>
            <w:vAlign w:val="center"/>
            <w:hideMark/>
          </w:tcPr>
          <w:p w14:paraId="008D7065" w14:textId="00A90546"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r w:rsidRPr="00F40D2F">
              <w:rPr>
                <w:rFonts w:ascii="Segoe UI" w:eastAsia="Times New Roman" w:hAnsi="Segoe UI" w:cs="Segoe UI"/>
                <w:color w:val="000000"/>
                <w:sz w:val="18"/>
                <w:szCs w:val="18"/>
                <w:lang w:eastAsia="pt-BR"/>
              </w:rPr>
              <w:t>1.793.680</w:t>
            </w:r>
          </w:p>
        </w:tc>
      </w:tr>
      <w:tr w:rsidR="00F40D2F" w:rsidRPr="00F40D2F" w14:paraId="1F3D5E35" w14:textId="77777777" w:rsidTr="00F40D2F">
        <w:trPr>
          <w:trHeight w:val="255"/>
        </w:trPr>
        <w:tc>
          <w:tcPr>
            <w:tcW w:w="2643" w:type="pct"/>
            <w:tcBorders>
              <w:top w:val="nil"/>
              <w:left w:val="nil"/>
              <w:bottom w:val="nil"/>
              <w:right w:val="nil"/>
            </w:tcBorders>
            <w:shd w:val="clear" w:color="auto" w:fill="auto"/>
            <w:noWrap/>
            <w:vAlign w:val="bottom"/>
            <w:hideMark/>
          </w:tcPr>
          <w:p w14:paraId="0201422B" w14:textId="77777777" w:rsidR="00F40D2F" w:rsidRPr="00F40D2F" w:rsidRDefault="00F40D2F" w:rsidP="00F40D2F">
            <w:pPr>
              <w:spacing w:after="0" w:line="240" w:lineRule="auto"/>
              <w:jc w:val="right"/>
              <w:rPr>
                <w:rFonts w:ascii="Segoe UI" w:eastAsia="Times New Roman" w:hAnsi="Segoe UI" w:cs="Segoe UI"/>
                <w:color w:val="000000"/>
                <w:sz w:val="18"/>
                <w:szCs w:val="18"/>
                <w:lang w:eastAsia="pt-BR"/>
              </w:rPr>
            </w:pPr>
          </w:p>
        </w:tc>
        <w:tc>
          <w:tcPr>
            <w:tcW w:w="1098" w:type="pct"/>
            <w:tcBorders>
              <w:top w:val="single" w:sz="4" w:space="0" w:color="1B80C4"/>
              <w:left w:val="nil"/>
              <w:bottom w:val="double" w:sz="6" w:space="0" w:color="1B80C4"/>
              <w:right w:val="nil"/>
            </w:tcBorders>
            <w:shd w:val="clear" w:color="auto" w:fill="auto"/>
            <w:noWrap/>
            <w:vAlign w:val="center"/>
            <w:hideMark/>
          </w:tcPr>
          <w:p w14:paraId="05541450" w14:textId="475D3993" w:rsidR="00F40D2F" w:rsidRPr="00F40D2F" w:rsidRDefault="00F40D2F" w:rsidP="00F40D2F">
            <w:pPr>
              <w:spacing w:after="0" w:line="240" w:lineRule="auto"/>
              <w:jc w:val="right"/>
              <w:rPr>
                <w:rFonts w:ascii="Segoe UI" w:eastAsia="Times New Roman" w:hAnsi="Segoe UI" w:cs="Segoe UI"/>
                <w:b/>
                <w:bCs/>
                <w:color w:val="000000"/>
                <w:sz w:val="18"/>
                <w:szCs w:val="18"/>
                <w:lang w:eastAsia="pt-BR"/>
              </w:rPr>
            </w:pPr>
            <w:r w:rsidRPr="00F40D2F">
              <w:rPr>
                <w:rFonts w:ascii="Segoe UI" w:eastAsia="Times New Roman" w:hAnsi="Segoe UI" w:cs="Segoe UI"/>
                <w:b/>
                <w:bCs/>
                <w:color w:val="000000"/>
                <w:sz w:val="18"/>
                <w:szCs w:val="18"/>
                <w:lang w:eastAsia="pt-BR"/>
              </w:rPr>
              <w:t>2.487.305</w:t>
            </w:r>
          </w:p>
        </w:tc>
        <w:tc>
          <w:tcPr>
            <w:tcW w:w="165" w:type="pct"/>
            <w:tcBorders>
              <w:top w:val="nil"/>
              <w:left w:val="nil"/>
              <w:bottom w:val="nil"/>
              <w:right w:val="nil"/>
            </w:tcBorders>
            <w:shd w:val="clear" w:color="auto" w:fill="auto"/>
            <w:noWrap/>
            <w:vAlign w:val="bottom"/>
            <w:hideMark/>
          </w:tcPr>
          <w:p w14:paraId="059BE662" w14:textId="77777777" w:rsidR="00F40D2F" w:rsidRPr="00F40D2F" w:rsidRDefault="00F40D2F" w:rsidP="00F40D2F">
            <w:pPr>
              <w:spacing w:after="0" w:line="240" w:lineRule="auto"/>
              <w:jc w:val="right"/>
              <w:rPr>
                <w:rFonts w:ascii="Segoe UI" w:eastAsia="Times New Roman" w:hAnsi="Segoe UI" w:cs="Segoe UI"/>
                <w:b/>
                <w:bCs/>
                <w:color w:val="000000"/>
                <w:sz w:val="18"/>
                <w:szCs w:val="18"/>
                <w:lang w:eastAsia="pt-BR"/>
              </w:rPr>
            </w:pPr>
          </w:p>
        </w:tc>
        <w:tc>
          <w:tcPr>
            <w:tcW w:w="1094" w:type="pct"/>
            <w:tcBorders>
              <w:top w:val="single" w:sz="4" w:space="0" w:color="1B80C4"/>
              <w:left w:val="nil"/>
              <w:bottom w:val="double" w:sz="6" w:space="0" w:color="1B80C4"/>
              <w:right w:val="nil"/>
            </w:tcBorders>
            <w:shd w:val="clear" w:color="auto" w:fill="auto"/>
            <w:noWrap/>
            <w:vAlign w:val="center"/>
            <w:hideMark/>
          </w:tcPr>
          <w:p w14:paraId="48E1F33E" w14:textId="74B96901" w:rsidR="00F40D2F" w:rsidRPr="00F40D2F" w:rsidRDefault="00F40D2F" w:rsidP="00F40D2F">
            <w:pPr>
              <w:spacing w:after="0" w:line="240" w:lineRule="auto"/>
              <w:jc w:val="right"/>
              <w:rPr>
                <w:rFonts w:ascii="Segoe UI" w:eastAsia="Times New Roman" w:hAnsi="Segoe UI" w:cs="Segoe UI"/>
                <w:b/>
                <w:bCs/>
                <w:color w:val="000000"/>
                <w:sz w:val="18"/>
                <w:szCs w:val="18"/>
                <w:lang w:eastAsia="pt-BR"/>
              </w:rPr>
            </w:pPr>
            <w:r w:rsidRPr="00F40D2F">
              <w:rPr>
                <w:rFonts w:ascii="Segoe UI" w:eastAsia="Times New Roman" w:hAnsi="Segoe UI" w:cs="Segoe UI"/>
                <w:b/>
                <w:bCs/>
                <w:color w:val="000000"/>
                <w:sz w:val="18"/>
                <w:szCs w:val="18"/>
                <w:lang w:eastAsia="pt-BR"/>
              </w:rPr>
              <w:t>2.523.651</w:t>
            </w:r>
          </w:p>
        </w:tc>
      </w:tr>
    </w:tbl>
    <w:p w14:paraId="37FA4EDB" w14:textId="77777777" w:rsidR="006D433E" w:rsidRDefault="006D433E" w:rsidP="00D04BFD"/>
    <w:p w14:paraId="34D0651B" w14:textId="2AAA1F12" w:rsidR="006D433E" w:rsidRPr="007A0CF6" w:rsidRDefault="00724DA8" w:rsidP="007A0CF6">
      <w:pPr>
        <w:pStyle w:val="PargrafodaLista"/>
        <w:numPr>
          <w:ilvl w:val="0"/>
          <w:numId w:val="17"/>
        </w:numPr>
        <w:rPr>
          <w:rFonts w:ascii="Segoe UI" w:hAnsi="Segoe UI" w:cs="Segoe UI"/>
          <w:szCs w:val="22"/>
        </w:rPr>
      </w:pPr>
      <w:r w:rsidRPr="007A0CF6">
        <w:rPr>
          <w:rFonts w:ascii="Segoe UI" w:hAnsi="Segoe UI" w:cs="Segoe UI"/>
          <w:snapToGrid w:val="0"/>
          <w:szCs w:val="22"/>
        </w:rPr>
        <w:t>Conforme Resolução Homologatória nº 2.969 de 9 de novembro de 2021 da ANEEL e suas atualizações. Os valores de bônus da</w:t>
      </w:r>
      <w:r w:rsidR="007A0CF6" w:rsidRPr="007A0CF6">
        <w:rPr>
          <w:rFonts w:ascii="Segoe UI" w:hAnsi="Segoe UI" w:cs="Segoe UI"/>
          <w:snapToGrid w:val="0"/>
          <w:szCs w:val="22"/>
        </w:rPr>
        <w:t>s</w:t>
      </w:r>
      <w:r w:rsidRPr="007A0CF6">
        <w:rPr>
          <w:rFonts w:ascii="Segoe UI" w:hAnsi="Segoe UI" w:cs="Segoe UI"/>
          <w:snapToGrid w:val="0"/>
          <w:szCs w:val="22"/>
        </w:rPr>
        <w:t xml:space="preserve"> contas de comercialização de Itaipu de 2020 e 202</w:t>
      </w:r>
      <w:r w:rsidR="00A47B83" w:rsidRPr="007A0CF6">
        <w:rPr>
          <w:rFonts w:ascii="Segoe UI" w:hAnsi="Segoe UI" w:cs="Segoe UI"/>
          <w:snapToGrid w:val="0"/>
          <w:szCs w:val="22"/>
        </w:rPr>
        <w:t>1</w:t>
      </w:r>
      <w:r w:rsidRPr="007A0CF6">
        <w:rPr>
          <w:rFonts w:ascii="Segoe UI" w:hAnsi="Segoe UI" w:cs="Segoe UI"/>
          <w:snapToGrid w:val="0"/>
          <w:szCs w:val="22"/>
        </w:rPr>
        <w:t xml:space="preserve"> e valores repassado por Itaipu, para minimizar o impacto da Covid, serão diferidos para as </w:t>
      </w:r>
      <w:r w:rsidRPr="007A0CF6">
        <w:rPr>
          <w:rFonts w:ascii="Segoe UI" w:hAnsi="Segoe UI" w:cs="Segoe UI"/>
          <w:snapToGrid w:val="0"/>
          <w:szCs w:val="22"/>
        </w:rPr>
        <w:lastRenderedPageBreak/>
        <w:t>distribuidoras ele</w:t>
      </w:r>
      <w:r w:rsidR="00A47B83" w:rsidRPr="007A0CF6">
        <w:rPr>
          <w:rFonts w:ascii="Segoe UI" w:hAnsi="Segoe UI" w:cs="Segoe UI"/>
          <w:snapToGrid w:val="0"/>
          <w:szCs w:val="22"/>
        </w:rPr>
        <w:t>g</w:t>
      </w:r>
      <w:r w:rsidRPr="007A0CF6">
        <w:rPr>
          <w:rFonts w:ascii="Segoe UI" w:hAnsi="Segoe UI" w:cs="Segoe UI"/>
          <w:snapToGrid w:val="0"/>
          <w:szCs w:val="22"/>
        </w:rPr>
        <w:t>íveis</w:t>
      </w:r>
      <w:r w:rsidR="002950C2" w:rsidRPr="007A0CF6">
        <w:rPr>
          <w:rFonts w:ascii="Segoe UI" w:hAnsi="Segoe UI" w:cs="Segoe UI"/>
          <w:snapToGrid w:val="0"/>
          <w:szCs w:val="22"/>
        </w:rPr>
        <w:t xml:space="preserve">, </w:t>
      </w:r>
      <w:r w:rsidRPr="007A0CF6">
        <w:rPr>
          <w:rFonts w:ascii="Segoe UI" w:hAnsi="Segoe UI" w:cs="Segoe UI"/>
          <w:snapToGrid w:val="0"/>
          <w:szCs w:val="22"/>
        </w:rPr>
        <w:t xml:space="preserve">para </w:t>
      </w:r>
      <w:r w:rsidR="002950C2" w:rsidRPr="007A0CF6">
        <w:rPr>
          <w:rFonts w:ascii="Segoe UI" w:hAnsi="Segoe UI" w:cs="Segoe UI"/>
          <w:snapToGrid w:val="0"/>
          <w:szCs w:val="22"/>
        </w:rPr>
        <w:t>serem</w:t>
      </w:r>
      <w:r w:rsidRPr="007A0CF6">
        <w:rPr>
          <w:rFonts w:ascii="Segoe UI" w:hAnsi="Segoe UI" w:cs="Segoe UI"/>
          <w:snapToGrid w:val="0"/>
          <w:szCs w:val="22"/>
        </w:rPr>
        <w:t xml:space="preserve"> recompostos a conta de comercialização de energia elétrica de Itaipu em 12 parcelas a partir de dois anos do diferimento</w:t>
      </w:r>
      <w:r w:rsidR="00466AA8" w:rsidRPr="007A0CF6">
        <w:rPr>
          <w:rFonts w:ascii="Segoe UI" w:hAnsi="Segoe UI" w:cs="Segoe UI"/>
          <w:snapToGrid w:val="0"/>
          <w:szCs w:val="22"/>
        </w:rPr>
        <w:t xml:space="preserve">. </w:t>
      </w:r>
      <w:r w:rsidR="008942B6" w:rsidRPr="007A0CF6">
        <w:rPr>
          <w:rFonts w:ascii="Segoe UI" w:hAnsi="Segoe UI" w:cs="Segoe UI"/>
          <w:snapToGrid w:val="0"/>
          <w:szCs w:val="22"/>
        </w:rPr>
        <w:t>Esses v</w:t>
      </w:r>
      <w:r w:rsidR="00466AA8" w:rsidRPr="007A0CF6">
        <w:rPr>
          <w:rFonts w:ascii="Segoe UI" w:hAnsi="Segoe UI" w:cs="Segoe UI"/>
          <w:snapToGrid w:val="0"/>
          <w:szCs w:val="22"/>
        </w:rPr>
        <w:t xml:space="preserve">alores </w:t>
      </w:r>
      <w:r w:rsidR="008942B6" w:rsidRPr="007A0CF6">
        <w:rPr>
          <w:rFonts w:ascii="Segoe UI" w:hAnsi="Segoe UI" w:cs="Segoe UI"/>
          <w:snapToGrid w:val="0"/>
          <w:szCs w:val="22"/>
        </w:rPr>
        <w:t>são</w:t>
      </w:r>
      <w:r w:rsidR="00466AA8" w:rsidRPr="007A0CF6">
        <w:rPr>
          <w:rFonts w:ascii="Segoe UI" w:hAnsi="Segoe UI" w:cs="Segoe UI"/>
          <w:snapToGrid w:val="0"/>
          <w:szCs w:val="22"/>
        </w:rPr>
        <w:t xml:space="preserve"> atualizados pela </w:t>
      </w:r>
      <w:r w:rsidR="008942B6" w:rsidRPr="007A0CF6">
        <w:rPr>
          <w:rFonts w:ascii="Segoe UI" w:hAnsi="Segoe UI" w:cs="Segoe UI"/>
          <w:snapToGrid w:val="0"/>
          <w:szCs w:val="22"/>
        </w:rPr>
        <w:t xml:space="preserve">Taxa </w:t>
      </w:r>
      <w:r w:rsidR="00466AA8" w:rsidRPr="007A0CF6">
        <w:rPr>
          <w:rFonts w:ascii="Segoe UI" w:hAnsi="Segoe UI" w:cs="Segoe UI"/>
          <w:snapToGrid w:val="0"/>
          <w:szCs w:val="22"/>
        </w:rPr>
        <w:t>S</w:t>
      </w:r>
      <w:r w:rsidR="008942B6" w:rsidRPr="007A0CF6">
        <w:rPr>
          <w:rFonts w:ascii="Segoe UI" w:hAnsi="Segoe UI" w:cs="Segoe UI"/>
          <w:snapToGrid w:val="0"/>
          <w:szCs w:val="22"/>
        </w:rPr>
        <w:t>elic do período</w:t>
      </w:r>
      <w:r w:rsidRPr="007A0CF6">
        <w:rPr>
          <w:rFonts w:ascii="Segoe UI" w:hAnsi="Segoe UI" w:cs="Segoe UI"/>
          <w:snapToGrid w:val="0"/>
          <w:szCs w:val="22"/>
        </w:rPr>
        <w:t>.</w:t>
      </w:r>
    </w:p>
    <w:p w14:paraId="07B8AFF7" w14:textId="77777777" w:rsidR="007A0CF6" w:rsidRDefault="007A0CF6" w:rsidP="007A0CF6">
      <w:pPr>
        <w:pStyle w:val="PargrafodaLista"/>
        <w:ind w:left="720"/>
      </w:pPr>
    </w:p>
    <w:p w14:paraId="3DC0D206" w14:textId="56BFCFFC" w:rsidR="00A455B5" w:rsidRPr="003B0DF3" w:rsidRDefault="00024856" w:rsidP="003B0DF3">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7364BB">
        <w:rPr>
          <w:rFonts w:ascii="Segoe UI" w:hAnsi="Segoe UI" w:cs="Segoe UI"/>
          <w:b/>
          <w:color w:val="0070C0"/>
        </w:rPr>
        <w:t>1</w:t>
      </w:r>
      <w:r w:rsidR="002B1787" w:rsidRPr="000757BC">
        <w:rPr>
          <w:rFonts w:ascii="Segoe UI" w:hAnsi="Segoe UI" w:cs="Segoe UI"/>
          <w:b/>
          <w:color w:val="0070C0"/>
        </w:rPr>
        <w:t xml:space="preserve"> –</w:t>
      </w:r>
      <w:r w:rsidR="00A455B5">
        <w:rPr>
          <w:rFonts w:ascii="Segoe UI" w:hAnsi="Segoe UI" w:cs="Segoe UI"/>
          <w:b/>
          <w:color w:val="0070C0"/>
        </w:rPr>
        <w:t xml:space="preserve"> </w:t>
      </w:r>
      <w:r w:rsidR="00A455B5" w:rsidRPr="003B0DF3">
        <w:rPr>
          <w:rFonts w:ascii="Segoe UI" w:hAnsi="Segoe UI" w:cs="Segoe UI"/>
          <w:b/>
          <w:color w:val="0070C0"/>
        </w:rPr>
        <w:t xml:space="preserve">FUNDO </w:t>
      </w:r>
      <w:r w:rsidR="00EB1836">
        <w:rPr>
          <w:rFonts w:ascii="Segoe UI" w:hAnsi="Segoe UI" w:cs="Segoe UI"/>
          <w:b/>
          <w:color w:val="0070C0"/>
        </w:rPr>
        <w:t>DE</w:t>
      </w:r>
      <w:r w:rsidR="00A455B5" w:rsidRPr="003B0DF3">
        <w:rPr>
          <w:rFonts w:ascii="Segoe UI" w:hAnsi="Segoe UI" w:cs="Segoe UI"/>
          <w:b/>
          <w:color w:val="0070C0"/>
        </w:rPr>
        <w:t xml:space="preserve"> DESCOMISSIONAMENTO</w:t>
      </w:r>
    </w:p>
    <w:p w14:paraId="29471F00" w14:textId="7EF16BC2" w:rsidR="0011745F" w:rsidRPr="000757BC" w:rsidRDefault="0011745F" w:rsidP="004B1F19">
      <w:pPr>
        <w:pStyle w:val="Corpodetexto"/>
        <w:spacing w:before="240" w:after="120" w:line="259" w:lineRule="auto"/>
        <w:rPr>
          <w:rFonts w:ascii="Segoe UI" w:hAnsi="Segoe UI" w:cs="Segoe UI"/>
          <w:sz w:val="22"/>
          <w:szCs w:val="22"/>
          <w:lang w:val="pt-BR"/>
        </w:rPr>
      </w:pPr>
      <w:r w:rsidRPr="000757BC">
        <w:rPr>
          <w:rFonts w:ascii="Segoe UI" w:hAnsi="Segoe UI" w:cs="Segoe UI"/>
          <w:sz w:val="22"/>
          <w:szCs w:val="22"/>
          <w:lang w:val="pt-BR"/>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permitir a inclusão dos custos a serem incorridos com o descomissionamento das </w:t>
      </w:r>
      <w:r w:rsidR="002E7D73">
        <w:rPr>
          <w:rFonts w:ascii="Segoe UI" w:hAnsi="Segoe UI" w:cs="Segoe UI"/>
          <w:sz w:val="22"/>
          <w:szCs w:val="22"/>
          <w:lang w:val="pt-BR"/>
        </w:rPr>
        <w:t>u</w:t>
      </w:r>
      <w:r w:rsidRPr="000757BC">
        <w:rPr>
          <w:rFonts w:ascii="Segoe UI" w:hAnsi="Segoe UI" w:cs="Segoe UI"/>
          <w:sz w:val="22"/>
          <w:szCs w:val="22"/>
          <w:lang w:val="pt-BR"/>
        </w:rPr>
        <w:t xml:space="preserve">sinas Angra 1 e 2, foi constituído contabilmente uma obrigação para desmobilização de ativos, com base em estudos técnicos elaborados pela </w:t>
      </w:r>
      <w:r w:rsidR="00F3192A">
        <w:rPr>
          <w:rFonts w:ascii="Segoe UI" w:hAnsi="Segoe UI" w:cs="Segoe UI"/>
          <w:sz w:val="22"/>
          <w:szCs w:val="22"/>
          <w:lang w:val="pt-BR"/>
        </w:rPr>
        <w:t>Eletronuclear</w:t>
      </w:r>
      <w:r w:rsidR="0048765C">
        <w:rPr>
          <w:rFonts w:ascii="Segoe UI" w:hAnsi="Segoe UI" w:cs="Segoe UI"/>
          <w:sz w:val="22"/>
          <w:szCs w:val="22"/>
          <w:lang w:val="pt-BR"/>
        </w:rPr>
        <w:t>.</w:t>
      </w:r>
    </w:p>
    <w:p w14:paraId="6243FBB9" w14:textId="6C0960A5" w:rsidR="0011745F" w:rsidRPr="000757BC" w:rsidRDefault="0011745F" w:rsidP="004B1F19">
      <w:pPr>
        <w:tabs>
          <w:tab w:val="center" w:pos="4419"/>
          <w:tab w:val="right" w:pos="8838"/>
        </w:tabs>
        <w:spacing w:before="240" w:after="120"/>
        <w:jc w:val="both"/>
        <w:rPr>
          <w:rFonts w:ascii="Segoe UI" w:hAnsi="Segoe UI" w:cs="Segoe UI"/>
        </w:rPr>
      </w:pPr>
      <w:r w:rsidRPr="000757BC">
        <w:rPr>
          <w:rFonts w:ascii="Segoe UI" w:hAnsi="Segoe UI" w:cs="Segoe UI"/>
        </w:rPr>
        <w:t>Em 19 de outubro de 2021, foi publicada pelo Conselho do Programa de Parceiras de Investimentos (</w:t>
      </w:r>
      <w:r w:rsidR="00E12B51">
        <w:rPr>
          <w:rFonts w:ascii="Segoe UI" w:hAnsi="Segoe UI" w:cs="Segoe UI"/>
        </w:rPr>
        <w:t>“</w:t>
      </w:r>
      <w:r w:rsidRPr="000757BC">
        <w:rPr>
          <w:rFonts w:ascii="Segoe UI" w:hAnsi="Segoe UI" w:cs="Segoe UI"/>
        </w:rPr>
        <w:t>CPPI</w:t>
      </w:r>
      <w:r w:rsidR="00E12B51">
        <w:rPr>
          <w:rFonts w:ascii="Segoe UI" w:hAnsi="Segoe UI" w:cs="Segoe UI"/>
        </w:rPr>
        <w:t>”</w:t>
      </w:r>
      <w:r w:rsidRPr="000757BC">
        <w:rPr>
          <w:rFonts w:ascii="Segoe UI" w:hAnsi="Segoe UI" w:cs="Segoe UI"/>
        </w:rPr>
        <w:t xml:space="preserve">) a Resolução nº 203 por meio da qual, no âmbito das condições para a desestatização da Eletrobras, foi determinada, em seu inciso XVI do artigo 11, a transferência de titularidade das cotas do </w:t>
      </w:r>
      <w:r w:rsidR="005237DA">
        <w:rPr>
          <w:rFonts w:ascii="Segoe UI" w:hAnsi="Segoe UI" w:cs="Segoe UI"/>
        </w:rPr>
        <w:t>fundo de descomissionamento</w:t>
      </w:r>
      <w:r w:rsidRPr="000757BC">
        <w:rPr>
          <w:rFonts w:ascii="Segoe UI" w:hAnsi="Segoe UI" w:cs="Segoe UI"/>
        </w:rPr>
        <w:t xml:space="preserve"> para a </w:t>
      </w:r>
      <w:r w:rsidR="00397D36" w:rsidRPr="000757BC">
        <w:rPr>
          <w:rFonts w:ascii="Segoe UI" w:hAnsi="Segoe UI" w:cs="Segoe UI"/>
        </w:rPr>
        <w:t>Eletronuclear</w:t>
      </w:r>
      <w:r w:rsidRPr="000757BC">
        <w:rPr>
          <w:rFonts w:ascii="Segoe UI" w:hAnsi="Segoe UI" w:cs="Segoe UI"/>
        </w:rPr>
        <w:t>.</w:t>
      </w:r>
    </w:p>
    <w:p w14:paraId="651CE5B6" w14:textId="20115416" w:rsidR="0011745F" w:rsidRPr="000757BC" w:rsidRDefault="00F24E4C" w:rsidP="004B1F19">
      <w:pPr>
        <w:tabs>
          <w:tab w:val="center" w:pos="4419"/>
          <w:tab w:val="right" w:pos="8838"/>
        </w:tabs>
        <w:spacing w:before="240" w:after="120"/>
        <w:jc w:val="both"/>
        <w:rPr>
          <w:rFonts w:ascii="Segoe UI" w:hAnsi="Segoe UI" w:cs="Segoe UI"/>
        </w:rPr>
      </w:pPr>
      <w:r w:rsidRPr="000757BC">
        <w:rPr>
          <w:rFonts w:ascii="Segoe UI" w:hAnsi="Segoe UI" w:cs="Segoe UI"/>
        </w:rPr>
        <w:t>Além disso, ainda c</w:t>
      </w:r>
      <w:r w:rsidR="0011745F" w:rsidRPr="000757BC">
        <w:rPr>
          <w:rFonts w:ascii="Segoe UI" w:hAnsi="Segoe UI" w:cs="Segoe UI"/>
        </w:rPr>
        <w:t xml:space="preserve">om base na Resolução CPPI nº 203 e nas Normas </w:t>
      </w:r>
      <w:r w:rsidR="00E12B51">
        <w:rPr>
          <w:rFonts w:ascii="Segoe UI" w:hAnsi="Segoe UI" w:cs="Segoe UI"/>
        </w:rPr>
        <w:t xml:space="preserve">da </w:t>
      </w:r>
      <w:r w:rsidR="00E12B51" w:rsidRPr="00E12B51">
        <w:rPr>
          <w:rFonts w:ascii="Segoe UI" w:hAnsi="Segoe UI" w:cs="Segoe UI"/>
        </w:rPr>
        <w:t xml:space="preserve">Comissão Nacional de Energia Nuclear </w:t>
      </w:r>
      <w:r w:rsidR="00E12B51">
        <w:rPr>
          <w:rFonts w:ascii="Segoe UI" w:hAnsi="Segoe UI" w:cs="Segoe UI"/>
        </w:rPr>
        <w:t xml:space="preserve"> - (“</w:t>
      </w:r>
      <w:r w:rsidR="0011745F" w:rsidRPr="000757BC">
        <w:rPr>
          <w:rFonts w:ascii="Segoe UI" w:hAnsi="Segoe UI" w:cs="Segoe UI"/>
        </w:rPr>
        <w:t>CNEN</w:t>
      </w:r>
      <w:r w:rsidR="00E12B51">
        <w:rPr>
          <w:rFonts w:ascii="Segoe UI" w:hAnsi="Segoe UI" w:cs="Segoe UI"/>
        </w:rPr>
        <w:t>”)</w:t>
      </w:r>
      <w:r w:rsidR="0011745F" w:rsidRPr="000757BC">
        <w:rPr>
          <w:rFonts w:ascii="Segoe UI" w:hAnsi="Segoe UI" w:cs="Segoe UI"/>
        </w:rPr>
        <w:t xml:space="preserve"> 9.01 e 9.02  que tratam da desmobilização de usinas nucleares e da gestão dos recursos financeiras destinados ao descomissionamento respectivamente, a Assessoria Especial de Gestão Estratégica </w:t>
      </w:r>
      <w:r w:rsidR="00E12B51">
        <w:rPr>
          <w:rFonts w:ascii="Segoe UI" w:hAnsi="Segoe UI" w:cs="Segoe UI"/>
        </w:rPr>
        <w:t>–</w:t>
      </w:r>
      <w:r w:rsidR="0011745F" w:rsidRPr="000757BC">
        <w:rPr>
          <w:rFonts w:ascii="Segoe UI" w:hAnsi="Segoe UI" w:cs="Segoe UI"/>
        </w:rPr>
        <w:t xml:space="preserve"> </w:t>
      </w:r>
      <w:r w:rsidR="00E12B51">
        <w:rPr>
          <w:rFonts w:ascii="Segoe UI" w:hAnsi="Segoe UI" w:cs="Segoe UI"/>
        </w:rPr>
        <w:t>(“</w:t>
      </w:r>
      <w:r w:rsidR="0011745F" w:rsidRPr="000757BC">
        <w:rPr>
          <w:rFonts w:ascii="Segoe UI" w:hAnsi="Segoe UI" w:cs="Segoe UI"/>
        </w:rPr>
        <w:t>AEGE</w:t>
      </w:r>
      <w:r w:rsidR="00E12B51">
        <w:rPr>
          <w:rFonts w:ascii="Segoe UI" w:hAnsi="Segoe UI" w:cs="Segoe UI"/>
        </w:rPr>
        <w:t>”)</w:t>
      </w:r>
      <w:r w:rsidR="0011745F" w:rsidRPr="000757BC">
        <w:rPr>
          <w:rFonts w:ascii="Segoe UI" w:hAnsi="Segoe UI" w:cs="Segoe UI"/>
        </w:rPr>
        <w:t xml:space="preserve"> da Secretaria Executiva </w:t>
      </w:r>
      <w:r w:rsidR="00E12B51">
        <w:rPr>
          <w:rFonts w:ascii="Segoe UI" w:hAnsi="Segoe UI" w:cs="Segoe UI"/>
        </w:rPr>
        <w:t>–</w:t>
      </w:r>
      <w:r w:rsidR="0011745F" w:rsidRPr="000757BC">
        <w:rPr>
          <w:rFonts w:ascii="Segoe UI" w:hAnsi="Segoe UI" w:cs="Segoe UI"/>
        </w:rPr>
        <w:t xml:space="preserve"> </w:t>
      </w:r>
      <w:r w:rsidR="00E12B51">
        <w:rPr>
          <w:rFonts w:ascii="Segoe UI" w:hAnsi="Segoe UI" w:cs="Segoe UI"/>
        </w:rPr>
        <w:t>(“</w:t>
      </w:r>
      <w:r w:rsidR="0011745F" w:rsidRPr="000757BC">
        <w:rPr>
          <w:rFonts w:ascii="Segoe UI" w:hAnsi="Segoe UI" w:cs="Segoe UI"/>
        </w:rPr>
        <w:t>SE</w:t>
      </w:r>
      <w:r w:rsidR="00E12B51">
        <w:rPr>
          <w:rFonts w:ascii="Segoe UI" w:hAnsi="Segoe UI" w:cs="Segoe UI"/>
        </w:rPr>
        <w:t>”)</w:t>
      </w:r>
      <w:r w:rsidR="0011745F" w:rsidRPr="000757BC">
        <w:rPr>
          <w:rFonts w:ascii="Segoe UI" w:hAnsi="Segoe UI" w:cs="Segoe UI"/>
        </w:rPr>
        <w:t xml:space="preserve"> do  Ministério de Minas e Energia </w:t>
      </w:r>
      <w:r w:rsidR="00E12B51">
        <w:rPr>
          <w:rFonts w:ascii="Segoe UI" w:hAnsi="Segoe UI" w:cs="Segoe UI"/>
        </w:rPr>
        <w:t>–</w:t>
      </w:r>
      <w:r w:rsidR="00EE7C31" w:rsidRPr="000757BC">
        <w:rPr>
          <w:rFonts w:ascii="Segoe UI" w:hAnsi="Segoe UI" w:cs="Segoe UI"/>
        </w:rPr>
        <w:t xml:space="preserve"> </w:t>
      </w:r>
      <w:r w:rsidR="00E12B51">
        <w:rPr>
          <w:rFonts w:ascii="Segoe UI" w:hAnsi="Segoe UI" w:cs="Segoe UI"/>
        </w:rPr>
        <w:t>(“</w:t>
      </w:r>
      <w:r w:rsidR="0011745F" w:rsidRPr="000757BC">
        <w:rPr>
          <w:rFonts w:ascii="Segoe UI" w:hAnsi="Segoe UI" w:cs="Segoe UI"/>
        </w:rPr>
        <w:t>MME</w:t>
      </w:r>
      <w:r w:rsidR="00E12B51">
        <w:rPr>
          <w:rFonts w:ascii="Segoe UI" w:hAnsi="Segoe UI" w:cs="Segoe UI"/>
        </w:rPr>
        <w:t>”)</w:t>
      </w:r>
      <w:r w:rsidR="0011745F" w:rsidRPr="000757BC">
        <w:rPr>
          <w:rFonts w:ascii="Segoe UI" w:hAnsi="Segoe UI" w:cs="Segoe UI"/>
        </w:rPr>
        <w:t xml:space="preserve"> se manifestou no sentido de que já existe arcabouço legal e normativo suficiente para justificar a transferência de titularidade, sem a necessidade de promulgação de novos atos ou alteração de atos já existentes.</w:t>
      </w:r>
    </w:p>
    <w:p w14:paraId="20A55A79" w14:textId="137E77CE" w:rsidR="0011745F" w:rsidRPr="000757BC" w:rsidRDefault="0011745F" w:rsidP="004B1F19">
      <w:pPr>
        <w:tabs>
          <w:tab w:val="center" w:pos="4419"/>
          <w:tab w:val="right" w:pos="8838"/>
        </w:tabs>
        <w:spacing w:before="240" w:after="120"/>
        <w:jc w:val="both"/>
        <w:rPr>
          <w:rFonts w:ascii="Segoe UI" w:hAnsi="Segoe UI" w:cs="Segoe UI"/>
        </w:rPr>
      </w:pPr>
      <w:r w:rsidRPr="000757BC">
        <w:rPr>
          <w:rFonts w:ascii="Segoe UI" w:hAnsi="Segoe UI" w:cs="Segoe UI"/>
        </w:rPr>
        <w:t xml:space="preserve">Desta forma, em junho de 2022 foi operacionalizada a transferência de titularidade do </w:t>
      </w:r>
      <w:r w:rsidR="005237DA">
        <w:rPr>
          <w:rFonts w:ascii="Segoe UI" w:hAnsi="Segoe UI" w:cs="Segoe UI"/>
        </w:rPr>
        <w:t>fundo de descomissionamento</w:t>
      </w:r>
      <w:r w:rsidRPr="000757BC">
        <w:rPr>
          <w:rFonts w:ascii="Segoe UI" w:hAnsi="Segoe UI" w:cs="Segoe UI"/>
        </w:rPr>
        <w:t xml:space="preserve"> da Eletrobras para a </w:t>
      </w:r>
      <w:r w:rsidR="00397D36" w:rsidRPr="000757BC">
        <w:rPr>
          <w:rFonts w:ascii="Segoe UI" w:hAnsi="Segoe UI" w:cs="Segoe UI"/>
        </w:rPr>
        <w:t>Eletronuclear</w:t>
      </w:r>
      <w:r w:rsidRPr="000757BC">
        <w:rPr>
          <w:rFonts w:ascii="Segoe UI" w:hAnsi="Segoe UI" w:cs="Segoe UI"/>
        </w:rPr>
        <w:t xml:space="preserve">, assumindo esta última todas as atribuições necessárias para o acompanhamento deste fundo não havendo mais a participação da Eletrobras no processo como ocorrido até a efetiva transferência. A aplicação no </w:t>
      </w:r>
      <w:r w:rsidR="005237DA">
        <w:rPr>
          <w:rFonts w:ascii="Segoe UI" w:hAnsi="Segoe UI" w:cs="Segoe UI"/>
        </w:rPr>
        <w:t>fundo de descomissionamento</w:t>
      </w:r>
      <w:r w:rsidRPr="000757BC">
        <w:rPr>
          <w:rFonts w:ascii="Segoe UI" w:hAnsi="Segoe UI" w:cs="Segoe UI"/>
        </w:rPr>
        <w:t xml:space="preserve"> da </w:t>
      </w:r>
      <w:r w:rsidR="008D0BBD" w:rsidRPr="008D0BBD">
        <w:rPr>
          <w:rFonts w:ascii="Segoe UI" w:hAnsi="Segoe UI" w:cs="Segoe UI"/>
        </w:rPr>
        <w:t>quota</w:t>
      </w:r>
      <w:r w:rsidRPr="000757BC">
        <w:rPr>
          <w:rFonts w:ascii="Segoe UI" w:hAnsi="Segoe UI" w:cs="Segoe UI"/>
        </w:rPr>
        <w:t xml:space="preserve"> referente ao mês de junho de 2022 já foi realizado totalmente no </w:t>
      </w:r>
      <w:r w:rsidR="0066344C">
        <w:rPr>
          <w:rFonts w:ascii="Segoe UI" w:hAnsi="Segoe UI" w:cs="Segoe UI"/>
        </w:rPr>
        <w:t xml:space="preserve">seu </w:t>
      </w:r>
      <w:r w:rsidRPr="000757BC">
        <w:rPr>
          <w:rFonts w:ascii="Segoe UI" w:hAnsi="Segoe UI" w:cs="Segoe UI"/>
        </w:rPr>
        <w:t>âmbito operacional interno.</w:t>
      </w:r>
    </w:p>
    <w:p w14:paraId="028CA841" w14:textId="419C03B3" w:rsidR="0011745F" w:rsidRPr="000757BC" w:rsidRDefault="0011745F" w:rsidP="004B1F19">
      <w:pPr>
        <w:pStyle w:val="Corpodetexto"/>
        <w:spacing w:before="240" w:after="120" w:line="259" w:lineRule="auto"/>
        <w:rPr>
          <w:rFonts w:ascii="Segoe UI" w:hAnsi="Segoe UI" w:cs="Segoe UI"/>
          <w:sz w:val="22"/>
          <w:szCs w:val="22"/>
          <w:lang w:val="pt-BR"/>
        </w:rPr>
      </w:pPr>
      <w:r w:rsidRPr="000757BC">
        <w:rPr>
          <w:rFonts w:ascii="Segoe UI" w:hAnsi="Segoe UI" w:cs="Segoe UI"/>
          <w:sz w:val="22"/>
          <w:szCs w:val="22"/>
          <w:lang w:val="pt-BR"/>
        </w:rPr>
        <w:t xml:space="preserve">Anualmente, o montante a ser recolhido ao fundo financeiro para o descomissionamento das </w:t>
      </w:r>
      <w:r w:rsidR="008D0BBD">
        <w:rPr>
          <w:rFonts w:ascii="Segoe UI" w:hAnsi="Segoe UI" w:cs="Segoe UI"/>
          <w:sz w:val="22"/>
          <w:szCs w:val="22"/>
          <w:lang w:val="pt-BR"/>
        </w:rPr>
        <w:t>u</w:t>
      </w:r>
      <w:r w:rsidRPr="000757BC">
        <w:rPr>
          <w:rFonts w:ascii="Segoe UI" w:hAnsi="Segoe UI" w:cs="Segoe UI"/>
          <w:sz w:val="22"/>
          <w:szCs w:val="22"/>
          <w:lang w:val="pt-BR"/>
        </w:rPr>
        <w:t>sinas Angra 1 e 2, é definido com base no cálculo realizado pela A</w:t>
      </w:r>
      <w:r w:rsidR="00700C06">
        <w:rPr>
          <w:rFonts w:ascii="Segoe UI" w:hAnsi="Segoe UI" w:cs="Segoe UI"/>
          <w:sz w:val="22"/>
          <w:szCs w:val="22"/>
          <w:lang w:val="pt-BR"/>
        </w:rPr>
        <w:t>NEEL</w:t>
      </w:r>
      <w:r w:rsidRPr="000757BC">
        <w:rPr>
          <w:rFonts w:ascii="Segoe UI" w:hAnsi="Segoe UI" w:cs="Segoe UI"/>
          <w:sz w:val="22"/>
          <w:szCs w:val="22"/>
          <w:lang w:val="pt-BR"/>
        </w:rPr>
        <w:t xml:space="preserve"> referente à rubrica “</w:t>
      </w:r>
      <w:r w:rsidR="005237DA">
        <w:rPr>
          <w:rFonts w:ascii="Segoe UI" w:hAnsi="Segoe UI" w:cs="Segoe UI"/>
          <w:sz w:val="22"/>
          <w:szCs w:val="22"/>
          <w:lang w:val="pt-BR"/>
        </w:rPr>
        <w:t xml:space="preserve">Fundo </w:t>
      </w:r>
      <w:r w:rsidR="00E3374A">
        <w:rPr>
          <w:rFonts w:ascii="Segoe UI" w:hAnsi="Segoe UI" w:cs="Segoe UI"/>
          <w:sz w:val="22"/>
          <w:szCs w:val="22"/>
          <w:lang w:val="pt-BR"/>
        </w:rPr>
        <w:t>para</w:t>
      </w:r>
      <w:r w:rsidR="005237DA">
        <w:rPr>
          <w:rFonts w:ascii="Segoe UI" w:hAnsi="Segoe UI" w:cs="Segoe UI"/>
          <w:sz w:val="22"/>
          <w:szCs w:val="22"/>
          <w:lang w:val="pt-BR"/>
        </w:rPr>
        <w:t xml:space="preserve"> descomissionamento</w:t>
      </w:r>
      <w:r w:rsidRPr="000757BC">
        <w:rPr>
          <w:rFonts w:ascii="Segoe UI" w:hAnsi="Segoe UI" w:cs="Segoe UI"/>
          <w:sz w:val="22"/>
          <w:szCs w:val="22"/>
          <w:lang w:val="pt-BR"/>
        </w:rPr>
        <w:t xml:space="preserve">” na </w:t>
      </w:r>
      <w:r w:rsidR="008D0BBD">
        <w:rPr>
          <w:rFonts w:ascii="Segoe UI" w:hAnsi="Segoe UI" w:cs="Segoe UI"/>
          <w:sz w:val="22"/>
          <w:szCs w:val="22"/>
          <w:lang w:val="pt-BR"/>
        </w:rPr>
        <w:t>p</w:t>
      </w:r>
      <w:r w:rsidRPr="000757BC">
        <w:rPr>
          <w:rFonts w:ascii="Segoe UI" w:hAnsi="Segoe UI" w:cs="Segoe UI"/>
          <w:sz w:val="22"/>
          <w:szCs w:val="22"/>
          <w:lang w:val="pt-BR"/>
        </w:rPr>
        <w:t xml:space="preserve">arcela </w:t>
      </w:r>
      <w:r w:rsidR="008D0BBD">
        <w:rPr>
          <w:rFonts w:ascii="Segoe UI" w:hAnsi="Segoe UI" w:cs="Segoe UI"/>
          <w:sz w:val="22"/>
          <w:szCs w:val="22"/>
          <w:lang w:val="pt-BR"/>
        </w:rPr>
        <w:t>“</w:t>
      </w:r>
      <w:r w:rsidRPr="000757BC">
        <w:rPr>
          <w:rFonts w:ascii="Segoe UI" w:hAnsi="Segoe UI" w:cs="Segoe UI"/>
          <w:sz w:val="22"/>
          <w:szCs w:val="22"/>
          <w:lang w:val="pt-BR"/>
        </w:rPr>
        <w:t>A</w:t>
      </w:r>
      <w:r w:rsidR="008D0BBD">
        <w:rPr>
          <w:rFonts w:ascii="Segoe UI" w:hAnsi="Segoe UI" w:cs="Segoe UI"/>
          <w:sz w:val="22"/>
          <w:szCs w:val="22"/>
          <w:lang w:val="pt-BR"/>
        </w:rPr>
        <w:t>”</w:t>
      </w:r>
      <w:r w:rsidRPr="000757BC">
        <w:rPr>
          <w:rFonts w:ascii="Segoe UI" w:hAnsi="Segoe UI" w:cs="Segoe UI"/>
          <w:sz w:val="22"/>
          <w:szCs w:val="22"/>
          <w:lang w:val="pt-BR"/>
        </w:rPr>
        <w:t xml:space="preserve"> incluída na receita fixa anual calculada e publicada por meio de Resolução Homologatória para as mencionadas usinas. </w:t>
      </w:r>
    </w:p>
    <w:p w14:paraId="691F8659" w14:textId="47CD5386" w:rsidR="00B16AD3" w:rsidRDefault="0011745F" w:rsidP="004B1F19">
      <w:pPr>
        <w:pStyle w:val="Corpodetexto"/>
        <w:spacing w:before="240" w:after="120" w:line="259" w:lineRule="auto"/>
        <w:rPr>
          <w:rFonts w:ascii="Segoe UI" w:hAnsi="Segoe UI" w:cs="Segoe UI"/>
          <w:sz w:val="22"/>
          <w:szCs w:val="22"/>
          <w:lang w:val="pt-BR"/>
        </w:rPr>
      </w:pPr>
      <w:r w:rsidRPr="000757BC">
        <w:rPr>
          <w:rFonts w:ascii="Segoe UI" w:hAnsi="Segoe UI" w:cs="Segoe UI"/>
          <w:sz w:val="22"/>
          <w:szCs w:val="22"/>
          <w:lang w:val="pt-BR"/>
        </w:rPr>
        <w:t>O mencionado fundo é mantido com o B</w:t>
      </w:r>
      <w:r w:rsidR="008D0BBD">
        <w:rPr>
          <w:rFonts w:ascii="Segoe UI" w:hAnsi="Segoe UI" w:cs="Segoe UI"/>
          <w:sz w:val="22"/>
          <w:szCs w:val="22"/>
          <w:lang w:val="pt-BR"/>
        </w:rPr>
        <w:t>B</w:t>
      </w:r>
      <w:r w:rsidRPr="000757BC">
        <w:rPr>
          <w:rFonts w:ascii="Segoe UI" w:hAnsi="Segoe UI" w:cs="Segoe UI"/>
          <w:sz w:val="22"/>
          <w:szCs w:val="22"/>
          <w:lang w:val="pt-BR"/>
        </w:rPr>
        <w:t xml:space="preserve">, através de um fundo de investimento extramercado de longo prazo, exclusivo para acumular os recursos destinados a custear as atividades de descomissionamento </w:t>
      </w:r>
      <w:r w:rsidRPr="000757BC">
        <w:rPr>
          <w:rFonts w:ascii="Segoe UI" w:hAnsi="Segoe UI" w:cs="Segoe UI"/>
          <w:sz w:val="22"/>
          <w:szCs w:val="22"/>
        </w:rPr>
        <w:t xml:space="preserve">das </w:t>
      </w:r>
      <w:r w:rsidR="008D0BBD">
        <w:rPr>
          <w:rFonts w:ascii="Segoe UI" w:hAnsi="Segoe UI" w:cs="Segoe UI"/>
          <w:sz w:val="22"/>
          <w:szCs w:val="22"/>
        </w:rPr>
        <w:t>u</w:t>
      </w:r>
      <w:r w:rsidRPr="000757BC">
        <w:rPr>
          <w:rFonts w:ascii="Segoe UI" w:hAnsi="Segoe UI" w:cs="Segoe UI"/>
          <w:sz w:val="22"/>
          <w:szCs w:val="22"/>
        </w:rPr>
        <w:t xml:space="preserve">sinas Angra 1 e 2, classificado como títulos e valores </w:t>
      </w:r>
      <w:r w:rsidRPr="004B1F19">
        <w:rPr>
          <w:rFonts w:ascii="Segoe UI" w:hAnsi="Segoe UI" w:cs="Segoe UI"/>
          <w:sz w:val="22"/>
          <w:szCs w:val="22"/>
          <w:lang w:val="pt-BR"/>
        </w:rPr>
        <w:t>mobiliários no ativo não circulante</w:t>
      </w:r>
      <w:r w:rsidR="0066344C">
        <w:rPr>
          <w:rFonts w:ascii="Segoe UI" w:hAnsi="Segoe UI" w:cs="Segoe UI"/>
          <w:sz w:val="22"/>
          <w:szCs w:val="22"/>
          <w:lang w:val="pt-BR"/>
        </w:rPr>
        <w:t>.</w:t>
      </w:r>
    </w:p>
    <w:p w14:paraId="79720223" w14:textId="4A55BA0B" w:rsidR="0011745F" w:rsidRDefault="0011745F" w:rsidP="00CA5E2F">
      <w:pPr>
        <w:pStyle w:val="Corpodetexto"/>
        <w:spacing w:after="160"/>
        <w:rPr>
          <w:rFonts w:ascii="Segoe UI" w:hAnsi="Segoe UI" w:cs="Segoe UI"/>
          <w:sz w:val="22"/>
          <w:szCs w:val="22"/>
          <w:lang w:val="pt-BR"/>
        </w:rPr>
      </w:pPr>
      <w:r w:rsidRPr="000757BC">
        <w:rPr>
          <w:rFonts w:ascii="Segoe UI" w:hAnsi="Segoe UI" w:cs="Segoe UI"/>
          <w:sz w:val="22"/>
          <w:szCs w:val="22"/>
          <w:lang w:val="pt-BR"/>
        </w:rPr>
        <w:lastRenderedPageBreak/>
        <w:t>A seguir, demonstramos o detalhamento de carteira do mencionado fundo:</w:t>
      </w:r>
    </w:p>
    <w:p w14:paraId="45B5D733" w14:textId="77777777" w:rsidR="00E6715B" w:rsidRPr="000757BC" w:rsidRDefault="00E6715B" w:rsidP="00CA5E2F">
      <w:pPr>
        <w:pStyle w:val="Corpodetexto"/>
        <w:spacing w:after="160"/>
        <w:rPr>
          <w:rFonts w:ascii="Segoe UI" w:hAnsi="Segoe UI" w:cs="Segoe UI"/>
          <w:sz w:val="22"/>
          <w:szCs w:val="22"/>
          <w:lang w:val="pt-BR"/>
        </w:rPr>
      </w:pPr>
    </w:p>
    <w:tbl>
      <w:tblPr>
        <w:tblW w:w="5000" w:type="pct"/>
        <w:tblCellMar>
          <w:left w:w="70" w:type="dxa"/>
          <w:right w:w="70" w:type="dxa"/>
        </w:tblCellMar>
        <w:tblLook w:val="04A0" w:firstRow="1" w:lastRow="0" w:firstColumn="1" w:lastColumn="0" w:noHBand="0" w:noVBand="1"/>
      </w:tblPr>
      <w:tblGrid>
        <w:gridCol w:w="6752"/>
        <w:gridCol w:w="2745"/>
      </w:tblGrid>
      <w:tr w:rsidR="00862BEC" w:rsidRPr="00862BEC" w14:paraId="0C822D83" w14:textId="77777777" w:rsidTr="00515246">
        <w:trPr>
          <w:trHeight w:val="23"/>
        </w:trPr>
        <w:tc>
          <w:tcPr>
            <w:tcW w:w="3555" w:type="pct"/>
            <w:tcBorders>
              <w:top w:val="nil"/>
              <w:left w:val="nil"/>
              <w:bottom w:val="nil"/>
              <w:right w:val="nil"/>
            </w:tcBorders>
            <w:shd w:val="clear" w:color="auto" w:fill="auto"/>
            <w:noWrap/>
            <w:vAlign w:val="bottom"/>
            <w:hideMark/>
          </w:tcPr>
          <w:p w14:paraId="6ED1B334" w14:textId="77777777" w:rsidR="00862BEC" w:rsidRPr="00862BEC" w:rsidRDefault="00862BEC" w:rsidP="00862BEC">
            <w:pPr>
              <w:spacing w:after="0" w:line="240" w:lineRule="auto"/>
              <w:rPr>
                <w:rFonts w:ascii="Times New Roman" w:eastAsia="Times New Roman" w:hAnsi="Times New Roman" w:cs="Times New Roman"/>
                <w:sz w:val="24"/>
                <w:szCs w:val="24"/>
                <w:lang w:eastAsia="pt-BR"/>
              </w:rPr>
            </w:pPr>
          </w:p>
        </w:tc>
        <w:tc>
          <w:tcPr>
            <w:tcW w:w="1445" w:type="pct"/>
            <w:tcBorders>
              <w:top w:val="nil"/>
              <w:left w:val="nil"/>
              <w:bottom w:val="nil"/>
              <w:right w:val="nil"/>
            </w:tcBorders>
            <w:shd w:val="clear" w:color="000000" w:fill="1B80C4"/>
            <w:noWrap/>
            <w:vAlign w:val="bottom"/>
            <w:hideMark/>
          </w:tcPr>
          <w:p w14:paraId="15482A0F" w14:textId="77777777" w:rsidR="00862BEC" w:rsidRPr="00862BEC" w:rsidRDefault="00862BEC" w:rsidP="00862BEC">
            <w:pPr>
              <w:spacing w:after="0" w:line="240" w:lineRule="auto"/>
              <w:jc w:val="center"/>
              <w:rPr>
                <w:rFonts w:ascii="Segoe UI" w:eastAsia="Times New Roman" w:hAnsi="Segoe UI" w:cs="Segoe UI"/>
                <w:b/>
                <w:bCs/>
                <w:color w:val="FFFFFF"/>
                <w:sz w:val="18"/>
                <w:szCs w:val="18"/>
                <w:lang w:eastAsia="pt-BR"/>
              </w:rPr>
            </w:pPr>
            <w:r w:rsidRPr="00862BEC">
              <w:rPr>
                <w:rFonts w:ascii="Segoe UI" w:eastAsia="Times New Roman" w:hAnsi="Segoe UI" w:cs="Segoe UI"/>
                <w:b/>
                <w:bCs/>
                <w:color w:val="FFFFFF"/>
                <w:sz w:val="18"/>
                <w:szCs w:val="18"/>
                <w:lang w:eastAsia="pt-BR"/>
              </w:rPr>
              <w:t xml:space="preserve"> Consolidado </w:t>
            </w:r>
          </w:p>
        </w:tc>
      </w:tr>
      <w:tr w:rsidR="00862BEC" w:rsidRPr="00862BEC" w14:paraId="13DBF476" w14:textId="77777777" w:rsidTr="00515246">
        <w:trPr>
          <w:trHeight w:val="23"/>
        </w:trPr>
        <w:tc>
          <w:tcPr>
            <w:tcW w:w="3555" w:type="pct"/>
            <w:tcBorders>
              <w:top w:val="nil"/>
              <w:left w:val="nil"/>
              <w:bottom w:val="nil"/>
              <w:right w:val="nil"/>
            </w:tcBorders>
            <w:shd w:val="clear" w:color="auto" w:fill="auto"/>
            <w:noWrap/>
            <w:vAlign w:val="bottom"/>
            <w:hideMark/>
          </w:tcPr>
          <w:p w14:paraId="7918A692" w14:textId="77777777" w:rsidR="00862BEC" w:rsidRPr="00862BEC" w:rsidRDefault="00862BEC" w:rsidP="00862BEC">
            <w:pPr>
              <w:spacing w:after="0" w:line="240" w:lineRule="auto"/>
              <w:jc w:val="center"/>
              <w:rPr>
                <w:rFonts w:ascii="Segoe UI" w:eastAsia="Times New Roman" w:hAnsi="Segoe UI" w:cs="Segoe UI"/>
                <w:b/>
                <w:bCs/>
                <w:color w:val="FFFFFF"/>
                <w:sz w:val="18"/>
                <w:szCs w:val="18"/>
                <w:lang w:eastAsia="pt-BR"/>
              </w:rPr>
            </w:pPr>
          </w:p>
        </w:tc>
        <w:tc>
          <w:tcPr>
            <w:tcW w:w="1445" w:type="pct"/>
            <w:tcBorders>
              <w:top w:val="single" w:sz="4" w:space="0" w:color="FFFFFF"/>
              <w:left w:val="nil"/>
              <w:bottom w:val="single" w:sz="4" w:space="0" w:color="FFFFFF"/>
              <w:right w:val="nil"/>
            </w:tcBorders>
            <w:shd w:val="clear" w:color="000000" w:fill="1B80C4"/>
            <w:noWrap/>
            <w:vAlign w:val="center"/>
            <w:hideMark/>
          </w:tcPr>
          <w:p w14:paraId="75DF5565" w14:textId="77777777" w:rsidR="00862BEC" w:rsidRPr="00862BEC" w:rsidRDefault="00862BEC" w:rsidP="00862BEC">
            <w:pPr>
              <w:spacing w:after="0" w:line="240" w:lineRule="auto"/>
              <w:jc w:val="center"/>
              <w:rPr>
                <w:rFonts w:ascii="Segoe UI" w:eastAsia="Times New Roman" w:hAnsi="Segoe UI" w:cs="Segoe UI"/>
                <w:b/>
                <w:bCs/>
                <w:color w:val="FFFFFF"/>
                <w:sz w:val="18"/>
                <w:szCs w:val="18"/>
                <w:lang w:eastAsia="pt-BR"/>
              </w:rPr>
            </w:pPr>
            <w:r w:rsidRPr="00862BEC">
              <w:rPr>
                <w:rFonts w:ascii="Segoe UI" w:eastAsia="Times New Roman" w:hAnsi="Segoe UI" w:cs="Segoe UI"/>
                <w:b/>
                <w:bCs/>
                <w:color w:val="FFFFFF"/>
                <w:sz w:val="18"/>
                <w:szCs w:val="18"/>
                <w:lang w:eastAsia="pt-BR"/>
              </w:rPr>
              <w:t>31/12/2022</w:t>
            </w:r>
          </w:p>
        </w:tc>
      </w:tr>
      <w:tr w:rsidR="00862BEC" w:rsidRPr="00862BEC" w14:paraId="61E4C81D" w14:textId="77777777" w:rsidTr="00515246">
        <w:trPr>
          <w:trHeight w:val="23"/>
        </w:trPr>
        <w:tc>
          <w:tcPr>
            <w:tcW w:w="3555" w:type="pct"/>
            <w:tcBorders>
              <w:top w:val="nil"/>
              <w:left w:val="nil"/>
              <w:bottom w:val="nil"/>
              <w:right w:val="nil"/>
            </w:tcBorders>
            <w:shd w:val="clear" w:color="auto" w:fill="auto"/>
            <w:noWrap/>
            <w:vAlign w:val="center"/>
            <w:hideMark/>
          </w:tcPr>
          <w:p w14:paraId="783E1494" w14:textId="77777777" w:rsidR="00862BEC" w:rsidRPr="00862BEC" w:rsidRDefault="00862BEC" w:rsidP="00862BEC">
            <w:pPr>
              <w:spacing w:after="0" w:line="240" w:lineRule="auto"/>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Títulos públicos </w:t>
            </w:r>
          </w:p>
        </w:tc>
        <w:tc>
          <w:tcPr>
            <w:tcW w:w="1445" w:type="pct"/>
            <w:tcBorders>
              <w:top w:val="nil"/>
              <w:left w:val="nil"/>
              <w:bottom w:val="nil"/>
              <w:right w:val="nil"/>
            </w:tcBorders>
            <w:shd w:val="clear" w:color="auto" w:fill="auto"/>
            <w:noWrap/>
            <w:vAlign w:val="center"/>
            <w:hideMark/>
          </w:tcPr>
          <w:p w14:paraId="7183A1D8" w14:textId="77777777" w:rsidR="00862BEC" w:rsidRPr="00862BEC" w:rsidRDefault="00862BEC" w:rsidP="00862BEC">
            <w:pPr>
              <w:spacing w:after="0" w:line="240" w:lineRule="auto"/>
              <w:jc w:val="right"/>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2.213.727 </w:t>
            </w:r>
          </w:p>
        </w:tc>
      </w:tr>
      <w:tr w:rsidR="00862BEC" w:rsidRPr="00862BEC" w14:paraId="4777FB44" w14:textId="77777777" w:rsidTr="00515246">
        <w:trPr>
          <w:trHeight w:val="23"/>
        </w:trPr>
        <w:tc>
          <w:tcPr>
            <w:tcW w:w="3555" w:type="pct"/>
            <w:tcBorders>
              <w:top w:val="nil"/>
              <w:left w:val="nil"/>
              <w:bottom w:val="nil"/>
              <w:right w:val="nil"/>
            </w:tcBorders>
            <w:shd w:val="clear" w:color="auto" w:fill="auto"/>
            <w:noWrap/>
            <w:vAlign w:val="center"/>
            <w:hideMark/>
          </w:tcPr>
          <w:p w14:paraId="20DDE910" w14:textId="3E3D22C0" w:rsidR="00862BEC" w:rsidRPr="00862BEC" w:rsidRDefault="00862BEC" w:rsidP="00862BEC">
            <w:pPr>
              <w:spacing w:after="0" w:line="240" w:lineRule="auto"/>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Op</w:t>
            </w:r>
            <w:r w:rsidR="000720D4">
              <w:rPr>
                <w:rFonts w:ascii="Segoe UI" w:eastAsia="Times New Roman" w:hAnsi="Segoe UI" w:cs="Segoe UI"/>
                <w:color w:val="000000"/>
                <w:sz w:val="18"/>
                <w:szCs w:val="18"/>
                <w:lang w:eastAsia="pt-BR"/>
              </w:rPr>
              <w:t>erações</w:t>
            </w:r>
            <w:r w:rsidRPr="00862BEC">
              <w:rPr>
                <w:rFonts w:ascii="Segoe UI" w:eastAsia="Times New Roman" w:hAnsi="Segoe UI" w:cs="Segoe UI"/>
                <w:color w:val="000000"/>
                <w:sz w:val="18"/>
                <w:szCs w:val="18"/>
                <w:lang w:eastAsia="pt-BR"/>
              </w:rPr>
              <w:t xml:space="preserve"> </w:t>
            </w:r>
            <w:r w:rsidR="00476921">
              <w:rPr>
                <w:rFonts w:ascii="Segoe UI" w:eastAsia="Times New Roman" w:hAnsi="Segoe UI" w:cs="Segoe UI"/>
                <w:color w:val="000000"/>
                <w:sz w:val="18"/>
                <w:szCs w:val="18"/>
                <w:lang w:eastAsia="pt-BR"/>
              </w:rPr>
              <w:t>c</w:t>
            </w:r>
            <w:r w:rsidRPr="00862BEC">
              <w:rPr>
                <w:rFonts w:ascii="Segoe UI" w:eastAsia="Times New Roman" w:hAnsi="Segoe UI" w:cs="Segoe UI"/>
                <w:color w:val="000000"/>
                <w:sz w:val="18"/>
                <w:szCs w:val="18"/>
                <w:lang w:eastAsia="pt-BR"/>
              </w:rPr>
              <w:t xml:space="preserve">ompromissadas </w:t>
            </w:r>
          </w:p>
        </w:tc>
        <w:tc>
          <w:tcPr>
            <w:tcW w:w="1445" w:type="pct"/>
            <w:tcBorders>
              <w:top w:val="nil"/>
              <w:left w:val="nil"/>
              <w:bottom w:val="nil"/>
              <w:right w:val="nil"/>
            </w:tcBorders>
            <w:shd w:val="clear" w:color="auto" w:fill="auto"/>
            <w:noWrap/>
            <w:vAlign w:val="center"/>
            <w:hideMark/>
          </w:tcPr>
          <w:p w14:paraId="50AAE74B" w14:textId="77777777" w:rsidR="00862BEC" w:rsidRPr="00862BEC" w:rsidRDefault="00862BEC" w:rsidP="00862BEC">
            <w:pPr>
              <w:spacing w:after="0" w:line="240" w:lineRule="auto"/>
              <w:jc w:val="right"/>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342.726 </w:t>
            </w:r>
          </w:p>
        </w:tc>
      </w:tr>
      <w:tr w:rsidR="00862BEC" w:rsidRPr="00862BEC" w14:paraId="6D9842E2" w14:textId="77777777" w:rsidTr="00515246">
        <w:trPr>
          <w:trHeight w:val="23"/>
        </w:trPr>
        <w:tc>
          <w:tcPr>
            <w:tcW w:w="3555" w:type="pct"/>
            <w:tcBorders>
              <w:top w:val="nil"/>
              <w:left w:val="nil"/>
              <w:bottom w:val="nil"/>
              <w:right w:val="nil"/>
            </w:tcBorders>
            <w:shd w:val="clear" w:color="auto" w:fill="auto"/>
            <w:noWrap/>
            <w:vAlign w:val="center"/>
            <w:hideMark/>
          </w:tcPr>
          <w:p w14:paraId="60EF436E" w14:textId="77777777" w:rsidR="00862BEC" w:rsidRPr="00862BEC" w:rsidRDefault="00862BEC" w:rsidP="00862BEC">
            <w:pPr>
              <w:spacing w:after="0" w:line="240" w:lineRule="auto"/>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Dólar comercial futuro </w:t>
            </w:r>
          </w:p>
        </w:tc>
        <w:tc>
          <w:tcPr>
            <w:tcW w:w="1445" w:type="pct"/>
            <w:tcBorders>
              <w:top w:val="nil"/>
              <w:left w:val="nil"/>
              <w:bottom w:val="nil"/>
              <w:right w:val="nil"/>
            </w:tcBorders>
            <w:shd w:val="clear" w:color="auto" w:fill="auto"/>
            <w:noWrap/>
            <w:vAlign w:val="center"/>
            <w:hideMark/>
          </w:tcPr>
          <w:p w14:paraId="44B84E15" w14:textId="77777777" w:rsidR="00862BEC" w:rsidRPr="00862BEC" w:rsidRDefault="00862BEC" w:rsidP="00862BEC">
            <w:pPr>
              <w:spacing w:after="0" w:line="240" w:lineRule="auto"/>
              <w:jc w:val="right"/>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4.769 </w:t>
            </w:r>
          </w:p>
        </w:tc>
      </w:tr>
      <w:tr w:rsidR="00862BEC" w:rsidRPr="00862BEC" w14:paraId="253F04B5" w14:textId="77777777" w:rsidTr="00515246">
        <w:trPr>
          <w:trHeight w:val="23"/>
        </w:trPr>
        <w:tc>
          <w:tcPr>
            <w:tcW w:w="3555" w:type="pct"/>
            <w:tcBorders>
              <w:top w:val="nil"/>
              <w:left w:val="nil"/>
              <w:bottom w:val="nil"/>
              <w:right w:val="nil"/>
            </w:tcBorders>
            <w:shd w:val="clear" w:color="auto" w:fill="auto"/>
            <w:noWrap/>
            <w:vAlign w:val="center"/>
            <w:hideMark/>
          </w:tcPr>
          <w:p w14:paraId="054ACE58" w14:textId="77777777" w:rsidR="00862BEC" w:rsidRPr="00862BEC" w:rsidRDefault="00862BEC" w:rsidP="00862BEC">
            <w:pPr>
              <w:spacing w:after="0" w:line="240" w:lineRule="auto"/>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Outros </w:t>
            </w:r>
          </w:p>
        </w:tc>
        <w:tc>
          <w:tcPr>
            <w:tcW w:w="1445" w:type="pct"/>
            <w:tcBorders>
              <w:top w:val="nil"/>
              <w:left w:val="nil"/>
              <w:bottom w:val="nil"/>
              <w:right w:val="nil"/>
            </w:tcBorders>
            <w:shd w:val="clear" w:color="auto" w:fill="auto"/>
            <w:noWrap/>
            <w:vAlign w:val="center"/>
            <w:hideMark/>
          </w:tcPr>
          <w:p w14:paraId="7FD18DEF" w14:textId="77777777" w:rsidR="00862BEC" w:rsidRPr="00862BEC" w:rsidRDefault="00862BEC" w:rsidP="00862BEC">
            <w:pPr>
              <w:spacing w:after="0" w:line="240" w:lineRule="auto"/>
              <w:jc w:val="right"/>
              <w:rPr>
                <w:rFonts w:ascii="Segoe UI" w:eastAsia="Times New Roman" w:hAnsi="Segoe UI" w:cs="Segoe UI"/>
                <w:color w:val="000000"/>
                <w:sz w:val="18"/>
                <w:szCs w:val="18"/>
                <w:lang w:eastAsia="pt-BR"/>
              </w:rPr>
            </w:pPr>
            <w:r w:rsidRPr="00862BEC">
              <w:rPr>
                <w:rFonts w:ascii="Segoe UI" w:eastAsia="Times New Roman" w:hAnsi="Segoe UI" w:cs="Segoe UI"/>
                <w:color w:val="000000"/>
                <w:sz w:val="18"/>
                <w:szCs w:val="18"/>
                <w:lang w:eastAsia="pt-BR"/>
              </w:rPr>
              <w:t xml:space="preserve">                                52 </w:t>
            </w:r>
          </w:p>
        </w:tc>
      </w:tr>
      <w:tr w:rsidR="00862BEC" w:rsidRPr="00862BEC" w14:paraId="0407A710" w14:textId="77777777" w:rsidTr="00515246">
        <w:trPr>
          <w:trHeight w:val="23"/>
        </w:trPr>
        <w:tc>
          <w:tcPr>
            <w:tcW w:w="3555" w:type="pct"/>
            <w:tcBorders>
              <w:top w:val="nil"/>
              <w:left w:val="nil"/>
              <w:bottom w:val="nil"/>
              <w:right w:val="nil"/>
            </w:tcBorders>
            <w:shd w:val="clear" w:color="auto" w:fill="auto"/>
            <w:noWrap/>
            <w:vAlign w:val="bottom"/>
            <w:hideMark/>
          </w:tcPr>
          <w:p w14:paraId="7DA46965" w14:textId="77777777" w:rsidR="00862BEC" w:rsidRPr="00862BEC" w:rsidRDefault="00862BEC" w:rsidP="00862BEC">
            <w:pPr>
              <w:spacing w:after="0" w:line="240" w:lineRule="auto"/>
              <w:jc w:val="right"/>
              <w:rPr>
                <w:rFonts w:ascii="Segoe UI" w:eastAsia="Times New Roman" w:hAnsi="Segoe UI" w:cs="Segoe UI"/>
                <w:color w:val="000000"/>
                <w:sz w:val="18"/>
                <w:szCs w:val="18"/>
                <w:lang w:eastAsia="pt-BR"/>
              </w:rPr>
            </w:pPr>
          </w:p>
        </w:tc>
        <w:tc>
          <w:tcPr>
            <w:tcW w:w="1445" w:type="pct"/>
            <w:tcBorders>
              <w:top w:val="single" w:sz="4" w:space="0" w:color="1B80C4"/>
              <w:left w:val="nil"/>
              <w:bottom w:val="double" w:sz="6" w:space="0" w:color="1B80C4"/>
              <w:right w:val="nil"/>
            </w:tcBorders>
            <w:shd w:val="clear" w:color="auto" w:fill="auto"/>
            <w:noWrap/>
            <w:vAlign w:val="center"/>
            <w:hideMark/>
          </w:tcPr>
          <w:p w14:paraId="7B9E53F4" w14:textId="77777777" w:rsidR="00862BEC" w:rsidRPr="00862BEC" w:rsidRDefault="00862BEC" w:rsidP="00862BEC">
            <w:pPr>
              <w:spacing w:after="0" w:line="240" w:lineRule="auto"/>
              <w:jc w:val="right"/>
              <w:rPr>
                <w:rFonts w:ascii="Segoe UI" w:eastAsia="Times New Roman" w:hAnsi="Segoe UI" w:cs="Segoe UI"/>
                <w:b/>
                <w:bCs/>
                <w:color w:val="000000"/>
                <w:sz w:val="18"/>
                <w:szCs w:val="18"/>
                <w:lang w:eastAsia="pt-BR"/>
              </w:rPr>
            </w:pPr>
            <w:r w:rsidRPr="00862BEC">
              <w:rPr>
                <w:rFonts w:ascii="Segoe UI" w:eastAsia="Times New Roman" w:hAnsi="Segoe UI" w:cs="Segoe UI"/>
                <w:b/>
                <w:bCs/>
                <w:color w:val="000000"/>
                <w:sz w:val="18"/>
                <w:szCs w:val="18"/>
                <w:lang w:eastAsia="pt-BR"/>
              </w:rPr>
              <w:t xml:space="preserve">                  2.561.274 </w:t>
            </w:r>
          </w:p>
        </w:tc>
      </w:tr>
    </w:tbl>
    <w:p w14:paraId="6E52355D" w14:textId="0023BD49" w:rsidR="0011745F" w:rsidRPr="000757BC" w:rsidRDefault="004B6E5F" w:rsidP="004B1F19">
      <w:pPr>
        <w:pStyle w:val="Corpodetexto"/>
        <w:spacing w:before="240" w:after="120" w:line="259" w:lineRule="auto"/>
        <w:rPr>
          <w:rFonts w:ascii="Segoe UI" w:hAnsi="Segoe UI" w:cs="Segoe UI"/>
          <w:sz w:val="22"/>
          <w:szCs w:val="22"/>
          <w:lang w:val="pt-BR"/>
        </w:rPr>
      </w:pPr>
      <w:r w:rsidRPr="00E14D2F">
        <w:rPr>
          <w:rFonts w:ascii="Segoe UI" w:hAnsi="Segoe UI" w:cs="Segoe UI"/>
          <w:sz w:val="22"/>
          <w:szCs w:val="22"/>
          <w:lang w:val="pt-BR"/>
        </w:rPr>
        <w:t>Em</w:t>
      </w:r>
      <w:r w:rsidR="0011745F" w:rsidRPr="00E14D2F">
        <w:rPr>
          <w:rFonts w:ascii="Segoe UI" w:hAnsi="Segoe UI" w:cs="Segoe UI"/>
          <w:sz w:val="22"/>
          <w:szCs w:val="22"/>
          <w:lang w:val="pt-BR"/>
        </w:rPr>
        <w:t xml:space="preserve"> 2022, o </w:t>
      </w:r>
      <w:r w:rsidR="005237DA">
        <w:rPr>
          <w:rFonts w:ascii="Segoe UI" w:hAnsi="Segoe UI" w:cs="Segoe UI"/>
          <w:sz w:val="22"/>
          <w:szCs w:val="22"/>
          <w:lang w:val="pt-BR"/>
        </w:rPr>
        <w:t>fundo de descomissionamento</w:t>
      </w:r>
      <w:r w:rsidR="0011745F" w:rsidRPr="00E14D2F">
        <w:rPr>
          <w:rFonts w:ascii="Segoe UI" w:hAnsi="Segoe UI" w:cs="Segoe UI"/>
          <w:sz w:val="22"/>
          <w:szCs w:val="22"/>
          <w:lang w:val="pt-BR"/>
        </w:rPr>
        <w:t xml:space="preserve"> </w:t>
      </w:r>
      <w:r w:rsidR="0011745F" w:rsidRPr="00515246">
        <w:rPr>
          <w:rFonts w:ascii="Segoe UI" w:hAnsi="Segoe UI" w:cs="Segoe UI"/>
          <w:sz w:val="22"/>
          <w:szCs w:val="22"/>
          <w:lang w:val="pt-BR"/>
        </w:rPr>
        <w:t>apresentou ganho financeiro de R$</w:t>
      </w:r>
      <w:r w:rsidR="000B3334" w:rsidRPr="00515246">
        <w:rPr>
          <w:rFonts w:ascii="Segoe UI" w:hAnsi="Segoe UI" w:cs="Segoe UI"/>
          <w:sz w:val="22"/>
          <w:szCs w:val="22"/>
          <w:lang w:val="pt-BR"/>
        </w:rPr>
        <w:t xml:space="preserve"> </w:t>
      </w:r>
      <w:r w:rsidR="0093540B" w:rsidRPr="00515246">
        <w:rPr>
          <w:rFonts w:ascii="Segoe UI" w:hAnsi="Segoe UI" w:cs="Segoe UI"/>
          <w:sz w:val="22"/>
          <w:szCs w:val="22"/>
          <w:lang w:val="pt-BR"/>
        </w:rPr>
        <w:t>138.028</w:t>
      </w:r>
      <w:r w:rsidR="0011745F" w:rsidRPr="00515246">
        <w:rPr>
          <w:rFonts w:ascii="Segoe UI" w:hAnsi="Segoe UI" w:cs="Segoe UI"/>
          <w:sz w:val="22"/>
          <w:szCs w:val="22"/>
          <w:lang w:val="pt-BR"/>
        </w:rPr>
        <w:t xml:space="preserve"> e foram </w:t>
      </w:r>
      <w:r w:rsidR="0011745F" w:rsidRPr="005A56BF">
        <w:rPr>
          <w:rFonts w:ascii="Segoe UI" w:hAnsi="Segoe UI" w:cs="Segoe UI"/>
          <w:sz w:val="22"/>
          <w:szCs w:val="22"/>
          <w:lang w:val="pt-BR"/>
        </w:rPr>
        <w:t>retidos R$</w:t>
      </w:r>
      <w:r w:rsidR="000B3334" w:rsidRPr="005A56BF">
        <w:rPr>
          <w:rFonts w:ascii="Segoe UI" w:hAnsi="Segoe UI" w:cs="Segoe UI"/>
          <w:sz w:val="22"/>
          <w:szCs w:val="22"/>
          <w:lang w:val="pt-BR"/>
        </w:rPr>
        <w:t xml:space="preserve"> </w:t>
      </w:r>
      <w:r w:rsidR="00E14D2F" w:rsidRPr="005A56BF">
        <w:rPr>
          <w:rFonts w:ascii="Segoe UI" w:hAnsi="Segoe UI" w:cs="Segoe UI"/>
          <w:sz w:val="22"/>
          <w:szCs w:val="22"/>
          <w:lang w:val="pt-BR"/>
        </w:rPr>
        <w:t>17.447</w:t>
      </w:r>
      <w:r w:rsidR="0011745F" w:rsidRPr="005A56BF">
        <w:rPr>
          <w:rFonts w:ascii="Segoe UI" w:hAnsi="Segoe UI" w:cs="Segoe UI"/>
          <w:sz w:val="22"/>
          <w:szCs w:val="22"/>
          <w:lang w:val="pt-BR"/>
        </w:rPr>
        <w:t xml:space="preserve"> a título de IRRF.</w:t>
      </w:r>
      <w:r w:rsidR="0011745F" w:rsidRPr="000757BC">
        <w:rPr>
          <w:rFonts w:ascii="Segoe UI" w:hAnsi="Segoe UI" w:cs="Segoe UI"/>
          <w:sz w:val="22"/>
          <w:szCs w:val="22"/>
          <w:lang w:val="pt-BR"/>
        </w:rPr>
        <w:t xml:space="preserve">  </w:t>
      </w:r>
    </w:p>
    <w:p w14:paraId="62D63350" w14:textId="78820E10" w:rsidR="0011745F" w:rsidRPr="000757BC" w:rsidRDefault="0011745F" w:rsidP="004B1F19">
      <w:pPr>
        <w:pStyle w:val="Corpodetexto"/>
        <w:spacing w:before="240" w:after="120" w:line="259" w:lineRule="auto"/>
        <w:rPr>
          <w:rFonts w:ascii="Segoe UI" w:hAnsi="Segoe UI" w:cs="Segoe UI"/>
          <w:sz w:val="22"/>
          <w:szCs w:val="22"/>
          <w:lang w:val="pt-BR"/>
        </w:rPr>
      </w:pPr>
      <w:r w:rsidRPr="005A56BF">
        <w:rPr>
          <w:rFonts w:ascii="Segoe UI" w:hAnsi="Segoe UI" w:cs="Segoe UI"/>
          <w:sz w:val="22"/>
          <w:szCs w:val="22"/>
          <w:lang w:val="pt-BR"/>
        </w:rPr>
        <w:t xml:space="preserve">Em 2022, foram aplicados R$ </w:t>
      </w:r>
      <w:r w:rsidR="00E14D2F" w:rsidRPr="005A56BF">
        <w:rPr>
          <w:rFonts w:ascii="Segoe UI" w:hAnsi="Segoe UI" w:cs="Segoe UI"/>
          <w:sz w:val="22"/>
          <w:szCs w:val="22"/>
          <w:lang w:val="pt-BR"/>
        </w:rPr>
        <w:t>384.980</w:t>
      </w:r>
      <w:r w:rsidRPr="005A56BF">
        <w:rPr>
          <w:rFonts w:ascii="Segoe UI" w:hAnsi="Segoe UI" w:cs="Segoe UI"/>
          <w:sz w:val="22"/>
          <w:szCs w:val="22"/>
          <w:lang w:val="pt-BR"/>
        </w:rPr>
        <w:t xml:space="preserve"> no </w:t>
      </w:r>
      <w:r w:rsidR="005237DA">
        <w:rPr>
          <w:rFonts w:ascii="Segoe UI" w:hAnsi="Segoe UI" w:cs="Segoe UI"/>
          <w:sz w:val="22"/>
          <w:szCs w:val="22"/>
          <w:lang w:val="pt-BR"/>
        </w:rPr>
        <w:t>fundo de descomissionamento</w:t>
      </w:r>
      <w:r w:rsidRPr="005A56BF">
        <w:rPr>
          <w:rFonts w:ascii="Segoe UI" w:hAnsi="Segoe UI" w:cs="Segoe UI"/>
          <w:sz w:val="22"/>
          <w:szCs w:val="22"/>
          <w:lang w:val="pt-BR"/>
        </w:rPr>
        <w:t xml:space="preserve"> (R$</w:t>
      </w:r>
      <w:r w:rsidR="000B3334" w:rsidRPr="005A56BF">
        <w:rPr>
          <w:rFonts w:ascii="Segoe UI" w:hAnsi="Segoe UI" w:cs="Segoe UI"/>
          <w:sz w:val="22"/>
          <w:szCs w:val="22"/>
          <w:lang w:val="pt-BR"/>
        </w:rPr>
        <w:t xml:space="preserve"> </w:t>
      </w:r>
      <w:r w:rsidR="005A56BF" w:rsidRPr="005A56BF">
        <w:rPr>
          <w:rFonts w:ascii="Segoe UI" w:hAnsi="Segoe UI" w:cs="Segoe UI"/>
          <w:sz w:val="22"/>
          <w:szCs w:val="22"/>
          <w:lang w:val="pt-BR"/>
        </w:rPr>
        <w:t>373.201</w:t>
      </w:r>
      <w:r w:rsidRPr="005A56BF">
        <w:rPr>
          <w:rFonts w:ascii="Segoe UI" w:hAnsi="Segoe UI" w:cs="Segoe UI"/>
          <w:sz w:val="22"/>
          <w:szCs w:val="22"/>
          <w:lang w:val="pt-BR"/>
        </w:rPr>
        <w:t xml:space="preserve"> referentes aos recolhimentos mensais e R$</w:t>
      </w:r>
      <w:r w:rsidR="000B3334" w:rsidRPr="005A56BF">
        <w:rPr>
          <w:rFonts w:ascii="Segoe UI" w:hAnsi="Segoe UI" w:cs="Segoe UI"/>
          <w:sz w:val="22"/>
          <w:szCs w:val="22"/>
          <w:lang w:val="pt-BR"/>
        </w:rPr>
        <w:t xml:space="preserve"> </w:t>
      </w:r>
      <w:r w:rsidR="00EB1836">
        <w:rPr>
          <w:rFonts w:ascii="Segoe UI" w:hAnsi="Segoe UI" w:cs="Segoe UI"/>
          <w:sz w:val="22"/>
          <w:szCs w:val="22"/>
          <w:lang w:val="pt-BR"/>
        </w:rPr>
        <w:t>1</w:t>
      </w:r>
      <w:r w:rsidR="005A56BF" w:rsidRPr="005A56BF">
        <w:rPr>
          <w:rFonts w:ascii="Segoe UI" w:hAnsi="Segoe UI" w:cs="Segoe UI"/>
          <w:sz w:val="22"/>
          <w:szCs w:val="22"/>
          <w:lang w:val="pt-BR"/>
        </w:rPr>
        <w:t>1.779</w:t>
      </w:r>
      <w:r w:rsidRPr="005A56BF">
        <w:rPr>
          <w:rFonts w:ascii="Segoe UI" w:hAnsi="Segoe UI" w:cs="Segoe UI"/>
          <w:sz w:val="22"/>
          <w:szCs w:val="22"/>
          <w:lang w:val="pt-BR"/>
        </w:rPr>
        <w:t xml:space="preserve"> referentes aos recolhimentos adicionais).</w:t>
      </w:r>
    </w:p>
    <w:p w14:paraId="66851362" w14:textId="77777777" w:rsidR="00D907EC" w:rsidRDefault="00D907EC" w:rsidP="00D907EC">
      <w:pPr>
        <w:rPr>
          <w:rFonts w:ascii="Segoe UI" w:hAnsi="Segoe UI" w:cs="Segoe UI"/>
        </w:rPr>
      </w:pPr>
    </w:p>
    <w:p w14:paraId="57A607E9" w14:textId="4C95BEB3" w:rsidR="00BC3C1D" w:rsidRDefault="0011745F" w:rsidP="00D907EC">
      <w:pPr>
        <w:rPr>
          <w:rFonts w:ascii="Segoe UI" w:hAnsi="Segoe UI" w:cs="Segoe UI"/>
        </w:rPr>
      </w:pPr>
      <w:r w:rsidRPr="000757BC">
        <w:rPr>
          <w:rFonts w:ascii="Segoe UI" w:hAnsi="Segoe UI" w:cs="Segoe UI"/>
        </w:rPr>
        <w:t xml:space="preserve">Abaixo, apresentamos o quadro da composição do </w:t>
      </w:r>
      <w:r w:rsidR="005237DA">
        <w:rPr>
          <w:rFonts w:ascii="Segoe UI" w:hAnsi="Segoe UI" w:cs="Segoe UI"/>
        </w:rPr>
        <w:t>fundo de descomissionamento</w:t>
      </w:r>
      <w:r w:rsidRPr="000757BC">
        <w:rPr>
          <w:rFonts w:ascii="Segoe UI" w:hAnsi="Segoe UI" w:cs="Segoe UI"/>
        </w:rPr>
        <w:t>:</w:t>
      </w:r>
      <w:r w:rsidR="002A2FA6" w:rsidRPr="000757BC">
        <w:rPr>
          <w:rFonts w:ascii="Segoe UI" w:hAnsi="Segoe UI" w:cs="Segoe UI"/>
        </w:rPr>
        <w:t xml:space="preserve"> </w:t>
      </w:r>
    </w:p>
    <w:tbl>
      <w:tblPr>
        <w:tblW w:w="5000" w:type="pct"/>
        <w:tblCellMar>
          <w:left w:w="70" w:type="dxa"/>
          <w:right w:w="70" w:type="dxa"/>
        </w:tblCellMar>
        <w:tblLook w:val="04A0" w:firstRow="1" w:lastRow="0" w:firstColumn="1" w:lastColumn="0" w:noHBand="0" w:noVBand="1"/>
      </w:tblPr>
      <w:tblGrid>
        <w:gridCol w:w="5101"/>
        <w:gridCol w:w="2192"/>
        <w:gridCol w:w="217"/>
        <w:gridCol w:w="1987"/>
      </w:tblGrid>
      <w:tr w:rsidR="007A0CF6" w:rsidRPr="00204033" w14:paraId="7BFEDB61" w14:textId="77777777" w:rsidTr="007A0CF6">
        <w:trPr>
          <w:trHeight w:val="260"/>
        </w:trPr>
        <w:tc>
          <w:tcPr>
            <w:tcW w:w="2686" w:type="pct"/>
            <w:tcBorders>
              <w:top w:val="nil"/>
              <w:left w:val="nil"/>
              <w:bottom w:val="nil"/>
              <w:right w:val="nil"/>
            </w:tcBorders>
            <w:shd w:val="clear" w:color="auto" w:fill="auto"/>
            <w:noWrap/>
            <w:vAlign w:val="center"/>
          </w:tcPr>
          <w:p w14:paraId="0D5BCA8D" w14:textId="77777777" w:rsidR="007A0CF6" w:rsidRPr="00204033" w:rsidRDefault="007A0CF6" w:rsidP="00204033">
            <w:pPr>
              <w:spacing w:after="0" w:line="240" w:lineRule="auto"/>
              <w:rPr>
                <w:rFonts w:ascii="Times New Roman" w:eastAsia="Times New Roman" w:hAnsi="Times New Roman" w:cs="Times New Roman"/>
                <w:sz w:val="24"/>
                <w:szCs w:val="24"/>
                <w:lang w:eastAsia="pt-BR"/>
              </w:rPr>
            </w:pPr>
          </w:p>
        </w:tc>
        <w:tc>
          <w:tcPr>
            <w:tcW w:w="1154" w:type="pct"/>
            <w:tcBorders>
              <w:top w:val="nil"/>
              <w:left w:val="nil"/>
              <w:bottom w:val="nil"/>
              <w:right w:val="nil"/>
            </w:tcBorders>
            <w:shd w:val="clear" w:color="auto" w:fill="auto"/>
            <w:noWrap/>
            <w:vAlign w:val="center"/>
          </w:tcPr>
          <w:p w14:paraId="15763906" w14:textId="77777777" w:rsidR="007A0CF6" w:rsidRPr="00204033" w:rsidRDefault="007A0CF6" w:rsidP="00204033">
            <w:pPr>
              <w:spacing w:after="0" w:line="240" w:lineRule="auto"/>
              <w:rPr>
                <w:rFonts w:ascii="Times New Roman" w:eastAsia="Times New Roman" w:hAnsi="Times New Roman" w:cs="Times New Roman"/>
                <w:sz w:val="20"/>
                <w:szCs w:val="20"/>
                <w:lang w:eastAsia="pt-BR"/>
              </w:rPr>
            </w:pPr>
          </w:p>
        </w:tc>
        <w:tc>
          <w:tcPr>
            <w:tcW w:w="114" w:type="pct"/>
            <w:tcBorders>
              <w:top w:val="nil"/>
              <w:left w:val="nil"/>
              <w:bottom w:val="nil"/>
              <w:right w:val="nil"/>
            </w:tcBorders>
            <w:shd w:val="clear" w:color="auto" w:fill="auto"/>
            <w:noWrap/>
            <w:vAlign w:val="center"/>
          </w:tcPr>
          <w:p w14:paraId="73765EB0" w14:textId="77777777" w:rsidR="007A0CF6" w:rsidRPr="00204033" w:rsidRDefault="007A0CF6" w:rsidP="00204033">
            <w:pPr>
              <w:spacing w:after="0" w:line="240" w:lineRule="auto"/>
              <w:rPr>
                <w:rFonts w:ascii="Times New Roman" w:eastAsia="Times New Roman" w:hAnsi="Times New Roman" w:cs="Times New Roman"/>
                <w:sz w:val="20"/>
                <w:szCs w:val="20"/>
                <w:lang w:eastAsia="pt-BR"/>
              </w:rPr>
            </w:pPr>
          </w:p>
        </w:tc>
        <w:tc>
          <w:tcPr>
            <w:tcW w:w="1046" w:type="pct"/>
            <w:tcBorders>
              <w:top w:val="single" w:sz="4" w:space="0" w:color="FFFFFF"/>
              <w:left w:val="nil"/>
              <w:bottom w:val="single" w:sz="4" w:space="0" w:color="FFFFFF"/>
              <w:right w:val="nil"/>
            </w:tcBorders>
            <w:shd w:val="clear" w:color="000000" w:fill="1B80C4"/>
            <w:noWrap/>
            <w:vAlign w:val="center"/>
          </w:tcPr>
          <w:p w14:paraId="1F1B7908" w14:textId="710426F7" w:rsidR="007A0CF6" w:rsidRPr="00204033" w:rsidRDefault="007A0CF6" w:rsidP="00204033">
            <w:pPr>
              <w:spacing w:after="0" w:line="240" w:lineRule="auto"/>
              <w:jc w:val="center"/>
              <w:rPr>
                <w:rFonts w:ascii="Segoe UI" w:eastAsia="Times New Roman" w:hAnsi="Segoe UI" w:cs="Segoe UI"/>
                <w:b/>
                <w:bCs/>
                <w:color w:val="FFFFFF"/>
                <w:sz w:val="18"/>
                <w:szCs w:val="18"/>
                <w:lang w:eastAsia="pt-BR"/>
              </w:rPr>
            </w:pPr>
            <w:r w:rsidRPr="00862BEC">
              <w:rPr>
                <w:rFonts w:ascii="Segoe UI" w:eastAsia="Times New Roman" w:hAnsi="Segoe UI" w:cs="Segoe UI"/>
                <w:b/>
                <w:bCs/>
                <w:color w:val="FFFFFF"/>
                <w:sz w:val="18"/>
                <w:szCs w:val="18"/>
                <w:lang w:eastAsia="pt-BR"/>
              </w:rPr>
              <w:t>Consolidado</w:t>
            </w:r>
          </w:p>
        </w:tc>
      </w:tr>
      <w:tr w:rsidR="00204033" w:rsidRPr="00204033" w14:paraId="42B9B437" w14:textId="77777777" w:rsidTr="00204033">
        <w:trPr>
          <w:trHeight w:val="23"/>
        </w:trPr>
        <w:tc>
          <w:tcPr>
            <w:tcW w:w="2686" w:type="pct"/>
            <w:tcBorders>
              <w:top w:val="nil"/>
              <w:left w:val="nil"/>
              <w:bottom w:val="nil"/>
              <w:right w:val="nil"/>
            </w:tcBorders>
            <w:shd w:val="clear" w:color="auto" w:fill="auto"/>
            <w:noWrap/>
            <w:vAlign w:val="center"/>
            <w:hideMark/>
          </w:tcPr>
          <w:p w14:paraId="16226406" w14:textId="77777777" w:rsidR="00204033" w:rsidRPr="00204033" w:rsidRDefault="00204033" w:rsidP="00204033">
            <w:pPr>
              <w:spacing w:after="0" w:line="240" w:lineRule="auto"/>
              <w:rPr>
                <w:rFonts w:ascii="Times New Roman" w:eastAsia="Times New Roman" w:hAnsi="Times New Roman" w:cs="Times New Roman"/>
                <w:sz w:val="24"/>
                <w:szCs w:val="24"/>
                <w:lang w:eastAsia="pt-BR"/>
              </w:rPr>
            </w:pPr>
          </w:p>
        </w:tc>
        <w:tc>
          <w:tcPr>
            <w:tcW w:w="1154" w:type="pct"/>
            <w:tcBorders>
              <w:top w:val="nil"/>
              <w:left w:val="nil"/>
              <w:bottom w:val="nil"/>
              <w:right w:val="nil"/>
            </w:tcBorders>
            <w:shd w:val="clear" w:color="auto" w:fill="auto"/>
            <w:noWrap/>
            <w:vAlign w:val="center"/>
            <w:hideMark/>
          </w:tcPr>
          <w:p w14:paraId="406406E8"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14" w:type="pct"/>
            <w:tcBorders>
              <w:top w:val="nil"/>
              <w:left w:val="nil"/>
              <w:bottom w:val="nil"/>
              <w:right w:val="nil"/>
            </w:tcBorders>
            <w:shd w:val="clear" w:color="auto" w:fill="auto"/>
            <w:noWrap/>
            <w:vAlign w:val="center"/>
            <w:hideMark/>
          </w:tcPr>
          <w:p w14:paraId="5869CC1E"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single" w:sz="4" w:space="0" w:color="FFFFFF"/>
              <w:left w:val="nil"/>
              <w:bottom w:val="single" w:sz="4" w:space="0" w:color="FFFFFF"/>
              <w:right w:val="nil"/>
            </w:tcBorders>
            <w:shd w:val="clear" w:color="000000" w:fill="1B80C4"/>
            <w:noWrap/>
            <w:vAlign w:val="center"/>
            <w:hideMark/>
          </w:tcPr>
          <w:p w14:paraId="6DC892EE" w14:textId="77777777" w:rsidR="00204033" w:rsidRPr="00204033" w:rsidRDefault="00204033" w:rsidP="00204033">
            <w:pPr>
              <w:spacing w:after="0" w:line="240" w:lineRule="auto"/>
              <w:jc w:val="center"/>
              <w:rPr>
                <w:rFonts w:ascii="Segoe UI" w:eastAsia="Times New Roman" w:hAnsi="Segoe UI" w:cs="Segoe UI"/>
                <w:b/>
                <w:bCs/>
                <w:color w:val="FFFFFF"/>
                <w:sz w:val="18"/>
                <w:szCs w:val="18"/>
                <w:lang w:eastAsia="pt-BR"/>
              </w:rPr>
            </w:pPr>
            <w:r w:rsidRPr="00204033">
              <w:rPr>
                <w:rFonts w:ascii="Segoe UI" w:eastAsia="Times New Roman" w:hAnsi="Segoe UI" w:cs="Segoe UI"/>
                <w:b/>
                <w:bCs/>
                <w:color w:val="FFFFFF"/>
                <w:sz w:val="18"/>
                <w:szCs w:val="18"/>
                <w:lang w:eastAsia="pt-BR"/>
              </w:rPr>
              <w:t>31/12/2022</w:t>
            </w:r>
          </w:p>
        </w:tc>
      </w:tr>
      <w:tr w:rsidR="00204033" w:rsidRPr="00204033" w14:paraId="4DBC5478" w14:textId="77777777" w:rsidTr="00204033">
        <w:trPr>
          <w:trHeight w:val="23"/>
        </w:trPr>
        <w:tc>
          <w:tcPr>
            <w:tcW w:w="2686" w:type="pct"/>
            <w:tcBorders>
              <w:top w:val="nil"/>
              <w:left w:val="nil"/>
              <w:bottom w:val="nil"/>
              <w:right w:val="nil"/>
            </w:tcBorders>
            <w:shd w:val="clear" w:color="auto" w:fill="auto"/>
            <w:noWrap/>
            <w:vAlign w:val="center"/>
            <w:hideMark/>
          </w:tcPr>
          <w:p w14:paraId="69437047"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Parcelamento quotas 2005/2006/2007 </w:t>
            </w:r>
          </w:p>
        </w:tc>
        <w:tc>
          <w:tcPr>
            <w:tcW w:w="1154" w:type="pct"/>
            <w:tcBorders>
              <w:top w:val="nil"/>
              <w:left w:val="nil"/>
              <w:bottom w:val="nil"/>
              <w:right w:val="nil"/>
            </w:tcBorders>
            <w:shd w:val="clear" w:color="auto" w:fill="auto"/>
            <w:noWrap/>
            <w:vAlign w:val="center"/>
            <w:hideMark/>
          </w:tcPr>
          <w:p w14:paraId="5B374CE0"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p>
        </w:tc>
        <w:tc>
          <w:tcPr>
            <w:tcW w:w="114" w:type="pct"/>
            <w:tcBorders>
              <w:top w:val="nil"/>
              <w:left w:val="nil"/>
              <w:bottom w:val="nil"/>
              <w:right w:val="nil"/>
            </w:tcBorders>
            <w:shd w:val="clear" w:color="auto" w:fill="auto"/>
            <w:noWrap/>
            <w:vAlign w:val="center"/>
            <w:hideMark/>
          </w:tcPr>
          <w:p w14:paraId="738D1B97"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nil"/>
              <w:right w:val="nil"/>
            </w:tcBorders>
            <w:shd w:val="clear" w:color="auto" w:fill="auto"/>
            <w:noWrap/>
            <w:vAlign w:val="center"/>
            <w:hideMark/>
          </w:tcPr>
          <w:p w14:paraId="0768777B"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102.365 </w:t>
            </w:r>
          </w:p>
        </w:tc>
      </w:tr>
      <w:tr w:rsidR="00204033" w:rsidRPr="00204033" w14:paraId="15AFFED1" w14:textId="77777777" w:rsidTr="00204033">
        <w:trPr>
          <w:trHeight w:val="23"/>
        </w:trPr>
        <w:tc>
          <w:tcPr>
            <w:tcW w:w="2686" w:type="pct"/>
            <w:tcBorders>
              <w:top w:val="nil"/>
              <w:left w:val="nil"/>
              <w:bottom w:val="nil"/>
              <w:right w:val="nil"/>
            </w:tcBorders>
            <w:shd w:val="clear" w:color="auto" w:fill="auto"/>
            <w:noWrap/>
            <w:vAlign w:val="center"/>
            <w:hideMark/>
          </w:tcPr>
          <w:p w14:paraId="4D014E91"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Quotas 2008 a 2022 </w:t>
            </w:r>
          </w:p>
        </w:tc>
        <w:tc>
          <w:tcPr>
            <w:tcW w:w="1154" w:type="pct"/>
            <w:tcBorders>
              <w:top w:val="nil"/>
              <w:left w:val="nil"/>
              <w:bottom w:val="nil"/>
              <w:right w:val="nil"/>
            </w:tcBorders>
            <w:shd w:val="clear" w:color="auto" w:fill="auto"/>
            <w:noWrap/>
            <w:vAlign w:val="center"/>
            <w:hideMark/>
          </w:tcPr>
          <w:p w14:paraId="462FFBC0"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p>
        </w:tc>
        <w:tc>
          <w:tcPr>
            <w:tcW w:w="114" w:type="pct"/>
            <w:tcBorders>
              <w:top w:val="nil"/>
              <w:left w:val="nil"/>
              <w:bottom w:val="nil"/>
              <w:right w:val="nil"/>
            </w:tcBorders>
            <w:shd w:val="clear" w:color="auto" w:fill="auto"/>
            <w:noWrap/>
            <w:vAlign w:val="center"/>
            <w:hideMark/>
          </w:tcPr>
          <w:p w14:paraId="39D9BDE1"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single" w:sz="4" w:space="0" w:color="1B80C4"/>
              <w:right w:val="nil"/>
            </w:tcBorders>
            <w:shd w:val="clear" w:color="auto" w:fill="auto"/>
            <w:noWrap/>
            <w:vAlign w:val="center"/>
            <w:hideMark/>
          </w:tcPr>
          <w:p w14:paraId="7156455D"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1.299.295 </w:t>
            </w:r>
          </w:p>
        </w:tc>
      </w:tr>
      <w:tr w:rsidR="00204033" w:rsidRPr="00204033" w14:paraId="74ABA59F" w14:textId="77777777" w:rsidTr="00204033">
        <w:trPr>
          <w:trHeight w:val="23"/>
        </w:trPr>
        <w:tc>
          <w:tcPr>
            <w:tcW w:w="2686" w:type="pct"/>
            <w:tcBorders>
              <w:top w:val="nil"/>
              <w:left w:val="nil"/>
              <w:bottom w:val="nil"/>
              <w:right w:val="nil"/>
            </w:tcBorders>
            <w:shd w:val="clear" w:color="auto" w:fill="auto"/>
            <w:noWrap/>
            <w:vAlign w:val="center"/>
            <w:hideMark/>
          </w:tcPr>
          <w:p w14:paraId="1BCF5F7C"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p>
        </w:tc>
        <w:tc>
          <w:tcPr>
            <w:tcW w:w="1154" w:type="pct"/>
            <w:tcBorders>
              <w:top w:val="nil"/>
              <w:left w:val="nil"/>
              <w:bottom w:val="nil"/>
              <w:right w:val="nil"/>
            </w:tcBorders>
            <w:shd w:val="clear" w:color="auto" w:fill="auto"/>
            <w:noWrap/>
            <w:vAlign w:val="center"/>
            <w:hideMark/>
          </w:tcPr>
          <w:p w14:paraId="7D8EDD6D"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14" w:type="pct"/>
            <w:tcBorders>
              <w:top w:val="nil"/>
              <w:left w:val="nil"/>
              <w:bottom w:val="nil"/>
              <w:right w:val="nil"/>
            </w:tcBorders>
            <w:shd w:val="clear" w:color="auto" w:fill="auto"/>
            <w:noWrap/>
            <w:vAlign w:val="center"/>
            <w:hideMark/>
          </w:tcPr>
          <w:p w14:paraId="6CD1A671"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nil"/>
              <w:right w:val="nil"/>
            </w:tcBorders>
            <w:shd w:val="clear" w:color="auto" w:fill="auto"/>
            <w:noWrap/>
            <w:vAlign w:val="center"/>
            <w:hideMark/>
          </w:tcPr>
          <w:p w14:paraId="41EB2307"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1.401.660 </w:t>
            </w:r>
          </w:p>
        </w:tc>
      </w:tr>
      <w:tr w:rsidR="00204033" w:rsidRPr="00204033" w14:paraId="4CA3CA7B" w14:textId="77777777" w:rsidTr="00204033">
        <w:trPr>
          <w:trHeight w:val="23"/>
        </w:trPr>
        <w:tc>
          <w:tcPr>
            <w:tcW w:w="2686" w:type="pct"/>
            <w:tcBorders>
              <w:top w:val="nil"/>
              <w:left w:val="nil"/>
              <w:bottom w:val="nil"/>
              <w:right w:val="nil"/>
            </w:tcBorders>
            <w:shd w:val="clear" w:color="auto" w:fill="auto"/>
            <w:noWrap/>
            <w:vAlign w:val="center"/>
            <w:hideMark/>
          </w:tcPr>
          <w:p w14:paraId="77FDBC0B"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p>
        </w:tc>
        <w:tc>
          <w:tcPr>
            <w:tcW w:w="1154" w:type="pct"/>
            <w:tcBorders>
              <w:top w:val="nil"/>
              <w:left w:val="nil"/>
              <w:bottom w:val="nil"/>
              <w:right w:val="nil"/>
            </w:tcBorders>
            <w:shd w:val="clear" w:color="auto" w:fill="auto"/>
            <w:noWrap/>
            <w:vAlign w:val="center"/>
            <w:hideMark/>
          </w:tcPr>
          <w:p w14:paraId="5C23F8CA"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14" w:type="pct"/>
            <w:tcBorders>
              <w:top w:val="nil"/>
              <w:left w:val="nil"/>
              <w:bottom w:val="nil"/>
              <w:right w:val="nil"/>
            </w:tcBorders>
            <w:shd w:val="clear" w:color="auto" w:fill="auto"/>
            <w:noWrap/>
            <w:vAlign w:val="center"/>
            <w:hideMark/>
          </w:tcPr>
          <w:p w14:paraId="6B0C54E4"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nil"/>
              <w:right w:val="nil"/>
            </w:tcBorders>
            <w:shd w:val="clear" w:color="auto" w:fill="auto"/>
            <w:noWrap/>
            <w:vAlign w:val="center"/>
            <w:hideMark/>
          </w:tcPr>
          <w:p w14:paraId="5321A42A"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r>
      <w:tr w:rsidR="00204033" w:rsidRPr="00204033" w14:paraId="51874F85" w14:textId="77777777" w:rsidTr="00204033">
        <w:trPr>
          <w:trHeight w:val="23"/>
        </w:trPr>
        <w:tc>
          <w:tcPr>
            <w:tcW w:w="2686" w:type="pct"/>
            <w:tcBorders>
              <w:top w:val="nil"/>
              <w:left w:val="nil"/>
              <w:bottom w:val="nil"/>
              <w:right w:val="nil"/>
            </w:tcBorders>
            <w:shd w:val="clear" w:color="auto" w:fill="auto"/>
            <w:noWrap/>
            <w:vAlign w:val="center"/>
            <w:hideMark/>
          </w:tcPr>
          <w:p w14:paraId="429BA7C0"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Planos de recolhimentos adicionais </w:t>
            </w:r>
          </w:p>
        </w:tc>
        <w:tc>
          <w:tcPr>
            <w:tcW w:w="1154" w:type="pct"/>
            <w:tcBorders>
              <w:top w:val="nil"/>
              <w:left w:val="nil"/>
              <w:bottom w:val="nil"/>
              <w:right w:val="nil"/>
            </w:tcBorders>
            <w:shd w:val="clear" w:color="auto" w:fill="auto"/>
            <w:noWrap/>
            <w:vAlign w:val="center"/>
            <w:hideMark/>
          </w:tcPr>
          <w:p w14:paraId="687F4D22"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p>
        </w:tc>
        <w:tc>
          <w:tcPr>
            <w:tcW w:w="114" w:type="pct"/>
            <w:tcBorders>
              <w:top w:val="nil"/>
              <w:left w:val="nil"/>
              <w:bottom w:val="nil"/>
              <w:right w:val="nil"/>
            </w:tcBorders>
            <w:shd w:val="clear" w:color="auto" w:fill="auto"/>
            <w:noWrap/>
            <w:vAlign w:val="center"/>
            <w:hideMark/>
          </w:tcPr>
          <w:p w14:paraId="76BF1021"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nil"/>
              <w:right w:val="nil"/>
            </w:tcBorders>
            <w:shd w:val="clear" w:color="auto" w:fill="auto"/>
            <w:noWrap/>
            <w:vAlign w:val="center"/>
            <w:hideMark/>
          </w:tcPr>
          <w:p w14:paraId="1ADAA8B8"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78.800 </w:t>
            </w:r>
          </w:p>
        </w:tc>
      </w:tr>
      <w:tr w:rsidR="00204033" w:rsidRPr="00204033" w14:paraId="4943DD6C" w14:textId="77777777" w:rsidTr="00204033">
        <w:trPr>
          <w:trHeight w:val="23"/>
        </w:trPr>
        <w:tc>
          <w:tcPr>
            <w:tcW w:w="2686" w:type="pct"/>
            <w:tcBorders>
              <w:top w:val="nil"/>
              <w:left w:val="nil"/>
              <w:bottom w:val="nil"/>
              <w:right w:val="nil"/>
            </w:tcBorders>
            <w:shd w:val="clear" w:color="auto" w:fill="auto"/>
            <w:noWrap/>
            <w:vAlign w:val="center"/>
            <w:hideMark/>
          </w:tcPr>
          <w:p w14:paraId="4F026F64"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IRRF </w:t>
            </w:r>
          </w:p>
        </w:tc>
        <w:tc>
          <w:tcPr>
            <w:tcW w:w="1154" w:type="pct"/>
            <w:tcBorders>
              <w:top w:val="nil"/>
              <w:left w:val="nil"/>
              <w:bottom w:val="nil"/>
              <w:right w:val="nil"/>
            </w:tcBorders>
            <w:shd w:val="clear" w:color="auto" w:fill="auto"/>
            <w:noWrap/>
            <w:vAlign w:val="center"/>
            <w:hideMark/>
          </w:tcPr>
          <w:p w14:paraId="2B783382"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p>
        </w:tc>
        <w:tc>
          <w:tcPr>
            <w:tcW w:w="114" w:type="pct"/>
            <w:tcBorders>
              <w:top w:val="nil"/>
              <w:left w:val="nil"/>
              <w:bottom w:val="nil"/>
              <w:right w:val="nil"/>
            </w:tcBorders>
            <w:shd w:val="clear" w:color="auto" w:fill="auto"/>
            <w:noWrap/>
            <w:vAlign w:val="center"/>
            <w:hideMark/>
          </w:tcPr>
          <w:p w14:paraId="3D5CD672"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nil"/>
              <w:right w:val="nil"/>
            </w:tcBorders>
            <w:shd w:val="clear" w:color="auto" w:fill="auto"/>
            <w:noWrap/>
            <w:vAlign w:val="center"/>
            <w:hideMark/>
          </w:tcPr>
          <w:p w14:paraId="2D9BB38C"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(13.676)</w:t>
            </w:r>
          </w:p>
        </w:tc>
      </w:tr>
      <w:tr w:rsidR="00204033" w:rsidRPr="00204033" w14:paraId="4E5FD091" w14:textId="77777777" w:rsidTr="00204033">
        <w:trPr>
          <w:trHeight w:val="23"/>
        </w:trPr>
        <w:tc>
          <w:tcPr>
            <w:tcW w:w="2686" w:type="pct"/>
            <w:tcBorders>
              <w:top w:val="nil"/>
              <w:left w:val="nil"/>
              <w:bottom w:val="nil"/>
              <w:right w:val="nil"/>
            </w:tcBorders>
            <w:shd w:val="clear" w:color="auto" w:fill="auto"/>
            <w:noWrap/>
            <w:vAlign w:val="center"/>
            <w:hideMark/>
          </w:tcPr>
          <w:p w14:paraId="4B9250B9" w14:textId="66F87F80" w:rsidR="00204033" w:rsidRPr="00204033" w:rsidRDefault="00204033" w:rsidP="00204033">
            <w:pPr>
              <w:spacing w:after="0" w:line="240" w:lineRule="auto"/>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Ganhos líquidos auferidos acumula</w:t>
            </w:r>
            <w:r w:rsidR="00BC792D">
              <w:rPr>
                <w:rFonts w:ascii="Segoe UI" w:eastAsia="Times New Roman" w:hAnsi="Segoe UI" w:cs="Segoe UI"/>
                <w:color w:val="000000"/>
                <w:sz w:val="18"/>
                <w:szCs w:val="18"/>
                <w:lang w:eastAsia="pt-BR"/>
              </w:rPr>
              <w:t>tivamente</w:t>
            </w:r>
            <w:r w:rsidRPr="00204033">
              <w:rPr>
                <w:rFonts w:ascii="Segoe UI" w:eastAsia="Times New Roman" w:hAnsi="Segoe UI" w:cs="Segoe UI"/>
                <w:color w:val="000000"/>
                <w:sz w:val="18"/>
                <w:szCs w:val="18"/>
                <w:lang w:eastAsia="pt-BR"/>
              </w:rPr>
              <w:t xml:space="preserve"> </w:t>
            </w:r>
          </w:p>
        </w:tc>
        <w:tc>
          <w:tcPr>
            <w:tcW w:w="1154" w:type="pct"/>
            <w:tcBorders>
              <w:top w:val="nil"/>
              <w:left w:val="nil"/>
              <w:bottom w:val="nil"/>
              <w:right w:val="nil"/>
            </w:tcBorders>
            <w:shd w:val="clear" w:color="auto" w:fill="auto"/>
            <w:noWrap/>
            <w:vAlign w:val="center"/>
            <w:hideMark/>
          </w:tcPr>
          <w:p w14:paraId="472FB6E7"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p>
        </w:tc>
        <w:tc>
          <w:tcPr>
            <w:tcW w:w="114" w:type="pct"/>
            <w:tcBorders>
              <w:top w:val="nil"/>
              <w:left w:val="nil"/>
              <w:bottom w:val="nil"/>
              <w:right w:val="nil"/>
            </w:tcBorders>
            <w:shd w:val="clear" w:color="auto" w:fill="auto"/>
            <w:noWrap/>
            <w:vAlign w:val="center"/>
            <w:hideMark/>
          </w:tcPr>
          <w:p w14:paraId="0C8892C3"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single" w:sz="4" w:space="0" w:color="1B80C4"/>
              <w:right w:val="nil"/>
            </w:tcBorders>
            <w:shd w:val="clear" w:color="auto" w:fill="auto"/>
            <w:noWrap/>
            <w:vAlign w:val="center"/>
            <w:hideMark/>
          </w:tcPr>
          <w:p w14:paraId="6E730A52"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1.094.490 </w:t>
            </w:r>
          </w:p>
        </w:tc>
      </w:tr>
      <w:tr w:rsidR="00204033" w:rsidRPr="00204033" w14:paraId="468926EA" w14:textId="77777777" w:rsidTr="00204033">
        <w:trPr>
          <w:trHeight w:val="23"/>
        </w:trPr>
        <w:tc>
          <w:tcPr>
            <w:tcW w:w="2686" w:type="pct"/>
            <w:tcBorders>
              <w:top w:val="nil"/>
              <w:left w:val="nil"/>
              <w:bottom w:val="nil"/>
              <w:right w:val="nil"/>
            </w:tcBorders>
            <w:shd w:val="clear" w:color="auto" w:fill="auto"/>
            <w:noWrap/>
            <w:vAlign w:val="center"/>
            <w:hideMark/>
          </w:tcPr>
          <w:p w14:paraId="4CD1305A"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p>
        </w:tc>
        <w:tc>
          <w:tcPr>
            <w:tcW w:w="1154" w:type="pct"/>
            <w:tcBorders>
              <w:top w:val="nil"/>
              <w:left w:val="nil"/>
              <w:bottom w:val="nil"/>
              <w:right w:val="nil"/>
            </w:tcBorders>
            <w:shd w:val="clear" w:color="auto" w:fill="auto"/>
            <w:noWrap/>
            <w:vAlign w:val="center"/>
            <w:hideMark/>
          </w:tcPr>
          <w:p w14:paraId="1038D932"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14" w:type="pct"/>
            <w:tcBorders>
              <w:top w:val="nil"/>
              <w:left w:val="nil"/>
              <w:bottom w:val="nil"/>
              <w:right w:val="nil"/>
            </w:tcBorders>
            <w:shd w:val="clear" w:color="auto" w:fill="auto"/>
            <w:noWrap/>
            <w:vAlign w:val="center"/>
            <w:hideMark/>
          </w:tcPr>
          <w:p w14:paraId="6FF1073D"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nil"/>
              <w:right w:val="nil"/>
            </w:tcBorders>
            <w:shd w:val="clear" w:color="auto" w:fill="auto"/>
            <w:noWrap/>
            <w:vAlign w:val="center"/>
            <w:hideMark/>
          </w:tcPr>
          <w:p w14:paraId="0CAF9238"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1.159.614 </w:t>
            </w:r>
          </w:p>
        </w:tc>
      </w:tr>
      <w:tr w:rsidR="00204033" w:rsidRPr="00204033" w14:paraId="690C4221" w14:textId="77777777" w:rsidTr="00204033">
        <w:trPr>
          <w:trHeight w:val="23"/>
        </w:trPr>
        <w:tc>
          <w:tcPr>
            <w:tcW w:w="2686" w:type="pct"/>
            <w:tcBorders>
              <w:top w:val="nil"/>
              <w:left w:val="nil"/>
              <w:bottom w:val="nil"/>
              <w:right w:val="nil"/>
            </w:tcBorders>
            <w:shd w:val="clear" w:color="auto" w:fill="auto"/>
            <w:noWrap/>
            <w:vAlign w:val="center"/>
            <w:hideMark/>
          </w:tcPr>
          <w:p w14:paraId="16A6BE2B" w14:textId="77777777" w:rsidR="00204033" w:rsidRPr="00204033" w:rsidRDefault="00204033" w:rsidP="00204033">
            <w:pPr>
              <w:spacing w:after="0" w:line="240" w:lineRule="auto"/>
              <w:jc w:val="right"/>
              <w:rPr>
                <w:rFonts w:ascii="Segoe UI" w:eastAsia="Times New Roman" w:hAnsi="Segoe UI" w:cs="Segoe UI"/>
                <w:color w:val="000000"/>
                <w:sz w:val="18"/>
                <w:szCs w:val="18"/>
                <w:lang w:eastAsia="pt-BR"/>
              </w:rPr>
            </w:pPr>
          </w:p>
        </w:tc>
        <w:tc>
          <w:tcPr>
            <w:tcW w:w="1154" w:type="pct"/>
            <w:tcBorders>
              <w:top w:val="nil"/>
              <w:left w:val="nil"/>
              <w:bottom w:val="nil"/>
              <w:right w:val="nil"/>
            </w:tcBorders>
            <w:shd w:val="clear" w:color="auto" w:fill="auto"/>
            <w:noWrap/>
            <w:vAlign w:val="center"/>
            <w:hideMark/>
          </w:tcPr>
          <w:p w14:paraId="15DA4553"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14" w:type="pct"/>
            <w:tcBorders>
              <w:top w:val="nil"/>
              <w:left w:val="nil"/>
              <w:bottom w:val="nil"/>
              <w:right w:val="nil"/>
            </w:tcBorders>
            <w:shd w:val="clear" w:color="auto" w:fill="auto"/>
            <w:noWrap/>
            <w:vAlign w:val="center"/>
            <w:hideMark/>
          </w:tcPr>
          <w:p w14:paraId="71A2427D"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c>
          <w:tcPr>
            <w:tcW w:w="1046" w:type="pct"/>
            <w:tcBorders>
              <w:top w:val="nil"/>
              <w:left w:val="nil"/>
              <w:bottom w:val="nil"/>
              <w:right w:val="nil"/>
            </w:tcBorders>
            <w:shd w:val="clear" w:color="auto" w:fill="auto"/>
            <w:noWrap/>
            <w:vAlign w:val="center"/>
            <w:hideMark/>
          </w:tcPr>
          <w:p w14:paraId="78DD9E3B" w14:textId="77777777" w:rsidR="00204033" w:rsidRPr="00204033" w:rsidRDefault="00204033" w:rsidP="00204033">
            <w:pPr>
              <w:spacing w:after="0" w:line="240" w:lineRule="auto"/>
              <w:rPr>
                <w:rFonts w:ascii="Times New Roman" w:eastAsia="Times New Roman" w:hAnsi="Times New Roman" w:cs="Times New Roman"/>
                <w:sz w:val="20"/>
                <w:szCs w:val="20"/>
                <w:lang w:eastAsia="pt-BR"/>
              </w:rPr>
            </w:pPr>
          </w:p>
        </w:tc>
      </w:tr>
      <w:tr w:rsidR="00204033" w:rsidRPr="00204033" w14:paraId="2EFE001E" w14:textId="77777777" w:rsidTr="00515246">
        <w:trPr>
          <w:trHeight w:val="23"/>
        </w:trPr>
        <w:tc>
          <w:tcPr>
            <w:tcW w:w="3840" w:type="pct"/>
            <w:gridSpan w:val="2"/>
            <w:tcBorders>
              <w:top w:val="nil"/>
              <w:left w:val="nil"/>
              <w:bottom w:val="nil"/>
              <w:right w:val="nil"/>
            </w:tcBorders>
            <w:shd w:val="clear" w:color="auto" w:fill="auto"/>
            <w:noWrap/>
            <w:vAlign w:val="center"/>
            <w:hideMark/>
          </w:tcPr>
          <w:p w14:paraId="1651E034" w14:textId="1C98080F" w:rsidR="00204033" w:rsidRPr="00204033" w:rsidRDefault="00204033" w:rsidP="00204033">
            <w:pPr>
              <w:spacing w:after="0" w:line="240" w:lineRule="auto"/>
              <w:rPr>
                <w:rFonts w:ascii="Segoe UI" w:eastAsia="Times New Roman" w:hAnsi="Segoe UI" w:cs="Segoe UI"/>
                <w:color w:val="000000"/>
                <w:sz w:val="18"/>
                <w:szCs w:val="18"/>
                <w:lang w:eastAsia="pt-BR"/>
              </w:rPr>
            </w:pPr>
            <w:r w:rsidRPr="00204033">
              <w:rPr>
                <w:rFonts w:ascii="Segoe UI" w:eastAsia="Times New Roman" w:hAnsi="Segoe UI" w:cs="Segoe UI"/>
                <w:color w:val="000000"/>
                <w:sz w:val="18"/>
                <w:szCs w:val="18"/>
                <w:lang w:eastAsia="pt-BR"/>
              </w:rPr>
              <w:t xml:space="preserve"> Saldo de </w:t>
            </w:r>
            <w:r w:rsidR="00476921">
              <w:rPr>
                <w:rFonts w:ascii="Segoe UI" w:eastAsia="Times New Roman" w:hAnsi="Segoe UI" w:cs="Segoe UI"/>
                <w:color w:val="000000"/>
                <w:sz w:val="18"/>
                <w:szCs w:val="18"/>
                <w:lang w:eastAsia="pt-BR"/>
              </w:rPr>
              <w:t>c</w:t>
            </w:r>
            <w:r w:rsidRPr="00204033">
              <w:rPr>
                <w:rFonts w:ascii="Segoe UI" w:eastAsia="Times New Roman" w:hAnsi="Segoe UI" w:cs="Segoe UI"/>
                <w:color w:val="000000"/>
                <w:sz w:val="18"/>
                <w:szCs w:val="18"/>
                <w:lang w:eastAsia="pt-BR"/>
              </w:rPr>
              <w:t xml:space="preserve">arteira de </w:t>
            </w:r>
            <w:r w:rsidR="00476921">
              <w:rPr>
                <w:rFonts w:ascii="Segoe UI" w:eastAsia="Times New Roman" w:hAnsi="Segoe UI" w:cs="Segoe UI"/>
                <w:color w:val="000000"/>
                <w:sz w:val="18"/>
                <w:szCs w:val="18"/>
                <w:lang w:eastAsia="pt-BR"/>
              </w:rPr>
              <w:t>a</w:t>
            </w:r>
            <w:r w:rsidRPr="00204033">
              <w:rPr>
                <w:rFonts w:ascii="Segoe UI" w:eastAsia="Times New Roman" w:hAnsi="Segoe UI" w:cs="Segoe UI"/>
                <w:color w:val="000000"/>
                <w:sz w:val="18"/>
                <w:szCs w:val="18"/>
                <w:lang w:eastAsia="pt-BR"/>
              </w:rPr>
              <w:t xml:space="preserve">plicativos do </w:t>
            </w:r>
            <w:r w:rsidR="00476921">
              <w:rPr>
                <w:rFonts w:ascii="Segoe UI" w:eastAsia="Times New Roman" w:hAnsi="Segoe UI" w:cs="Segoe UI"/>
                <w:color w:val="000000"/>
                <w:sz w:val="18"/>
                <w:szCs w:val="18"/>
                <w:lang w:eastAsia="pt-BR"/>
              </w:rPr>
              <w:t>f</w:t>
            </w:r>
            <w:r w:rsidRPr="00204033">
              <w:rPr>
                <w:rFonts w:ascii="Segoe UI" w:eastAsia="Times New Roman" w:hAnsi="Segoe UI" w:cs="Segoe UI"/>
                <w:color w:val="000000"/>
                <w:sz w:val="18"/>
                <w:szCs w:val="18"/>
                <w:lang w:eastAsia="pt-BR"/>
              </w:rPr>
              <w:t xml:space="preserve">undo / Patrimônio </w:t>
            </w:r>
            <w:r w:rsidR="00476921">
              <w:rPr>
                <w:rFonts w:ascii="Segoe UI" w:eastAsia="Times New Roman" w:hAnsi="Segoe UI" w:cs="Segoe UI"/>
                <w:color w:val="000000"/>
                <w:sz w:val="18"/>
                <w:szCs w:val="18"/>
                <w:lang w:eastAsia="pt-BR"/>
              </w:rPr>
              <w:t>l</w:t>
            </w:r>
            <w:r w:rsidRPr="00204033">
              <w:rPr>
                <w:rFonts w:ascii="Segoe UI" w:eastAsia="Times New Roman" w:hAnsi="Segoe UI" w:cs="Segoe UI"/>
                <w:color w:val="000000"/>
                <w:sz w:val="18"/>
                <w:szCs w:val="18"/>
                <w:lang w:eastAsia="pt-BR"/>
              </w:rPr>
              <w:t xml:space="preserve">íquido do </w:t>
            </w:r>
            <w:r w:rsidR="00476921">
              <w:rPr>
                <w:rFonts w:ascii="Segoe UI" w:eastAsia="Times New Roman" w:hAnsi="Segoe UI" w:cs="Segoe UI"/>
                <w:color w:val="000000"/>
                <w:sz w:val="18"/>
                <w:szCs w:val="18"/>
                <w:lang w:eastAsia="pt-BR"/>
              </w:rPr>
              <w:t>f</w:t>
            </w:r>
            <w:r w:rsidRPr="00204033">
              <w:rPr>
                <w:rFonts w:ascii="Segoe UI" w:eastAsia="Times New Roman" w:hAnsi="Segoe UI" w:cs="Segoe UI"/>
                <w:color w:val="000000"/>
                <w:sz w:val="18"/>
                <w:szCs w:val="18"/>
                <w:lang w:eastAsia="pt-BR"/>
              </w:rPr>
              <w:t xml:space="preserve">undo </w:t>
            </w:r>
          </w:p>
        </w:tc>
        <w:tc>
          <w:tcPr>
            <w:tcW w:w="114" w:type="pct"/>
            <w:tcBorders>
              <w:top w:val="nil"/>
              <w:left w:val="nil"/>
              <w:bottom w:val="nil"/>
              <w:right w:val="nil"/>
            </w:tcBorders>
            <w:shd w:val="clear" w:color="auto" w:fill="auto"/>
            <w:noWrap/>
            <w:vAlign w:val="center"/>
            <w:hideMark/>
          </w:tcPr>
          <w:p w14:paraId="5E12FA2A" w14:textId="77777777" w:rsidR="00204033" w:rsidRPr="00204033" w:rsidRDefault="00204033" w:rsidP="00204033">
            <w:pPr>
              <w:spacing w:after="0" w:line="240" w:lineRule="auto"/>
              <w:rPr>
                <w:rFonts w:ascii="Segoe UI" w:eastAsia="Times New Roman" w:hAnsi="Segoe UI" w:cs="Segoe UI"/>
                <w:color w:val="000000"/>
                <w:sz w:val="18"/>
                <w:szCs w:val="18"/>
                <w:lang w:eastAsia="pt-BR"/>
              </w:rPr>
            </w:pPr>
          </w:p>
        </w:tc>
        <w:tc>
          <w:tcPr>
            <w:tcW w:w="1046" w:type="pct"/>
            <w:tcBorders>
              <w:top w:val="single" w:sz="4" w:space="0" w:color="1B80C4"/>
              <w:left w:val="nil"/>
              <w:bottom w:val="double" w:sz="6" w:space="0" w:color="1B80C4"/>
              <w:right w:val="nil"/>
            </w:tcBorders>
            <w:shd w:val="clear" w:color="auto" w:fill="auto"/>
            <w:noWrap/>
            <w:vAlign w:val="center"/>
            <w:hideMark/>
          </w:tcPr>
          <w:p w14:paraId="1913FDD8" w14:textId="77777777" w:rsidR="00204033" w:rsidRPr="00204033" w:rsidRDefault="00204033" w:rsidP="00204033">
            <w:pPr>
              <w:spacing w:after="0" w:line="240" w:lineRule="auto"/>
              <w:jc w:val="right"/>
              <w:rPr>
                <w:rFonts w:ascii="Segoe UI" w:eastAsia="Times New Roman" w:hAnsi="Segoe UI" w:cs="Segoe UI"/>
                <w:b/>
                <w:bCs/>
                <w:color w:val="000000"/>
                <w:sz w:val="18"/>
                <w:szCs w:val="18"/>
                <w:lang w:eastAsia="pt-BR"/>
              </w:rPr>
            </w:pPr>
            <w:r w:rsidRPr="00204033">
              <w:rPr>
                <w:rFonts w:ascii="Segoe UI" w:eastAsia="Times New Roman" w:hAnsi="Segoe UI" w:cs="Segoe UI"/>
                <w:b/>
                <w:bCs/>
                <w:color w:val="000000"/>
                <w:sz w:val="18"/>
                <w:szCs w:val="18"/>
                <w:lang w:eastAsia="pt-BR"/>
              </w:rPr>
              <w:t xml:space="preserve">                  2.561.274 </w:t>
            </w:r>
          </w:p>
        </w:tc>
      </w:tr>
    </w:tbl>
    <w:p w14:paraId="6C48EF92" w14:textId="38DC710E" w:rsidR="00767F55" w:rsidRDefault="00767F55">
      <w:pPr>
        <w:rPr>
          <w:rFonts w:ascii="Segoe UI" w:hAnsi="Segoe UI" w:cs="Segoe UI"/>
          <w:b/>
          <w:color w:val="0070C0"/>
        </w:rPr>
      </w:pPr>
    </w:p>
    <w:p w14:paraId="49B4D49E" w14:textId="4979BF0B" w:rsidR="00A978AF" w:rsidRPr="000757BC" w:rsidRDefault="009B5AFB" w:rsidP="00F7132F">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7364BB">
        <w:rPr>
          <w:rFonts w:ascii="Segoe UI" w:hAnsi="Segoe UI" w:cs="Segoe UI"/>
          <w:b/>
          <w:color w:val="0070C0"/>
        </w:rPr>
        <w:t>2</w:t>
      </w:r>
      <w:r w:rsidR="00D627C4" w:rsidRPr="000757BC">
        <w:rPr>
          <w:rFonts w:ascii="Segoe UI" w:hAnsi="Segoe UI" w:cs="Segoe UI"/>
          <w:b/>
          <w:color w:val="0070C0"/>
        </w:rPr>
        <w:t xml:space="preserve"> – INVESTIMENTO </w:t>
      </w:r>
    </w:p>
    <w:p w14:paraId="514E1C53" w14:textId="0CF5B56C" w:rsidR="007071EE" w:rsidRPr="00590C5C" w:rsidRDefault="007071EE" w:rsidP="00590C5C">
      <w:pPr>
        <w:spacing w:before="240" w:after="120"/>
        <w:jc w:val="both"/>
        <w:rPr>
          <w:rFonts w:ascii="Segoe UI" w:hAnsi="Segoe UI" w:cs="Segoe UI"/>
          <w:b/>
          <w:color w:val="0070C0"/>
          <w:bdr w:val="nil"/>
        </w:rPr>
      </w:pPr>
      <w:r w:rsidRPr="00590C5C">
        <w:rPr>
          <w:rFonts w:ascii="Segoe UI" w:hAnsi="Segoe UI" w:cs="Segoe UI"/>
          <w:b/>
          <w:color w:val="0070C0"/>
          <w:bdr w:val="nil"/>
        </w:rPr>
        <w:t>1</w:t>
      </w:r>
      <w:r w:rsidR="007364BB" w:rsidRPr="00590C5C">
        <w:rPr>
          <w:rFonts w:ascii="Segoe UI" w:hAnsi="Segoe UI" w:cs="Segoe UI"/>
          <w:b/>
          <w:color w:val="0070C0"/>
          <w:bdr w:val="nil"/>
        </w:rPr>
        <w:t>2</w:t>
      </w:r>
      <w:r w:rsidRPr="00590C5C">
        <w:rPr>
          <w:rFonts w:ascii="Segoe UI" w:hAnsi="Segoe UI" w:cs="Segoe UI"/>
          <w:b/>
          <w:color w:val="0070C0"/>
          <w:bdr w:val="nil"/>
        </w:rPr>
        <w:t>.1- Composição do investimento</w:t>
      </w:r>
    </w:p>
    <w:p w14:paraId="6453A3B9" w14:textId="02C11DDE" w:rsidR="00144E26" w:rsidRDefault="00144E26" w:rsidP="00C871E0">
      <w:pPr>
        <w:jc w:val="both"/>
        <w:rPr>
          <w:rFonts w:ascii="Segoe UI" w:hAnsi="Segoe UI" w:cs="Segoe UI"/>
          <w:b/>
          <w:bdr w:val="nil"/>
        </w:rPr>
      </w:pPr>
    </w:p>
    <w:tbl>
      <w:tblPr>
        <w:tblW w:w="5000" w:type="pct"/>
        <w:tblCellMar>
          <w:left w:w="70" w:type="dxa"/>
          <w:right w:w="70" w:type="dxa"/>
        </w:tblCellMar>
        <w:tblLook w:val="04A0" w:firstRow="1" w:lastRow="0" w:firstColumn="1" w:lastColumn="0" w:noHBand="0" w:noVBand="1"/>
      </w:tblPr>
      <w:tblGrid>
        <w:gridCol w:w="6201"/>
        <w:gridCol w:w="1540"/>
        <w:gridCol w:w="217"/>
        <w:gridCol w:w="1539"/>
      </w:tblGrid>
      <w:tr w:rsidR="00A4491A" w:rsidRPr="00A4491A" w14:paraId="4744832A" w14:textId="77777777" w:rsidTr="00BC792D">
        <w:trPr>
          <w:trHeight w:val="240"/>
        </w:trPr>
        <w:tc>
          <w:tcPr>
            <w:tcW w:w="3265" w:type="pct"/>
            <w:tcBorders>
              <w:top w:val="nil"/>
              <w:left w:val="nil"/>
              <w:bottom w:val="nil"/>
              <w:right w:val="nil"/>
            </w:tcBorders>
            <w:shd w:val="clear" w:color="auto" w:fill="auto"/>
            <w:noWrap/>
            <w:vAlign w:val="bottom"/>
            <w:hideMark/>
          </w:tcPr>
          <w:p w14:paraId="3EEBAA46" w14:textId="77777777" w:rsidR="00A4491A" w:rsidRPr="00A4491A" w:rsidRDefault="00A4491A" w:rsidP="00A4491A">
            <w:pPr>
              <w:spacing w:after="0" w:line="240" w:lineRule="auto"/>
              <w:rPr>
                <w:rFonts w:ascii="Times New Roman" w:eastAsia="Times New Roman" w:hAnsi="Times New Roman" w:cs="Times New Roman"/>
                <w:sz w:val="24"/>
                <w:szCs w:val="24"/>
                <w:lang w:eastAsia="pt-BR"/>
              </w:rPr>
            </w:pPr>
          </w:p>
        </w:tc>
        <w:tc>
          <w:tcPr>
            <w:tcW w:w="811" w:type="pct"/>
            <w:tcBorders>
              <w:top w:val="nil"/>
              <w:left w:val="nil"/>
              <w:bottom w:val="nil"/>
              <w:right w:val="nil"/>
            </w:tcBorders>
            <w:shd w:val="clear" w:color="000000" w:fill="1B80C4"/>
            <w:noWrap/>
            <w:vAlign w:val="bottom"/>
            <w:hideMark/>
          </w:tcPr>
          <w:p w14:paraId="71F019B7" w14:textId="294517D5" w:rsidR="00A4491A" w:rsidRPr="00A4491A" w:rsidRDefault="00A4491A" w:rsidP="007A0CF6">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Controladora</w:t>
            </w:r>
          </w:p>
        </w:tc>
        <w:tc>
          <w:tcPr>
            <w:tcW w:w="114" w:type="pct"/>
            <w:tcBorders>
              <w:top w:val="nil"/>
              <w:left w:val="nil"/>
              <w:bottom w:val="nil"/>
              <w:right w:val="nil"/>
            </w:tcBorders>
            <w:shd w:val="clear" w:color="000000" w:fill="1B80C4"/>
            <w:noWrap/>
            <w:vAlign w:val="bottom"/>
            <w:hideMark/>
          </w:tcPr>
          <w:p w14:paraId="23177CF7" w14:textId="5AB007A4" w:rsidR="00A4491A" w:rsidRPr="00A4491A" w:rsidRDefault="00A4491A" w:rsidP="007A0CF6">
            <w:pPr>
              <w:spacing w:after="0" w:line="240" w:lineRule="auto"/>
              <w:jc w:val="center"/>
              <w:rPr>
                <w:rFonts w:ascii="Segoe UI" w:eastAsia="Times New Roman" w:hAnsi="Segoe UI" w:cs="Segoe UI"/>
                <w:b/>
                <w:bCs/>
                <w:color w:val="FFFFFF"/>
                <w:sz w:val="18"/>
                <w:szCs w:val="18"/>
                <w:lang w:eastAsia="pt-BR"/>
              </w:rPr>
            </w:pPr>
          </w:p>
        </w:tc>
        <w:tc>
          <w:tcPr>
            <w:tcW w:w="811" w:type="pct"/>
            <w:tcBorders>
              <w:top w:val="nil"/>
              <w:left w:val="nil"/>
              <w:bottom w:val="nil"/>
              <w:right w:val="nil"/>
            </w:tcBorders>
            <w:shd w:val="clear" w:color="000000" w:fill="1B80C4"/>
            <w:noWrap/>
            <w:vAlign w:val="bottom"/>
            <w:hideMark/>
          </w:tcPr>
          <w:p w14:paraId="5721D064" w14:textId="697784B4" w:rsidR="00A4491A" w:rsidRPr="00A4491A" w:rsidRDefault="00A4491A" w:rsidP="007A0CF6">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Consolidado</w:t>
            </w:r>
          </w:p>
        </w:tc>
      </w:tr>
      <w:tr w:rsidR="00A4491A" w:rsidRPr="00A4491A" w14:paraId="6187439B" w14:textId="77777777" w:rsidTr="007A0CF6">
        <w:trPr>
          <w:trHeight w:val="240"/>
        </w:trPr>
        <w:tc>
          <w:tcPr>
            <w:tcW w:w="3265" w:type="pct"/>
            <w:tcBorders>
              <w:top w:val="nil"/>
              <w:left w:val="nil"/>
              <w:bottom w:val="nil"/>
              <w:right w:val="nil"/>
            </w:tcBorders>
            <w:shd w:val="clear" w:color="auto" w:fill="auto"/>
            <w:noWrap/>
            <w:vAlign w:val="center"/>
            <w:hideMark/>
          </w:tcPr>
          <w:p w14:paraId="2A68BF3F" w14:textId="77777777" w:rsidR="00A4491A" w:rsidRPr="00A4491A" w:rsidRDefault="00A4491A" w:rsidP="00A4491A">
            <w:pPr>
              <w:spacing w:after="0" w:line="240" w:lineRule="auto"/>
              <w:jc w:val="center"/>
              <w:rPr>
                <w:rFonts w:ascii="Segoe UI" w:eastAsia="Times New Roman" w:hAnsi="Segoe UI" w:cs="Segoe UI"/>
                <w:b/>
                <w:bCs/>
                <w:color w:val="FFFFFF"/>
                <w:sz w:val="18"/>
                <w:szCs w:val="18"/>
                <w:lang w:eastAsia="pt-BR"/>
              </w:rPr>
            </w:pPr>
          </w:p>
        </w:tc>
        <w:tc>
          <w:tcPr>
            <w:tcW w:w="811" w:type="pct"/>
            <w:tcBorders>
              <w:top w:val="single" w:sz="4" w:space="0" w:color="FFFFFF"/>
              <w:left w:val="nil"/>
              <w:bottom w:val="single" w:sz="4" w:space="0" w:color="FFFFFF"/>
              <w:right w:val="nil"/>
            </w:tcBorders>
            <w:shd w:val="clear" w:color="000000" w:fill="1B80C4"/>
            <w:noWrap/>
            <w:vAlign w:val="center"/>
            <w:hideMark/>
          </w:tcPr>
          <w:p w14:paraId="0F7D9753" w14:textId="77777777" w:rsidR="00A4491A" w:rsidRPr="00A4491A" w:rsidRDefault="00A4491A" w:rsidP="007A0CF6">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31/12/2022</w:t>
            </w:r>
          </w:p>
        </w:tc>
        <w:tc>
          <w:tcPr>
            <w:tcW w:w="114" w:type="pct"/>
            <w:tcBorders>
              <w:left w:val="nil"/>
              <w:right w:val="nil"/>
            </w:tcBorders>
            <w:shd w:val="clear" w:color="000000" w:fill="1B80C4"/>
            <w:noWrap/>
            <w:vAlign w:val="center"/>
            <w:hideMark/>
          </w:tcPr>
          <w:p w14:paraId="602310E9" w14:textId="292ADA30" w:rsidR="00A4491A" w:rsidRPr="00A4491A" w:rsidRDefault="00A4491A" w:rsidP="007A0CF6">
            <w:pPr>
              <w:spacing w:after="0" w:line="240" w:lineRule="auto"/>
              <w:jc w:val="center"/>
              <w:rPr>
                <w:rFonts w:ascii="Segoe UI" w:eastAsia="Times New Roman" w:hAnsi="Segoe UI" w:cs="Segoe UI"/>
                <w:b/>
                <w:bCs/>
                <w:color w:val="FFFFFF"/>
                <w:sz w:val="18"/>
                <w:szCs w:val="18"/>
                <w:lang w:eastAsia="pt-BR"/>
              </w:rPr>
            </w:pPr>
          </w:p>
        </w:tc>
        <w:tc>
          <w:tcPr>
            <w:tcW w:w="811" w:type="pct"/>
            <w:tcBorders>
              <w:top w:val="single" w:sz="4" w:space="0" w:color="FFFFFF"/>
              <w:left w:val="nil"/>
              <w:bottom w:val="single" w:sz="4" w:space="0" w:color="FFFFFF"/>
              <w:right w:val="nil"/>
            </w:tcBorders>
            <w:shd w:val="clear" w:color="000000" w:fill="1B80C4"/>
            <w:noWrap/>
            <w:vAlign w:val="center"/>
            <w:hideMark/>
          </w:tcPr>
          <w:p w14:paraId="3C4C989B" w14:textId="77777777" w:rsidR="00A4491A" w:rsidRPr="00A4491A" w:rsidRDefault="00A4491A" w:rsidP="007A0CF6">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31/12/2022</w:t>
            </w:r>
          </w:p>
        </w:tc>
      </w:tr>
      <w:tr w:rsidR="00A4491A" w:rsidRPr="00A4491A" w14:paraId="2DD390DA" w14:textId="77777777" w:rsidTr="00BC792D">
        <w:trPr>
          <w:trHeight w:val="240"/>
        </w:trPr>
        <w:tc>
          <w:tcPr>
            <w:tcW w:w="3265" w:type="pct"/>
            <w:tcBorders>
              <w:top w:val="nil"/>
              <w:left w:val="nil"/>
              <w:bottom w:val="nil"/>
              <w:right w:val="nil"/>
            </w:tcBorders>
            <w:shd w:val="clear" w:color="auto" w:fill="auto"/>
            <w:noWrap/>
            <w:vAlign w:val="center"/>
            <w:hideMark/>
          </w:tcPr>
          <w:p w14:paraId="1D396E39" w14:textId="77777777" w:rsidR="00A4491A" w:rsidRPr="00A4491A" w:rsidRDefault="00A4491A" w:rsidP="00A4491A">
            <w:pPr>
              <w:spacing w:after="0" w:line="240" w:lineRule="auto"/>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 xml:space="preserve"> Saldo inicial em 04 de janeiro de 2022 </w:t>
            </w:r>
          </w:p>
        </w:tc>
        <w:tc>
          <w:tcPr>
            <w:tcW w:w="811" w:type="pct"/>
            <w:tcBorders>
              <w:top w:val="nil"/>
              <w:left w:val="nil"/>
              <w:bottom w:val="nil"/>
              <w:right w:val="nil"/>
            </w:tcBorders>
            <w:shd w:val="clear" w:color="auto" w:fill="auto"/>
            <w:noWrap/>
            <w:vAlign w:val="center"/>
            <w:hideMark/>
          </w:tcPr>
          <w:p w14:paraId="3F463D2D" w14:textId="77777777" w:rsidR="00A4491A" w:rsidRPr="00A4491A" w:rsidRDefault="00A4491A" w:rsidP="00A4491A">
            <w:pPr>
              <w:spacing w:after="0" w:line="240" w:lineRule="auto"/>
              <w:jc w:val="right"/>
              <w:rPr>
                <w:rFonts w:ascii="Segoe UI" w:eastAsia="Times New Roman" w:hAnsi="Segoe UI" w:cs="Segoe UI"/>
                <w:b/>
                <w:bCs/>
                <w:color w:val="000000"/>
                <w:sz w:val="18"/>
                <w:szCs w:val="18"/>
                <w:lang w:eastAsia="pt-BR"/>
              </w:rPr>
            </w:pPr>
          </w:p>
        </w:tc>
        <w:tc>
          <w:tcPr>
            <w:tcW w:w="114" w:type="pct"/>
            <w:tcBorders>
              <w:top w:val="nil"/>
              <w:left w:val="nil"/>
              <w:bottom w:val="nil"/>
              <w:right w:val="nil"/>
            </w:tcBorders>
            <w:shd w:val="clear" w:color="auto" w:fill="auto"/>
            <w:noWrap/>
            <w:vAlign w:val="center"/>
            <w:hideMark/>
          </w:tcPr>
          <w:p w14:paraId="04A5B13B" w14:textId="77777777" w:rsidR="00A4491A" w:rsidRPr="00A4491A" w:rsidRDefault="00A4491A" w:rsidP="00A4491A">
            <w:pPr>
              <w:spacing w:after="0" w:line="240" w:lineRule="auto"/>
              <w:jc w:val="right"/>
              <w:rPr>
                <w:rFonts w:ascii="Times New Roman" w:eastAsia="Times New Roman" w:hAnsi="Times New Roman" w:cs="Times New Roman"/>
                <w:sz w:val="20"/>
                <w:szCs w:val="20"/>
                <w:lang w:eastAsia="pt-BR"/>
              </w:rPr>
            </w:pPr>
          </w:p>
        </w:tc>
        <w:tc>
          <w:tcPr>
            <w:tcW w:w="811" w:type="pct"/>
            <w:tcBorders>
              <w:top w:val="nil"/>
              <w:left w:val="nil"/>
              <w:bottom w:val="nil"/>
              <w:right w:val="nil"/>
            </w:tcBorders>
            <w:shd w:val="clear" w:color="auto" w:fill="auto"/>
            <w:noWrap/>
            <w:vAlign w:val="center"/>
            <w:hideMark/>
          </w:tcPr>
          <w:p w14:paraId="638CDBA7" w14:textId="77777777" w:rsidR="00A4491A" w:rsidRPr="00A4491A" w:rsidRDefault="00A4491A" w:rsidP="00A4491A">
            <w:pPr>
              <w:spacing w:after="0" w:line="240" w:lineRule="auto"/>
              <w:jc w:val="right"/>
              <w:rPr>
                <w:rFonts w:ascii="Times New Roman" w:eastAsia="Times New Roman" w:hAnsi="Times New Roman" w:cs="Times New Roman"/>
                <w:sz w:val="20"/>
                <w:szCs w:val="20"/>
                <w:lang w:eastAsia="pt-BR"/>
              </w:rPr>
            </w:pPr>
          </w:p>
        </w:tc>
      </w:tr>
      <w:tr w:rsidR="00A4491A" w:rsidRPr="00A4491A" w14:paraId="361BF5B9" w14:textId="77777777" w:rsidTr="00BC792D">
        <w:trPr>
          <w:trHeight w:val="240"/>
        </w:trPr>
        <w:tc>
          <w:tcPr>
            <w:tcW w:w="3265" w:type="pct"/>
            <w:tcBorders>
              <w:top w:val="nil"/>
              <w:left w:val="nil"/>
              <w:bottom w:val="nil"/>
              <w:right w:val="nil"/>
            </w:tcBorders>
            <w:shd w:val="clear" w:color="auto" w:fill="auto"/>
            <w:noWrap/>
            <w:vAlign w:val="center"/>
            <w:hideMark/>
          </w:tcPr>
          <w:p w14:paraId="2868C65A" w14:textId="77777777" w:rsidR="00A4491A" w:rsidRPr="00A4491A" w:rsidRDefault="00A4491A" w:rsidP="00A4491A">
            <w:pPr>
              <w:spacing w:after="0" w:line="240" w:lineRule="auto"/>
              <w:ind w:firstLineChars="100" w:firstLine="180"/>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 xml:space="preserve"> Aquisição de investimentos no exercício </w:t>
            </w:r>
          </w:p>
        </w:tc>
        <w:tc>
          <w:tcPr>
            <w:tcW w:w="811" w:type="pct"/>
            <w:tcBorders>
              <w:top w:val="nil"/>
              <w:left w:val="nil"/>
              <w:bottom w:val="nil"/>
              <w:right w:val="nil"/>
            </w:tcBorders>
            <w:shd w:val="clear" w:color="auto" w:fill="auto"/>
            <w:noWrap/>
            <w:vAlign w:val="center"/>
            <w:hideMark/>
          </w:tcPr>
          <w:p w14:paraId="568E254A" w14:textId="3E38E3B0"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4.474.313</w:t>
            </w:r>
          </w:p>
        </w:tc>
        <w:tc>
          <w:tcPr>
            <w:tcW w:w="114" w:type="pct"/>
            <w:tcBorders>
              <w:top w:val="nil"/>
              <w:left w:val="nil"/>
              <w:bottom w:val="nil"/>
              <w:right w:val="nil"/>
            </w:tcBorders>
            <w:shd w:val="clear" w:color="auto" w:fill="auto"/>
            <w:noWrap/>
            <w:vAlign w:val="center"/>
            <w:hideMark/>
          </w:tcPr>
          <w:p w14:paraId="2639635F" w14:textId="77777777"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p>
        </w:tc>
        <w:tc>
          <w:tcPr>
            <w:tcW w:w="811" w:type="pct"/>
            <w:tcBorders>
              <w:top w:val="nil"/>
              <w:left w:val="nil"/>
              <w:bottom w:val="nil"/>
              <w:right w:val="nil"/>
            </w:tcBorders>
            <w:shd w:val="clear" w:color="auto" w:fill="auto"/>
            <w:noWrap/>
            <w:vAlign w:val="center"/>
            <w:hideMark/>
          </w:tcPr>
          <w:p w14:paraId="02A6050A" w14:textId="53A7A284"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255.595</w:t>
            </w:r>
          </w:p>
        </w:tc>
      </w:tr>
      <w:tr w:rsidR="00A4491A" w:rsidRPr="00A4491A" w14:paraId="172A5324" w14:textId="77777777" w:rsidTr="00BC792D">
        <w:trPr>
          <w:trHeight w:val="240"/>
        </w:trPr>
        <w:tc>
          <w:tcPr>
            <w:tcW w:w="3265" w:type="pct"/>
            <w:tcBorders>
              <w:top w:val="nil"/>
              <w:left w:val="nil"/>
              <w:bottom w:val="nil"/>
              <w:right w:val="nil"/>
            </w:tcBorders>
            <w:shd w:val="clear" w:color="auto" w:fill="auto"/>
            <w:noWrap/>
            <w:vAlign w:val="center"/>
            <w:hideMark/>
          </w:tcPr>
          <w:p w14:paraId="69AE90AD" w14:textId="77777777" w:rsidR="00A4491A" w:rsidRPr="00A4491A" w:rsidRDefault="00A4491A" w:rsidP="00A4491A">
            <w:pPr>
              <w:spacing w:after="0" w:line="240" w:lineRule="auto"/>
              <w:ind w:firstLineChars="100" w:firstLine="180"/>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 xml:space="preserve"> Ágio por expectativa de rentabilidade futura </w:t>
            </w:r>
          </w:p>
        </w:tc>
        <w:tc>
          <w:tcPr>
            <w:tcW w:w="811" w:type="pct"/>
            <w:tcBorders>
              <w:top w:val="nil"/>
              <w:left w:val="nil"/>
              <w:bottom w:val="nil"/>
              <w:right w:val="nil"/>
            </w:tcBorders>
            <w:shd w:val="clear" w:color="auto" w:fill="auto"/>
            <w:noWrap/>
            <w:vAlign w:val="center"/>
            <w:hideMark/>
          </w:tcPr>
          <w:p w14:paraId="68F11EDA" w14:textId="1F84018E"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1.420.762</w:t>
            </w:r>
          </w:p>
        </w:tc>
        <w:tc>
          <w:tcPr>
            <w:tcW w:w="114" w:type="pct"/>
            <w:tcBorders>
              <w:top w:val="nil"/>
              <w:left w:val="nil"/>
              <w:bottom w:val="nil"/>
              <w:right w:val="nil"/>
            </w:tcBorders>
            <w:shd w:val="clear" w:color="auto" w:fill="auto"/>
            <w:noWrap/>
            <w:vAlign w:val="center"/>
            <w:hideMark/>
          </w:tcPr>
          <w:p w14:paraId="05398184" w14:textId="77777777"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p>
        </w:tc>
        <w:tc>
          <w:tcPr>
            <w:tcW w:w="811" w:type="pct"/>
            <w:tcBorders>
              <w:top w:val="nil"/>
              <w:left w:val="nil"/>
              <w:bottom w:val="nil"/>
              <w:right w:val="nil"/>
            </w:tcBorders>
            <w:shd w:val="clear" w:color="auto" w:fill="auto"/>
            <w:noWrap/>
            <w:vAlign w:val="center"/>
            <w:hideMark/>
          </w:tcPr>
          <w:p w14:paraId="0A2A6326" w14:textId="4440EF5A"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1.028.136</w:t>
            </w:r>
          </w:p>
        </w:tc>
      </w:tr>
      <w:tr w:rsidR="00A4491A" w:rsidRPr="00A4491A" w14:paraId="6B8C6F76" w14:textId="77777777" w:rsidTr="00BC792D">
        <w:trPr>
          <w:trHeight w:val="240"/>
        </w:trPr>
        <w:tc>
          <w:tcPr>
            <w:tcW w:w="3265" w:type="pct"/>
            <w:tcBorders>
              <w:top w:val="nil"/>
              <w:left w:val="nil"/>
              <w:bottom w:val="nil"/>
              <w:right w:val="nil"/>
            </w:tcBorders>
            <w:shd w:val="clear" w:color="auto" w:fill="auto"/>
            <w:noWrap/>
            <w:vAlign w:val="center"/>
            <w:hideMark/>
          </w:tcPr>
          <w:p w14:paraId="4DC4579B" w14:textId="77777777" w:rsidR="00A4491A" w:rsidRPr="00A4491A" w:rsidRDefault="00A4491A" w:rsidP="00A4491A">
            <w:pPr>
              <w:spacing w:after="0" w:line="240" w:lineRule="auto"/>
              <w:ind w:firstLineChars="100" w:firstLine="180"/>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 xml:space="preserve"> Variação cambial </w:t>
            </w:r>
          </w:p>
        </w:tc>
        <w:tc>
          <w:tcPr>
            <w:tcW w:w="811" w:type="pct"/>
            <w:tcBorders>
              <w:top w:val="nil"/>
              <w:left w:val="nil"/>
              <w:bottom w:val="nil"/>
              <w:right w:val="nil"/>
            </w:tcBorders>
            <w:shd w:val="clear" w:color="auto" w:fill="auto"/>
            <w:noWrap/>
            <w:vAlign w:val="center"/>
            <w:hideMark/>
          </w:tcPr>
          <w:p w14:paraId="0061B2C0" w14:textId="31C736CD"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5.539</w:t>
            </w:r>
          </w:p>
        </w:tc>
        <w:tc>
          <w:tcPr>
            <w:tcW w:w="114" w:type="pct"/>
            <w:tcBorders>
              <w:top w:val="nil"/>
              <w:left w:val="nil"/>
              <w:bottom w:val="nil"/>
              <w:right w:val="nil"/>
            </w:tcBorders>
            <w:shd w:val="clear" w:color="auto" w:fill="auto"/>
            <w:noWrap/>
            <w:vAlign w:val="center"/>
            <w:hideMark/>
          </w:tcPr>
          <w:p w14:paraId="3F131045" w14:textId="77777777"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p>
        </w:tc>
        <w:tc>
          <w:tcPr>
            <w:tcW w:w="811" w:type="pct"/>
            <w:tcBorders>
              <w:top w:val="nil"/>
              <w:left w:val="nil"/>
              <w:bottom w:val="nil"/>
              <w:right w:val="nil"/>
            </w:tcBorders>
            <w:shd w:val="clear" w:color="auto" w:fill="auto"/>
            <w:noWrap/>
            <w:vAlign w:val="center"/>
            <w:hideMark/>
          </w:tcPr>
          <w:p w14:paraId="5963FA76" w14:textId="4410BA49"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5.539</w:t>
            </w:r>
          </w:p>
        </w:tc>
      </w:tr>
      <w:tr w:rsidR="00A4491A" w:rsidRPr="00A4491A" w14:paraId="6E285315" w14:textId="77777777" w:rsidTr="00BC792D">
        <w:trPr>
          <w:trHeight w:val="240"/>
        </w:trPr>
        <w:tc>
          <w:tcPr>
            <w:tcW w:w="3265" w:type="pct"/>
            <w:tcBorders>
              <w:top w:val="nil"/>
              <w:left w:val="nil"/>
              <w:bottom w:val="nil"/>
              <w:right w:val="nil"/>
            </w:tcBorders>
            <w:shd w:val="clear" w:color="auto" w:fill="auto"/>
            <w:noWrap/>
            <w:vAlign w:val="center"/>
            <w:hideMark/>
          </w:tcPr>
          <w:p w14:paraId="22E589DC" w14:textId="77777777" w:rsidR="00A4491A" w:rsidRPr="00A4491A" w:rsidRDefault="00A4491A" w:rsidP="00A4491A">
            <w:pPr>
              <w:spacing w:after="0" w:line="240" w:lineRule="auto"/>
              <w:ind w:firstLineChars="100" w:firstLine="180"/>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 xml:space="preserve"> Resultado de equivalência patrimonial </w:t>
            </w:r>
          </w:p>
        </w:tc>
        <w:tc>
          <w:tcPr>
            <w:tcW w:w="811" w:type="pct"/>
            <w:tcBorders>
              <w:top w:val="nil"/>
              <w:left w:val="nil"/>
              <w:bottom w:val="nil"/>
              <w:right w:val="nil"/>
            </w:tcBorders>
            <w:shd w:val="clear" w:color="auto" w:fill="auto"/>
            <w:noWrap/>
            <w:vAlign w:val="center"/>
            <w:hideMark/>
          </w:tcPr>
          <w:p w14:paraId="5AE67857" w14:textId="5B68546C" w:rsidR="00A4491A" w:rsidRPr="00A4491A" w:rsidRDefault="00BC792D" w:rsidP="00A4491A">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266.681</w:t>
            </w:r>
          </w:p>
        </w:tc>
        <w:tc>
          <w:tcPr>
            <w:tcW w:w="114" w:type="pct"/>
            <w:tcBorders>
              <w:top w:val="nil"/>
              <w:left w:val="nil"/>
              <w:bottom w:val="nil"/>
              <w:right w:val="nil"/>
            </w:tcBorders>
            <w:shd w:val="clear" w:color="auto" w:fill="auto"/>
            <w:noWrap/>
            <w:vAlign w:val="center"/>
            <w:hideMark/>
          </w:tcPr>
          <w:p w14:paraId="56A37D04" w14:textId="77777777"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p>
        </w:tc>
        <w:tc>
          <w:tcPr>
            <w:tcW w:w="811" w:type="pct"/>
            <w:tcBorders>
              <w:top w:val="nil"/>
              <w:left w:val="nil"/>
              <w:bottom w:val="nil"/>
              <w:right w:val="nil"/>
            </w:tcBorders>
            <w:shd w:val="clear" w:color="auto" w:fill="auto"/>
            <w:noWrap/>
            <w:vAlign w:val="center"/>
            <w:hideMark/>
          </w:tcPr>
          <w:p w14:paraId="58FFF35E" w14:textId="28F5C7AB" w:rsidR="00A4491A" w:rsidRPr="00A4491A" w:rsidRDefault="00BC792D" w:rsidP="00A4491A">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31.136</w:t>
            </w:r>
          </w:p>
        </w:tc>
      </w:tr>
      <w:tr w:rsidR="00A4491A" w:rsidRPr="00A4491A" w14:paraId="0F06FB6C" w14:textId="77777777" w:rsidTr="00BC792D">
        <w:trPr>
          <w:trHeight w:val="240"/>
        </w:trPr>
        <w:tc>
          <w:tcPr>
            <w:tcW w:w="3265" w:type="pct"/>
            <w:tcBorders>
              <w:top w:val="nil"/>
              <w:left w:val="nil"/>
              <w:bottom w:val="nil"/>
              <w:right w:val="nil"/>
            </w:tcBorders>
            <w:shd w:val="clear" w:color="auto" w:fill="auto"/>
            <w:noWrap/>
            <w:vAlign w:val="center"/>
            <w:hideMark/>
          </w:tcPr>
          <w:p w14:paraId="1C084916" w14:textId="77777777" w:rsidR="00A4491A" w:rsidRPr="00A4491A" w:rsidRDefault="00A4491A" w:rsidP="00A4491A">
            <w:pPr>
              <w:spacing w:after="0" w:line="240" w:lineRule="auto"/>
              <w:ind w:firstLineChars="100" w:firstLine="180"/>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 xml:space="preserve"> Compra Vantajosa </w:t>
            </w:r>
          </w:p>
        </w:tc>
        <w:tc>
          <w:tcPr>
            <w:tcW w:w="811" w:type="pct"/>
            <w:tcBorders>
              <w:top w:val="nil"/>
              <w:left w:val="nil"/>
              <w:bottom w:val="nil"/>
              <w:right w:val="nil"/>
            </w:tcBorders>
            <w:shd w:val="clear" w:color="auto" w:fill="auto"/>
            <w:noWrap/>
            <w:vAlign w:val="center"/>
            <w:hideMark/>
          </w:tcPr>
          <w:p w14:paraId="04E89F99" w14:textId="56F07DED"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88.510</w:t>
            </w:r>
          </w:p>
        </w:tc>
        <w:tc>
          <w:tcPr>
            <w:tcW w:w="114" w:type="pct"/>
            <w:tcBorders>
              <w:top w:val="nil"/>
              <w:left w:val="nil"/>
              <w:bottom w:val="nil"/>
              <w:right w:val="nil"/>
            </w:tcBorders>
            <w:shd w:val="clear" w:color="auto" w:fill="auto"/>
            <w:noWrap/>
            <w:vAlign w:val="center"/>
            <w:hideMark/>
          </w:tcPr>
          <w:p w14:paraId="6B3F5273" w14:textId="77777777" w:rsidR="00A4491A" w:rsidRPr="00A4491A" w:rsidRDefault="00A4491A" w:rsidP="00A4491A">
            <w:pPr>
              <w:spacing w:after="0" w:line="240" w:lineRule="auto"/>
              <w:jc w:val="right"/>
              <w:rPr>
                <w:rFonts w:ascii="Segoe UI" w:eastAsia="Times New Roman" w:hAnsi="Segoe UI" w:cs="Segoe UI"/>
                <w:color w:val="000000"/>
                <w:sz w:val="18"/>
                <w:szCs w:val="18"/>
                <w:lang w:eastAsia="pt-BR"/>
              </w:rPr>
            </w:pPr>
          </w:p>
        </w:tc>
        <w:tc>
          <w:tcPr>
            <w:tcW w:w="811" w:type="pct"/>
            <w:tcBorders>
              <w:top w:val="nil"/>
              <w:left w:val="nil"/>
              <w:bottom w:val="nil"/>
              <w:right w:val="nil"/>
            </w:tcBorders>
            <w:shd w:val="clear" w:color="auto" w:fill="auto"/>
            <w:noWrap/>
            <w:vAlign w:val="center"/>
            <w:hideMark/>
          </w:tcPr>
          <w:p w14:paraId="774AE382" w14:textId="0627C211" w:rsidR="00A4491A" w:rsidRPr="00A4491A" w:rsidRDefault="00A4491A" w:rsidP="00A4491A">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r>
      <w:tr w:rsidR="00A4491A" w:rsidRPr="00A4491A" w14:paraId="0C2A40DC" w14:textId="77777777" w:rsidTr="00BC792D">
        <w:trPr>
          <w:trHeight w:val="255"/>
        </w:trPr>
        <w:tc>
          <w:tcPr>
            <w:tcW w:w="3265" w:type="pct"/>
            <w:tcBorders>
              <w:top w:val="nil"/>
              <w:left w:val="nil"/>
              <w:bottom w:val="nil"/>
              <w:right w:val="nil"/>
            </w:tcBorders>
            <w:shd w:val="clear" w:color="auto" w:fill="auto"/>
            <w:noWrap/>
            <w:vAlign w:val="center"/>
            <w:hideMark/>
          </w:tcPr>
          <w:p w14:paraId="19E82831" w14:textId="77777777" w:rsidR="00A4491A" w:rsidRPr="00A4491A" w:rsidRDefault="00A4491A" w:rsidP="00A4491A">
            <w:pPr>
              <w:spacing w:after="0" w:line="240" w:lineRule="auto"/>
              <w:jc w:val="right"/>
              <w:rPr>
                <w:rFonts w:ascii="Times New Roman" w:eastAsia="Times New Roman" w:hAnsi="Times New Roman" w:cs="Times New Roman"/>
                <w:sz w:val="20"/>
                <w:szCs w:val="20"/>
                <w:lang w:eastAsia="pt-BR"/>
              </w:rPr>
            </w:pPr>
          </w:p>
        </w:tc>
        <w:tc>
          <w:tcPr>
            <w:tcW w:w="811" w:type="pct"/>
            <w:tcBorders>
              <w:top w:val="single" w:sz="4" w:space="0" w:color="1B80C4"/>
              <w:left w:val="nil"/>
              <w:bottom w:val="double" w:sz="6" w:space="0" w:color="1B80C4"/>
              <w:right w:val="nil"/>
            </w:tcBorders>
            <w:shd w:val="clear" w:color="auto" w:fill="auto"/>
            <w:noWrap/>
            <w:vAlign w:val="center"/>
            <w:hideMark/>
          </w:tcPr>
          <w:p w14:paraId="7A5A9DFD" w14:textId="6F6A5EF4" w:rsidR="00A4491A" w:rsidRPr="00A4491A" w:rsidRDefault="00A4491A" w:rsidP="00A4491A">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6.255.805</w:t>
            </w:r>
          </w:p>
        </w:tc>
        <w:tc>
          <w:tcPr>
            <w:tcW w:w="114" w:type="pct"/>
            <w:tcBorders>
              <w:top w:val="nil"/>
              <w:left w:val="nil"/>
              <w:bottom w:val="nil"/>
              <w:right w:val="nil"/>
            </w:tcBorders>
            <w:shd w:val="clear" w:color="auto" w:fill="auto"/>
            <w:noWrap/>
            <w:vAlign w:val="bottom"/>
            <w:hideMark/>
          </w:tcPr>
          <w:p w14:paraId="016BE9FA" w14:textId="77777777" w:rsidR="00A4491A" w:rsidRPr="00A4491A" w:rsidRDefault="00A4491A" w:rsidP="00A4491A">
            <w:pPr>
              <w:spacing w:after="0" w:line="240" w:lineRule="auto"/>
              <w:jc w:val="right"/>
              <w:rPr>
                <w:rFonts w:ascii="Segoe UI" w:eastAsia="Times New Roman" w:hAnsi="Segoe UI" w:cs="Segoe UI"/>
                <w:b/>
                <w:bCs/>
                <w:color w:val="000000"/>
                <w:sz w:val="18"/>
                <w:szCs w:val="18"/>
                <w:lang w:eastAsia="pt-BR"/>
              </w:rPr>
            </w:pPr>
          </w:p>
        </w:tc>
        <w:tc>
          <w:tcPr>
            <w:tcW w:w="811" w:type="pct"/>
            <w:tcBorders>
              <w:top w:val="single" w:sz="4" w:space="0" w:color="1B80C4"/>
              <w:left w:val="nil"/>
              <w:bottom w:val="double" w:sz="6" w:space="0" w:color="1B80C4"/>
              <w:right w:val="nil"/>
            </w:tcBorders>
            <w:shd w:val="clear" w:color="auto" w:fill="auto"/>
            <w:noWrap/>
            <w:vAlign w:val="center"/>
            <w:hideMark/>
          </w:tcPr>
          <w:p w14:paraId="23FBC110" w14:textId="317F9299" w:rsidR="00A4491A" w:rsidRPr="00A4491A" w:rsidRDefault="00A4491A" w:rsidP="00A4491A">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1.320.406</w:t>
            </w:r>
          </w:p>
        </w:tc>
      </w:tr>
    </w:tbl>
    <w:p w14:paraId="0235DBF5" w14:textId="40E035D3" w:rsidR="00D907EC" w:rsidRDefault="00D907EC" w:rsidP="00C871E0">
      <w:pPr>
        <w:jc w:val="both"/>
        <w:rPr>
          <w:rFonts w:ascii="Segoe UI" w:hAnsi="Segoe UI" w:cs="Segoe UI"/>
          <w:b/>
          <w:bdr w:val="nil"/>
        </w:rPr>
      </w:pPr>
    </w:p>
    <w:p w14:paraId="747DA8B4" w14:textId="77777777" w:rsidR="002C19C5" w:rsidRDefault="002C19C5" w:rsidP="00C871E0">
      <w:pPr>
        <w:jc w:val="both"/>
        <w:rPr>
          <w:rFonts w:ascii="Segoe UI" w:hAnsi="Segoe UI" w:cs="Segoe UI"/>
          <w:b/>
          <w:bdr w:val="nil"/>
        </w:rPr>
      </w:pPr>
    </w:p>
    <w:tbl>
      <w:tblPr>
        <w:tblW w:w="5396" w:type="pct"/>
        <w:tblInd w:w="-709" w:type="dxa"/>
        <w:tblCellMar>
          <w:left w:w="70" w:type="dxa"/>
          <w:right w:w="70" w:type="dxa"/>
        </w:tblCellMar>
        <w:tblLook w:val="04A0" w:firstRow="1" w:lastRow="0" w:firstColumn="1" w:lastColumn="0" w:noHBand="0" w:noVBand="1"/>
      </w:tblPr>
      <w:tblGrid>
        <w:gridCol w:w="2966"/>
        <w:gridCol w:w="978"/>
        <w:gridCol w:w="1070"/>
        <w:gridCol w:w="1246"/>
        <w:gridCol w:w="984"/>
        <w:gridCol w:w="883"/>
        <w:gridCol w:w="978"/>
        <w:gridCol w:w="1144"/>
      </w:tblGrid>
      <w:tr w:rsidR="00FF0BFE" w:rsidRPr="00A4491A" w14:paraId="6034D50F" w14:textId="77777777" w:rsidTr="00FB7532">
        <w:trPr>
          <w:trHeight w:val="300"/>
        </w:trPr>
        <w:tc>
          <w:tcPr>
            <w:tcW w:w="1447" w:type="pct"/>
            <w:tcBorders>
              <w:top w:val="nil"/>
              <w:left w:val="nil"/>
              <w:bottom w:val="nil"/>
              <w:right w:val="nil"/>
            </w:tcBorders>
            <w:shd w:val="clear" w:color="auto" w:fill="auto"/>
            <w:noWrap/>
            <w:vAlign w:val="bottom"/>
            <w:hideMark/>
          </w:tcPr>
          <w:p w14:paraId="375B943F"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477" w:type="pct"/>
            <w:vMerge w:val="restart"/>
            <w:tcBorders>
              <w:top w:val="nil"/>
              <w:left w:val="single" w:sz="4" w:space="0" w:color="FFFFFF"/>
              <w:bottom w:val="nil"/>
              <w:right w:val="single" w:sz="4" w:space="0" w:color="FFFFFF"/>
            </w:tcBorders>
            <w:shd w:val="clear" w:color="000000" w:fill="1B80C4"/>
            <w:vAlign w:val="center"/>
            <w:hideMark/>
          </w:tcPr>
          <w:p w14:paraId="7EFCD9F9" w14:textId="77777777"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 xml:space="preserve"> Aquisição </w:t>
            </w:r>
          </w:p>
        </w:tc>
        <w:tc>
          <w:tcPr>
            <w:tcW w:w="1130" w:type="pct"/>
            <w:gridSpan w:val="2"/>
            <w:tcBorders>
              <w:top w:val="nil"/>
              <w:left w:val="nil"/>
              <w:bottom w:val="single" w:sz="4" w:space="0" w:color="FFFFFF"/>
              <w:right w:val="single" w:sz="4" w:space="0" w:color="FFFFFF"/>
            </w:tcBorders>
            <w:shd w:val="clear" w:color="000000" w:fill="1B80C4"/>
            <w:noWrap/>
            <w:vAlign w:val="bottom"/>
            <w:hideMark/>
          </w:tcPr>
          <w:p w14:paraId="45430F8E" w14:textId="480EB548"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 xml:space="preserve"> Equivalência </w:t>
            </w:r>
            <w:r w:rsidR="00240EB3">
              <w:rPr>
                <w:rFonts w:ascii="Segoe UI" w:eastAsia="Times New Roman" w:hAnsi="Segoe UI" w:cs="Segoe UI"/>
                <w:b/>
                <w:bCs/>
                <w:color w:val="FFFFFF"/>
                <w:sz w:val="18"/>
                <w:szCs w:val="18"/>
                <w:lang w:eastAsia="pt-BR"/>
              </w:rPr>
              <w:t>p</w:t>
            </w:r>
            <w:r w:rsidRPr="00A4491A">
              <w:rPr>
                <w:rFonts w:ascii="Segoe UI" w:eastAsia="Times New Roman" w:hAnsi="Segoe UI" w:cs="Segoe UI"/>
                <w:b/>
                <w:bCs/>
                <w:color w:val="FFFFFF"/>
                <w:sz w:val="18"/>
                <w:szCs w:val="18"/>
                <w:lang w:eastAsia="pt-BR"/>
              </w:rPr>
              <w:t xml:space="preserve">atrimonial </w:t>
            </w:r>
          </w:p>
        </w:tc>
        <w:tc>
          <w:tcPr>
            <w:tcW w:w="480" w:type="pct"/>
            <w:vMerge w:val="restart"/>
            <w:tcBorders>
              <w:top w:val="nil"/>
              <w:left w:val="single" w:sz="4" w:space="0" w:color="FFFFFF"/>
              <w:bottom w:val="nil"/>
              <w:right w:val="single" w:sz="4" w:space="0" w:color="FFFFFF"/>
            </w:tcBorders>
            <w:shd w:val="clear" w:color="000000" w:fill="1B80C4"/>
            <w:vAlign w:val="center"/>
            <w:hideMark/>
          </w:tcPr>
          <w:p w14:paraId="38B89C38" w14:textId="774D557B"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 xml:space="preserve"> Compra </w:t>
            </w:r>
            <w:r w:rsidR="00240EB3">
              <w:rPr>
                <w:rFonts w:ascii="Segoe UI" w:eastAsia="Times New Roman" w:hAnsi="Segoe UI" w:cs="Segoe UI"/>
                <w:b/>
                <w:bCs/>
                <w:color w:val="FFFFFF"/>
                <w:sz w:val="18"/>
                <w:szCs w:val="18"/>
                <w:lang w:eastAsia="pt-BR"/>
              </w:rPr>
              <w:t>v</w:t>
            </w:r>
            <w:r w:rsidRPr="00A4491A">
              <w:rPr>
                <w:rFonts w:ascii="Segoe UI" w:eastAsia="Times New Roman" w:hAnsi="Segoe UI" w:cs="Segoe UI"/>
                <w:b/>
                <w:bCs/>
                <w:color w:val="FFFFFF"/>
                <w:sz w:val="18"/>
                <w:szCs w:val="18"/>
                <w:lang w:eastAsia="pt-BR"/>
              </w:rPr>
              <w:t xml:space="preserve">antajosa </w:t>
            </w:r>
          </w:p>
        </w:tc>
        <w:tc>
          <w:tcPr>
            <w:tcW w:w="431" w:type="pct"/>
            <w:vMerge w:val="restart"/>
            <w:tcBorders>
              <w:top w:val="nil"/>
              <w:left w:val="single" w:sz="4" w:space="0" w:color="FFFFFF"/>
              <w:bottom w:val="nil"/>
              <w:right w:val="single" w:sz="4" w:space="0" w:color="FFFFFF"/>
            </w:tcBorders>
            <w:shd w:val="clear" w:color="000000" w:fill="1B80C4"/>
            <w:vAlign w:val="center"/>
            <w:hideMark/>
          </w:tcPr>
          <w:p w14:paraId="1D4DDDD2" w14:textId="6CD55714"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 xml:space="preserve"> Variação </w:t>
            </w:r>
            <w:r w:rsidR="00240EB3">
              <w:rPr>
                <w:rFonts w:ascii="Segoe UI" w:eastAsia="Times New Roman" w:hAnsi="Segoe UI" w:cs="Segoe UI"/>
                <w:b/>
                <w:bCs/>
                <w:color w:val="FFFFFF"/>
                <w:sz w:val="18"/>
                <w:szCs w:val="18"/>
                <w:lang w:eastAsia="pt-BR"/>
              </w:rPr>
              <w:t>c</w:t>
            </w:r>
            <w:r w:rsidRPr="00A4491A">
              <w:rPr>
                <w:rFonts w:ascii="Segoe UI" w:eastAsia="Times New Roman" w:hAnsi="Segoe UI" w:cs="Segoe UI"/>
                <w:b/>
                <w:bCs/>
                <w:color w:val="FFFFFF"/>
                <w:sz w:val="18"/>
                <w:szCs w:val="18"/>
                <w:lang w:eastAsia="pt-BR"/>
              </w:rPr>
              <w:t xml:space="preserve">ambial </w:t>
            </w:r>
          </w:p>
        </w:tc>
        <w:tc>
          <w:tcPr>
            <w:tcW w:w="477" w:type="pct"/>
            <w:vMerge w:val="restart"/>
            <w:tcBorders>
              <w:top w:val="nil"/>
              <w:left w:val="single" w:sz="4" w:space="0" w:color="FFFFFF"/>
              <w:bottom w:val="nil"/>
              <w:right w:val="single" w:sz="4" w:space="0" w:color="FFFFFF"/>
            </w:tcBorders>
            <w:shd w:val="clear" w:color="000000" w:fill="1B80C4"/>
            <w:vAlign w:val="center"/>
            <w:hideMark/>
          </w:tcPr>
          <w:p w14:paraId="4F439416" w14:textId="77777777"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 xml:space="preserve"> Ágio </w:t>
            </w:r>
          </w:p>
        </w:tc>
        <w:tc>
          <w:tcPr>
            <w:tcW w:w="559" w:type="pct"/>
            <w:vMerge w:val="restart"/>
            <w:tcBorders>
              <w:top w:val="nil"/>
              <w:left w:val="single" w:sz="4" w:space="0" w:color="FFFFFF"/>
              <w:bottom w:val="nil"/>
              <w:right w:val="nil"/>
            </w:tcBorders>
            <w:shd w:val="clear" w:color="000000" w:fill="1B80C4"/>
            <w:vAlign w:val="center"/>
            <w:hideMark/>
          </w:tcPr>
          <w:p w14:paraId="6E94DED0" w14:textId="77777777"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31/12/2022</w:t>
            </w:r>
          </w:p>
        </w:tc>
      </w:tr>
      <w:tr w:rsidR="00FF0BFE" w:rsidRPr="00A4491A" w14:paraId="1522C3A6" w14:textId="77777777" w:rsidTr="00BC792D">
        <w:trPr>
          <w:trHeight w:val="465"/>
        </w:trPr>
        <w:tc>
          <w:tcPr>
            <w:tcW w:w="1447" w:type="pct"/>
            <w:tcBorders>
              <w:top w:val="nil"/>
              <w:left w:val="nil"/>
              <w:bottom w:val="nil"/>
              <w:right w:val="nil"/>
            </w:tcBorders>
            <w:shd w:val="clear" w:color="auto" w:fill="auto"/>
            <w:noWrap/>
            <w:vAlign w:val="bottom"/>
            <w:hideMark/>
          </w:tcPr>
          <w:p w14:paraId="65DE9842" w14:textId="77777777"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p>
        </w:tc>
        <w:tc>
          <w:tcPr>
            <w:tcW w:w="477" w:type="pct"/>
            <w:vMerge/>
            <w:tcBorders>
              <w:top w:val="nil"/>
              <w:left w:val="single" w:sz="4" w:space="0" w:color="FFFFFF"/>
              <w:bottom w:val="nil"/>
              <w:right w:val="single" w:sz="4" w:space="0" w:color="FFFFFF"/>
            </w:tcBorders>
            <w:vAlign w:val="center"/>
            <w:hideMark/>
          </w:tcPr>
          <w:p w14:paraId="0D4AC028" w14:textId="77777777" w:rsidR="00FB7532" w:rsidRPr="00A4491A" w:rsidRDefault="00FB7532" w:rsidP="00A4491A">
            <w:pPr>
              <w:spacing w:after="0" w:line="240" w:lineRule="auto"/>
              <w:rPr>
                <w:rFonts w:ascii="Segoe UI" w:eastAsia="Times New Roman" w:hAnsi="Segoe UI" w:cs="Segoe UI"/>
                <w:b/>
                <w:bCs/>
                <w:color w:val="FFFFFF"/>
                <w:sz w:val="18"/>
                <w:szCs w:val="18"/>
                <w:lang w:eastAsia="pt-BR"/>
              </w:rPr>
            </w:pPr>
          </w:p>
        </w:tc>
        <w:tc>
          <w:tcPr>
            <w:tcW w:w="522" w:type="pct"/>
            <w:tcBorders>
              <w:top w:val="nil"/>
              <w:left w:val="nil"/>
              <w:bottom w:val="nil"/>
              <w:right w:val="single" w:sz="4" w:space="0" w:color="FFFFFF"/>
            </w:tcBorders>
            <w:shd w:val="clear" w:color="000000" w:fill="1B80C4"/>
            <w:vAlign w:val="center"/>
            <w:hideMark/>
          </w:tcPr>
          <w:p w14:paraId="07BA6EB7" w14:textId="4F7A7CCC"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 xml:space="preserve"> Resultado do </w:t>
            </w:r>
            <w:r w:rsidR="00240EB3">
              <w:rPr>
                <w:rFonts w:ascii="Segoe UI" w:eastAsia="Times New Roman" w:hAnsi="Segoe UI" w:cs="Segoe UI"/>
                <w:b/>
                <w:bCs/>
                <w:color w:val="FFFFFF"/>
                <w:sz w:val="18"/>
                <w:szCs w:val="18"/>
                <w:lang w:eastAsia="pt-BR"/>
              </w:rPr>
              <w:t>e</w:t>
            </w:r>
            <w:r w:rsidRPr="00A4491A">
              <w:rPr>
                <w:rFonts w:ascii="Segoe UI" w:eastAsia="Times New Roman" w:hAnsi="Segoe UI" w:cs="Segoe UI"/>
                <w:b/>
                <w:bCs/>
                <w:color w:val="FFFFFF"/>
                <w:sz w:val="18"/>
                <w:szCs w:val="18"/>
                <w:lang w:eastAsia="pt-BR"/>
              </w:rPr>
              <w:t xml:space="preserve">xercício </w:t>
            </w:r>
          </w:p>
        </w:tc>
        <w:tc>
          <w:tcPr>
            <w:tcW w:w="607" w:type="pct"/>
            <w:tcBorders>
              <w:top w:val="nil"/>
              <w:left w:val="nil"/>
              <w:bottom w:val="nil"/>
              <w:right w:val="single" w:sz="4" w:space="0" w:color="FFFFFF"/>
            </w:tcBorders>
            <w:shd w:val="clear" w:color="000000" w:fill="1B80C4"/>
            <w:vAlign w:val="center"/>
            <w:hideMark/>
          </w:tcPr>
          <w:p w14:paraId="16360E17" w14:textId="2912728E" w:rsidR="00FB7532" w:rsidRPr="00A4491A" w:rsidRDefault="00FB7532" w:rsidP="00A4491A">
            <w:pPr>
              <w:spacing w:after="0" w:line="240" w:lineRule="auto"/>
              <w:jc w:val="center"/>
              <w:rPr>
                <w:rFonts w:ascii="Segoe UI" w:eastAsia="Times New Roman" w:hAnsi="Segoe UI" w:cs="Segoe UI"/>
                <w:b/>
                <w:bCs/>
                <w:color w:val="FFFFFF"/>
                <w:sz w:val="18"/>
                <w:szCs w:val="18"/>
                <w:lang w:eastAsia="pt-BR"/>
              </w:rPr>
            </w:pPr>
            <w:r w:rsidRPr="00A4491A">
              <w:rPr>
                <w:rFonts w:ascii="Segoe UI" w:eastAsia="Times New Roman" w:hAnsi="Segoe UI" w:cs="Segoe UI"/>
                <w:b/>
                <w:bCs/>
                <w:color w:val="FFFFFF"/>
                <w:sz w:val="18"/>
                <w:szCs w:val="18"/>
                <w:lang w:eastAsia="pt-BR"/>
              </w:rPr>
              <w:t xml:space="preserve"> Resultados </w:t>
            </w:r>
            <w:r w:rsidR="00240EB3">
              <w:rPr>
                <w:rFonts w:ascii="Segoe UI" w:eastAsia="Times New Roman" w:hAnsi="Segoe UI" w:cs="Segoe UI"/>
                <w:b/>
                <w:bCs/>
                <w:color w:val="FFFFFF"/>
                <w:sz w:val="18"/>
                <w:szCs w:val="18"/>
                <w:lang w:eastAsia="pt-BR"/>
              </w:rPr>
              <w:t>a</w:t>
            </w:r>
            <w:r w:rsidRPr="00A4491A">
              <w:rPr>
                <w:rFonts w:ascii="Segoe UI" w:eastAsia="Times New Roman" w:hAnsi="Segoe UI" w:cs="Segoe UI"/>
                <w:b/>
                <w:bCs/>
                <w:color w:val="FFFFFF"/>
                <w:sz w:val="18"/>
                <w:szCs w:val="18"/>
                <w:lang w:eastAsia="pt-BR"/>
              </w:rPr>
              <w:t xml:space="preserve">brangentes </w:t>
            </w:r>
          </w:p>
        </w:tc>
        <w:tc>
          <w:tcPr>
            <w:tcW w:w="480" w:type="pct"/>
            <w:vMerge/>
            <w:tcBorders>
              <w:top w:val="nil"/>
              <w:left w:val="single" w:sz="4" w:space="0" w:color="FFFFFF"/>
              <w:bottom w:val="nil"/>
              <w:right w:val="single" w:sz="4" w:space="0" w:color="FFFFFF"/>
            </w:tcBorders>
            <w:vAlign w:val="center"/>
            <w:hideMark/>
          </w:tcPr>
          <w:p w14:paraId="32C75742" w14:textId="77777777" w:rsidR="00FB7532" w:rsidRPr="00A4491A" w:rsidRDefault="00FB7532" w:rsidP="00A4491A">
            <w:pPr>
              <w:spacing w:after="0" w:line="240" w:lineRule="auto"/>
              <w:rPr>
                <w:rFonts w:ascii="Segoe UI" w:eastAsia="Times New Roman" w:hAnsi="Segoe UI" w:cs="Segoe UI"/>
                <w:b/>
                <w:bCs/>
                <w:color w:val="FFFFFF"/>
                <w:sz w:val="18"/>
                <w:szCs w:val="18"/>
                <w:lang w:eastAsia="pt-BR"/>
              </w:rPr>
            </w:pPr>
          </w:p>
        </w:tc>
        <w:tc>
          <w:tcPr>
            <w:tcW w:w="431" w:type="pct"/>
            <w:vMerge/>
            <w:tcBorders>
              <w:top w:val="nil"/>
              <w:left w:val="single" w:sz="4" w:space="0" w:color="FFFFFF"/>
              <w:bottom w:val="nil"/>
              <w:right w:val="single" w:sz="4" w:space="0" w:color="FFFFFF"/>
            </w:tcBorders>
            <w:vAlign w:val="center"/>
            <w:hideMark/>
          </w:tcPr>
          <w:p w14:paraId="246B3CB8" w14:textId="77777777" w:rsidR="00FB7532" w:rsidRPr="00A4491A" w:rsidRDefault="00FB7532" w:rsidP="00A4491A">
            <w:pPr>
              <w:spacing w:after="0" w:line="240" w:lineRule="auto"/>
              <w:rPr>
                <w:rFonts w:ascii="Segoe UI" w:eastAsia="Times New Roman" w:hAnsi="Segoe UI" w:cs="Segoe UI"/>
                <w:b/>
                <w:bCs/>
                <w:color w:val="FFFFFF"/>
                <w:sz w:val="18"/>
                <w:szCs w:val="18"/>
                <w:lang w:eastAsia="pt-BR"/>
              </w:rPr>
            </w:pPr>
          </w:p>
        </w:tc>
        <w:tc>
          <w:tcPr>
            <w:tcW w:w="477" w:type="pct"/>
            <w:vMerge/>
            <w:tcBorders>
              <w:top w:val="nil"/>
              <w:left w:val="single" w:sz="4" w:space="0" w:color="FFFFFF"/>
              <w:bottom w:val="nil"/>
              <w:right w:val="single" w:sz="4" w:space="0" w:color="FFFFFF"/>
            </w:tcBorders>
            <w:vAlign w:val="center"/>
            <w:hideMark/>
          </w:tcPr>
          <w:p w14:paraId="41052C18" w14:textId="77777777" w:rsidR="00FB7532" w:rsidRPr="00A4491A" w:rsidRDefault="00FB7532" w:rsidP="00A4491A">
            <w:pPr>
              <w:spacing w:after="0" w:line="240" w:lineRule="auto"/>
              <w:rPr>
                <w:rFonts w:ascii="Segoe UI" w:eastAsia="Times New Roman" w:hAnsi="Segoe UI" w:cs="Segoe UI"/>
                <w:b/>
                <w:bCs/>
                <w:color w:val="FFFFFF"/>
                <w:sz w:val="18"/>
                <w:szCs w:val="18"/>
                <w:lang w:eastAsia="pt-BR"/>
              </w:rPr>
            </w:pPr>
          </w:p>
        </w:tc>
        <w:tc>
          <w:tcPr>
            <w:tcW w:w="559" w:type="pct"/>
            <w:vMerge/>
            <w:tcBorders>
              <w:top w:val="nil"/>
              <w:left w:val="single" w:sz="4" w:space="0" w:color="FFFFFF"/>
              <w:bottom w:val="nil"/>
              <w:right w:val="nil"/>
            </w:tcBorders>
            <w:vAlign w:val="center"/>
            <w:hideMark/>
          </w:tcPr>
          <w:p w14:paraId="7E7978F8" w14:textId="77777777" w:rsidR="00FB7532" w:rsidRPr="00A4491A" w:rsidRDefault="00FB7532" w:rsidP="00A4491A">
            <w:pPr>
              <w:spacing w:after="0" w:line="240" w:lineRule="auto"/>
              <w:rPr>
                <w:rFonts w:ascii="Segoe UI" w:eastAsia="Times New Roman" w:hAnsi="Segoe UI" w:cs="Segoe UI"/>
                <w:b/>
                <w:bCs/>
                <w:color w:val="FFFFFF"/>
                <w:sz w:val="18"/>
                <w:szCs w:val="18"/>
                <w:lang w:eastAsia="pt-BR"/>
              </w:rPr>
            </w:pPr>
          </w:p>
        </w:tc>
      </w:tr>
      <w:tr w:rsidR="00FB7532" w:rsidRPr="00A4491A" w14:paraId="08B3AD42" w14:textId="77777777" w:rsidTr="00BC792D">
        <w:trPr>
          <w:trHeight w:val="240"/>
        </w:trPr>
        <w:tc>
          <w:tcPr>
            <w:tcW w:w="1447" w:type="pct"/>
            <w:tcBorders>
              <w:top w:val="nil"/>
              <w:left w:val="nil"/>
              <w:bottom w:val="nil"/>
              <w:right w:val="nil"/>
            </w:tcBorders>
            <w:shd w:val="clear" w:color="auto" w:fill="auto"/>
            <w:noWrap/>
            <w:vAlign w:val="bottom"/>
            <w:hideMark/>
          </w:tcPr>
          <w:p w14:paraId="71B86D07" w14:textId="77777777" w:rsidR="00FB7532" w:rsidRPr="00A4491A" w:rsidRDefault="00FB7532" w:rsidP="00A4491A">
            <w:pPr>
              <w:spacing w:after="0" w:line="240" w:lineRule="auto"/>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 xml:space="preserve"> Controladas </w:t>
            </w:r>
          </w:p>
        </w:tc>
        <w:tc>
          <w:tcPr>
            <w:tcW w:w="477" w:type="pct"/>
            <w:tcBorders>
              <w:top w:val="nil"/>
              <w:left w:val="nil"/>
              <w:bottom w:val="nil"/>
              <w:right w:val="nil"/>
            </w:tcBorders>
            <w:shd w:val="clear" w:color="auto" w:fill="auto"/>
            <w:noWrap/>
            <w:vAlign w:val="bottom"/>
            <w:hideMark/>
          </w:tcPr>
          <w:p w14:paraId="67FCF796"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522" w:type="pct"/>
            <w:tcBorders>
              <w:top w:val="nil"/>
              <w:left w:val="nil"/>
              <w:bottom w:val="nil"/>
              <w:right w:val="nil"/>
            </w:tcBorders>
            <w:shd w:val="clear" w:color="auto" w:fill="auto"/>
            <w:noWrap/>
            <w:vAlign w:val="bottom"/>
            <w:hideMark/>
          </w:tcPr>
          <w:p w14:paraId="6EB3310C"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607" w:type="pct"/>
            <w:tcBorders>
              <w:top w:val="nil"/>
              <w:left w:val="nil"/>
              <w:bottom w:val="nil"/>
              <w:right w:val="nil"/>
            </w:tcBorders>
            <w:shd w:val="clear" w:color="auto" w:fill="auto"/>
            <w:noWrap/>
            <w:vAlign w:val="bottom"/>
            <w:hideMark/>
          </w:tcPr>
          <w:p w14:paraId="6B6D875A"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480" w:type="pct"/>
            <w:tcBorders>
              <w:top w:val="nil"/>
              <w:left w:val="nil"/>
              <w:bottom w:val="nil"/>
              <w:right w:val="nil"/>
            </w:tcBorders>
            <w:shd w:val="clear" w:color="auto" w:fill="auto"/>
            <w:noWrap/>
            <w:vAlign w:val="bottom"/>
            <w:hideMark/>
          </w:tcPr>
          <w:p w14:paraId="63EE7A69"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431" w:type="pct"/>
            <w:tcBorders>
              <w:top w:val="nil"/>
              <w:left w:val="nil"/>
              <w:bottom w:val="nil"/>
              <w:right w:val="nil"/>
            </w:tcBorders>
            <w:shd w:val="clear" w:color="auto" w:fill="auto"/>
            <w:noWrap/>
            <w:vAlign w:val="bottom"/>
            <w:hideMark/>
          </w:tcPr>
          <w:p w14:paraId="4EDAEB94"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477" w:type="pct"/>
            <w:tcBorders>
              <w:top w:val="nil"/>
              <w:left w:val="nil"/>
              <w:bottom w:val="nil"/>
              <w:right w:val="nil"/>
            </w:tcBorders>
            <w:shd w:val="clear" w:color="auto" w:fill="auto"/>
            <w:noWrap/>
            <w:vAlign w:val="bottom"/>
            <w:hideMark/>
          </w:tcPr>
          <w:p w14:paraId="3F8C7A03"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559" w:type="pct"/>
            <w:tcBorders>
              <w:top w:val="nil"/>
              <w:left w:val="nil"/>
              <w:bottom w:val="nil"/>
              <w:right w:val="nil"/>
            </w:tcBorders>
            <w:shd w:val="clear" w:color="auto" w:fill="auto"/>
            <w:noWrap/>
            <w:vAlign w:val="bottom"/>
            <w:hideMark/>
          </w:tcPr>
          <w:p w14:paraId="0B31987D"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r>
      <w:tr w:rsidR="00FB7532" w:rsidRPr="00A4491A" w14:paraId="61D3F6EC" w14:textId="77777777" w:rsidTr="00BC792D">
        <w:trPr>
          <w:trHeight w:val="240"/>
        </w:trPr>
        <w:tc>
          <w:tcPr>
            <w:tcW w:w="1447" w:type="pct"/>
            <w:tcBorders>
              <w:top w:val="nil"/>
              <w:left w:val="nil"/>
              <w:bottom w:val="nil"/>
              <w:right w:val="nil"/>
            </w:tcBorders>
            <w:shd w:val="clear" w:color="auto" w:fill="auto"/>
            <w:noWrap/>
            <w:vAlign w:val="center"/>
            <w:hideMark/>
          </w:tcPr>
          <w:p w14:paraId="700A7924" w14:textId="77777777" w:rsidR="00FB7532" w:rsidRPr="00A4491A" w:rsidRDefault="00FB7532" w:rsidP="00A4491A">
            <w:pPr>
              <w:spacing w:after="0" w:line="240" w:lineRule="auto"/>
              <w:rPr>
                <w:rFonts w:ascii="Segoe UI" w:eastAsia="Times New Roman" w:hAnsi="Segoe UI" w:cs="Segoe UI"/>
                <w:sz w:val="18"/>
                <w:szCs w:val="18"/>
                <w:lang w:eastAsia="pt-BR"/>
              </w:rPr>
            </w:pPr>
            <w:r w:rsidRPr="00A4491A">
              <w:rPr>
                <w:rFonts w:ascii="Segoe UI" w:eastAsia="Times New Roman" w:hAnsi="Segoe UI" w:cs="Segoe UI"/>
                <w:sz w:val="18"/>
                <w:szCs w:val="18"/>
                <w:lang w:eastAsia="pt-BR"/>
              </w:rPr>
              <w:t xml:space="preserve">   Eletronuclear S.A.</w:t>
            </w:r>
          </w:p>
        </w:tc>
        <w:tc>
          <w:tcPr>
            <w:tcW w:w="477" w:type="pct"/>
            <w:tcBorders>
              <w:top w:val="nil"/>
              <w:left w:val="nil"/>
              <w:bottom w:val="nil"/>
              <w:right w:val="nil"/>
            </w:tcBorders>
            <w:shd w:val="clear" w:color="auto" w:fill="auto"/>
            <w:noWrap/>
            <w:vAlign w:val="bottom"/>
            <w:hideMark/>
          </w:tcPr>
          <w:p w14:paraId="4C722521" w14:textId="14E4D54D" w:rsidR="00FB7532" w:rsidRPr="00A4491A" w:rsidRDefault="00FB7532" w:rsidP="00FB7532">
            <w:pPr>
              <w:spacing w:after="0" w:line="240" w:lineRule="auto"/>
              <w:jc w:val="right"/>
              <w:rPr>
                <w:rFonts w:ascii="Segoe UI" w:eastAsia="Times New Roman" w:hAnsi="Segoe UI" w:cs="Segoe UI"/>
                <w:sz w:val="18"/>
                <w:szCs w:val="18"/>
                <w:lang w:eastAsia="pt-BR"/>
              </w:rPr>
            </w:pPr>
            <w:r w:rsidRPr="00A4491A">
              <w:rPr>
                <w:rFonts w:ascii="Segoe UI" w:eastAsia="Times New Roman" w:hAnsi="Segoe UI" w:cs="Segoe UI"/>
                <w:sz w:val="18"/>
                <w:szCs w:val="18"/>
                <w:lang w:eastAsia="pt-BR"/>
              </w:rPr>
              <w:t>3.107.374</w:t>
            </w:r>
          </w:p>
        </w:tc>
        <w:tc>
          <w:tcPr>
            <w:tcW w:w="522" w:type="pct"/>
            <w:tcBorders>
              <w:top w:val="nil"/>
              <w:left w:val="nil"/>
              <w:bottom w:val="nil"/>
              <w:right w:val="nil"/>
            </w:tcBorders>
            <w:shd w:val="clear" w:color="auto" w:fill="auto"/>
            <w:noWrap/>
            <w:vAlign w:val="bottom"/>
            <w:hideMark/>
          </w:tcPr>
          <w:p w14:paraId="520733FC" w14:textId="0A07158C"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(30.502)</w:t>
            </w:r>
          </w:p>
        </w:tc>
        <w:tc>
          <w:tcPr>
            <w:tcW w:w="607" w:type="pct"/>
            <w:tcBorders>
              <w:top w:val="nil"/>
              <w:left w:val="nil"/>
              <w:bottom w:val="nil"/>
              <w:right w:val="nil"/>
            </w:tcBorders>
            <w:shd w:val="clear" w:color="auto" w:fill="auto"/>
            <w:noWrap/>
            <w:vAlign w:val="bottom"/>
            <w:hideMark/>
          </w:tcPr>
          <w:p w14:paraId="796231F2" w14:textId="09054924" w:rsidR="00FB7532" w:rsidRPr="00A4491A" w:rsidRDefault="00FB7532" w:rsidP="00FB7532">
            <w:pPr>
              <w:spacing w:after="0" w:line="240" w:lineRule="auto"/>
              <w:jc w:val="right"/>
              <w:rPr>
                <w:rFonts w:ascii="Segoe UI" w:eastAsia="Times New Roman" w:hAnsi="Segoe UI" w:cs="Segoe UI"/>
                <w:sz w:val="18"/>
                <w:szCs w:val="18"/>
                <w:lang w:eastAsia="pt-BR"/>
              </w:rPr>
            </w:pPr>
            <w:r w:rsidRPr="00A4491A">
              <w:rPr>
                <w:rFonts w:ascii="Segoe UI" w:eastAsia="Times New Roman" w:hAnsi="Segoe UI" w:cs="Segoe UI"/>
                <w:sz w:val="18"/>
                <w:szCs w:val="18"/>
                <w:lang w:eastAsia="pt-BR"/>
              </w:rPr>
              <w:t>223.832</w:t>
            </w:r>
          </w:p>
        </w:tc>
        <w:tc>
          <w:tcPr>
            <w:tcW w:w="480" w:type="pct"/>
            <w:tcBorders>
              <w:top w:val="nil"/>
              <w:left w:val="nil"/>
              <w:bottom w:val="nil"/>
              <w:right w:val="nil"/>
            </w:tcBorders>
            <w:shd w:val="clear" w:color="auto" w:fill="auto"/>
            <w:noWrap/>
            <w:vAlign w:val="bottom"/>
            <w:hideMark/>
          </w:tcPr>
          <w:p w14:paraId="4723043B" w14:textId="40F622CA"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w:t>
            </w:r>
          </w:p>
        </w:tc>
        <w:tc>
          <w:tcPr>
            <w:tcW w:w="431" w:type="pct"/>
            <w:tcBorders>
              <w:top w:val="nil"/>
              <w:left w:val="nil"/>
              <w:bottom w:val="nil"/>
              <w:right w:val="nil"/>
            </w:tcBorders>
            <w:shd w:val="clear" w:color="auto" w:fill="auto"/>
            <w:noWrap/>
            <w:vAlign w:val="bottom"/>
            <w:hideMark/>
          </w:tcPr>
          <w:p w14:paraId="256613E4" w14:textId="49453DFD"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w:t>
            </w:r>
          </w:p>
        </w:tc>
        <w:tc>
          <w:tcPr>
            <w:tcW w:w="477" w:type="pct"/>
            <w:tcBorders>
              <w:top w:val="nil"/>
              <w:left w:val="nil"/>
              <w:bottom w:val="nil"/>
              <w:right w:val="nil"/>
            </w:tcBorders>
            <w:shd w:val="clear" w:color="auto" w:fill="auto"/>
            <w:noWrap/>
            <w:vAlign w:val="bottom"/>
            <w:hideMark/>
          </w:tcPr>
          <w:p w14:paraId="5815DE1B" w14:textId="087CCEDD"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392.626</w:t>
            </w:r>
          </w:p>
        </w:tc>
        <w:tc>
          <w:tcPr>
            <w:tcW w:w="559" w:type="pct"/>
            <w:tcBorders>
              <w:top w:val="nil"/>
              <w:left w:val="nil"/>
              <w:bottom w:val="nil"/>
              <w:right w:val="nil"/>
            </w:tcBorders>
            <w:shd w:val="clear" w:color="auto" w:fill="auto"/>
            <w:noWrap/>
            <w:vAlign w:val="bottom"/>
            <w:hideMark/>
          </w:tcPr>
          <w:p w14:paraId="59F68833" w14:textId="106D1338"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3.693.330</w:t>
            </w:r>
          </w:p>
        </w:tc>
      </w:tr>
      <w:tr w:rsidR="00FB7532" w:rsidRPr="00A4491A" w14:paraId="31951922" w14:textId="77777777" w:rsidTr="00BC792D">
        <w:trPr>
          <w:trHeight w:val="240"/>
        </w:trPr>
        <w:tc>
          <w:tcPr>
            <w:tcW w:w="1447" w:type="pct"/>
            <w:tcBorders>
              <w:top w:val="nil"/>
              <w:left w:val="nil"/>
              <w:bottom w:val="nil"/>
              <w:right w:val="nil"/>
            </w:tcBorders>
            <w:shd w:val="clear" w:color="auto" w:fill="auto"/>
            <w:noWrap/>
            <w:vAlign w:val="center"/>
            <w:hideMark/>
          </w:tcPr>
          <w:p w14:paraId="1BB4B93E" w14:textId="77777777" w:rsidR="00FB7532" w:rsidRPr="00A4491A" w:rsidRDefault="00FB7532" w:rsidP="00A4491A">
            <w:pPr>
              <w:spacing w:after="0" w:line="240" w:lineRule="auto"/>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 xml:space="preserve">   Indústrias Nucleares do Brasil S.A </w:t>
            </w:r>
          </w:p>
        </w:tc>
        <w:tc>
          <w:tcPr>
            <w:tcW w:w="477" w:type="pct"/>
            <w:tcBorders>
              <w:top w:val="nil"/>
              <w:left w:val="nil"/>
              <w:bottom w:val="single" w:sz="4" w:space="0" w:color="1B80C4"/>
              <w:right w:val="nil"/>
            </w:tcBorders>
            <w:shd w:val="clear" w:color="auto" w:fill="auto"/>
            <w:noWrap/>
            <w:vAlign w:val="bottom"/>
            <w:hideMark/>
          </w:tcPr>
          <w:p w14:paraId="439D2010" w14:textId="08041293"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1.111.344</w:t>
            </w:r>
          </w:p>
        </w:tc>
        <w:tc>
          <w:tcPr>
            <w:tcW w:w="522" w:type="pct"/>
            <w:tcBorders>
              <w:top w:val="nil"/>
              <w:left w:val="nil"/>
              <w:bottom w:val="single" w:sz="4" w:space="0" w:color="1B80C4"/>
              <w:right w:val="nil"/>
            </w:tcBorders>
            <w:shd w:val="clear" w:color="auto" w:fill="auto"/>
            <w:noWrap/>
            <w:vAlign w:val="bottom"/>
            <w:hideMark/>
          </w:tcPr>
          <w:p w14:paraId="7DE3E44B" w14:textId="2F4FF51F"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(44.555)</w:t>
            </w:r>
          </w:p>
        </w:tc>
        <w:tc>
          <w:tcPr>
            <w:tcW w:w="607" w:type="pct"/>
            <w:tcBorders>
              <w:top w:val="nil"/>
              <w:left w:val="nil"/>
              <w:bottom w:val="single" w:sz="4" w:space="0" w:color="1B80C4"/>
              <w:right w:val="nil"/>
            </w:tcBorders>
            <w:shd w:val="clear" w:color="auto" w:fill="auto"/>
            <w:noWrap/>
            <w:vAlign w:val="bottom"/>
            <w:hideMark/>
          </w:tcPr>
          <w:p w14:paraId="2ABA1353" w14:textId="263B09E2"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86.770</w:t>
            </w:r>
          </w:p>
        </w:tc>
        <w:tc>
          <w:tcPr>
            <w:tcW w:w="480" w:type="pct"/>
            <w:tcBorders>
              <w:top w:val="nil"/>
              <w:left w:val="nil"/>
              <w:bottom w:val="single" w:sz="4" w:space="0" w:color="1B80C4"/>
              <w:right w:val="nil"/>
            </w:tcBorders>
            <w:shd w:val="clear" w:color="auto" w:fill="auto"/>
            <w:noWrap/>
            <w:vAlign w:val="bottom"/>
            <w:hideMark/>
          </w:tcPr>
          <w:p w14:paraId="3F841737" w14:textId="3C607342"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88.510</w:t>
            </w:r>
          </w:p>
        </w:tc>
        <w:tc>
          <w:tcPr>
            <w:tcW w:w="431" w:type="pct"/>
            <w:tcBorders>
              <w:top w:val="nil"/>
              <w:left w:val="nil"/>
              <w:bottom w:val="single" w:sz="4" w:space="0" w:color="1B80C4"/>
              <w:right w:val="nil"/>
            </w:tcBorders>
            <w:shd w:val="clear" w:color="auto" w:fill="auto"/>
            <w:noWrap/>
            <w:vAlign w:val="bottom"/>
            <w:hideMark/>
          </w:tcPr>
          <w:p w14:paraId="497B7E6F" w14:textId="45149F39"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w:t>
            </w:r>
          </w:p>
        </w:tc>
        <w:tc>
          <w:tcPr>
            <w:tcW w:w="477" w:type="pct"/>
            <w:tcBorders>
              <w:top w:val="nil"/>
              <w:left w:val="nil"/>
              <w:bottom w:val="single" w:sz="4" w:space="0" w:color="1B80C4"/>
              <w:right w:val="nil"/>
            </w:tcBorders>
            <w:shd w:val="clear" w:color="auto" w:fill="auto"/>
            <w:noWrap/>
            <w:vAlign w:val="bottom"/>
            <w:hideMark/>
          </w:tcPr>
          <w:p w14:paraId="21AE3FEB" w14:textId="60A4DDE7"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w:t>
            </w:r>
          </w:p>
        </w:tc>
        <w:tc>
          <w:tcPr>
            <w:tcW w:w="559" w:type="pct"/>
            <w:tcBorders>
              <w:top w:val="nil"/>
              <w:left w:val="nil"/>
              <w:bottom w:val="single" w:sz="4" w:space="0" w:color="1B80C4"/>
              <w:right w:val="nil"/>
            </w:tcBorders>
            <w:shd w:val="clear" w:color="auto" w:fill="auto"/>
            <w:noWrap/>
            <w:vAlign w:val="bottom"/>
            <w:hideMark/>
          </w:tcPr>
          <w:p w14:paraId="34D6DACF" w14:textId="069FBFE2"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1.242.069</w:t>
            </w:r>
          </w:p>
        </w:tc>
      </w:tr>
      <w:tr w:rsidR="00FB7532" w:rsidRPr="00A4491A" w14:paraId="7C733BDF" w14:textId="77777777" w:rsidTr="00BC792D">
        <w:trPr>
          <w:trHeight w:val="240"/>
        </w:trPr>
        <w:tc>
          <w:tcPr>
            <w:tcW w:w="1447" w:type="pct"/>
            <w:tcBorders>
              <w:top w:val="nil"/>
              <w:left w:val="nil"/>
              <w:bottom w:val="nil"/>
              <w:right w:val="nil"/>
            </w:tcBorders>
            <w:shd w:val="clear" w:color="auto" w:fill="auto"/>
            <w:noWrap/>
            <w:vAlign w:val="bottom"/>
            <w:hideMark/>
          </w:tcPr>
          <w:p w14:paraId="3FF1F056" w14:textId="77777777" w:rsidR="00FB7532" w:rsidRPr="00A4491A" w:rsidRDefault="00FB7532" w:rsidP="00A4491A">
            <w:pPr>
              <w:spacing w:after="0" w:line="240" w:lineRule="auto"/>
              <w:rPr>
                <w:rFonts w:ascii="Segoe UI" w:eastAsia="Times New Roman" w:hAnsi="Segoe UI" w:cs="Segoe UI"/>
                <w:color w:val="000000"/>
                <w:sz w:val="18"/>
                <w:szCs w:val="18"/>
                <w:lang w:eastAsia="pt-BR"/>
              </w:rPr>
            </w:pPr>
          </w:p>
        </w:tc>
        <w:tc>
          <w:tcPr>
            <w:tcW w:w="477" w:type="pct"/>
            <w:tcBorders>
              <w:top w:val="nil"/>
              <w:left w:val="nil"/>
              <w:bottom w:val="nil"/>
              <w:right w:val="nil"/>
            </w:tcBorders>
            <w:shd w:val="clear" w:color="auto" w:fill="auto"/>
            <w:noWrap/>
            <w:vAlign w:val="center"/>
            <w:hideMark/>
          </w:tcPr>
          <w:p w14:paraId="76FD19B6" w14:textId="32E588D6"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4.218.718</w:t>
            </w:r>
          </w:p>
        </w:tc>
        <w:tc>
          <w:tcPr>
            <w:tcW w:w="522" w:type="pct"/>
            <w:tcBorders>
              <w:top w:val="nil"/>
              <w:left w:val="nil"/>
              <w:bottom w:val="nil"/>
              <w:right w:val="nil"/>
            </w:tcBorders>
            <w:shd w:val="clear" w:color="auto" w:fill="auto"/>
            <w:noWrap/>
            <w:vAlign w:val="center"/>
            <w:hideMark/>
          </w:tcPr>
          <w:p w14:paraId="66D04D28" w14:textId="1C35E765"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(75.057)</w:t>
            </w:r>
          </w:p>
        </w:tc>
        <w:tc>
          <w:tcPr>
            <w:tcW w:w="607" w:type="pct"/>
            <w:tcBorders>
              <w:top w:val="nil"/>
              <w:left w:val="nil"/>
              <w:bottom w:val="nil"/>
              <w:right w:val="nil"/>
            </w:tcBorders>
            <w:shd w:val="clear" w:color="auto" w:fill="auto"/>
            <w:noWrap/>
            <w:vAlign w:val="center"/>
            <w:hideMark/>
          </w:tcPr>
          <w:p w14:paraId="602CE30D" w14:textId="7A53391F"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310.602</w:t>
            </w:r>
          </w:p>
        </w:tc>
        <w:tc>
          <w:tcPr>
            <w:tcW w:w="480" w:type="pct"/>
            <w:tcBorders>
              <w:top w:val="nil"/>
              <w:left w:val="nil"/>
              <w:bottom w:val="nil"/>
              <w:right w:val="nil"/>
            </w:tcBorders>
            <w:shd w:val="clear" w:color="auto" w:fill="auto"/>
            <w:noWrap/>
            <w:vAlign w:val="center"/>
            <w:hideMark/>
          </w:tcPr>
          <w:p w14:paraId="350F5CAA" w14:textId="6B2E6E2C"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88.510</w:t>
            </w:r>
          </w:p>
        </w:tc>
        <w:tc>
          <w:tcPr>
            <w:tcW w:w="431" w:type="pct"/>
            <w:tcBorders>
              <w:top w:val="nil"/>
              <w:left w:val="nil"/>
              <w:bottom w:val="nil"/>
              <w:right w:val="nil"/>
            </w:tcBorders>
            <w:shd w:val="clear" w:color="auto" w:fill="auto"/>
            <w:noWrap/>
            <w:vAlign w:val="center"/>
            <w:hideMark/>
          </w:tcPr>
          <w:p w14:paraId="2962B1A9" w14:textId="4550A9DC"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w:t>
            </w:r>
          </w:p>
        </w:tc>
        <w:tc>
          <w:tcPr>
            <w:tcW w:w="477" w:type="pct"/>
            <w:tcBorders>
              <w:top w:val="nil"/>
              <w:left w:val="nil"/>
              <w:bottom w:val="nil"/>
              <w:right w:val="nil"/>
            </w:tcBorders>
            <w:shd w:val="clear" w:color="auto" w:fill="auto"/>
            <w:noWrap/>
            <w:vAlign w:val="center"/>
            <w:hideMark/>
          </w:tcPr>
          <w:p w14:paraId="4A467A4F" w14:textId="7BA42D8D"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392.626</w:t>
            </w:r>
          </w:p>
        </w:tc>
        <w:tc>
          <w:tcPr>
            <w:tcW w:w="559" w:type="pct"/>
            <w:tcBorders>
              <w:top w:val="nil"/>
              <w:left w:val="nil"/>
              <w:bottom w:val="nil"/>
              <w:right w:val="nil"/>
            </w:tcBorders>
            <w:shd w:val="clear" w:color="auto" w:fill="auto"/>
            <w:noWrap/>
            <w:vAlign w:val="center"/>
            <w:hideMark/>
          </w:tcPr>
          <w:p w14:paraId="0CCF0158" w14:textId="614CE4C2"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4.935.399</w:t>
            </w:r>
          </w:p>
        </w:tc>
      </w:tr>
      <w:tr w:rsidR="00FB7532" w:rsidRPr="00A4491A" w14:paraId="4BCE09F7" w14:textId="77777777" w:rsidTr="00BC792D">
        <w:trPr>
          <w:trHeight w:val="240"/>
        </w:trPr>
        <w:tc>
          <w:tcPr>
            <w:tcW w:w="1447" w:type="pct"/>
            <w:tcBorders>
              <w:top w:val="nil"/>
              <w:left w:val="nil"/>
              <w:bottom w:val="nil"/>
              <w:right w:val="nil"/>
            </w:tcBorders>
            <w:shd w:val="clear" w:color="auto" w:fill="auto"/>
            <w:noWrap/>
            <w:vAlign w:val="bottom"/>
            <w:hideMark/>
          </w:tcPr>
          <w:p w14:paraId="6BCCCEF9" w14:textId="77777777" w:rsidR="00FB7532" w:rsidRPr="00A4491A" w:rsidRDefault="00FB7532" w:rsidP="00A4491A">
            <w:pPr>
              <w:spacing w:after="0" w:line="240" w:lineRule="auto"/>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 xml:space="preserve"> Investida </w:t>
            </w:r>
          </w:p>
        </w:tc>
        <w:tc>
          <w:tcPr>
            <w:tcW w:w="477" w:type="pct"/>
            <w:tcBorders>
              <w:top w:val="nil"/>
              <w:left w:val="nil"/>
              <w:bottom w:val="nil"/>
              <w:right w:val="nil"/>
            </w:tcBorders>
            <w:shd w:val="clear" w:color="auto" w:fill="auto"/>
            <w:noWrap/>
            <w:vAlign w:val="bottom"/>
            <w:hideMark/>
          </w:tcPr>
          <w:p w14:paraId="6A8FC205"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522" w:type="pct"/>
            <w:tcBorders>
              <w:top w:val="nil"/>
              <w:left w:val="nil"/>
              <w:bottom w:val="nil"/>
              <w:right w:val="nil"/>
            </w:tcBorders>
            <w:shd w:val="clear" w:color="auto" w:fill="auto"/>
            <w:noWrap/>
            <w:vAlign w:val="bottom"/>
            <w:hideMark/>
          </w:tcPr>
          <w:p w14:paraId="28131F59"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607" w:type="pct"/>
            <w:tcBorders>
              <w:top w:val="nil"/>
              <w:left w:val="nil"/>
              <w:bottom w:val="nil"/>
              <w:right w:val="nil"/>
            </w:tcBorders>
            <w:shd w:val="clear" w:color="auto" w:fill="auto"/>
            <w:noWrap/>
            <w:vAlign w:val="bottom"/>
            <w:hideMark/>
          </w:tcPr>
          <w:p w14:paraId="00A65188"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480" w:type="pct"/>
            <w:tcBorders>
              <w:top w:val="nil"/>
              <w:left w:val="nil"/>
              <w:bottom w:val="nil"/>
              <w:right w:val="nil"/>
            </w:tcBorders>
            <w:shd w:val="clear" w:color="auto" w:fill="auto"/>
            <w:noWrap/>
            <w:vAlign w:val="bottom"/>
            <w:hideMark/>
          </w:tcPr>
          <w:p w14:paraId="07928ABA"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431" w:type="pct"/>
            <w:tcBorders>
              <w:top w:val="nil"/>
              <w:left w:val="nil"/>
              <w:bottom w:val="nil"/>
              <w:right w:val="nil"/>
            </w:tcBorders>
            <w:shd w:val="clear" w:color="auto" w:fill="auto"/>
            <w:noWrap/>
            <w:vAlign w:val="bottom"/>
            <w:hideMark/>
          </w:tcPr>
          <w:p w14:paraId="1BE0BD84"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477" w:type="pct"/>
            <w:tcBorders>
              <w:top w:val="nil"/>
              <w:left w:val="nil"/>
              <w:bottom w:val="nil"/>
              <w:right w:val="nil"/>
            </w:tcBorders>
            <w:shd w:val="clear" w:color="auto" w:fill="auto"/>
            <w:noWrap/>
            <w:vAlign w:val="bottom"/>
            <w:hideMark/>
          </w:tcPr>
          <w:p w14:paraId="17D33BEC"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559" w:type="pct"/>
            <w:tcBorders>
              <w:top w:val="nil"/>
              <w:left w:val="nil"/>
              <w:bottom w:val="nil"/>
              <w:right w:val="nil"/>
            </w:tcBorders>
            <w:shd w:val="clear" w:color="auto" w:fill="auto"/>
            <w:noWrap/>
            <w:vAlign w:val="bottom"/>
            <w:hideMark/>
          </w:tcPr>
          <w:p w14:paraId="1DAE8917"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r>
      <w:tr w:rsidR="00FB7532" w:rsidRPr="00A4491A" w14:paraId="2BC7B83A" w14:textId="77777777" w:rsidTr="00BC792D">
        <w:trPr>
          <w:trHeight w:val="240"/>
        </w:trPr>
        <w:tc>
          <w:tcPr>
            <w:tcW w:w="1447" w:type="pct"/>
            <w:tcBorders>
              <w:top w:val="nil"/>
              <w:left w:val="nil"/>
              <w:bottom w:val="nil"/>
              <w:right w:val="nil"/>
            </w:tcBorders>
            <w:shd w:val="clear" w:color="auto" w:fill="auto"/>
            <w:noWrap/>
            <w:vAlign w:val="center"/>
            <w:hideMark/>
          </w:tcPr>
          <w:p w14:paraId="3A611951" w14:textId="77777777" w:rsidR="00FB7532" w:rsidRPr="00A4491A" w:rsidRDefault="00FB7532" w:rsidP="00A4491A">
            <w:pPr>
              <w:spacing w:after="0" w:line="240" w:lineRule="auto"/>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 xml:space="preserve">   Itaipú Binacional</w:t>
            </w:r>
          </w:p>
        </w:tc>
        <w:tc>
          <w:tcPr>
            <w:tcW w:w="477" w:type="pct"/>
            <w:tcBorders>
              <w:top w:val="nil"/>
              <w:left w:val="nil"/>
              <w:bottom w:val="single" w:sz="4" w:space="0" w:color="1B80C4"/>
              <w:right w:val="nil"/>
            </w:tcBorders>
            <w:shd w:val="clear" w:color="auto" w:fill="auto"/>
            <w:noWrap/>
            <w:vAlign w:val="bottom"/>
            <w:hideMark/>
          </w:tcPr>
          <w:p w14:paraId="24F71277" w14:textId="3448CE72"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255.595</w:t>
            </w:r>
          </w:p>
        </w:tc>
        <w:tc>
          <w:tcPr>
            <w:tcW w:w="522" w:type="pct"/>
            <w:tcBorders>
              <w:top w:val="nil"/>
              <w:left w:val="nil"/>
              <w:bottom w:val="single" w:sz="4" w:space="0" w:color="1B80C4"/>
              <w:right w:val="nil"/>
            </w:tcBorders>
            <w:shd w:val="clear" w:color="auto" w:fill="auto"/>
            <w:noWrap/>
            <w:vAlign w:val="bottom"/>
            <w:hideMark/>
          </w:tcPr>
          <w:p w14:paraId="358C37B9" w14:textId="5A43FDC2"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31.136</w:t>
            </w:r>
          </w:p>
        </w:tc>
        <w:tc>
          <w:tcPr>
            <w:tcW w:w="607" w:type="pct"/>
            <w:tcBorders>
              <w:top w:val="nil"/>
              <w:left w:val="nil"/>
              <w:bottom w:val="single" w:sz="4" w:space="0" w:color="1B80C4"/>
              <w:right w:val="nil"/>
            </w:tcBorders>
            <w:shd w:val="clear" w:color="auto" w:fill="auto"/>
            <w:noWrap/>
            <w:vAlign w:val="bottom"/>
            <w:hideMark/>
          </w:tcPr>
          <w:p w14:paraId="5F427B8A" w14:textId="78FCDA7F" w:rsidR="00FB7532" w:rsidRPr="00A4491A" w:rsidRDefault="009F7B2E" w:rsidP="00FB7532">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c>
          <w:tcPr>
            <w:tcW w:w="480" w:type="pct"/>
            <w:tcBorders>
              <w:top w:val="nil"/>
              <w:left w:val="nil"/>
              <w:bottom w:val="single" w:sz="4" w:space="0" w:color="1B80C4"/>
              <w:right w:val="nil"/>
            </w:tcBorders>
            <w:shd w:val="clear" w:color="auto" w:fill="auto"/>
            <w:noWrap/>
            <w:vAlign w:val="bottom"/>
            <w:hideMark/>
          </w:tcPr>
          <w:p w14:paraId="148A33FA" w14:textId="7F1A9A42"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w:t>
            </w:r>
          </w:p>
        </w:tc>
        <w:tc>
          <w:tcPr>
            <w:tcW w:w="431" w:type="pct"/>
            <w:tcBorders>
              <w:top w:val="nil"/>
              <w:left w:val="nil"/>
              <w:bottom w:val="single" w:sz="4" w:space="0" w:color="1B80C4"/>
              <w:right w:val="nil"/>
            </w:tcBorders>
            <w:shd w:val="clear" w:color="auto" w:fill="auto"/>
            <w:noWrap/>
            <w:vAlign w:val="bottom"/>
            <w:hideMark/>
          </w:tcPr>
          <w:p w14:paraId="14F8C54E" w14:textId="3749BC05"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5.539</w:t>
            </w:r>
          </w:p>
        </w:tc>
        <w:tc>
          <w:tcPr>
            <w:tcW w:w="477" w:type="pct"/>
            <w:tcBorders>
              <w:top w:val="nil"/>
              <w:left w:val="nil"/>
              <w:bottom w:val="single" w:sz="4" w:space="0" w:color="1B80C4"/>
              <w:right w:val="nil"/>
            </w:tcBorders>
            <w:shd w:val="clear" w:color="auto" w:fill="auto"/>
            <w:noWrap/>
            <w:vAlign w:val="bottom"/>
            <w:hideMark/>
          </w:tcPr>
          <w:p w14:paraId="26B5FFC1" w14:textId="7B53B6F8"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1.028.136</w:t>
            </w:r>
          </w:p>
        </w:tc>
        <w:tc>
          <w:tcPr>
            <w:tcW w:w="559" w:type="pct"/>
            <w:tcBorders>
              <w:top w:val="nil"/>
              <w:left w:val="nil"/>
              <w:bottom w:val="single" w:sz="4" w:space="0" w:color="1B80C4"/>
              <w:right w:val="nil"/>
            </w:tcBorders>
            <w:shd w:val="clear" w:color="auto" w:fill="auto"/>
            <w:noWrap/>
            <w:vAlign w:val="bottom"/>
            <w:hideMark/>
          </w:tcPr>
          <w:p w14:paraId="2F214E5B" w14:textId="2D262A63" w:rsidR="00FB7532" w:rsidRPr="00A4491A" w:rsidRDefault="00FB7532" w:rsidP="00FB7532">
            <w:pPr>
              <w:spacing w:after="0" w:line="240" w:lineRule="auto"/>
              <w:jc w:val="right"/>
              <w:rPr>
                <w:rFonts w:ascii="Segoe UI" w:eastAsia="Times New Roman" w:hAnsi="Segoe UI" w:cs="Segoe UI"/>
                <w:color w:val="000000"/>
                <w:sz w:val="18"/>
                <w:szCs w:val="18"/>
                <w:lang w:eastAsia="pt-BR"/>
              </w:rPr>
            </w:pPr>
            <w:r w:rsidRPr="00A4491A">
              <w:rPr>
                <w:rFonts w:ascii="Segoe UI" w:eastAsia="Times New Roman" w:hAnsi="Segoe UI" w:cs="Segoe UI"/>
                <w:color w:val="000000"/>
                <w:sz w:val="18"/>
                <w:szCs w:val="18"/>
                <w:lang w:eastAsia="pt-BR"/>
              </w:rPr>
              <w:t>1.320.406</w:t>
            </w:r>
          </w:p>
        </w:tc>
      </w:tr>
      <w:tr w:rsidR="00FB7532" w:rsidRPr="00A4491A" w14:paraId="697A8A29" w14:textId="77777777" w:rsidTr="00BC792D">
        <w:trPr>
          <w:trHeight w:val="240"/>
        </w:trPr>
        <w:tc>
          <w:tcPr>
            <w:tcW w:w="1447" w:type="pct"/>
            <w:tcBorders>
              <w:top w:val="nil"/>
              <w:left w:val="nil"/>
              <w:bottom w:val="nil"/>
              <w:right w:val="nil"/>
            </w:tcBorders>
            <w:shd w:val="clear" w:color="auto" w:fill="auto"/>
            <w:noWrap/>
            <w:vAlign w:val="bottom"/>
            <w:hideMark/>
          </w:tcPr>
          <w:p w14:paraId="27F34145" w14:textId="77777777" w:rsidR="00FB7532" w:rsidRPr="00A4491A" w:rsidRDefault="00FB7532" w:rsidP="00A4491A">
            <w:pPr>
              <w:spacing w:after="0" w:line="240" w:lineRule="auto"/>
              <w:rPr>
                <w:rFonts w:ascii="Segoe UI" w:eastAsia="Times New Roman" w:hAnsi="Segoe UI" w:cs="Segoe UI"/>
                <w:color w:val="000000"/>
                <w:sz w:val="18"/>
                <w:szCs w:val="18"/>
                <w:lang w:eastAsia="pt-BR"/>
              </w:rPr>
            </w:pPr>
          </w:p>
        </w:tc>
        <w:tc>
          <w:tcPr>
            <w:tcW w:w="477" w:type="pct"/>
            <w:tcBorders>
              <w:top w:val="nil"/>
              <w:left w:val="nil"/>
              <w:bottom w:val="nil"/>
              <w:right w:val="nil"/>
            </w:tcBorders>
            <w:shd w:val="clear" w:color="auto" w:fill="auto"/>
            <w:noWrap/>
            <w:vAlign w:val="center"/>
            <w:hideMark/>
          </w:tcPr>
          <w:p w14:paraId="6C66871B" w14:textId="624B4C9F"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255.595</w:t>
            </w:r>
          </w:p>
        </w:tc>
        <w:tc>
          <w:tcPr>
            <w:tcW w:w="522" w:type="pct"/>
            <w:tcBorders>
              <w:top w:val="nil"/>
              <w:left w:val="nil"/>
              <w:bottom w:val="nil"/>
              <w:right w:val="nil"/>
            </w:tcBorders>
            <w:shd w:val="clear" w:color="auto" w:fill="auto"/>
            <w:noWrap/>
            <w:vAlign w:val="center"/>
            <w:hideMark/>
          </w:tcPr>
          <w:p w14:paraId="345A113E" w14:textId="4216E981"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31.136</w:t>
            </w:r>
          </w:p>
        </w:tc>
        <w:tc>
          <w:tcPr>
            <w:tcW w:w="607" w:type="pct"/>
            <w:tcBorders>
              <w:top w:val="nil"/>
              <w:left w:val="nil"/>
              <w:bottom w:val="nil"/>
              <w:right w:val="nil"/>
            </w:tcBorders>
            <w:shd w:val="clear" w:color="auto" w:fill="auto"/>
            <w:noWrap/>
            <w:vAlign w:val="center"/>
            <w:hideMark/>
          </w:tcPr>
          <w:p w14:paraId="7E5449DE" w14:textId="5F0A9095"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w:t>
            </w:r>
          </w:p>
        </w:tc>
        <w:tc>
          <w:tcPr>
            <w:tcW w:w="480" w:type="pct"/>
            <w:tcBorders>
              <w:top w:val="nil"/>
              <w:left w:val="nil"/>
              <w:bottom w:val="nil"/>
              <w:right w:val="nil"/>
            </w:tcBorders>
            <w:shd w:val="clear" w:color="auto" w:fill="auto"/>
            <w:noWrap/>
            <w:vAlign w:val="center"/>
            <w:hideMark/>
          </w:tcPr>
          <w:p w14:paraId="02A2BB65" w14:textId="49608346"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w:t>
            </w:r>
          </w:p>
        </w:tc>
        <w:tc>
          <w:tcPr>
            <w:tcW w:w="431" w:type="pct"/>
            <w:tcBorders>
              <w:top w:val="nil"/>
              <w:left w:val="nil"/>
              <w:bottom w:val="nil"/>
              <w:right w:val="nil"/>
            </w:tcBorders>
            <w:shd w:val="clear" w:color="auto" w:fill="auto"/>
            <w:noWrap/>
            <w:vAlign w:val="center"/>
            <w:hideMark/>
          </w:tcPr>
          <w:p w14:paraId="37FBBAFA" w14:textId="3B1646C0"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5.539</w:t>
            </w:r>
          </w:p>
        </w:tc>
        <w:tc>
          <w:tcPr>
            <w:tcW w:w="477" w:type="pct"/>
            <w:tcBorders>
              <w:top w:val="nil"/>
              <w:left w:val="nil"/>
              <w:bottom w:val="nil"/>
              <w:right w:val="nil"/>
            </w:tcBorders>
            <w:shd w:val="clear" w:color="auto" w:fill="auto"/>
            <w:noWrap/>
            <w:vAlign w:val="center"/>
            <w:hideMark/>
          </w:tcPr>
          <w:p w14:paraId="4F40E5E2" w14:textId="7A2211B8"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1.028.136</w:t>
            </w:r>
          </w:p>
        </w:tc>
        <w:tc>
          <w:tcPr>
            <w:tcW w:w="559" w:type="pct"/>
            <w:tcBorders>
              <w:top w:val="nil"/>
              <w:left w:val="nil"/>
              <w:bottom w:val="nil"/>
              <w:right w:val="nil"/>
            </w:tcBorders>
            <w:shd w:val="clear" w:color="auto" w:fill="auto"/>
            <w:noWrap/>
            <w:vAlign w:val="center"/>
            <w:hideMark/>
          </w:tcPr>
          <w:p w14:paraId="07BFF083" w14:textId="7C445C9B" w:rsidR="00FB7532" w:rsidRPr="00A4491A" w:rsidRDefault="00FB7532" w:rsidP="00FB7532">
            <w:pPr>
              <w:spacing w:after="0" w:line="240" w:lineRule="auto"/>
              <w:jc w:val="right"/>
              <w:rPr>
                <w:rFonts w:ascii="Segoe UI" w:eastAsia="Times New Roman" w:hAnsi="Segoe UI" w:cs="Segoe UI"/>
                <w:b/>
                <w:bCs/>
                <w:sz w:val="18"/>
                <w:szCs w:val="18"/>
                <w:lang w:eastAsia="pt-BR"/>
              </w:rPr>
            </w:pPr>
            <w:r w:rsidRPr="00A4491A">
              <w:rPr>
                <w:rFonts w:ascii="Segoe UI" w:eastAsia="Times New Roman" w:hAnsi="Segoe UI" w:cs="Segoe UI"/>
                <w:b/>
                <w:bCs/>
                <w:sz w:val="18"/>
                <w:szCs w:val="18"/>
                <w:lang w:eastAsia="pt-BR"/>
              </w:rPr>
              <w:t>1.320.406</w:t>
            </w:r>
          </w:p>
        </w:tc>
      </w:tr>
      <w:tr w:rsidR="00FB7532" w:rsidRPr="00A4491A" w14:paraId="3E4E4ACD" w14:textId="77777777" w:rsidTr="00BC792D">
        <w:trPr>
          <w:trHeight w:val="240"/>
        </w:trPr>
        <w:tc>
          <w:tcPr>
            <w:tcW w:w="1447" w:type="pct"/>
            <w:tcBorders>
              <w:top w:val="nil"/>
              <w:left w:val="nil"/>
              <w:bottom w:val="nil"/>
              <w:right w:val="nil"/>
            </w:tcBorders>
            <w:shd w:val="clear" w:color="auto" w:fill="auto"/>
            <w:noWrap/>
            <w:vAlign w:val="bottom"/>
            <w:hideMark/>
          </w:tcPr>
          <w:p w14:paraId="1D13260E" w14:textId="77777777" w:rsidR="00FB7532" w:rsidRPr="00A4491A" w:rsidRDefault="00FB7532" w:rsidP="00A4491A">
            <w:pPr>
              <w:spacing w:after="0" w:line="240" w:lineRule="auto"/>
              <w:jc w:val="right"/>
              <w:rPr>
                <w:rFonts w:ascii="Segoe UI" w:eastAsia="Times New Roman" w:hAnsi="Segoe UI" w:cs="Segoe UI"/>
                <w:b/>
                <w:bCs/>
                <w:sz w:val="18"/>
                <w:szCs w:val="18"/>
                <w:lang w:eastAsia="pt-BR"/>
              </w:rPr>
            </w:pPr>
          </w:p>
        </w:tc>
        <w:tc>
          <w:tcPr>
            <w:tcW w:w="477" w:type="pct"/>
            <w:tcBorders>
              <w:top w:val="nil"/>
              <w:left w:val="nil"/>
              <w:bottom w:val="nil"/>
              <w:right w:val="nil"/>
            </w:tcBorders>
            <w:shd w:val="clear" w:color="auto" w:fill="auto"/>
            <w:noWrap/>
            <w:vAlign w:val="bottom"/>
            <w:hideMark/>
          </w:tcPr>
          <w:p w14:paraId="0E3DFDAD"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522" w:type="pct"/>
            <w:tcBorders>
              <w:top w:val="nil"/>
              <w:left w:val="nil"/>
              <w:bottom w:val="nil"/>
              <w:right w:val="nil"/>
            </w:tcBorders>
            <w:shd w:val="clear" w:color="auto" w:fill="auto"/>
            <w:noWrap/>
            <w:vAlign w:val="bottom"/>
            <w:hideMark/>
          </w:tcPr>
          <w:p w14:paraId="7B397E61"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607" w:type="pct"/>
            <w:tcBorders>
              <w:top w:val="nil"/>
              <w:left w:val="nil"/>
              <w:bottom w:val="nil"/>
              <w:right w:val="nil"/>
            </w:tcBorders>
            <w:shd w:val="clear" w:color="auto" w:fill="auto"/>
            <w:noWrap/>
            <w:vAlign w:val="bottom"/>
            <w:hideMark/>
          </w:tcPr>
          <w:p w14:paraId="67B259B4"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480" w:type="pct"/>
            <w:tcBorders>
              <w:top w:val="nil"/>
              <w:left w:val="nil"/>
              <w:bottom w:val="nil"/>
              <w:right w:val="nil"/>
            </w:tcBorders>
            <w:shd w:val="clear" w:color="auto" w:fill="auto"/>
            <w:noWrap/>
            <w:vAlign w:val="bottom"/>
            <w:hideMark/>
          </w:tcPr>
          <w:p w14:paraId="40284201"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431" w:type="pct"/>
            <w:tcBorders>
              <w:top w:val="nil"/>
              <w:left w:val="nil"/>
              <w:bottom w:val="nil"/>
              <w:right w:val="nil"/>
            </w:tcBorders>
            <w:shd w:val="clear" w:color="auto" w:fill="auto"/>
            <w:noWrap/>
            <w:vAlign w:val="bottom"/>
            <w:hideMark/>
          </w:tcPr>
          <w:p w14:paraId="6379049E"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477" w:type="pct"/>
            <w:tcBorders>
              <w:top w:val="nil"/>
              <w:left w:val="nil"/>
              <w:bottom w:val="nil"/>
              <w:right w:val="nil"/>
            </w:tcBorders>
            <w:shd w:val="clear" w:color="auto" w:fill="auto"/>
            <w:noWrap/>
            <w:vAlign w:val="bottom"/>
            <w:hideMark/>
          </w:tcPr>
          <w:p w14:paraId="34B2FC96"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c>
          <w:tcPr>
            <w:tcW w:w="559" w:type="pct"/>
            <w:tcBorders>
              <w:top w:val="nil"/>
              <w:left w:val="nil"/>
              <w:bottom w:val="nil"/>
              <w:right w:val="nil"/>
            </w:tcBorders>
            <w:shd w:val="clear" w:color="auto" w:fill="auto"/>
            <w:noWrap/>
            <w:vAlign w:val="bottom"/>
            <w:hideMark/>
          </w:tcPr>
          <w:p w14:paraId="5190E281" w14:textId="77777777" w:rsidR="00FB7532" w:rsidRPr="00A4491A" w:rsidRDefault="00FB7532" w:rsidP="00FB7532">
            <w:pPr>
              <w:spacing w:after="0" w:line="240" w:lineRule="auto"/>
              <w:jc w:val="right"/>
              <w:rPr>
                <w:rFonts w:ascii="Times New Roman" w:eastAsia="Times New Roman" w:hAnsi="Times New Roman" w:cs="Times New Roman"/>
                <w:sz w:val="18"/>
                <w:szCs w:val="18"/>
                <w:lang w:eastAsia="pt-BR"/>
              </w:rPr>
            </w:pPr>
          </w:p>
        </w:tc>
      </w:tr>
      <w:tr w:rsidR="00FB7532" w:rsidRPr="00A4491A" w14:paraId="541E1667" w14:textId="77777777" w:rsidTr="00BC792D">
        <w:trPr>
          <w:trHeight w:val="255"/>
        </w:trPr>
        <w:tc>
          <w:tcPr>
            <w:tcW w:w="1447" w:type="pct"/>
            <w:tcBorders>
              <w:top w:val="nil"/>
              <w:left w:val="nil"/>
              <w:bottom w:val="nil"/>
              <w:right w:val="nil"/>
            </w:tcBorders>
            <w:shd w:val="clear" w:color="auto" w:fill="auto"/>
            <w:noWrap/>
            <w:vAlign w:val="bottom"/>
            <w:hideMark/>
          </w:tcPr>
          <w:p w14:paraId="5C986F71" w14:textId="77777777" w:rsidR="00FB7532" w:rsidRPr="00A4491A" w:rsidRDefault="00FB7532" w:rsidP="00A4491A">
            <w:pPr>
              <w:spacing w:after="0" w:line="240" w:lineRule="auto"/>
              <w:rPr>
                <w:rFonts w:ascii="Times New Roman" w:eastAsia="Times New Roman" w:hAnsi="Times New Roman" w:cs="Times New Roman"/>
                <w:sz w:val="18"/>
                <w:szCs w:val="18"/>
                <w:lang w:eastAsia="pt-BR"/>
              </w:rPr>
            </w:pPr>
          </w:p>
        </w:tc>
        <w:tc>
          <w:tcPr>
            <w:tcW w:w="477" w:type="pct"/>
            <w:tcBorders>
              <w:top w:val="single" w:sz="4" w:space="0" w:color="1B80C4"/>
              <w:left w:val="nil"/>
              <w:bottom w:val="double" w:sz="6" w:space="0" w:color="1B80C4"/>
              <w:right w:val="nil"/>
            </w:tcBorders>
            <w:shd w:val="clear" w:color="auto" w:fill="auto"/>
            <w:noWrap/>
            <w:vAlign w:val="center"/>
            <w:hideMark/>
          </w:tcPr>
          <w:p w14:paraId="0795A3FD" w14:textId="5460AFC0" w:rsidR="00FB7532" w:rsidRPr="00A4491A" w:rsidRDefault="00FB7532" w:rsidP="00FB7532">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4.474.313</w:t>
            </w:r>
          </w:p>
        </w:tc>
        <w:tc>
          <w:tcPr>
            <w:tcW w:w="522" w:type="pct"/>
            <w:tcBorders>
              <w:top w:val="single" w:sz="4" w:space="0" w:color="1B80C4"/>
              <w:left w:val="nil"/>
              <w:bottom w:val="double" w:sz="6" w:space="0" w:color="1B80C4"/>
              <w:right w:val="nil"/>
            </w:tcBorders>
            <w:shd w:val="clear" w:color="auto" w:fill="auto"/>
            <w:noWrap/>
            <w:vAlign w:val="center"/>
            <w:hideMark/>
          </w:tcPr>
          <w:p w14:paraId="12C0C51B" w14:textId="052D456B" w:rsidR="00FB7532" w:rsidRPr="00A4491A" w:rsidRDefault="00FB7532" w:rsidP="00FB7532">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(43.921)</w:t>
            </w:r>
          </w:p>
        </w:tc>
        <w:tc>
          <w:tcPr>
            <w:tcW w:w="607" w:type="pct"/>
            <w:tcBorders>
              <w:top w:val="single" w:sz="4" w:space="0" w:color="1B80C4"/>
              <w:left w:val="nil"/>
              <w:bottom w:val="double" w:sz="6" w:space="0" w:color="1B80C4"/>
              <w:right w:val="nil"/>
            </w:tcBorders>
            <w:shd w:val="clear" w:color="auto" w:fill="auto"/>
            <w:noWrap/>
            <w:vAlign w:val="center"/>
            <w:hideMark/>
          </w:tcPr>
          <w:p w14:paraId="08564606" w14:textId="12056C1E" w:rsidR="00FB7532" w:rsidRPr="00A4491A" w:rsidRDefault="00FB7532" w:rsidP="00FB7532">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310.602</w:t>
            </w:r>
          </w:p>
        </w:tc>
        <w:tc>
          <w:tcPr>
            <w:tcW w:w="480" w:type="pct"/>
            <w:tcBorders>
              <w:top w:val="single" w:sz="4" w:space="0" w:color="1B80C4"/>
              <w:left w:val="nil"/>
              <w:bottom w:val="double" w:sz="6" w:space="0" w:color="1B80C4"/>
              <w:right w:val="nil"/>
            </w:tcBorders>
            <w:shd w:val="clear" w:color="auto" w:fill="auto"/>
            <w:noWrap/>
            <w:vAlign w:val="center"/>
            <w:hideMark/>
          </w:tcPr>
          <w:p w14:paraId="70C903E8" w14:textId="4B9B5E63" w:rsidR="00FB7532" w:rsidRPr="00A4491A" w:rsidRDefault="00FB7532" w:rsidP="00FB7532">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88.510</w:t>
            </w:r>
          </w:p>
        </w:tc>
        <w:tc>
          <w:tcPr>
            <w:tcW w:w="431" w:type="pct"/>
            <w:tcBorders>
              <w:top w:val="single" w:sz="4" w:space="0" w:color="1B80C4"/>
              <w:left w:val="nil"/>
              <w:bottom w:val="double" w:sz="6" w:space="0" w:color="1B80C4"/>
              <w:right w:val="nil"/>
            </w:tcBorders>
            <w:shd w:val="clear" w:color="auto" w:fill="auto"/>
            <w:noWrap/>
            <w:vAlign w:val="center"/>
            <w:hideMark/>
          </w:tcPr>
          <w:p w14:paraId="6AA7D02B" w14:textId="50502F0A" w:rsidR="00FB7532" w:rsidRPr="00A4491A" w:rsidRDefault="00FB7532" w:rsidP="00FB7532">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5.539</w:t>
            </w:r>
          </w:p>
        </w:tc>
        <w:tc>
          <w:tcPr>
            <w:tcW w:w="477" w:type="pct"/>
            <w:tcBorders>
              <w:top w:val="single" w:sz="4" w:space="0" w:color="1B80C4"/>
              <w:left w:val="nil"/>
              <w:bottom w:val="double" w:sz="6" w:space="0" w:color="1B80C4"/>
              <w:right w:val="nil"/>
            </w:tcBorders>
            <w:shd w:val="clear" w:color="auto" w:fill="auto"/>
            <w:noWrap/>
            <w:vAlign w:val="center"/>
            <w:hideMark/>
          </w:tcPr>
          <w:p w14:paraId="42E9E93F" w14:textId="3D78D2AA" w:rsidR="00FB7532" w:rsidRPr="00A4491A" w:rsidRDefault="00FB7532" w:rsidP="00FB7532">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1.420.762</w:t>
            </w:r>
          </w:p>
        </w:tc>
        <w:tc>
          <w:tcPr>
            <w:tcW w:w="559" w:type="pct"/>
            <w:tcBorders>
              <w:top w:val="single" w:sz="4" w:space="0" w:color="1B80C4"/>
              <w:left w:val="nil"/>
              <w:bottom w:val="double" w:sz="6" w:space="0" w:color="1B80C4"/>
              <w:right w:val="nil"/>
            </w:tcBorders>
            <w:shd w:val="clear" w:color="auto" w:fill="auto"/>
            <w:noWrap/>
            <w:vAlign w:val="center"/>
            <w:hideMark/>
          </w:tcPr>
          <w:p w14:paraId="22A5F7BF" w14:textId="298A36DD" w:rsidR="00FB7532" w:rsidRPr="00A4491A" w:rsidRDefault="00FB7532" w:rsidP="00FB7532">
            <w:pPr>
              <w:spacing w:after="0" w:line="240" w:lineRule="auto"/>
              <w:jc w:val="right"/>
              <w:rPr>
                <w:rFonts w:ascii="Segoe UI" w:eastAsia="Times New Roman" w:hAnsi="Segoe UI" w:cs="Segoe UI"/>
                <w:b/>
                <w:bCs/>
                <w:color w:val="000000"/>
                <w:sz w:val="18"/>
                <w:szCs w:val="18"/>
                <w:lang w:eastAsia="pt-BR"/>
              </w:rPr>
            </w:pPr>
            <w:r w:rsidRPr="00A4491A">
              <w:rPr>
                <w:rFonts w:ascii="Segoe UI" w:eastAsia="Times New Roman" w:hAnsi="Segoe UI" w:cs="Segoe UI"/>
                <w:b/>
                <w:bCs/>
                <w:color w:val="000000"/>
                <w:sz w:val="18"/>
                <w:szCs w:val="18"/>
                <w:lang w:eastAsia="pt-BR"/>
              </w:rPr>
              <w:t>6.255.805</w:t>
            </w:r>
          </w:p>
        </w:tc>
      </w:tr>
    </w:tbl>
    <w:p w14:paraId="199ABFEA" w14:textId="2B53F319" w:rsidR="0048765C" w:rsidRDefault="0048765C" w:rsidP="00FE6CEE">
      <w:pPr>
        <w:spacing w:before="240" w:after="120"/>
        <w:jc w:val="both"/>
        <w:rPr>
          <w:rFonts w:ascii="Segoe UI" w:hAnsi="Segoe UI" w:cs="Segoe UI"/>
          <w:b/>
          <w:color w:val="0070C0"/>
        </w:rPr>
      </w:pPr>
      <w:r w:rsidRPr="00144E26">
        <w:rPr>
          <w:rFonts w:ascii="Segoe UI" w:hAnsi="Segoe UI" w:cs="Segoe UI"/>
          <w:b/>
          <w:color w:val="0070C0"/>
        </w:rPr>
        <w:t>12.2.</w:t>
      </w:r>
      <w:r>
        <w:rPr>
          <w:rFonts w:ascii="Segoe UI" w:hAnsi="Segoe UI" w:cs="Segoe UI"/>
          <w:b/>
          <w:color w:val="0070C0"/>
        </w:rPr>
        <w:t>1</w:t>
      </w:r>
      <w:r w:rsidRPr="00144E26">
        <w:rPr>
          <w:rFonts w:ascii="Segoe UI" w:hAnsi="Segoe UI" w:cs="Segoe UI"/>
          <w:b/>
          <w:color w:val="0070C0"/>
        </w:rPr>
        <w:t>- Resultado do investimento avaliado por equivalência patrimonial</w:t>
      </w:r>
    </w:p>
    <w:tbl>
      <w:tblPr>
        <w:tblW w:w="5000" w:type="pct"/>
        <w:tblLayout w:type="fixed"/>
        <w:tblCellMar>
          <w:left w:w="70" w:type="dxa"/>
          <w:right w:w="70" w:type="dxa"/>
        </w:tblCellMar>
        <w:tblLook w:val="04A0" w:firstRow="1" w:lastRow="0" w:firstColumn="1" w:lastColumn="0" w:noHBand="0" w:noVBand="1"/>
      </w:tblPr>
      <w:tblGrid>
        <w:gridCol w:w="2983"/>
        <w:gridCol w:w="1633"/>
        <w:gridCol w:w="1624"/>
        <w:gridCol w:w="1662"/>
        <w:gridCol w:w="1595"/>
      </w:tblGrid>
      <w:tr w:rsidR="005212B3" w:rsidRPr="00144E26" w14:paraId="14246E6D" w14:textId="77777777" w:rsidTr="00240EB3">
        <w:trPr>
          <w:trHeight w:val="23"/>
        </w:trPr>
        <w:tc>
          <w:tcPr>
            <w:tcW w:w="1570" w:type="pct"/>
            <w:tcBorders>
              <w:left w:val="nil"/>
              <w:right w:val="nil"/>
            </w:tcBorders>
            <w:shd w:val="clear" w:color="000000" w:fill="1B80C4"/>
            <w:vAlign w:val="center"/>
            <w:hideMark/>
          </w:tcPr>
          <w:p w14:paraId="7FEF6D0A" w14:textId="77777777" w:rsidR="008E58AC" w:rsidRPr="00144E26" w:rsidRDefault="008E58AC" w:rsidP="008E58AC">
            <w:pPr>
              <w:spacing w:after="0" w:line="240" w:lineRule="auto"/>
              <w:jc w:val="center"/>
              <w:rPr>
                <w:rFonts w:ascii="Segoe UI" w:eastAsia="Times New Roman" w:hAnsi="Segoe UI" w:cs="Segoe UI"/>
                <w:b/>
                <w:bCs/>
                <w:color w:val="FFFFFF"/>
                <w:sz w:val="18"/>
                <w:szCs w:val="18"/>
                <w:lang w:eastAsia="pt-BR"/>
              </w:rPr>
            </w:pPr>
            <w:r w:rsidRPr="00144E26">
              <w:rPr>
                <w:rFonts w:ascii="Segoe UI" w:eastAsia="Times New Roman" w:hAnsi="Segoe UI" w:cs="Segoe UI"/>
                <w:b/>
                <w:bCs/>
                <w:color w:val="FFFFFF"/>
                <w:sz w:val="18"/>
                <w:szCs w:val="18"/>
                <w:lang w:eastAsia="pt-BR"/>
              </w:rPr>
              <w:t xml:space="preserve">Investida </w:t>
            </w:r>
          </w:p>
        </w:tc>
        <w:tc>
          <w:tcPr>
            <w:tcW w:w="860" w:type="pct"/>
            <w:tcBorders>
              <w:left w:val="nil"/>
              <w:right w:val="nil"/>
            </w:tcBorders>
            <w:shd w:val="clear" w:color="000000" w:fill="1B80C4"/>
            <w:vAlign w:val="center"/>
            <w:hideMark/>
          </w:tcPr>
          <w:p w14:paraId="1F371803" w14:textId="6877B394" w:rsidR="008E58AC" w:rsidRPr="00144E26" w:rsidRDefault="008E58AC" w:rsidP="008E58AC">
            <w:pPr>
              <w:spacing w:after="0" w:line="240" w:lineRule="auto"/>
              <w:jc w:val="center"/>
              <w:rPr>
                <w:rFonts w:ascii="Segoe UI" w:eastAsia="Times New Roman" w:hAnsi="Segoe UI" w:cs="Segoe UI"/>
                <w:b/>
                <w:bCs/>
                <w:color w:val="FFFFFF"/>
                <w:sz w:val="18"/>
                <w:szCs w:val="18"/>
                <w:lang w:eastAsia="pt-BR"/>
              </w:rPr>
            </w:pPr>
            <w:r w:rsidRPr="00144E26">
              <w:rPr>
                <w:rFonts w:ascii="Segoe UI" w:eastAsia="Times New Roman" w:hAnsi="Segoe UI" w:cs="Segoe UI"/>
                <w:b/>
                <w:bCs/>
                <w:color w:val="FFFFFF"/>
                <w:sz w:val="18"/>
                <w:szCs w:val="18"/>
                <w:lang w:eastAsia="pt-BR"/>
              </w:rPr>
              <w:t xml:space="preserve"> Capital </w:t>
            </w:r>
            <w:r w:rsidR="00432D74">
              <w:rPr>
                <w:rFonts w:ascii="Segoe UI" w:eastAsia="Times New Roman" w:hAnsi="Segoe UI" w:cs="Segoe UI"/>
                <w:b/>
                <w:bCs/>
                <w:color w:val="FFFFFF"/>
                <w:sz w:val="18"/>
                <w:szCs w:val="18"/>
                <w:lang w:eastAsia="pt-BR"/>
              </w:rPr>
              <w:t>s</w:t>
            </w:r>
            <w:r w:rsidRPr="00144E26">
              <w:rPr>
                <w:rFonts w:ascii="Segoe UI" w:eastAsia="Times New Roman" w:hAnsi="Segoe UI" w:cs="Segoe UI"/>
                <w:b/>
                <w:bCs/>
                <w:color w:val="FFFFFF"/>
                <w:sz w:val="18"/>
                <w:szCs w:val="18"/>
                <w:lang w:eastAsia="pt-BR"/>
              </w:rPr>
              <w:t xml:space="preserve">ocial </w:t>
            </w:r>
            <w:r w:rsidR="004901D8">
              <w:rPr>
                <w:rFonts w:ascii="Segoe UI" w:eastAsia="Times New Roman" w:hAnsi="Segoe UI" w:cs="Segoe UI"/>
                <w:b/>
                <w:bCs/>
                <w:color w:val="FFFFFF"/>
                <w:sz w:val="18"/>
                <w:szCs w:val="18"/>
                <w:lang w:eastAsia="pt-BR"/>
              </w:rPr>
              <w:t>i</w:t>
            </w:r>
            <w:r w:rsidRPr="00144E26">
              <w:rPr>
                <w:rFonts w:ascii="Segoe UI" w:eastAsia="Times New Roman" w:hAnsi="Segoe UI" w:cs="Segoe UI"/>
                <w:b/>
                <w:bCs/>
                <w:color w:val="FFFFFF"/>
                <w:sz w:val="18"/>
                <w:szCs w:val="18"/>
                <w:lang w:eastAsia="pt-BR"/>
              </w:rPr>
              <w:t xml:space="preserve">ntegralizado </w:t>
            </w:r>
          </w:p>
        </w:tc>
        <w:tc>
          <w:tcPr>
            <w:tcW w:w="855" w:type="pct"/>
            <w:tcBorders>
              <w:left w:val="nil"/>
              <w:right w:val="nil"/>
            </w:tcBorders>
            <w:shd w:val="clear" w:color="000000" w:fill="1B80C4"/>
            <w:vAlign w:val="center"/>
            <w:hideMark/>
          </w:tcPr>
          <w:p w14:paraId="1FA0FCD7" w14:textId="320289E3" w:rsidR="008E58AC" w:rsidRPr="00144E26" w:rsidRDefault="008E58AC" w:rsidP="008E58AC">
            <w:pPr>
              <w:spacing w:after="0" w:line="240" w:lineRule="auto"/>
              <w:jc w:val="center"/>
              <w:rPr>
                <w:rFonts w:ascii="Segoe UI" w:eastAsia="Times New Roman" w:hAnsi="Segoe UI" w:cs="Segoe UI"/>
                <w:b/>
                <w:bCs/>
                <w:color w:val="FFFFFF"/>
                <w:sz w:val="18"/>
                <w:szCs w:val="18"/>
                <w:lang w:eastAsia="pt-BR"/>
              </w:rPr>
            </w:pPr>
            <w:r w:rsidRPr="00144E26">
              <w:rPr>
                <w:rFonts w:ascii="Segoe UI" w:eastAsia="Times New Roman" w:hAnsi="Segoe UI" w:cs="Segoe UI"/>
                <w:b/>
                <w:bCs/>
                <w:color w:val="FFFFFF"/>
                <w:sz w:val="18"/>
                <w:szCs w:val="18"/>
                <w:lang w:eastAsia="pt-BR"/>
              </w:rPr>
              <w:t xml:space="preserve"> Patrimônio </w:t>
            </w:r>
            <w:r w:rsidR="002F4DD6">
              <w:rPr>
                <w:rFonts w:ascii="Segoe UI" w:eastAsia="Times New Roman" w:hAnsi="Segoe UI" w:cs="Segoe UI"/>
                <w:b/>
                <w:bCs/>
                <w:color w:val="FFFFFF"/>
                <w:sz w:val="18"/>
                <w:szCs w:val="18"/>
                <w:lang w:eastAsia="pt-BR"/>
              </w:rPr>
              <w:t>l</w:t>
            </w:r>
            <w:r w:rsidR="0048765C" w:rsidRPr="00144E26">
              <w:rPr>
                <w:rFonts w:ascii="Segoe UI" w:eastAsia="Times New Roman" w:hAnsi="Segoe UI" w:cs="Segoe UI"/>
                <w:b/>
                <w:bCs/>
                <w:color w:val="FFFFFF"/>
                <w:sz w:val="18"/>
                <w:szCs w:val="18"/>
                <w:lang w:eastAsia="pt-BR"/>
              </w:rPr>
              <w:t>íquido</w:t>
            </w:r>
            <w:r w:rsidRPr="00144E26">
              <w:rPr>
                <w:rFonts w:ascii="Segoe UI" w:eastAsia="Times New Roman" w:hAnsi="Segoe UI" w:cs="Segoe UI"/>
                <w:b/>
                <w:bCs/>
                <w:color w:val="FFFFFF"/>
                <w:sz w:val="18"/>
                <w:szCs w:val="18"/>
                <w:lang w:eastAsia="pt-BR"/>
              </w:rPr>
              <w:t xml:space="preserve"> </w:t>
            </w:r>
          </w:p>
        </w:tc>
        <w:tc>
          <w:tcPr>
            <w:tcW w:w="875" w:type="pct"/>
            <w:tcBorders>
              <w:left w:val="nil"/>
              <w:right w:val="nil"/>
            </w:tcBorders>
            <w:shd w:val="clear" w:color="000000" w:fill="1B80C4"/>
            <w:vAlign w:val="center"/>
            <w:hideMark/>
          </w:tcPr>
          <w:p w14:paraId="7E107E19" w14:textId="48EB27E1" w:rsidR="008E58AC" w:rsidRPr="00144E26" w:rsidRDefault="008E58AC" w:rsidP="008E58AC">
            <w:pPr>
              <w:spacing w:after="0" w:line="240" w:lineRule="auto"/>
              <w:jc w:val="center"/>
              <w:rPr>
                <w:rFonts w:ascii="Segoe UI" w:eastAsia="Times New Roman" w:hAnsi="Segoe UI" w:cs="Segoe UI"/>
                <w:b/>
                <w:bCs/>
                <w:color w:val="FFFFFF"/>
                <w:sz w:val="18"/>
                <w:szCs w:val="18"/>
                <w:lang w:eastAsia="pt-BR"/>
              </w:rPr>
            </w:pPr>
            <w:r w:rsidRPr="00144E26">
              <w:rPr>
                <w:rFonts w:ascii="Segoe UI" w:eastAsia="Times New Roman" w:hAnsi="Segoe UI" w:cs="Segoe UI"/>
                <w:b/>
                <w:bCs/>
                <w:color w:val="FFFFFF"/>
                <w:sz w:val="18"/>
                <w:szCs w:val="18"/>
                <w:lang w:eastAsia="pt-BR"/>
              </w:rPr>
              <w:t xml:space="preserve"> Participação no Capital </w:t>
            </w:r>
            <w:r w:rsidR="002F4DD6">
              <w:rPr>
                <w:rFonts w:ascii="Segoe UI" w:eastAsia="Times New Roman" w:hAnsi="Segoe UI" w:cs="Segoe UI"/>
                <w:b/>
                <w:bCs/>
                <w:color w:val="FFFFFF"/>
                <w:sz w:val="18"/>
                <w:szCs w:val="18"/>
                <w:lang w:eastAsia="pt-BR"/>
              </w:rPr>
              <w:t>s</w:t>
            </w:r>
            <w:r w:rsidRPr="00144E26">
              <w:rPr>
                <w:rFonts w:ascii="Segoe UI" w:eastAsia="Times New Roman" w:hAnsi="Segoe UI" w:cs="Segoe UI"/>
                <w:b/>
                <w:bCs/>
                <w:color w:val="FFFFFF"/>
                <w:sz w:val="18"/>
                <w:szCs w:val="18"/>
                <w:lang w:eastAsia="pt-BR"/>
              </w:rPr>
              <w:t xml:space="preserve">ocial (%) </w:t>
            </w:r>
          </w:p>
        </w:tc>
        <w:tc>
          <w:tcPr>
            <w:tcW w:w="840" w:type="pct"/>
            <w:tcBorders>
              <w:left w:val="nil"/>
              <w:right w:val="nil"/>
            </w:tcBorders>
            <w:shd w:val="clear" w:color="000000" w:fill="1B80C4"/>
            <w:vAlign w:val="center"/>
            <w:hideMark/>
          </w:tcPr>
          <w:p w14:paraId="59C2758C" w14:textId="77777777" w:rsidR="008E58AC" w:rsidRPr="00144E26" w:rsidRDefault="008E58AC" w:rsidP="008E58AC">
            <w:pPr>
              <w:spacing w:after="0" w:line="240" w:lineRule="auto"/>
              <w:jc w:val="center"/>
              <w:rPr>
                <w:rFonts w:ascii="Segoe UI" w:eastAsia="Times New Roman" w:hAnsi="Segoe UI" w:cs="Segoe UI"/>
                <w:b/>
                <w:bCs/>
                <w:color w:val="FFFFFF"/>
                <w:sz w:val="18"/>
                <w:szCs w:val="18"/>
                <w:lang w:eastAsia="pt-BR"/>
              </w:rPr>
            </w:pPr>
            <w:r w:rsidRPr="00144E26">
              <w:rPr>
                <w:rFonts w:ascii="Segoe UI" w:eastAsia="Times New Roman" w:hAnsi="Segoe UI" w:cs="Segoe UI"/>
                <w:b/>
                <w:bCs/>
                <w:color w:val="FFFFFF"/>
                <w:sz w:val="18"/>
                <w:szCs w:val="18"/>
                <w:lang w:eastAsia="pt-BR"/>
              </w:rPr>
              <w:t xml:space="preserve"> Participação nas Ações Ordinárias (%) </w:t>
            </w:r>
          </w:p>
        </w:tc>
      </w:tr>
      <w:tr w:rsidR="008E58AC" w:rsidRPr="00144E26" w14:paraId="7BBF89B2" w14:textId="77777777" w:rsidTr="00482C5E">
        <w:trPr>
          <w:trHeight w:val="23"/>
        </w:trPr>
        <w:tc>
          <w:tcPr>
            <w:tcW w:w="1570" w:type="pct"/>
            <w:tcBorders>
              <w:left w:val="nil"/>
              <w:bottom w:val="nil"/>
              <w:right w:val="nil"/>
            </w:tcBorders>
            <w:shd w:val="clear" w:color="auto" w:fill="auto"/>
            <w:noWrap/>
            <w:vAlign w:val="center"/>
            <w:hideMark/>
          </w:tcPr>
          <w:p w14:paraId="54AD1B05" w14:textId="77777777" w:rsidR="008E58AC" w:rsidRPr="00144E26" w:rsidRDefault="008E58AC" w:rsidP="008E58AC">
            <w:pPr>
              <w:spacing w:after="0" w:line="240" w:lineRule="auto"/>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Eletronuclear S.A.</w:t>
            </w:r>
          </w:p>
        </w:tc>
        <w:tc>
          <w:tcPr>
            <w:tcW w:w="860" w:type="pct"/>
            <w:tcBorders>
              <w:left w:val="nil"/>
              <w:bottom w:val="nil"/>
              <w:right w:val="nil"/>
            </w:tcBorders>
            <w:shd w:val="clear" w:color="auto" w:fill="auto"/>
            <w:noWrap/>
            <w:vAlign w:val="bottom"/>
            <w:hideMark/>
          </w:tcPr>
          <w:p w14:paraId="0FF27D57" w14:textId="7FF8E8CB" w:rsidR="008E58AC" w:rsidRPr="00144E26" w:rsidRDefault="008E58AC" w:rsidP="00515246">
            <w:pPr>
              <w:spacing w:after="0" w:line="240" w:lineRule="auto"/>
              <w:jc w:val="right"/>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15.493.956</w:t>
            </w:r>
          </w:p>
        </w:tc>
        <w:tc>
          <w:tcPr>
            <w:tcW w:w="855" w:type="pct"/>
            <w:tcBorders>
              <w:left w:val="nil"/>
              <w:bottom w:val="nil"/>
              <w:right w:val="nil"/>
            </w:tcBorders>
            <w:shd w:val="clear" w:color="auto" w:fill="auto"/>
            <w:noWrap/>
            <w:vAlign w:val="bottom"/>
            <w:hideMark/>
          </w:tcPr>
          <w:p w14:paraId="64BF2302" w14:textId="71BD812C" w:rsidR="008E58AC" w:rsidRPr="00144E26" w:rsidRDefault="008E58AC" w:rsidP="00515246">
            <w:pPr>
              <w:spacing w:after="0" w:line="240" w:lineRule="auto"/>
              <w:jc w:val="right"/>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10.578.406</w:t>
            </w:r>
          </w:p>
        </w:tc>
        <w:tc>
          <w:tcPr>
            <w:tcW w:w="875" w:type="pct"/>
            <w:tcBorders>
              <w:left w:val="nil"/>
              <w:bottom w:val="nil"/>
              <w:right w:val="nil"/>
            </w:tcBorders>
            <w:shd w:val="clear" w:color="auto" w:fill="auto"/>
            <w:noWrap/>
            <w:vAlign w:val="bottom"/>
            <w:hideMark/>
          </w:tcPr>
          <w:p w14:paraId="13AEEA9B" w14:textId="77777777" w:rsidR="008E58AC" w:rsidRPr="00144E26" w:rsidRDefault="008E58AC" w:rsidP="008E58AC">
            <w:pPr>
              <w:spacing w:after="0" w:line="240" w:lineRule="auto"/>
              <w:jc w:val="right"/>
              <w:rPr>
                <w:rFonts w:ascii="Segoe UI" w:eastAsia="Times New Roman" w:hAnsi="Segoe UI" w:cs="Segoe UI"/>
                <w:sz w:val="18"/>
                <w:szCs w:val="18"/>
                <w:lang w:eastAsia="pt-BR"/>
              </w:rPr>
            </w:pPr>
            <w:r w:rsidRPr="00144E26">
              <w:rPr>
                <w:rFonts w:ascii="Segoe UI" w:eastAsia="Times New Roman" w:hAnsi="Segoe UI" w:cs="Segoe UI"/>
                <w:sz w:val="18"/>
                <w:szCs w:val="18"/>
                <w:lang w:eastAsia="pt-BR"/>
              </w:rPr>
              <w:t>32,0480%</w:t>
            </w:r>
          </w:p>
        </w:tc>
        <w:tc>
          <w:tcPr>
            <w:tcW w:w="840" w:type="pct"/>
            <w:tcBorders>
              <w:left w:val="nil"/>
              <w:bottom w:val="nil"/>
              <w:right w:val="nil"/>
            </w:tcBorders>
            <w:shd w:val="clear" w:color="auto" w:fill="auto"/>
            <w:noWrap/>
            <w:vAlign w:val="bottom"/>
            <w:hideMark/>
          </w:tcPr>
          <w:p w14:paraId="386AFED9" w14:textId="77777777" w:rsidR="008E58AC" w:rsidRPr="00144E26" w:rsidRDefault="008E58AC" w:rsidP="008E58AC">
            <w:pPr>
              <w:spacing w:after="0" w:line="240" w:lineRule="auto"/>
              <w:jc w:val="right"/>
              <w:rPr>
                <w:rFonts w:ascii="Segoe UI" w:eastAsia="Times New Roman" w:hAnsi="Segoe UI" w:cs="Segoe UI"/>
                <w:sz w:val="18"/>
                <w:szCs w:val="18"/>
                <w:lang w:eastAsia="pt-BR"/>
              </w:rPr>
            </w:pPr>
            <w:r w:rsidRPr="00144E26">
              <w:rPr>
                <w:rFonts w:ascii="Segoe UI" w:eastAsia="Times New Roman" w:hAnsi="Segoe UI" w:cs="Segoe UI"/>
                <w:sz w:val="18"/>
                <w:szCs w:val="18"/>
                <w:lang w:eastAsia="pt-BR"/>
              </w:rPr>
              <w:t>64,1000%</w:t>
            </w:r>
          </w:p>
        </w:tc>
      </w:tr>
      <w:tr w:rsidR="008E58AC" w:rsidRPr="00144E26" w14:paraId="1011A462" w14:textId="77777777" w:rsidTr="008E58AC">
        <w:trPr>
          <w:trHeight w:val="23"/>
        </w:trPr>
        <w:tc>
          <w:tcPr>
            <w:tcW w:w="1570" w:type="pct"/>
            <w:tcBorders>
              <w:top w:val="nil"/>
              <w:left w:val="nil"/>
              <w:bottom w:val="nil"/>
              <w:right w:val="nil"/>
            </w:tcBorders>
            <w:shd w:val="clear" w:color="auto" w:fill="auto"/>
            <w:noWrap/>
            <w:vAlign w:val="center"/>
            <w:hideMark/>
          </w:tcPr>
          <w:p w14:paraId="7E125AB6" w14:textId="77777777" w:rsidR="008E58AC" w:rsidRPr="00144E26" w:rsidRDefault="008E58AC" w:rsidP="008E58AC">
            <w:pPr>
              <w:spacing w:after="0" w:line="240" w:lineRule="auto"/>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 xml:space="preserve">Indústrias Nucleares do Brasil S.A </w:t>
            </w:r>
          </w:p>
        </w:tc>
        <w:tc>
          <w:tcPr>
            <w:tcW w:w="860" w:type="pct"/>
            <w:tcBorders>
              <w:top w:val="nil"/>
              <w:left w:val="nil"/>
              <w:bottom w:val="nil"/>
              <w:right w:val="nil"/>
            </w:tcBorders>
            <w:shd w:val="clear" w:color="auto" w:fill="auto"/>
            <w:noWrap/>
            <w:vAlign w:val="bottom"/>
            <w:hideMark/>
          </w:tcPr>
          <w:p w14:paraId="212EEB6F" w14:textId="62894E4C" w:rsidR="008E58AC" w:rsidRPr="00144E26" w:rsidRDefault="008E58AC" w:rsidP="00515246">
            <w:pPr>
              <w:spacing w:after="0" w:line="240" w:lineRule="auto"/>
              <w:jc w:val="right"/>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593.735</w:t>
            </w:r>
          </w:p>
        </w:tc>
        <w:tc>
          <w:tcPr>
            <w:tcW w:w="855" w:type="pct"/>
            <w:tcBorders>
              <w:top w:val="nil"/>
              <w:left w:val="nil"/>
              <w:bottom w:val="nil"/>
              <w:right w:val="nil"/>
            </w:tcBorders>
            <w:shd w:val="clear" w:color="auto" w:fill="auto"/>
            <w:noWrap/>
            <w:vAlign w:val="bottom"/>
            <w:hideMark/>
          </w:tcPr>
          <w:p w14:paraId="200AC9C8" w14:textId="6B94392C" w:rsidR="008E58AC" w:rsidRPr="00144E26" w:rsidRDefault="008E58AC" w:rsidP="00515246">
            <w:pPr>
              <w:spacing w:after="0" w:line="240" w:lineRule="auto"/>
              <w:jc w:val="right"/>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1.242.087</w:t>
            </w:r>
          </w:p>
        </w:tc>
        <w:tc>
          <w:tcPr>
            <w:tcW w:w="875" w:type="pct"/>
            <w:tcBorders>
              <w:top w:val="nil"/>
              <w:left w:val="nil"/>
              <w:bottom w:val="nil"/>
              <w:right w:val="nil"/>
            </w:tcBorders>
            <w:shd w:val="clear" w:color="auto" w:fill="auto"/>
            <w:noWrap/>
            <w:vAlign w:val="bottom"/>
            <w:hideMark/>
          </w:tcPr>
          <w:p w14:paraId="58EBC9EF" w14:textId="77777777" w:rsidR="008E58AC" w:rsidRPr="00144E26" w:rsidRDefault="008E58AC" w:rsidP="008E58AC">
            <w:pPr>
              <w:spacing w:after="0" w:line="240" w:lineRule="auto"/>
              <w:jc w:val="right"/>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99,9985%</w:t>
            </w:r>
          </w:p>
        </w:tc>
        <w:tc>
          <w:tcPr>
            <w:tcW w:w="840" w:type="pct"/>
            <w:tcBorders>
              <w:top w:val="nil"/>
              <w:left w:val="nil"/>
              <w:bottom w:val="nil"/>
              <w:right w:val="nil"/>
            </w:tcBorders>
            <w:shd w:val="clear" w:color="auto" w:fill="auto"/>
            <w:noWrap/>
            <w:vAlign w:val="bottom"/>
            <w:hideMark/>
          </w:tcPr>
          <w:p w14:paraId="68AEAC37" w14:textId="77777777" w:rsidR="008E58AC" w:rsidRPr="00144E26" w:rsidRDefault="008E58AC" w:rsidP="008E58AC">
            <w:pPr>
              <w:spacing w:after="0" w:line="240" w:lineRule="auto"/>
              <w:jc w:val="right"/>
              <w:rPr>
                <w:rFonts w:ascii="Segoe UI" w:eastAsia="Times New Roman" w:hAnsi="Segoe UI" w:cs="Segoe UI"/>
                <w:color w:val="000000"/>
                <w:sz w:val="18"/>
                <w:szCs w:val="18"/>
                <w:lang w:eastAsia="pt-BR"/>
              </w:rPr>
            </w:pPr>
            <w:r w:rsidRPr="00144E26">
              <w:rPr>
                <w:rFonts w:ascii="Segoe UI" w:eastAsia="Times New Roman" w:hAnsi="Segoe UI" w:cs="Segoe UI"/>
                <w:color w:val="000000"/>
                <w:sz w:val="18"/>
                <w:szCs w:val="18"/>
                <w:lang w:eastAsia="pt-BR"/>
              </w:rPr>
              <w:t>99,9985%</w:t>
            </w:r>
          </w:p>
        </w:tc>
      </w:tr>
    </w:tbl>
    <w:p w14:paraId="4C8BF1FF" w14:textId="77777777" w:rsidR="00704D25" w:rsidRPr="000757BC" w:rsidRDefault="00704D25" w:rsidP="00C871E0">
      <w:pPr>
        <w:jc w:val="both"/>
        <w:rPr>
          <w:rFonts w:ascii="Segoe UI" w:hAnsi="Segoe UI" w:cs="Segoe UI"/>
          <w:b/>
          <w:bdr w:val="nil"/>
        </w:rPr>
      </w:pPr>
    </w:p>
    <w:p w14:paraId="47C74880" w14:textId="0F41A547" w:rsidR="00E94D02" w:rsidRDefault="00E94D02" w:rsidP="00491920">
      <w:pPr>
        <w:rPr>
          <w:rFonts w:ascii="Segoe UI" w:hAnsi="Segoe UI" w:cs="Segoe UI"/>
          <w:b/>
          <w:color w:val="0070C0"/>
        </w:rPr>
      </w:pPr>
      <w:r w:rsidRPr="000757BC">
        <w:rPr>
          <w:rFonts w:ascii="Segoe UI" w:hAnsi="Segoe UI" w:cs="Segoe UI"/>
          <w:b/>
          <w:color w:val="0070C0"/>
        </w:rPr>
        <w:t>1</w:t>
      </w:r>
      <w:r w:rsidR="00C21804">
        <w:rPr>
          <w:rFonts w:ascii="Segoe UI" w:hAnsi="Segoe UI" w:cs="Segoe UI"/>
          <w:b/>
          <w:color w:val="0070C0"/>
        </w:rPr>
        <w:t>2</w:t>
      </w:r>
      <w:r w:rsidRPr="000757BC">
        <w:rPr>
          <w:rFonts w:ascii="Segoe UI" w:hAnsi="Segoe UI" w:cs="Segoe UI"/>
          <w:b/>
          <w:color w:val="0070C0"/>
        </w:rPr>
        <w:t>.2.</w:t>
      </w:r>
      <w:r w:rsidR="0048765C">
        <w:rPr>
          <w:rFonts w:ascii="Segoe UI" w:hAnsi="Segoe UI" w:cs="Segoe UI"/>
          <w:b/>
          <w:color w:val="0070C0"/>
        </w:rPr>
        <w:t>2</w:t>
      </w:r>
      <w:r w:rsidRPr="000757BC">
        <w:rPr>
          <w:rFonts w:ascii="Segoe UI" w:hAnsi="Segoe UI" w:cs="Segoe UI"/>
          <w:b/>
          <w:color w:val="0070C0"/>
        </w:rPr>
        <w:t xml:space="preserve">- Informações </w:t>
      </w:r>
      <w:r w:rsidR="00476921">
        <w:rPr>
          <w:rFonts w:ascii="Segoe UI" w:hAnsi="Segoe UI" w:cs="Segoe UI"/>
          <w:b/>
          <w:color w:val="0070C0"/>
        </w:rPr>
        <w:t>f</w:t>
      </w:r>
      <w:r w:rsidRPr="000757BC">
        <w:rPr>
          <w:rFonts w:ascii="Segoe UI" w:hAnsi="Segoe UI" w:cs="Segoe UI"/>
          <w:b/>
          <w:color w:val="0070C0"/>
        </w:rPr>
        <w:t xml:space="preserve">inanceiras </w:t>
      </w:r>
      <w:r w:rsidR="00476921">
        <w:rPr>
          <w:rFonts w:ascii="Segoe UI" w:hAnsi="Segoe UI" w:cs="Segoe UI"/>
          <w:b/>
          <w:color w:val="0070C0"/>
        </w:rPr>
        <w:t>r</w:t>
      </w:r>
      <w:r w:rsidRPr="000757BC">
        <w:rPr>
          <w:rFonts w:ascii="Segoe UI" w:hAnsi="Segoe UI" w:cs="Segoe UI"/>
          <w:b/>
          <w:color w:val="0070C0"/>
        </w:rPr>
        <w:t>esumidas</w:t>
      </w:r>
    </w:p>
    <w:tbl>
      <w:tblPr>
        <w:tblW w:w="5000" w:type="pct"/>
        <w:tblCellMar>
          <w:left w:w="70" w:type="dxa"/>
          <w:right w:w="70" w:type="dxa"/>
        </w:tblCellMar>
        <w:tblLook w:val="04A0" w:firstRow="1" w:lastRow="0" w:firstColumn="1" w:lastColumn="0" w:noHBand="0" w:noVBand="1"/>
      </w:tblPr>
      <w:tblGrid>
        <w:gridCol w:w="5947"/>
        <w:gridCol w:w="1763"/>
        <w:gridCol w:w="203"/>
        <w:gridCol w:w="1584"/>
      </w:tblGrid>
      <w:tr w:rsidR="00FE4662" w:rsidRPr="00FE4662" w14:paraId="5B0B9048" w14:textId="77777777" w:rsidTr="00BC792D">
        <w:trPr>
          <w:trHeight w:val="240"/>
        </w:trPr>
        <w:tc>
          <w:tcPr>
            <w:tcW w:w="3131" w:type="pct"/>
            <w:tcBorders>
              <w:top w:val="nil"/>
              <w:left w:val="nil"/>
              <w:bottom w:val="nil"/>
              <w:right w:val="nil"/>
            </w:tcBorders>
            <w:shd w:val="clear" w:color="auto" w:fill="auto"/>
            <w:noWrap/>
            <w:vAlign w:val="center"/>
            <w:hideMark/>
          </w:tcPr>
          <w:p w14:paraId="442DAE0B" w14:textId="77777777" w:rsidR="00FE4662" w:rsidRPr="00FE4662" w:rsidRDefault="00FE4662" w:rsidP="00FE4662">
            <w:pPr>
              <w:spacing w:after="0" w:line="240" w:lineRule="auto"/>
              <w:rPr>
                <w:rFonts w:ascii="Segoe UI" w:eastAsia="Times New Roman" w:hAnsi="Segoe UI" w:cs="Segoe UI"/>
                <w:b/>
                <w:bCs/>
                <w:sz w:val="18"/>
                <w:szCs w:val="18"/>
                <w:lang w:eastAsia="pt-BR"/>
              </w:rPr>
            </w:pPr>
            <w:r w:rsidRPr="00FE4662">
              <w:rPr>
                <w:rFonts w:ascii="Segoe UI" w:eastAsia="Times New Roman" w:hAnsi="Segoe UI" w:cs="Segoe UI"/>
                <w:b/>
                <w:bCs/>
                <w:sz w:val="18"/>
                <w:szCs w:val="18"/>
                <w:lang w:eastAsia="pt-BR"/>
              </w:rPr>
              <w:t xml:space="preserve">ATIVO </w:t>
            </w:r>
          </w:p>
        </w:tc>
        <w:tc>
          <w:tcPr>
            <w:tcW w:w="928" w:type="pct"/>
            <w:tcBorders>
              <w:top w:val="nil"/>
              <w:left w:val="nil"/>
              <w:bottom w:val="nil"/>
              <w:right w:val="nil"/>
            </w:tcBorders>
            <w:shd w:val="clear" w:color="000000" w:fill="1B80C4"/>
            <w:noWrap/>
            <w:vAlign w:val="bottom"/>
            <w:hideMark/>
          </w:tcPr>
          <w:p w14:paraId="277AB89C" w14:textId="77777777" w:rsidR="00BC792D" w:rsidRPr="00FE4662" w:rsidRDefault="00FE4662" w:rsidP="00BC792D">
            <w:pPr>
              <w:spacing w:after="0" w:line="240" w:lineRule="auto"/>
              <w:jc w:val="center"/>
              <w:rPr>
                <w:rFonts w:ascii="Segoe UI" w:eastAsia="Times New Roman" w:hAnsi="Segoe UI" w:cs="Segoe UI"/>
                <w:b/>
                <w:bCs/>
                <w:color w:val="FFFFFF"/>
                <w:sz w:val="18"/>
                <w:szCs w:val="18"/>
                <w:lang w:eastAsia="pt-BR"/>
              </w:rPr>
            </w:pPr>
            <w:r w:rsidRPr="00FE4662">
              <w:rPr>
                <w:rFonts w:ascii="Segoe UI" w:eastAsia="Times New Roman" w:hAnsi="Segoe UI" w:cs="Segoe UI"/>
                <w:b/>
                <w:bCs/>
                <w:color w:val="FFFFFF"/>
                <w:sz w:val="18"/>
                <w:szCs w:val="18"/>
                <w:lang w:eastAsia="pt-BR"/>
              </w:rPr>
              <w:t xml:space="preserve"> Eletronuclear </w:t>
            </w:r>
          </w:p>
        </w:tc>
        <w:tc>
          <w:tcPr>
            <w:tcW w:w="107" w:type="pct"/>
            <w:tcBorders>
              <w:top w:val="nil"/>
              <w:left w:val="nil"/>
              <w:bottom w:val="nil"/>
              <w:right w:val="nil"/>
            </w:tcBorders>
            <w:shd w:val="clear" w:color="000000" w:fill="1B80C4"/>
            <w:noWrap/>
            <w:vAlign w:val="bottom"/>
            <w:hideMark/>
          </w:tcPr>
          <w:p w14:paraId="2A08FFA1" w14:textId="77777777" w:rsidR="00FE4662" w:rsidRPr="00FE4662" w:rsidRDefault="00FE4662" w:rsidP="00FE4662">
            <w:pPr>
              <w:spacing w:after="0" w:line="240" w:lineRule="auto"/>
              <w:jc w:val="center"/>
              <w:rPr>
                <w:rFonts w:ascii="Segoe UI" w:eastAsia="Times New Roman" w:hAnsi="Segoe UI" w:cs="Segoe UI"/>
                <w:b/>
                <w:bCs/>
                <w:color w:val="FFFFFF"/>
                <w:sz w:val="18"/>
                <w:szCs w:val="18"/>
                <w:lang w:eastAsia="pt-BR"/>
              </w:rPr>
            </w:pPr>
            <w:r w:rsidRPr="00FE4662">
              <w:rPr>
                <w:rFonts w:ascii="Segoe UI" w:eastAsia="Times New Roman" w:hAnsi="Segoe UI" w:cs="Segoe UI"/>
                <w:b/>
                <w:bCs/>
                <w:color w:val="FFFFFF"/>
                <w:sz w:val="18"/>
                <w:szCs w:val="18"/>
                <w:lang w:eastAsia="pt-BR"/>
              </w:rPr>
              <w:t> </w:t>
            </w:r>
          </w:p>
        </w:tc>
        <w:tc>
          <w:tcPr>
            <w:tcW w:w="834" w:type="pct"/>
            <w:tcBorders>
              <w:top w:val="nil"/>
              <w:left w:val="nil"/>
              <w:bottom w:val="nil"/>
              <w:right w:val="nil"/>
            </w:tcBorders>
            <w:shd w:val="clear" w:color="000000" w:fill="1B80C4"/>
            <w:noWrap/>
            <w:vAlign w:val="bottom"/>
            <w:hideMark/>
          </w:tcPr>
          <w:p w14:paraId="36439DDA" w14:textId="77777777" w:rsidR="00FE4662" w:rsidRPr="00FE4662" w:rsidRDefault="00FE4662" w:rsidP="00FE4662">
            <w:pPr>
              <w:spacing w:after="0" w:line="240" w:lineRule="auto"/>
              <w:jc w:val="center"/>
              <w:rPr>
                <w:rFonts w:ascii="Segoe UI" w:eastAsia="Times New Roman" w:hAnsi="Segoe UI" w:cs="Segoe UI"/>
                <w:b/>
                <w:bCs/>
                <w:color w:val="FFFFFF"/>
                <w:sz w:val="18"/>
                <w:szCs w:val="18"/>
                <w:lang w:eastAsia="pt-BR"/>
              </w:rPr>
            </w:pPr>
            <w:r w:rsidRPr="00FE4662">
              <w:rPr>
                <w:rFonts w:ascii="Segoe UI" w:eastAsia="Times New Roman" w:hAnsi="Segoe UI" w:cs="Segoe UI"/>
                <w:b/>
                <w:bCs/>
                <w:color w:val="FFFFFF"/>
                <w:sz w:val="18"/>
                <w:szCs w:val="18"/>
                <w:lang w:eastAsia="pt-BR"/>
              </w:rPr>
              <w:t xml:space="preserve"> INB </w:t>
            </w:r>
          </w:p>
        </w:tc>
      </w:tr>
      <w:tr w:rsidR="00FE4662" w:rsidRPr="00FE4662" w14:paraId="727CA645" w14:textId="77777777" w:rsidTr="00BC792D">
        <w:trPr>
          <w:trHeight w:val="240"/>
        </w:trPr>
        <w:tc>
          <w:tcPr>
            <w:tcW w:w="3131" w:type="pct"/>
            <w:tcBorders>
              <w:top w:val="nil"/>
              <w:left w:val="nil"/>
              <w:bottom w:val="nil"/>
              <w:right w:val="nil"/>
            </w:tcBorders>
            <w:shd w:val="clear" w:color="auto" w:fill="auto"/>
            <w:noWrap/>
            <w:vAlign w:val="center"/>
            <w:hideMark/>
          </w:tcPr>
          <w:p w14:paraId="65AAFD0F"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Caixa e equivalente de caixa </w:t>
            </w:r>
          </w:p>
        </w:tc>
        <w:tc>
          <w:tcPr>
            <w:tcW w:w="928" w:type="pct"/>
            <w:tcBorders>
              <w:top w:val="nil"/>
              <w:left w:val="nil"/>
              <w:bottom w:val="nil"/>
              <w:right w:val="nil"/>
            </w:tcBorders>
            <w:shd w:val="clear" w:color="auto" w:fill="auto"/>
            <w:noWrap/>
            <w:vAlign w:val="center"/>
            <w:hideMark/>
          </w:tcPr>
          <w:p w14:paraId="6BBB1FA8"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32.471 </w:t>
            </w:r>
          </w:p>
        </w:tc>
        <w:tc>
          <w:tcPr>
            <w:tcW w:w="107" w:type="pct"/>
            <w:tcBorders>
              <w:top w:val="nil"/>
              <w:left w:val="nil"/>
              <w:bottom w:val="nil"/>
              <w:right w:val="nil"/>
            </w:tcBorders>
            <w:shd w:val="clear" w:color="auto" w:fill="auto"/>
            <w:noWrap/>
            <w:vAlign w:val="center"/>
            <w:hideMark/>
          </w:tcPr>
          <w:p w14:paraId="04BA6FDD"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7F622043"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769.044 </w:t>
            </w:r>
          </w:p>
        </w:tc>
      </w:tr>
      <w:tr w:rsidR="00FE4662" w:rsidRPr="00FE4662" w14:paraId="0F4704F7" w14:textId="77777777" w:rsidTr="00BC792D">
        <w:trPr>
          <w:trHeight w:val="240"/>
        </w:trPr>
        <w:tc>
          <w:tcPr>
            <w:tcW w:w="3131" w:type="pct"/>
            <w:tcBorders>
              <w:top w:val="nil"/>
              <w:left w:val="nil"/>
              <w:bottom w:val="nil"/>
              <w:right w:val="nil"/>
            </w:tcBorders>
            <w:shd w:val="clear" w:color="auto" w:fill="auto"/>
            <w:noWrap/>
            <w:vAlign w:val="center"/>
            <w:hideMark/>
          </w:tcPr>
          <w:p w14:paraId="33038FB1" w14:textId="4F4505CF"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Títulos e valores mobiliários</w:t>
            </w:r>
            <w:r w:rsidR="00BA0F2B">
              <w:rPr>
                <w:rFonts w:ascii="Segoe UI" w:eastAsia="Times New Roman" w:hAnsi="Segoe UI" w:cs="Segoe UI"/>
                <w:sz w:val="18"/>
                <w:szCs w:val="18"/>
                <w:lang w:eastAsia="pt-BR"/>
              </w:rPr>
              <w:t xml:space="preserve"> e </w:t>
            </w:r>
            <w:r w:rsidR="005237DA">
              <w:rPr>
                <w:rFonts w:ascii="Segoe UI" w:eastAsia="Times New Roman" w:hAnsi="Segoe UI" w:cs="Segoe UI"/>
                <w:sz w:val="18"/>
                <w:szCs w:val="18"/>
                <w:lang w:eastAsia="pt-BR"/>
              </w:rPr>
              <w:t>fundo de descomissionamento</w:t>
            </w:r>
            <w:r w:rsidRPr="00FE4662">
              <w:rPr>
                <w:rFonts w:ascii="Segoe UI" w:eastAsia="Times New Roman" w:hAnsi="Segoe UI" w:cs="Segoe UI"/>
                <w:sz w:val="18"/>
                <w:szCs w:val="18"/>
                <w:lang w:eastAsia="pt-BR"/>
              </w:rPr>
              <w:t xml:space="preserve"> </w:t>
            </w:r>
          </w:p>
        </w:tc>
        <w:tc>
          <w:tcPr>
            <w:tcW w:w="928" w:type="pct"/>
            <w:tcBorders>
              <w:top w:val="nil"/>
              <w:left w:val="nil"/>
              <w:bottom w:val="nil"/>
              <w:right w:val="nil"/>
            </w:tcBorders>
            <w:shd w:val="clear" w:color="auto" w:fill="auto"/>
            <w:noWrap/>
            <w:vAlign w:val="center"/>
            <w:hideMark/>
          </w:tcPr>
          <w:p w14:paraId="2AAC3F10"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5.315.400 </w:t>
            </w:r>
          </w:p>
        </w:tc>
        <w:tc>
          <w:tcPr>
            <w:tcW w:w="107" w:type="pct"/>
            <w:tcBorders>
              <w:top w:val="nil"/>
              <w:left w:val="nil"/>
              <w:bottom w:val="nil"/>
              <w:right w:val="nil"/>
            </w:tcBorders>
            <w:shd w:val="clear" w:color="auto" w:fill="auto"/>
            <w:noWrap/>
            <w:vAlign w:val="center"/>
            <w:hideMark/>
          </w:tcPr>
          <w:p w14:paraId="2CFC0069"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5AA88D71"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   </w:t>
            </w:r>
          </w:p>
        </w:tc>
      </w:tr>
      <w:tr w:rsidR="00FE4662" w:rsidRPr="00FE4662" w14:paraId="6CD4DC3F" w14:textId="77777777" w:rsidTr="00BC792D">
        <w:trPr>
          <w:trHeight w:val="240"/>
        </w:trPr>
        <w:tc>
          <w:tcPr>
            <w:tcW w:w="3131" w:type="pct"/>
            <w:tcBorders>
              <w:top w:val="nil"/>
              <w:left w:val="nil"/>
              <w:bottom w:val="nil"/>
              <w:right w:val="nil"/>
            </w:tcBorders>
            <w:shd w:val="clear" w:color="auto" w:fill="auto"/>
            <w:noWrap/>
            <w:vAlign w:val="center"/>
            <w:hideMark/>
          </w:tcPr>
          <w:p w14:paraId="32963433"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Impostos </w:t>
            </w:r>
          </w:p>
        </w:tc>
        <w:tc>
          <w:tcPr>
            <w:tcW w:w="928" w:type="pct"/>
            <w:tcBorders>
              <w:top w:val="nil"/>
              <w:left w:val="nil"/>
              <w:bottom w:val="nil"/>
              <w:right w:val="nil"/>
            </w:tcBorders>
            <w:shd w:val="clear" w:color="auto" w:fill="auto"/>
            <w:noWrap/>
            <w:vAlign w:val="center"/>
            <w:hideMark/>
          </w:tcPr>
          <w:p w14:paraId="475D5268"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80.814 </w:t>
            </w:r>
          </w:p>
        </w:tc>
        <w:tc>
          <w:tcPr>
            <w:tcW w:w="107" w:type="pct"/>
            <w:tcBorders>
              <w:top w:val="nil"/>
              <w:left w:val="nil"/>
              <w:bottom w:val="nil"/>
              <w:right w:val="nil"/>
            </w:tcBorders>
            <w:shd w:val="clear" w:color="auto" w:fill="auto"/>
            <w:noWrap/>
            <w:vAlign w:val="center"/>
            <w:hideMark/>
          </w:tcPr>
          <w:p w14:paraId="622F3D5D"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495213F8"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176.529 </w:t>
            </w:r>
          </w:p>
        </w:tc>
      </w:tr>
      <w:tr w:rsidR="00FE4662" w:rsidRPr="00FE4662" w14:paraId="70C61EC0" w14:textId="77777777" w:rsidTr="00BC792D">
        <w:trPr>
          <w:trHeight w:val="240"/>
        </w:trPr>
        <w:tc>
          <w:tcPr>
            <w:tcW w:w="3131" w:type="pct"/>
            <w:tcBorders>
              <w:top w:val="nil"/>
              <w:left w:val="nil"/>
              <w:bottom w:val="nil"/>
              <w:right w:val="nil"/>
            </w:tcBorders>
            <w:shd w:val="clear" w:color="auto" w:fill="auto"/>
            <w:noWrap/>
            <w:vAlign w:val="center"/>
            <w:hideMark/>
          </w:tcPr>
          <w:p w14:paraId="3D123DD8"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Clientes </w:t>
            </w:r>
          </w:p>
        </w:tc>
        <w:tc>
          <w:tcPr>
            <w:tcW w:w="928" w:type="pct"/>
            <w:tcBorders>
              <w:top w:val="nil"/>
              <w:left w:val="nil"/>
              <w:bottom w:val="nil"/>
              <w:right w:val="nil"/>
            </w:tcBorders>
            <w:shd w:val="clear" w:color="auto" w:fill="auto"/>
            <w:noWrap/>
            <w:vAlign w:val="center"/>
            <w:hideMark/>
          </w:tcPr>
          <w:p w14:paraId="7FDB631A"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480.215 </w:t>
            </w:r>
          </w:p>
        </w:tc>
        <w:tc>
          <w:tcPr>
            <w:tcW w:w="107" w:type="pct"/>
            <w:tcBorders>
              <w:top w:val="nil"/>
              <w:left w:val="nil"/>
              <w:bottom w:val="nil"/>
              <w:right w:val="nil"/>
            </w:tcBorders>
            <w:shd w:val="clear" w:color="auto" w:fill="auto"/>
            <w:noWrap/>
            <w:vAlign w:val="center"/>
            <w:hideMark/>
          </w:tcPr>
          <w:p w14:paraId="1E75E245"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2B76346E"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449.238 </w:t>
            </w:r>
          </w:p>
        </w:tc>
      </w:tr>
      <w:tr w:rsidR="00FE4662" w:rsidRPr="00FE4662" w14:paraId="070664AA" w14:textId="77777777" w:rsidTr="00BC792D">
        <w:trPr>
          <w:trHeight w:val="240"/>
        </w:trPr>
        <w:tc>
          <w:tcPr>
            <w:tcW w:w="3131" w:type="pct"/>
            <w:tcBorders>
              <w:top w:val="nil"/>
              <w:left w:val="nil"/>
              <w:bottom w:val="nil"/>
              <w:right w:val="nil"/>
            </w:tcBorders>
            <w:shd w:val="clear" w:color="auto" w:fill="auto"/>
            <w:noWrap/>
            <w:vAlign w:val="center"/>
            <w:hideMark/>
          </w:tcPr>
          <w:p w14:paraId="7B968DD4"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Estoque de combustível nuclear </w:t>
            </w:r>
          </w:p>
        </w:tc>
        <w:tc>
          <w:tcPr>
            <w:tcW w:w="928" w:type="pct"/>
            <w:tcBorders>
              <w:top w:val="nil"/>
              <w:left w:val="nil"/>
              <w:bottom w:val="nil"/>
              <w:right w:val="nil"/>
            </w:tcBorders>
            <w:shd w:val="clear" w:color="auto" w:fill="auto"/>
            <w:noWrap/>
            <w:vAlign w:val="center"/>
            <w:hideMark/>
          </w:tcPr>
          <w:p w14:paraId="59CBF560"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2.593.163 </w:t>
            </w:r>
          </w:p>
        </w:tc>
        <w:tc>
          <w:tcPr>
            <w:tcW w:w="107" w:type="pct"/>
            <w:tcBorders>
              <w:top w:val="nil"/>
              <w:left w:val="nil"/>
              <w:bottom w:val="nil"/>
              <w:right w:val="nil"/>
            </w:tcBorders>
            <w:shd w:val="clear" w:color="auto" w:fill="auto"/>
            <w:noWrap/>
            <w:vAlign w:val="center"/>
            <w:hideMark/>
          </w:tcPr>
          <w:p w14:paraId="00914B5B"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61048F9D"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1.295.652 </w:t>
            </w:r>
          </w:p>
        </w:tc>
      </w:tr>
      <w:tr w:rsidR="00FE4662" w:rsidRPr="00FE4662" w14:paraId="35AE3DC0" w14:textId="77777777" w:rsidTr="00BC792D">
        <w:trPr>
          <w:trHeight w:val="240"/>
        </w:trPr>
        <w:tc>
          <w:tcPr>
            <w:tcW w:w="3131" w:type="pct"/>
            <w:tcBorders>
              <w:top w:val="nil"/>
              <w:left w:val="nil"/>
              <w:bottom w:val="nil"/>
              <w:right w:val="nil"/>
            </w:tcBorders>
            <w:shd w:val="clear" w:color="auto" w:fill="auto"/>
            <w:noWrap/>
            <w:vAlign w:val="center"/>
            <w:hideMark/>
          </w:tcPr>
          <w:p w14:paraId="1B50788B"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Outros </w:t>
            </w:r>
          </w:p>
        </w:tc>
        <w:tc>
          <w:tcPr>
            <w:tcW w:w="928" w:type="pct"/>
            <w:tcBorders>
              <w:top w:val="nil"/>
              <w:left w:val="nil"/>
              <w:bottom w:val="nil"/>
              <w:right w:val="nil"/>
            </w:tcBorders>
            <w:shd w:val="clear" w:color="auto" w:fill="auto"/>
            <w:noWrap/>
            <w:vAlign w:val="center"/>
            <w:hideMark/>
          </w:tcPr>
          <w:p w14:paraId="792D3B78"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455.332 </w:t>
            </w:r>
          </w:p>
        </w:tc>
        <w:tc>
          <w:tcPr>
            <w:tcW w:w="107" w:type="pct"/>
            <w:tcBorders>
              <w:top w:val="nil"/>
              <w:left w:val="nil"/>
              <w:bottom w:val="nil"/>
              <w:right w:val="nil"/>
            </w:tcBorders>
            <w:shd w:val="clear" w:color="auto" w:fill="auto"/>
            <w:noWrap/>
            <w:vAlign w:val="center"/>
            <w:hideMark/>
          </w:tcPr>
          <w:p w14:paraId="574F55AA"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19964A54"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68.795 </w:t>
            </w:r>
          </w:p>
        </w:tc>
      </w:tr>
      <w:tr w:rsidR="00FE4662" w:rsidRPr="00FE4662" w14:paraId="3FC8DBA2" w14:textId="77777777" w:rsidTr="00BC792D">
        <w:trPr>
          <w:trHeight w:val="240"/>
        </w:trPr>
        <w:tc>
          <w:tcPr>
            <w:tcW w:w="3131" w:type="pct"/>
            <w:tcBorders>
              <w:top w:val="nil"/>
              <w:left w:val="nil"/>
              <w:bottom w:val="nil"/>
              <w:right w:val="nil"/>
            </w:tcBorders>
            <w:shd w:val="clear" w:color="auto" w:fill="auto"/>
            <w:noWrap/>
            <w:vAlign w:val="center"/>
            <w:hideMark/>
          </w:tcPr>
          <w:p w14:paraId="7883C24B"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Investimentos, imobilizado e intangível  </w:t>
            </w:r>
          </w:p>
        </w:tc>
        <w:tc>
          <w:tcPr>
            <w:tcW w:w="928" w:type="pct"/>
            <w:tcBorders>
              <w:top w:val="nil"/>
              <w:left w:val="nil"/>
              <w:bottom w:val="nil"/>
              <w:right w:val="nil"/>
            </w:tcBorders>
            <w:shd w:val="clear" w:color="auto" w:fill="auto"/>
            <w:noWrap/>
            <w:vAlign w:val="center"/>
            <w:hideMark/>
          </w:tcPr>
          <w:p w14:paraId="71C1A563"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13.851.102 </w:t>
            </w:r>
          </w:p>
        </w:tc>
        <w:tc>
          <w:tcPr>
            <w:tcW w:w="107" w:type="pct"/>
            <w:tcBorders>
              <w:top w:val="nil"/>
              <w:left w:val="nil"/>
              <w:bottom w:val="nil"/>
              <w:right w:val="nil"/>
            </w:tcBorders>
            <w:shd w:val="clear" w:color="auto" w:fill="auto"/>
            <w:noWrap/>
            <w:vAlign w:val="center"/>
            <w:hideMark/>
          </w:tcPr>
          <w:p w14:paraId="2CF2C7C5"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78E68D55"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278.995 </w:t>
            </w:r>
          </w:p>
        </w:tc>
      </w:tr>
      <w:tr w:rsidR="00FE4662" w:rsidRPr="00FE4662" w14:paraId="4EA49F36" w14:textId="77777777" w:rsidTr="00BC792D">
        <w:trPr>
          <w:trHeight w:val="255"/>
        </w:trPr>
        <w:tc>
          <w:tcPr>
            <w:tcW w:w="3131" w:type="pct"/>
            <w:tcBorders>
              <w:top w:val="nil"/>
              <w:left w:val="nil"/>
              <w:bottom w:val="nil"/>
              <w:right w:val="nil"/>
            </w:tcBorders>
            <w:shd w:val="clear" w:color="auto" w:fill="auto"/>
            <w:noWrap/>
            <w:vAlign w:val="center"/>
            <w:hideMark/>
          </w:tcPr>
          <w:p w14:paraId="179EA31B" w14:textId="77777777" w:rsidR="00FE4662" w:rsidRPr="00FE4662" w:rsidRDefault="00FE4662" w:rsidP="00FE4662">
            <w:pPr>
              <w:spacing w:after="0" w:line="240" w:lineRule="auto"/>
              <w:rPr>
                <w:rFonts w:ascii="Segoe UI" w:eastAsia="Times New Roman" w:hAnsi="Segoe UI" w:cs="Segoe UI"/>
                <w:b/>
                <w:bCs/>
                <w:sz w:val="18"/>
                <w:szCs w:val="18"/>
                <w:lang w:eastAsia="pt-BR"/>
              </w:rPr>
            </w:pPr>
            <w:r w:rsidRPr="00FE4662">
              <w:rPr>
                <w:rFonts w:ascii="Segoe UI" w:eastAsia="Times New Roman" w:hAnsi="Segoe UI" w:cs="Segoe UI"/>
                <w:b/>
                <w:bCs/>
                <w:sz w:val="18"/>
                <w:szCs w:val="18"/>
                <w:lang w:eastAsia="pt-BR"/>
              </w:rPr>
              <w:t xml:space="preserve"> TOTAL DO ATIVO </w:t>
            </w:r>
          </w:p>
        </w:tc>
        <w:tc>
          <w:tcPr>
            <w:tcW w:w="928" w:type="pct"/>
            <w:tcBorders>
              <w:top w:val="single" w:sz="4" w:space="0" w:color="1B80C4"/>
              <w:left w:val="nil"/>
              <w:bottom w:val="double" w:sz="6" w:space="0" w:color="1B80C4"/>
              <w:right w:val="nil"/>
            </w:tcBorders>
            <w:shd w:val="clear" w:color="auto" w:fill="auto"/>
            <w:noWrap/>
            <w:vAlign w:val="center"/>
            <w:hideMark/>
          </w:tcPr>
          <w:p w14:paraId="3BE400B3"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r w:rsidRPr="00FE4662">
              <w:rPr>
                <w:rFonts w:ascii="Segoe UI" w:eastAsia="Times New Roman" w:hAnsi="Segoe UI" w:cs="Segoe UI"/>
                <w:b/>
                <w:bCs/>
                <w:color w:val="000000"/>
                <w:sz w:val="18"/>
                <w:szCs w:val="18"/>
                <w:lang w:eastAsia="pt-BR"/>
              </w:rPr>
              <w:t xml:space="preserve">       22.808.497 </w:t>
            </w:r>
          </w:p>
        </w:tc>
        <w:tc>
          <w:tcPr>
            <w:tcW w:w="107" w:type="pct"/>
            <w:tcBorders>
              <w:top w:val="nil"/>
              <w:left w:val="nil"/>
              <w:bottom w:val="nil"/>
              <w:right w:val="nil"/>
            </w:tcBorders>
            <w:shd w:val="clear" w:color="auto" w:fill="auto"/>
            <w:noWrap/>
            <w:vAlign w:val="center"/>
            <w:hideMark/>
          </w:tcPr>
          <w:p w14:paraId="34FBAE37"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p>
        </w:tc>
        <w:tc>
          <w:tcPr>
            <w:tcW w:w="834" w:type="pct"/>
            <w:tcBorders>
              <w:top w:val="single" w:sz="4" w:space="0" w:color="1B80C4"/>
              <w:left w:val="nil"/>
              <w:bottom w:val="double" w:sz="6" w:space="0" w:color="1B80C4"/>
              <w:right w:val="nil"/>
            </w:tcBorders>
            <w:shd w:val="clear" w:color="auto" w:fill="auto"/>
            <w:noWrap/>
            <w:vAlign w:val="center"/>
            <w:hideMark/>
          </w:tcPr>
          <w:p w14:paraId="36574FFE"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r w:rsidRPr="00FE4662">
              <w:rPr>
                <w:rFonts w:ascii="Segoe UI" w:eastAsia="Times New Roman" w:hAnsi="Segoe UI" w:cs="Segoe UI"/>
                <w:b/>
                <w:bCs/>
                <w:color w:val="000000"/>
                <w:sz w:val="18"/>
                <w:szCs w:val="18"/>
                <w:lang w:eastAsia="pt-BR"/>
              </w:rPr>
              <w:t xml:space="preserve">   3.038.253 </w:t>
            </w:r>
          </w:p>
        </w:tc>
      </w:tr>
      <w:tr w:rsidR="00FE4662" w:rsidRPr="00FE4662" w14:paraId="2108063C" w14:textId="77777777" w:rsidTr="00BC792D">
        <w:trPr>
          <w:trHeight w:val="255"/>
        </w:trPr>
        <w:tc>
          <w:tcPr>
            <w:tcW w:w="3131" w:type="pct"/>
            <w:tcBorders>
              <w:top w:val="nil"/>
              <w:left w:val="nil"/>
              <w:bottom w:val="nil"/>
              <w:right w:val="nil"/>
            </w:tcBorders>
            <w:shd w:val="clear" w:color="auto" w:fill="auto"/>
            <w:noWrap/>
            <w:vAlign w:val="center"/>
            <w:hideMark/>
          </w:tcPr>
          <w:p w14:paraId="1C7CAF97" w14:textId="77777777" w:rsidR="00FE4662" w:rsidRPr="00FE4662" w:rsidRDefault="00FE4662" w:rsidP="00FE4662">
            <w:pPr>
              <w:spacing w:after="0" w:line="240" w:lineRule="auto"/>
              <w:rPr>
                <w:rFonts w:ascii="Segoe UI" w:eastAsia="Times New Roman" w:hAnsi="Segoe UI" w:cs="Segoe UI"/>
                <w:b/>
                <w:bCs/>
                <w:sz w:val="18"/>
                <w:szCs w:val="18"/>
                <w:lang w:eastAsia="pt-BR"/>
              </w:rPr>
            </w:pPr>
            <w:r w:rsidRPr="00FE4662">
              <w:rPr>
                <w:rFonts w:ascii="Segoe UI" w:eastAsia="Times New Roman" w:hAnsi="Segoe UI" w:cs="Segoe UI"/>
                <w:b/>
                <w:bCs/>
                <w:sz w:val="18"/>
                <w:szCs w:val="18"/>
                <w:lang w:eastAsia="pt-BR"/>
              </w:rPr>
              <w:t xml:space="preserve"> PASSIVO E PATRIMÔNIO LÍQUIDO  </w:t>
            </w:r>
          </w:p>
        </w:tc>
        <w:tc>
          <w:tcPr>
            <w:tcW w:w="928" w:type="pct"/>
            <w:tcBorders>
              <w:top w:val="nil"/>
              <w:left w:val="nil"/>
              <w:bottom w:val="nil"/>
              <w:right w:val="nil"/>
            </w:tcBorders>
            <w:shd w:val="clear" w:color="auto" w:fill="auto"/>
            <w:noWrap/>
            <w:vAlign w:val="center"/>
            <w:hideMark/>
          </w:tcPr>
          <w:p w14:paraId="7668E694" w14:textId="77777777" w:rsidR="00FE4662" w:rsidRPr="00FE4662" w:rsidRDefault="00FE4662" w:rsidP="00FE4662">
            <w:pPr>
              <w:spacing w:after="0" w:line="240" w:lineRule="auto"/>
              <w:rPr>
                <w:rFonts w:ascii="Segoe UI" w:eastAsia="Times New Roman" w:hAnsi="Segoe UI" w:cs="Segoe UI"/>
                <w:b/>
                <w:bCs/>
                <w:sz w:val="18"/>
                <w:szCs w:val="18"/>
                <w:lang w:eastAsia="pt-BR"/>
              </w:rPr>
            </w:pPr>
          </w:p>
        </w:tc>
        <w:tc>
          <w:tcPr>
            <w:tcW w:w="107" w:type="pct"/>
            <w:tcBorders>
              <w:top w:val="nil"/>
              <w:left w:val="nil"/>
              <w:bottom w:val="nil"/>
              <w:right w:val="nil"/>
            </w:tcBorders>
            <w:shd w:val="clear" w:color="auto" w:fill="auto"/>
            <w:noWrap/>
            <w:vAlign w:val="center"/>
            <w:hideMark/>
          </w:tcPr>
          <w:p w14:paraId="3162BAD8" w14:textId="77777777" w:rsidR="00FE4662" w:rsidRPr="00FE4662" w:rsidRDefault="00FE4662" w:rsidP="00FE4662">
            <w:pPr>
              <w:spacing w:after="0" w:line="240" w:lineRule="auto"/>
              <w:jc w:val="center"/>
              <w:rPr>
                <w:rFonts w:ascii="Times New Roman" w:eastAsia="Times New Roman" w:hAnsi="Times New Roman" w:cs="Times New Roman"/>
                <w:sz w:val="20"/>
                <w:szCs w:val="20"/>
                <w:lang w:eastAsia="pt-BR"/>
              </w:rPr>
            </w:pPr>
          </w:p>
        </w:tc>
        <w:tc>
          <w:tcPr>
            <w:tcW w:w="834" w:type="pct"/>
            <w:tcBorders>
              <w:top w:val="nil"/>
              <w:left w:val="nil"/>
              <w:bottom w:val="nil"/>
              <w:right w:val="nil"/>
            </w:tcBorders>
            <w:shd w:val="clear" w:color="auto" w:fill="auto"/>
            <w:noWrap/>
            <w:vAlign w:val="center"/>
            <w:hideMark/>
          </w:tcPr>
          <w:p w14:paraId="33A6CCB5" w14:textId="77777777" w:rsidR="00FE4662" w:rsidRPr="00FE4662" w:rsidRDefault="00FE4662" w:rsidP="00FE4662">
            <w:pPr>
              <w:spacing w:after="0" w:line="240" w:lineRule="auto"/>
              <w:jc w:val="center"/>
              <w:rPr>
                <w:rFonts w:ascii="Times New Roman" w:eastAsia="Times New Roman" w:hAnsi="Times New Roman" w:cs="Times New Roman"/>
                <w:sz w:val="20"/>
                <w:szCs w:val="20"/>
                <w:lang w:eastAsia="pt-BR"/>
              </w:rPr>
            </w:pPr>
          </w:p>
        </w:tc>
      </w:tr>
      <w:tr w:rsidR="00FE4662" w:rsidRPr="00FE4662" w14:paraId="2D2015E8" w14:textId="77777777" w:rsidTr="00BC792D">
        <w:trPr>
          <w:trHeight w:val="240"/>
        </w:trPr>
        <w:tc>
          <w:tcPr>
            <w:tcW w:w="3131" w:type="pct"/>
            <w:tcBorders>
              <w:top w:val="nil"/>
              <w:left w:val="nil"/>
              <w:bottom w:val="nil"/>
              <w:right w:val="nil"/>
            </w:tcBorders>
            <w:shd w:val="clear" w:color="000000" w:fill="FFFFFF"/>
            <w:noWrap/>
            <w:vAlign w:val="center"/>
            <w:hideMark/>
          </w:tcPr>
          <w:p w14:paraId="4BE3F467"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Fornecedores </w:t>
            </w:r>
          </w:p>
        </w:tc>
        <w:tc>
          <w:tcPr>
            <w:tcW w:w="928" w:type="pct"/>
            <w:tcBorders>
              <w:top w:val="nil"/>
              <w:left w:val="nil"/>
              <w:bottom w:val="nil"/>
              <w:right w:val="nil"/>
            </w:tcBorders>
            <w:shd w:val="clear" w:color="auto" w:fill="auto"/>
            <w:noWrap/>
            <w:vAlign w:val="center"/>
            <w:hideMark/>
          </w:tcPr>
          <w:p w14:paraId="0323EDA3"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2.108.058 </w:t>
            </w:r>
          </w:p>
        </w:tc>
        <w:tc>
          <w:tcPr>
            <w:tcW w:w="107" w:type="pct"/>
            <w:tcBorders>
              <w:top w:val="nil"/>
              <w:left w:val="nil"/>
              <w:bottom w:val="nil"/>
              <w:right w:val="nil"/>
            </w:tcBorders>
            <w:shd w:val="clear" w:color="auto" w:fill="auto"/>
            <w:noWrap/>
            <w:vAlign w:val="center"/>
            <w:hideMark/>
          </w:tcPr>
          <w:p w14:paraId="14602E01"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48D1A126"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1.245.616 </w:t>
            </w:r>
          </w:p>
        </w:tc>
      </w:tr>
      <w:tr w:rsidR="00FE4662" w:rsidRPr="00FE4662" w14:paraId="7E376432" w14:textId="77777777" w:rsidTr="00BC792D">
        <w:trPr>
          <w:trHeight w:val="240"/>
        </w:trPr>
        <w:tc>
          <w:tcPr>
            <w:tcW w:w="3131" w:type="pct"/>
            <w:tcBorders>
              <w:top w:val="nil"/>
              <w:left w:val="nil"/>
              <w:bottom w:val="nil"/>
              <w:right w:val="nil"/>
            </w:tcBorders>
            <w:shd w:val="clear" w:color="000000" w:fill="FFFFFF"/>
            <w:noWrap/>
            <w:vAlign w:val="center"/>
            <w:hideMark/>
          </w:tcPr>
          <w:p w14:paraId="42F53CB9"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Empréstimos e financiamentos  </w:t>
            </w:r>
          </w:p>
        </w:tc>
        <w:tc>
          <w:tcPr>
            <w:tcW w:w="928" w:type="pct"/>
            <w:tcBorders>
              <w:top w:val="nil"/>
              <w:left w:val="nil"/>
              <w:bottom w:val="nil"/>
              <w:right w:val="nil"/>
            </w:tcBorders>
            <w:shd w:val="clear" w:color="auto" w:fill="auto"/>
            <w:noWrap/>
            <w:vAlign w:val="center"/>
            <w:hideMark/>
          </w:tcPr>
          <w:p w14:paraId="55275E12"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7.132.619 </w:t>
            </w:r>
          </w:p>
        </w:tc>
        <w:tc>
          <w:tcPr>
            <w:tcW w:w="107" w:type="pct"/>
            <w:tcBorders>
              <w:top w:val="nil"/>
              <w:left w:val="nil"/>
              <w:bottom w:val="nil"/>
              <w:right w:val="nil"/>
            </w:tcBorders>
            <w:shd w:val="clear" w:color="auto" w:fill="auto"/>
            <w:noWrap/>
            <w:vAlign w:val="center"/>
            <w:hideMark/>
          </w:tcPr>
          <w:p w14:paraId="6250C2B6"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4F4AA8B7"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   </w:t>
            </w:r>
          </w:p>
        </w:tc>
      </w:tr>
      <w:tr w:rsidR="00FE4662" w:rsidRPr="00FE4662" w14:paraId="7D0CA000" w14:textId="77777777" w:rsidTr="00BC792D">
        <w:trPr>
          <w:trHeight w:val="240"/>
        </w:trPr>
        <w:tc>
          <w:tcPr>
            <w:tcW w:w="3131" w:type="pct"/>
            <w:tcBorders>
              <w:top w:val="nil"/>
              <w:left w:val="nil"/>
              <w:bottom w:val="nil"/>
              <w:right w:val="nil"/>
            </w:tcBorders>
            <w:shd w:val="clear" w:color="000000" w:fill="FFFFFF"/>
            <w:noWrap/>
            <w:vAlign w:val="center"/>
            <w:hideMark/>
          </w:tcPr>
          <w:p w14:paraId="2E0BCBB3"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Provisões para litígios e passivos contingentes </w:t>
            </w:r>
          </w:p>
        </w:tc>
        <w:tc>
          <w:tcPr>
            <w:tcW w:w="928" w:type="pct"/>
            <w:tcBorders>
              <w:top w:val="nil"/>
              <w:left w:val="nil"/>
              <w:bottom w:val="nil"/>
              <w:right w:val="nil"/>
            </w:tcBorders>
            <w:shd w:val="clear" w:color="auto" w:fill="auto"/>
            <w:noWrap/>
            <w:vAlign w:val="center"/>
            <w:hideMark/>
          </w:tcPr>
          <w:p w14:paraId="15925D7C"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202.669 </w:t>
            </w:r>
          </w:p>
        </w:tc>
        <w:tc>
          <w:tcPr>
            <w:tcW w:w="107" w:type="pct"/>
            <w:tcBorders>
              <w:top w:val="nil"/>
              <w:left w:val="nil"/>
              <w:bottom w:val="nil"/>
              <w:right w:val="nil"/>
            </w:tcBorders>
            <w:shd w:val="clear" w:color="auto" w:fill="auto"/>
            <w:noWrap/>
            <w:vAlign w:val="center"/>
            <w:hideMark/>
          </w:tcPr>
          <w:p w14:paraId="2B190E27"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7B40B92B"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143.842 </w:t>
            </w:r>
          </w:p>
        </w:tc>
      </w:tr>
      <w:tr w:rsidR="00FE4662" w:rsidRPr="00FE4662" w14:paraId="29F1E210" w14:textId="77777777" w:rsidTr="00BC792D">
        <w:trPr>
          <w:trHeight w:val="240"/>
        </w:trPr>
        <w:tc>
          <w:tcPr>
            <w:tcW w:w="3131" w:type="pct"/>
            <w:tcBorders>
              <w:top w:val="nil"/>
              <w:left w:val="nil"/>
              <w:bottom w:val="nil"/>
              <w:right w:val="nil"/>
            </w:tcBorders>
            <w:shd w:val="clear" w:color="000000" w:fill="FFFFFF"/>
            <w:noWrap/>
            <w:vAlign w:val="center"/>
            <w:hideMark/>
          </w:tcPr>
          <w:p w14:paraId="68632A17"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Tributos a recolher e impostos diferidos </w:t>
            </w:r>
          </w:p>
        </w:tc>
        <w:tc>
          <w:tcPr>
            <w:tcW w:w="928" w:type="pct"/>
            <w:tcBorders>
              <w:top w:val="nil"/>
              <w:left w:val="nil"/>
              <w:bottom w:val="nil"/>
              <w:right w:val="nil"/>
            </w:tcBorders>
            <w:shd w:val="clear" w:color="auto" w:fill="auto"/>
            <w:noWrap/>
            <w:vAlign w:val="center"/>
            <w:hideMark/>
          </w:tcPr>
          <w:p w14:paraId="3F52AB91"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220.107 </w:t>
            </w:r>
          </w:p>
        </w:tc>
        <w:tc>
          <w:tcPr>
            <w:tcW w:w="107" w:type="pct"/>
            <w:tcBorders>
              <w:top w:val="nil"/>
              <w:left w:val="nil"/>
              <w:bottom w:val="nil"/>
              <w:right w:val="nil"/>
            </w:tcBorders>
            <w:shd w:val="clear" w:color="auto" w:fill="auto"/>
            <w:noWrap/>
            <w:vAlign w:val="center"/>
            <w:hideMark/>
          </w:tcPr>
          <w:p w14:paraId="618CB323"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6DC14145"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13.671 </w:t>
            </w:r>
          </w:p>
        </w:tc>
      </w:tr>
      <w:tr w:rsidR="00FE4662" w:rsidRPr="00FE4662" w14:paraId="3492429F" w14:textId="77777777" w:rsidTr="00BC792D">
        <w:trPr>
          <w:trHeight w:val="240"/>
        </w:trPr>
        <w:tc>
          <w:tcPr>
            <w:tcW w:w="3131" w:type="pct"/>
            <w:tcBorders>
              <w:top w:val="nil"/>
              <w:left w:val="nil"/>
              <w:bottom w:val="nil"/>
              <w:right w:val="nil"/>
            </w:tcBorders>
            <w:shd w:val="clear" w:color="auto" w:fill="auto"/>
            <w:noWrap/>
            <w:vAlign w:val="center"/>
            <w:hideMark/>
          </w:tcPr>
          <w:p w14:paraId="3F7A4C2A"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Outros </w:t>
            </w:r>
          </w:p>
        </w:tc>
        <w:tc>
          <w:tcPr>
            <w:tcW w:w="928" w:type="pct"/>
            <w:tcBorders>
              <w:top w:val="nil"/>
              <w:left w:val="nil"/>
              <w:bottom w:val="nil"/>
              <w:right w:val="nil"/>
            </w:tcBorders>
            <w:shd w:val="clear" w:color="auto" w:fill="auto"/>
            <w:noWrap/>
            <w:vAlign w:val="center"/>
            <w:hideMark/>
          </w:tcPr>
          <w:p w14:paraId="51C8C49E"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2.651.537 </w:t>
            </w:r>
          </w:p>
        </w:tc>
        <w:tc>
          <w:tcPr>
            <w:tcW w:w="107" w:type="pct"/>
            <w:tcBorders>
              <w:top w:val="nil"/>
              <w:left w:val="nil"/>
              <w:bottom w:val="nil"/>
              <w:right w:val="nil"/>
            </w:tcBorders>
            <w:shd w:val="clear" w:color="auto" w:fill="auto"/>
            <w:noWrap/>
            <w:vAlign w:val="center"/>
            <w:hideMark/>
          </w:tcPr>
          <w:p w14:paraId="1E2BC7AE"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10980F5E"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362.456 </w:t>
            </w:r>
          </w:p>
        </w:tc>
      </w:tr>
      <w:tr w:rsidR="00FE4662" w:rsidRPr="00FE4662" w14:paraId="61F87DA5" w14:textId="77777777" w:rsidTr="00BC792D">
        <w:trPr>
          <w:trHeight w:val="240"/>
        </w:trPr>
        <w:tc>
          <w:tcPr>
            <w:tcW w:w="3131" w:type="pct"/>
            <w:tcBorders>
              <w:top w:val="nil"/>
              <w:left w:val="nil"/>
              <w:bottom w:val="nil"/>
              <w:right w:val="nil"/>
            </w:tcBorders>
            <w:shd w:val="clear" w:color="auto" w:fill="auto"/>
            <w:noWrap/>
            <w:vAlign w:val="center"/>
            <w:hideMark/>
          </w:tcPr>
          <w:p w14:paraId="6A128D73" w14:textId="77777777" w:rsidR="00FE4662" w:rsidRPr="00FE4662" w:rsidRDefault="00FE4662" w:rsidP="00FE4662">
            <w:pPr>
              <w:spacing w:after="0" w:line="240" w:lineRule="auto"/>
              <w:ind w:firstLineChars="100" w:firstLine="180"/>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Patrimônio líquido  </w:t>
            </w:r>
          </w:p>
        </w:tc>
        <w:tc>
          <w:tcPr>
            <w:tcW w:w="928" w:type="pct"/>
            <w:tcBorders>
              <w:top w:val="nil"/>
              <w:left w:val="nil"/>
              <w:bottom w:val="nil"/>
              <w:right w:val="nil"/>
            </w:tcBorders>
            <w:shd w:val="clear" w:color="auto" w:fill="auto"/>
            <w:noWrap/>
            <w:vAlign w:val="center"/>
            <w:hideMark/>
          </w:tcPr>
          <w:p w14:paraId="64C95DC0"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10.328.751 </w:t>
            </w:r>
          </w:p>
        </w:tc>
        <w:tc>
          <w:tcPr>
            <w:tcW w:w="107" w:type="pct"/>
            <w:tcBorders>
              <w:top w:val="nil"/>
              <w:left w:val="nil"/>
              <w:bottom w:val="nil"/>
              <w:right w:val="nil"/>
            </w:tcBorders>
            <w:shd w:val="clear" w:color="auto" w:fill="auto"/>
            <w:noWrap/>
            <w:vAlign w:val="center"/>
            <w:hideMark/>
          </w:tcPr>
          <w:p w14:paraId="1C1E7AF3"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585F7AD7"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1.272.668 </w:t>
            </w:r>
          </w:p>
        </w:tc>
      </w:tr>
      <w:tr w:rsidR="00FE4662" w:rsidRPr="00FE4662" w14:paraId="5B35D91A" w14:textId="77777777" w:rsidTr="00BC792D">
        <w:trPr>
          <w:trHeight w:val="255"/>
        </w:trPr>
        <w:tc>
          <w:tcPr>
            <w:tcW w:w="3131" w:type="pct"/>
            <w:tcBorders>
              <w:top w:val="nil"/>
              <w:left w:val="nil"/>
              <w:bottom w:val="nil"/>
              <w:right w:val="nil"/>
            </w:tcBorders>
            <w:shd w:val="clear" w:color="auto" w:fill="auto"/>
            <w:noWrap/>
            <w:vAlign w:val="center"/>
            <w:hideMark/>
          </w:tcPr>
          <w:p w14:paraId="14F9003B" w14:textId="77777777" w:rsidR="00FE4662" w:rsidRPr="00FE4662" w:rsidRDefault="00FE4662" w:rsidP="00FE4662">
            <w:pPr>
              <w:spacing w:after="0" w:line="240" w:lineRule="auto"/>
              <w:rPr>
                <w:rFonts w:ascii="Segoe UI" w:eastAsia="Times New Roman" w:hAnsi="Segoe UI" w:cs="Segoe UI"/>
                <w:b/>
                <w:bCs/>
                <w:sz w:val="18"/>
                <w:szCs w:val="18"/>
                <w:lang w:eastAsia="pt-BR"/>
              </w:rPr>
            </w:pPr>
            <w:r w:rsidRPr="00FE4662">
              <w:rPr>
                <w:rFonts w:ascii="Segoe UI" w:eastAsia="Times New Roman" w:hAnsi="Segoe UI" w:cs="Segoe UI"/>
                <w:b/>
                <w:bCs/>
                <w:sz w:val="18"/>
                <w:szCs w:val="18"/>
                <w:lang w:eastAsia="pt-BR"/>
              </w:rPr>
              <w:t xml:space="preserve"> TOTAL DO PASSIVO E DO PATRIMÔNIO LÍQUIDO </w:t>
            </w:r>
          </w:p>
        </w:tc>
        <w:tc>
          <w:tcPr>
            <w:tcW w:w="928" w:type="pct"/>
            <w:tcBorders>
              <w:top w:val="single" w:sz="4" w:space="0" w:color="1B80C4"/>
              <w:left w:val="nil"/>
              <w:bottom w:val="double" w:sz="6" w:space="0" w:color="1B80C4"/>
              <w:right w:val="nil"/>
            </w:tcBorders>
            <w:shd w:val="clear" w:color="auto" w:fill="auto"/>
            <w:noWrap/>
            <w:vAlign w:val="center"/>
            <w:hideMark/>
          </w:tcPr>
          <w:p w14:paraId="2F8A9061"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r w:rsidRPr="00FE4662">
              <w:rPr>
                <w:rFonts w:ascii="Segoe UI" w:eastAsia="Times New Roman" w:hAnsi="Segoe UI" w:cs="Segoe UI"/>
                <w:b/>
                <w:bCs/>
                <w:color w:val="000000"/>
                <w:sz w:val="18"/>
                <w:szCs w:val="18"/>
                <w:lang w:eastAsia="pt-BR"/>
              </w:rPr>
              <w:t xml:space="preserve">       22.643.741 </w:t>
            </w:r>
          </w:p>
        </w:tc>
        <w:tc>
          <w:tcPr>
            <w:tcW w:w="107" w:type="pct"/>
            <w:tcBorders>
              <w:top w:val="nil"/>
              <w:left w:val="nil"/>
              <w:bottom w:val="nil"/>
              <w:right w:val="nil"/>
            </w:tcBorders>
            <w:shd w:val="clear" w:color="auto" w:fill="auto"/>
            <w:noWrap/>
            <w:vAlign w:val="center"/>
            <w:hideMark/>
          </w:tcPr>
          <w:p w14:paraId="71D1B4DF"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p>
        </w:tc>
        <w:tc>
          <w:tcPr>
            <w:tcW w:w="834" w:type="pct"/>
            <w:tcBorders>
              <w:top w:val="single" w:sz="4" w:space="0" w:color="1B80C4"/>
              <w:left w:val="nil"/>
              <w:bottom w:val="double" w:sz="6" w:space="0" w:color="1B80C4"/>
              <w:right w:val="nil"/>
            </w:tcBorders>
            <w:shd w:val="clear" w:color="auto" w:fill="auto"/>
            <w:noWrap/>
            <w:vAlign w:val="center"/>
            <w:hideMark/>
          </w:tcPr>
          <w:p w14:paraId="1514D4D6"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r w:rsidRPr="00FE4662">
              <w:rPr>
                <w:rFonts w:ascii="Segoe UI" w:eastAsia="Times New Roman" w:hAnsi="Segoe UI" w:cs="Segoe UI"/>
                <w:b/>
                <w:bCs/>
                <w:color w:val="000000"/>
                <w:sz w:val="18"/>
                <w:szCs w:val="18"/>
                <w:lang w:eastAsia="pt-BR"/>
              </w:rPr>
              <w:t xml:space="preserve">   3.038.253 </w:t>
            </w:r>
          </w:p>
        </w:tc>
      </w:tr>
      <w:tr w:rsidR="00BC792D" w:rsidRPr="00FE4662" w14:paraId="5F2970E9" w14:textId="77777777" w:rsidTr="00BC792D">
        <w:trPr>
          <w:trHeight w:val="255"/>
        </w:trPr>
        <w:tc>
          <w:tcPr>
            <w:tcW w:w="3131" w:type="pct"/>
            <w:tcBorders>
              <w:top w:val="nil"/>
              <w:left w:val="nil"/>
              <w:right w:val="nil"/>
            </w:tcBorders>
            <w:shd w:val="clear" w:color="auto" w:fill="auto"/>
            <w:noWrap/>
            <w:vAlign w:val="center"/>
          </w:tcPr>
          <w:p w14:paraId="0209AFCE" w14:textId="77777777" w:rsidR="00BC792D" w:rsidRPr="00FE4662" w:rsidRDefault="00BC792D" w:rsidP="00FE4662">
            <w:pPr>
              <w:spacing w:after="0" w:line="240" w:lineRule="auto"/>
              <w:rPr>
                <w:rFonts w:ascii="Segoe UI" w:eastAsia="Times New Roman" w:hAnsi="Segoe UI" w:cs="Segoe UI"/>
                <w:b/>
                <w:bCs/>
                <w:sz w:val="18"/>
                <w:szCs w:val="18"/>
                <w:lang w:eastAsia="pt-BR"/>
              </w:rPr>
            </w:pPr>
          </w:p>
        </w:tc>
        <w:tc>
          <w:tcPr>
            <w:tcW w:w="928" w:type="pct"/>
            <w:tcBorders>
              <w:top w:val="single" w:sz="4" w:space="0" w:color="1B80C4"/>
              <w:left w:val="nil"/>
              <w:right w:val="nil"/>
            </w:tcBorders>
            <w:shd w:val="clear" w:color="auto" w:fill="auto"/>
            <w:noWrap/>
            <w:vAlign w:val="center"/>
          </w:tcPr>
          <w:p w14:paraId="48AA2C21" w14:textId="77777777" w:rsidR="00BC792D" w:rsidRPr="00FE4662" w:rsidRDefault="00BC792D" w:rsidP="00FE4662">
            <w:pPr>
              <w:spacing w:after="0" w:line="240" w:lineRule="auto"/>
              <w:jc w:val="right"/>
              <w:rPr>
                <w:rFonts w:ascii="Segoe UI" w:eastAsia="Times New Roman" w:hAnsi="Segoe UI" w:cs="Segoe UI"/>
                <w:b/>
                <w:bCs/>
                <w:color w:val="000000"/>
                <w:sz w:val="18"/>
                <w:szCs w:val="18"/>
                <w:lang w:eastAsia="pt-BR"/>
              </w:rPr>
            </w:pPr>
          </w:p>
        </w:tc>
        <w:tc>
          <w:tcPr>
            <w:tcW w:w="107" w:type="pct"/>
            <w:tcBorders>
              <w:top w:val="nil"/>
              <w:left w:val="nil"/>
              <w:right w:val="nil"/>
            </w:tcBorders>
            <w:shd w:val="clear" w:color="auto" w:fill="auto"/>
            <w:noWrap/>
            <w:vAlign w:val="center"/>
          </w:tcPr>
          <w:p w14:paraId="436BD3F8" w14:textId="77777777" w:rsidR="00BC792D" w:rsidRPr="00FE4662" w:rsidRDefault="00BC792D" w:rsidP="00FE4662">
            <w:pPr>
              <w:spacing w:after="0" w:line="240" w:lineRule="auto"/>
              <w:jc w:val="right"/>
              <w:rPr>
                <w:rFonts w:ascii="Segoe UI" w:eastAsia="Times New Roman" w:hAnsi="Segoe UI" w:cs="Segoe UI"/>
                <w:b/>
                <w:bCs/>
                <w:color w:val="000000"/>
                <w:sz w:val="18"/>
                <w:szCs w:val="18"/>
                <w:lang w:eastAsia="pt-BR"/>
              </w:rPr>
            </w:pPr>
          </w:p>
        </w:tc>
        <w:tc>
          <w:tcPr>
            <w:tcW w:w="834" w:type="pct"/>
            <w:tcBorders>
              <w:top w:val="single" w:sz="4" w:space="0" w:color="1B80C4"/>
              <w:left w:val="nil"/>
              <w:right w:val="nil"/>
            </w:tcBorders>
            <w:shd w:val="clear" w:color="auto" w:fill="auto"/>
            <w:noWrap/>
            <w:vAlign w:val="center"/>
          </w:tcPr>
          <w:p w14:paraId="1AAFA3BE" w14:textId="77777777" w:rsidR="00BC792D" w:rsidRPr="00FE4662" w:rsidRDefault="00BC792D" w:rsidP="00FE4662">
            <w:pPr>
              <w:spacing w:after="0" w:line="240" w:lineRule="auto"/>
              <w:jc w:val="right"/>
              <w:rPr>
                <w:rFonts w:ascii="Segoe UI" w:eastAsia="Times New Roman" w:hAnsi="Segoe UI" w:cs="Segoe UI"/>
                <w:b/>
                <w:bCs/>
                <w:color w:val="000000"/>
                <w:sz w:val="18"/>
                <w:szCs w:val="18"/>
                <w:lang w:eastAsia="pt-BR"/>
              </w:rPr>
            </w:pPr>
          </w:p>
        </w:tc>
      </w:tr>
      <w:tr w:rsidR="00BC792D" w:rsidRPr="00FE4662" w14:paraId="7D06950D" w14:textId="77777777" w:rsidTr="00BC792D">
        <w:trPr>
          <w:trHeight w:val="240"/>
        </w:trPr>
        <w:tc>
          <w:tcPr>
            <w:tcW w:w="3131" w:type="pct"/>
            <w:tcBorders>
              <w:top w:val="nil"/>
              <w:left w:val="nil"/>
              <w:bottom w:val="nil"/>
              <w:right w:val="nil"/>
            </w:tcBorders>
            <w:shd w:val="clear" w:color="auto" w:fill="auto"/>
            <w:noWrap/>
            <w:vAlign w:val="center"/>
            <w:hideMark/>
          </w:tcPr>
          <w:p w14:paraId="5A69213F" w14:textId="55801B44" w:rsidR="00BC792D" w:rsidRPr="00FE4662" w:rsidRDefault="00BC792D">
            <w:pPr>
              <w:spacing w:after="0" w:line="240" w:lineRule="auto"/>
              <w:rPr>
                <w:rFonts w:ascii="Segoe UI" w:eastAsia="Times New Roman" w:hAnsi="Segoe UI" w:cs="Segoe UI"/>
                <w:b/>
                <w:bCs/>
                <w:sz w:val="18"/>
                <w:szCs w:val="18"/>
                <w:lang w:eastAsia="pt-BR"/>
              </w:rPr>
            </w:pPr>
            <w:r w:rsidRPr="00FE4662">
              <w:rPr>
                <w:rFonts w:ascii="Segoe UI" w:eastAsia="Times New Roman" w:hAnsi="Segoe UI" w:cs="Segoe UI"/>
                <w:b/>
                <w:bCs/>
                <w:color w:val="000000"/>
                <w:sz w:val="18"/>
                <w:szCs w:val="18"/>
                <w:lang w:eastAsia="pt-BR"/>
              </w:rPr>
              <w:t>RESULTADO</w:t>
            </w:r>
          </w:p>
        </w:tc>
        <w:tc>
          <w:tcPr>
            <w:tcW w:w="928" w:type="pct"/>
            <w:tcBorders>
              <w:top w:val="nil"/>
              <w:left w:val="nil"/>
              <w:bottom w:val="nil"/>
              <w:right w:val="nil"/>
            </w:tcBorders>
            <w:shd w:val="clear" w:color="000000" w:fill="1B80C4"/>
            <w:noWrap/>
            <w:vAlign w:val="bottom"/>
            <w:hideMark/>
          </w:tcPr>
          <w:p w14:paraId="468E5994" w14:textId="77777777" w:rsidR="00BC792D" w:rsidRDefault="00BC792D">
            <w:pPr>
              <w:spacing w:after="0" w:line="240" w:lineRule="auto"/>
              <w:jc w:val="center"/>
              <w:rPr>
                <w:rFonts w:ascii="Segoe UI" w:eastAsia="Times New Roman" w:hAnsi="Segoe UI" w:cs="Segoe UI"/>
                <w:b/>
                <w:bCs/>
                <w:color w:val="FFFFFF"/>
                <w:sz w:val="18"/>
                <w:szCs w:val="18"/>
                <w:lang w:eastAsia="pt-BR"/>
              </w:rPr>
            </w:pPr>
            <w:r w:rsidRPr="00FE4662">
              <w:rPr>
                <w:rFonts w:ascii="Segoe UI" w:eastAsia="Times New Roman" w:hAnsi="Segoe UI" w:cs="Segoe UI"/>
                <w:b/>
                <w:bCs/>
                <w:color w:val="FFFFFF"/>
                <w:sz w:val="18"/>
                <w:szCs w:val="18"/>
                <w:lang w:eastAsia="pt-BR"/>
              </w:rPr>
              <w:t xml:space="preserve"> Eletronuclear </w:t>
            </w:r>
          </w:p>
          <w:p w14:paraId="0E2D42DC" w14:textId="18C72890" w:rsidR="00BC792D" w:rsidRPr="00FE4662" w:rsidRDefault="00BC792D">
            <w:pPr>
              <w:spacing w:after="0" w:line="240" w:lineRule="auto"/>
              <w:jc w:val="center"/>
              <w:rPr>
                <w:rFonts w:ascii="Segoe UI" w:eastAsia="Times New Roman" w:hAnsi="Segoe UI" w:cs="Segoe UI"/>
                <w:b/>
                <w:bCs/>
                <w:color w:val="FFFFFF"/>
                <w:sz w:val="18"/>
                <w:szCs w:val="18"/>
                <w:lang w:eastAsia="pt-BR"/>
              </w:rPr>
            </w:pPr>
            <w:r w:rsidRPr="00BC792D">
              <w:rPr>
                <w:rFonts w:ascii="Segoe UI" w:eastAsia="Times New Roman" w:hAnsi="Segoe UI" w:cs="Segoe UI"/>
                <w:b/>
                <w:bCs/>
                <w:color w:val="FFFFFF"/>
                <w:sz w:val="16"/>
                <w:szCs w:val="16"/>
                <w:lang w:eastAsia="pt-BR"/>
              </w:rPr>
              <w:t>06/2022 a 12/2022</w:t>
            </w:r>
          </w:p>
        </w:tc>
        <w:tc>
          <w:tcPr>
            <w:tcW w:w="107" w:type="pct"/>
            <w:tcBorders>
              <w:top w:val="nil"/>
              <w:left w:val="nil"/>
              <w:bottom w:val="nil"/>
              <w:right w:val="nil"/>
            </w:tcBorders>
            <w:shd w:val="clear" w:color="000000" w:fill="1B80C4"/>
            <w:noWrap/>
            <w:vAlign w:val="bottom"/>
            <w:hideMark/>
          </w:tcPr>
          <w:p w14:paraId="796AA4A5" w14:textId="77777777" w:rsidR="00BC792D" w:rsidRPr="00FE4662" w:rsidRDefault="00BC792D">
            <w:pPr>
              <w:spacing w:after="0" w:line="240" w:lineRule="auto"/>
              <w:jc w:val="center"/>
              <w:rPr>
                <w:rFonts w:ascii="Segoe UI" w:eastAsia="Times New Roman" w:hAnsi="Segoe UI" w:cs="Segoe UI"/>
                <w:b/>
                <w:bCs/>
                <w:color w:val="FFFFFF"/>
                <w:sz w:val="18"/>
                <w:szCs w:val="18"/>
                <w:lang w:eastAsia="pt-BR"/>
              </w:rPr>
            </w:pPr>
            <w:r w:rsidRPr="00FE4662">
              <w:rPr>
                <w:rFonts w:ascii="Segoe UI" w:eastAsia="Times New Roman" w:hAnsi="Segoe UI" w:cs="Segoe UI"/>
                <w:b/>
                <w:bCs/>
                <w:color w:val="FFFFFF"/>
                <w:sz w:val="18"/>
                <w:szCs w:val="18"/>
                <w:lang w:eastAsia="pt-BR"/>
              </w:rPr>
              <w:t> </w:t>
            </w:r>
          </w:p>
        </w:tc>
        <w:tc>
          <w:tcPr>
            <w:tcW w:w="834" w:type="pct"/>
            <w:tcBorders>
              <w:top w:val="nil"/>
              <w:left w:val="nil"/>
              <w:bottom w:val="nil"/>
              <w:right w:val="nil"/>
            </w:tcBorders>
            <w:shd w:val="clear" w:color="000000" w:fill="1B80C4"/>
            <w:noWrap/>
            <w:vAlign w:val="bottom"/>
            <w:hideMark/>
          </w:tcPr>
          <w:p w14:paraId="1BD761D9" w14:textId="77777777" w:rsidR="00BC792D" w:rsidRDefault="00BC792D">
            <w:pPr>
              <w:spacing w:after="0" w:line="240" w:lineRule="auto"/>
              <w:jc w:val="center"/>
              <w:rPr>
                <w:rFonts w:ascii="Segoe UI" w:eastAsia="Times New Roman" w:hAnsi="Segoe UI" w:cs="Segoe UI"/>
                <w:b/>
                <w:bCs/>
                <w:color w:val="FFFFFF"/>
                <w:sz w:val="18"/>
                <w:szCs w:val="18"/>
                <w:lang w:eastAsia="pt-BR"/>
              </w:rPr>
            </w:pPr>
            <w:r w:rsidRPr="00FE4662">
              <w:rPr>
                <w:rFonts w:ascii="Segoe UI" w:eastAsia="Times New Roman" w:hAnsi="Segoe UI" w:cs="Segoe UI"/>
                <w:b/>
                <w:bCs/>
                <w:color w:val="FFFFFF"/>
                <w:sz w:val="18"/>
                <w:szCs w:val="18"/>
                <w:lang w:eastAsia="pt-BR"/>
              </w:rPr>
              <w:t xml:space="preserve"> INB </w:t>
            </w:r>
          </w:p>
          <w:p w14:paraId="0B3B4D06" w14:textId="0EBB9A1F" w:rsidR="00BC792D" w:rsidRPr="00FE4662" w:rsidRDefault="00BC792D">
            <w:pPr>
              <w:spacing w:after="0" w:line="240" w:lineRule="auto"/>
              <w:jc w:val="center"/>
              <w:rPr>
                <w:rFonts w:ascii="Segoe UI" w:eastAsia="Times New Roman" w:hAnsi="Segoe UI" w:cs="Segoe UI"/>
                <w:b/>
                <w:bCs/>
                <w:color w:val="FFFFFF"/>
                <w:sz w:val="18"/>
                <w:szCs w:val="18"/>
                <w:lang w:eastAsia="pt-BR"/>
              </w:rPr>
            </w:pPr>
            <w:r>
              <w:rPr>
                <w:rFonts w:ascii="Segoe UI" w:eastAsia="Times New Roman" w:hAnsi="Segoe UI" w:cs="Segoe UI"/>
                <w:b/>
                <w:bCs/>
                <w:color w:val="FFFFFF"/>
                <w:sz w:val="16"/>
                <w:szCs w:val="16"/>
                <w:lang w:eastAsia="pt-BR"/>
              </w:rPr>
              <w:t>10</w:t>
            </w:r>
            <w:r w:rsidRPr="00BC792D">
              <w:rPr>
                <w:rFonts w:ascii="Segoe UI" w:eastAsia="Times New Roman" w:hAnsi="Segoe UI" w:cs="Segoe UI"/>
                <w:b/>
                <w:bCs/>
                <w:color w:val="FFFFFF"/>
                <w:sz w:val="16"/>
                <w:szCs w:val="16"/>
                <w:lang w:eastAsia="pt-BR"/>
              </w:rPr>
              <w:t>/2022 a 12/2022</w:t>
            </w:r>
          </w:p>
        </w:tc>
      </w:tr>
      <w:tr w:rsidR="00FE4662" w:rsidRPr="00FE4662" w14:paraId="68F1AF0A" w14:textId="77777777" w:rsidTr="00BC792D">
        <w:trPr>
          <w:trHeight w:val="240"/>
        </w:trPr>
        <w:tc>
          <w:tcPr>
            <w:tcW w:w="3131" w:type="pct"/>
            <w:tcBorders>
              <w:top w:val="nil"/>
              <w:left w:val="nil"/>
              <w:bottom w:val="nil"/>
              <w:right w:val="nil"/>
            </w:tcBorders>
            <w:shd w:val="clear" w:color="auto" w:fill="auto"/>
            <w:noWrap/>
            <w:vAlign w:val="center"/>
            <w:hideMark/>
          </w:tcPr>
          <w:p w14:paraId="7008E7B4" w14:textId="77777777" w:rsidR="00FE4662" w:rsidRPr="00FE4662" w:rsidRDefault="00FE4662" w:rsidP="00FE4662">
            <w:pPr>
              <w:spacing w:after="0" w:line="240" w:lineRule="auto"/>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Receita operacional líquida </w:t>
            </w:r>
          </w:p>
        </w:tc>
        <w:tc>
          <w:tcPr>
            <w:tcW w:w="928" w:type="pct"/>
            <w:tcBorders>
              <w:top w:val="nil"/>
              <w:left w:val="nil"/>
              <w:bottom w:val="nil"/>
              <w:right w:val="nil"/>
            </w:tcBorders>
            <w:shd w:val="clear" w:color="auto" w:fill="auto"/>
            <w:noWrap/>
            <w:vAlign w:val="center"/>
            <w:hideMark/>
          </w:tcPr>
          <w:p w14:paraId="20ADD3D0"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2.252.546 </w:t>
            </w:r>
          </w:p>
        </w:tc>
        <w:tc>
          <w:tcPr>
            <w:tcW w:w="107" w:type="pct"/>
            <w:tcBorders>
              <w:top w:val="nil"/>
              <w:left w:val="nil"/>
              <w:bottom w:val="nil"/>
              <w:right w:val="nil"/>
            </w:tcBorders>
            <w:shd w:val="clear" w:color="auto" w:fill="auto"/>
            <w:noWrap/>
            <w:vAlign w:val="center"/>
            <w:hideMark/>
          </w:tcPr>
          <w:p w14:paraId="47A389EF"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p>
        </w:tc>
        <w:tc>
          <w:tcPr>
            <w:tcW w:w="834" w:type="pct"/>
            <w:tcBorders>
              <w:top w:val="nil"/>
              <w:left w:val="nil"/>
              <w:bottom w:val="nil"/>
              <w:right w:val="nil"/>
            </w:tcBorders>
            <w:shd w:val="clear" w:color="auto" w:fill="auto"/>
            <w:noWrap/>
            <w:vAlign w:val="center"/>
            <w:hideMark/>
          </w:tcPr>
          <w:p w14:paraId="67EF7894" w14:textId="77777777" w:rsidR="00FE4662" w:rsidRPr="00FE4662" w:rsidRDefault="00FE4662" w:rsidP="00FE4662">
            <w:pPr>
              <w:spacing w:after="0" w:line="240" w:lineRule="auto"/>
              <w:jc w:val="right"/>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34.129 </w:t>
            </w:r>
          </w:p>
        </w:tc>
      </w:tr>
      <w:tr w:rsidR="00FE4662" w:rsidRPr="00FE4662" w14:paraId="0EEC21F9" w14:textId="77777777" w:rsidTr="00BC792D">
        <w:trPr>
          <w:trHeight w:val="240"/>
        </w:trPr>
        <w:tc>
          <w:tcPr>
            <w:tcW w:w="3131" w:type="pct"/>
            <w:tcBorders>
              <w:top w:val="nil"/>
              <w:left w:val="nil"/>
              <w:bottom w:val="nil"/>
              <w:right w:val="nil"/>
            </w:tcBorders>
            <w:shd w:val="clear" w:color="auto" w:fill="auto"/>
            <w:noWrap/>
            <w:vAlign w:val="center"/>
            <w:hideMark/>
          </w:tcPr>
          <w:p w14:paraId="1AD4F458" w14:textId="77777777" w:rsidR="00FE4662" w:rsidRPr="00FE4662" w:rsidRDefault="00FE4662" w:rsidP="00FE4662">
            <w:pPr>
              <w:spacing w:after="0" w:line="240" w:lineRule="auto"/>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Custos operacionais </w:t>
            </w:r>
          </w:p>
        </w:tc>
        <w:tc>
          <w:tcPr>
            <w:tcW w:w="928" w:type="pct"/>
            <w:tcBorders>
              <w:top w:val="nil"/>
              <w:left w:val="nil"/>
              <w:bottom w:val="nil"/>
              <w:right w:val="nil"/>
            </w:tcBorders>
            <w:shd w:val="clear" w:color="auto" w:fill="auto"/>
            <w:noWrap/>
            <w:vAlign w:val="center"/>
            <w:hideMark/>
          </w:tcPr>
          <w:p w14:paraId="76AE820C" w14:textId="2AF07DB4"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(1.565.61</w:t>
            </w:r>
            <w:r w:rsidR="00186624">
              <w:rPr>
                <w:rFonts w:ascii="Segoe UI" w:eastAsia="Times New Roman" w:hAnsi="Segoe UI" w:cs="Segoe UI"/>
                <w:color w:val="000000"/>
                <w:sz w:val="18"/>
                <w:szCs w:val="18"/>
                <w:lang w:eastAsia="pt-BR"/>
              </w:rPr>
              <w:t>5</w:t>
            </w:r>
            <w:r w:rsidRPr="00FE4662">
              <w:rPr>
                <w:rFonts w:ascii="Segoe UI" w:eastAsia="Times New Roman" w:hAnsi="Segoe UI" w:cs="Segoe UI"/>
                <w:color w:val="000000"/>
                <w:sz w:val="18"/>
                <w:szCs w:val="18"/>
                <w:lang w:eastAsia="pt-BR"/>
              </w:rPr>
              <w:t>)</w:t>
            </w:r>
          </w:p>
        </w:tc>
        <w:tc>
          <w:tcPr>
            <w:tcW w:w="107" w:type="pct"/>
            <w:tcBorders>
              <w:top w:val="nil"/>
              <w:left w:val="nil"/>
              <w:bottom w:val="nil"/>
              <w:right w:val="nil"/>
            </w:tcBorders>
            <w:shd w:val="clear" w:color="auto" w:fill="auto"/>
            <w:noWrap/>
            <w:vAlign w:val="center"/>
            <w:hideMark/>
          </w:tcPr>
          <w:p w14:paraId="1FBFFB66"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p>
        </w:tc>
        <w:tc>
          <w:tcPr>
            <w:tcW w:w="834" w:type="pct"/>
            <w:tcBorders>
              <w:top w:val="nil"/>
              <w:left w:val="nil"/>
              <w:bottom w:val="nil"/>
              <w:right w:val="nil"/>
            </w:tcBorders>
            <w:shd w:val="clear" w:color="auto" w:fill="auto"/>
            <w:noWrap/>
            <w:vAlign w:val="center"/>
            <w:hideMark/>
          </w:tcPr>
          <w:p w14:paraId="231C4768"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 </w:t>
            </w:r>
          </w:p>
        </w:tc>
      </w:tr>
      <w:tr w:rsidR="00FE4662" w:rsidRPr="00FE4662" w14:paraId="54C101FC" w14:textId="77777777" w:rsidTr="00BC792D">
        <w:trPr>
          <w:trHeight w:val="240"/>
        </w:trPr>
        <w:tc>
          <w:tcPr>
            <w:tcW w:w="3131" w:type="pct"/>
            <w:tcBorders>
              <w:top w:val="nil"/>
              <w:left w:val="nil"/>
              <w:bottom w:val="nil"/>
              <w:right w:val="nil"/>
            </w:tcBorders>
            <w:shd w:val="clear" w:color="auto" w:fill="auto"/>
            <w:noWrap/>
            <w:vAlign w:val="center"/>
            <w:hideMark/>
          </w:tcPr>
          <w:p w14:paraId="13E001FC" w14:textId="77777777" w:rsidR="00FE4662" w:rsidRPr="00FE4662" w:rsidRDefault="00FE4662" w:rsidP="00FE4662">
            <w:pPr>
              <w:spacing w:after="0" w:line="240" w:lineRule="auto"/>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Despesas operacionais </w:t>
            </w:r>
          </w:p>
        </w:tc>
        <w:tc>
          <w:tcPr>
            <w:tcW w:w="928" w:type="pct"/>
            <w:tcBorders>
              <w:top w:val="nil"/>
              <w:left w:val="nil"/>
              <w:bottom w:val="nil"/>
              <w:right w:val="nil"/>
            </w:tcBorders>
            <w:shd w:val="clear" w:color="auto" w:fill="auto"/>
            <w:noWrap/>
            <w:vAlign w:val="center"/>
            <w:hideMark/>
          </w:tcPr>
          <w:p w14:paraId="13B8E0B0" w14:textId="663CE926"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(528.65</w:t>
            </w:r>
            <w:r w:rsidR="00186624">
              <w:rPr>
                <w:rFonts w:ascii="Segoe UI" w:eastAsia="Times New Roman" w:hAnsi="Segoe UI" w:cs="Segoe UI"/>
                <w:color w:val="000000"/>
                <w:sz w:val="18"/>
                <w:szCs w:val="18"/>
                <w:lang w:eastAsia="pt-BR"/>
              </w:rPr>
              <w:t>7</w:t>
            </w:r>
            <w:r w:rsidRPr="00FE4662">
              <w:rPr>
                <w:rFonts w:ascii="Segoe UI" w:eastAsia="Times New Roman" w:hAnsi="Segoe UI" w:cs="Segoe UI"/>
                <w:color w:val="000000"/>
                <w:sz w:val="18"/>
                <w:szCs w:val="18"/>
                <w:lang w:eastAsia="pt-BR"/>
              </w:rPr>
              <w:t>)</w:t>
            </w:r>
          </w:p>
        </w:tc>
        <w:tc>
          <w:tcPr>
            <w:tcW w:w="107" w:type="pct"/>
            <w:tcBorders>
              <w:top w:val="nil"/>
              <w:left w:val="nil"/>
              <w:bottom w:val="nil"/>
              <w:right w:val="nil"/>
            </w:tcBorders>
            <w:shd w:val="clear" w:color="auto" w:fill="auto"/>
            <w:noWrap/>
            <w:vAlign w:val="center"/>
            <w:hideMark/>
          </w:tcPr>
          <w:p w14:paraId="369085FF"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p>
        </w:tc>
        <w:tc>
          <w:tcPr>
            <w:tcW w:w="834" w:type="pct"/>
            <w:tcBorders>
              <w:top w:val="nil"/>
              <w:left w:val="nil"/>
              <w:bottom w:val="nil"/>
              <w:right w:val="nil"/>
            </w:tcBorders>
            <w:shd w:val="clear" w:color="auto" w:fill="auto"/>
            <w:noWrap/>
            <w:vAlign w:val="center"/>
            <w:hideMark/>
          </w:tcPr>
          <w:p w14:paraId="61715B1B"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(100.827)</w:t>
            </w:r>
          </w:p>
        </w:tc>
      </w:tr>
      <w:tr w:rsidR="00FE4662" w:rsidRPr="00FE4662" w14:paraId="4D96E01B" w14:textId="77777777" w:rsidTr="00BC792D">
        <w:trPr>
          <w:trHeight w:val="240"/>
        </w:trPr>
        <w:tc>
          <w:tcPr>
            <w:tcW w:w="3131" w:type="pct"/>
            <w:tcBorders>
              <w:top w:val="nil"/>
              <w:left w:val="nil"/>
              <w:bottom w:val="nil"/>
              <w:right w:val="nil"/>
            </w:tcBorders>
            <w:shd w:val="clear" w:color="auto" w:fill="auto"/>
            <w:noWrap/>
            <w:vAlign w:val="center"/>
            <w:hideMark/>
          </w:tcPr>
          <w:p w14:paraId="0B75FEF6" w14:textId="77777777" w:rsidR="00FE4662" w:rsidRPr="00FE4662" w:rsidRDefault="00FE4662" w:rsidP="00FE4662">
            <w:pPr>
              <w:spacing w:after="0" w:line="240" w:lineRule="auto"/>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Receitas financeiras </w:t>
            </w:r>
          </w:p>
        </w:tc>
        <w:tc>
          <w:tcPr>
            <w:tcW w:w="928" w:type="pct"/>
            <w:tcBorders>
              <w:top w:val="nil"/>
              <w:left w:val="nil"/>
              <w:bottom w:val="nil"/>
              <w:right w:val="nil"/>
            </w:tcBorders>
            <w:shd w:val="clear" w:color="auto" w:fill="auto"/>
            <w:noWrap/>
            <w:vAlign w:val="center"/>
            <w:hideMark/>
          </w:tcPr>
          <w:p w14:paraId="48C2D1BF"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421.176 </w:t>
            </w:r>
          </w:p>
        </w:tc>
        <w:tc>
          <w:tcPr>
            <w:tcW w:w="107" w:type="pct"/>
            <w:tcBorders>
              <w:top w:val="nil"/>
              <w:left w:val="nil"/>
              <w:bottom w:val="nil"/>
              <w:right w:val="nil"/>
            </w:tcBorders>
            <w:shd w:val="clear" w:color="auto" w:fill="auto"/>
            <w:noWrap/>
            <w:vAlign w:val="center"/>
            <w:hideMark/>
          </w:tcPr>
          <w:p w14:paraId="74F576EF"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p>
        </w:tc>
        <w:tc>
          <w:tcPr>
            <w:tcW w:w="834" w:type="pct"/>
            <w:tcBorders>
              <w:top w:val="nil"/>
              <w:left w:val="nil"/>
              <w:bottom w:val="nil"/>
              <w:right w:val="nil"/>
            </w:tcBorders>
            <w:shd w:val="clear" w:color="auto" w:fill="auto"/>
            <w:noWrap/>
            <w:vAlign w:val="center"/>
            <w:hideMark/>
          </w:tcPr>
          <w:p w14:paraId="07E093E8"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20.083 </w:t>
            </w:r>
          </w:p>
        </w:tc>
      </w:tr>
      <w:tr w:rsidR="00FE4662" w:rsidRPr="00FE4662" w14:paraId="3EAB5AEC" w14:textId="77777777" w:rsidTr="00BC792D">
        <w:trPr>
          <w:trHeight w:val="240"/>
        </w:trPr>
        <w:tc>
          <w:tcPr>
            <w:tcW w:w="3131" w:type="pct"/>
            <w:tcBorders>
              <w:top w:val="nil"/>
              <w:left w:val="nil"/>
              <w:bottom w:val="nil"/>
              <w:right w:val="nil"/>
            </w:tcBorders>
            <w:shd w:val="clear" w:color="auto" w:fill="auto"/>
            <w:noWrap/>
            <w:vAlign w:val="center"/>
            <w:hideMark/>
          </w:tcPr>
          <w:p w14:paraId="302047D2" w14:textId="77777777" w:rsidR="00FE4662" w:rsidRPr="00FE4662" w:rsidRDefault="00FE4662" w:rsidP="00FE4662">
            <w:pPr>
              <w:spacing w:after="0" w:line="240" w:lineRule="auto"/>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Despesas financeiras </w:t>
            </w:r>
          </w:p>
        </w:tc>
        <w:tc>
          <w:tcPr>
            <w:tcW w:w="928" w:type="pct"/>
            <w:tcBorders>
              <w:top w:val="nil"/>
              <w:left w:val="nil"/>
              <w:bottom w:val="nil"/>
              <w:right w:val="nil"/>
            </w:tcBorders>
            <w:shd w:val="clear" w:color="auto" w:fill="auto"/>
            <w:noWrap/>
            <w:vAlign w:val="center"/>
            <w:hideMark/>
          </w:tcPr>
          <w:p w14:paraId="61701F39"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(525.494)</w:t>
            </w:r>
          </w:p>
        </w:tc>
        <w:tc>
          <w:tcPr>
            <w:tcW w:w="107" w:type="pct"/>
            <w:tcBorders>
              <w:top w:val="nil"/>
              <w:left w:val="nil"/>
              <w:bottom w:val="nil"/>
              <w:right w:val="nil"/>
            </w:tcBorders>
            <w:shd w:val="clear" w:color="auto" w:fill="auto"/>
            <w:noWrap/>
            <w:vAlign w:val="center"/>
            <w:hideMark/>
          </w:tcPr>
          <w:p w14:paraId="256AC90A"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p>
        </w:tc>
        <w:tc>
          <w:tcPr>
            <w:tcW w:w="834" w:type="pct"/>
            <w:tcBorders>
              <w:top w:val="nil"/>
              <w:left w:val="nil"/>
              <w:bottom w:val="nil"/>
              <w:right w:val="nil"/>
            </w:tcBorders>
            <w:shd w:val="clear" w:color="auto" w:fill="auto"/>
            <w:noWrap/>
            <w:vAlign w:val="center"/>
            <w:hideMark/>
          </w:tcPr>
          <w:p w14:paraId="0CAF5DBA"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(6.046)</w:t>
            </w:r>
          </w:p>
        </w:tc>
      </w:tr>
      <w:tr w:rsidR="00FE4662" w:rsidRPr="00FE4662" w14:paraId="17C31EE8" w14:textId="77777777" w:rsidTr="00BC792D">
        <w:trPr>
          <w:trHeight w:val="240"/>
        </w:trPr>
        <w:tc>
          <w:tcPr>
            <w:tcW w:w="3131" w:type="pct"/>
            <w:tcBorders>
              <w:top w:val="nil"/>
              <w:left w:val="nil"/>
              <w:bottom w:val="nil"/>
              <w:right w:val="nil"/>
            </w:tcBorders>
            <w:shd w:val="clear" w:color="auto" w:fill="auto"/>
            <w:noWrap/>
            <w:vAlign w:val="center"/>
            <w:hideMark/>
          </w:tcPr>
          <w:p w14:paraId="4ECBEBF8" w14:textId="77777777" w:rsidR="00FE4662" w:rsidRPr="00FE4662" w:rsidRDefault="00FE4662" w:rsidP="00FE4662">
            <w:pPr>
              <w:spacing w:after="0" w:line="240" w:lineRule="auto"/>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Variações cambiais </w:t>
            </w:r>
          </w:p>
        </w:tc>
        <w:tc>
          <w:tcPr>
            <w:tcW w:w="928" w:type="pct"/>
            <w:tcBorders>
              <w:top w:val="nil"/>
              <w:left w:val="nil"/>
              <w:bottom w:val="nil"/>
              <w:right w:val="nil"/>
            </w:tcBorders>
            <w:shd w:val="clear" w:color="auto" w:fill="auto"/>
            <w:noWrap/>
            <w:vAlign w:val="center"/>
            <w:hideMark/>
          </w:tcPr>
          <w:p w14:paraId="002879F1"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(23.788)</w:t>
            </w:r>
          </w:p>
        </w:tc>
        <w:tc>
          <w:tcPr>
            <w:tcW w:w="107" w:type="pct"/>
            <w:tcBorders>
              <w:top w:val="nil"/>
              <w:left w:val="nil"/>
              <w:bottom w:val="nil"/>
              <w:right w:val="nil"/>
            </w:tcBorders>
            <w:shd w:val="clear" w:color="auto" w:fill="auto"/>
            <w:noWrap/>
            <w:vAlign w:val="center"/>
            <w:hideMark/>
          </w:tcPr>
          <w:p w14:paraId="2BDAB4CB"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p>
        </w:tc>
        <w:tc>
          <w:tcPr>
            <w:tcW w:w="834" w:type="pct"/>
            <w:tcBorders>
              <w:top w:val="nil"/>
              <w:left w:val="nil"/>
              <w:bottom w:val="nil"/>
              <w:right w:val="nil"/>
            </w:tcBorders>
            <w:shd w:val="clear" w:color="auto" w:fill="auto"/>
            <w:noWrap/>
            <w:vAlign w:val="center"/>
            <w:hideMark/>
          </w:tcPr>
          <w:p w14:paraId="0056A9F7"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984 </w:t>
            </w:r>
          </w:p>
        </w:tc>
      </w:tr>
      <w:tr w:rsidR="00FE4662" w:rsidRPr="00FE4662" w14:paraId="6916140E" w14:textId="77777777" w:rsidTr="00BC792D">
        <w:trPr>
          <w:trHeight w:val="240"/>
        </w:trPr>
        <w:tc>
          <w:tcPr>
            <w:tcW w:w="3131" w:type="pct"/>
            <w:tcBorders>
              <w:top w:val="nil"/>
              <w:left w:val="nil"/>
              <w:bottom w:val="nil"/>
              <w:right w:val="nil"/>
            </w:tcBorders>
            <w:shd w:val="clear" w:color="auto" w:fill="auto"/>
            <w:noWrap/>
            <w:vAlign w:val="center"/>
            <w:hideMark/>
          </w:tcPr>
          <w:p w14:paraId="33856A46" w14:textId="77777777" w:rsidR="00FE4662" w:rsidRPr="00FE4662" w:rsidRDefault="00FE4662" w:rsidP="00FE4662">
            <w:pPr>
              <w:spacing w:after="0" w:line="240" w:lineRule="auto"/>
              <w:rPr>
                <w:rFonts w:ascii="Segoe UI" w:eastAsia="Times New Roman" w:hAnsi="Segoe UI" w:cs="Segoe UI"/>
                <w:sz w:val="18"/>
                <w:szCs w:val="18"/>
                <w:lang w:eastAsia="pt-BR"/>
              </w:rPr>
            </w:pPr>
            <w:r w:rsidRPr="00FE4662">
              <w:rPr>
                <w:rFonts w:ascii="Segoe UI" w:eastAsia="Times New Roman" w:hAnsi="Segoe UI" w:cs="Segoe UI"/>
                <w:sz w:val="18"/>
                <w:szCs w:val="18"/>
                <w:lang w:eastAsia="pt-BR"/>
              </w:rPr>
              <w:t xml:space="preserve"> Imposto de renda e contribuição social </w:t>
            </w:r>
          </w:p>
        </w:tc>
        <w:tc>
          <w:tcPr>
            <w:tcW w:w="928" w:type="pct"/>
            <w:tcBorders>
              <w:top w:val="nil"/>
              <w:left w:val="nil"/>
              <w:bottom w:val="nil"/>
              <w:right w:val="nil"/>
            </w:tcBorders>
            <w:shd w:val="clear" w:color="auto" w:fill="auto"/>
            <w:noWrap/>
            <w:vAlign w:val="center"/>
            <w:hideMark/>
          </w:tcPr>
          <w:p w14:paraId="204AC5EC"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(125.345)</w:t>
            </w:r>
          </w:p>
        </w:tc>
        <w:tc>
          <w:tcPr>
            <w:tcW w:w="107" w:type="pct"/>
            <w:tcBorders>
              <w:top w:val="nil"/>
              <w:left w:val="nil"/>
              <w:bottom w:val="nil"/>
              <w:right w:val="nil"/>
            </w:tcBorders>
            <w:shd w:val="clear" w:color="auto" w:fill="auto"/>
            <w:noWrap/>
            <w:vAlign w:val="center"/>
            <w:hideMark/>
          </w:tcPr>
          <w:p w14:paraId="6F97A727"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p>
        </w:tc>
        <w:tc>
          <w:tcPr>
            <w:tcW w:w="834" w:type="pct"/>
            <w:tcBorders>
              <w:top w:val="nil"/>
              <w:left w:val="nil"/>
              <w:bottom w:val="nil"/>
              <w:right w:val="nil"/>
            </w:tcBorders>
            <w:shd w:val="clear" w:color="auto" w:fill="auto"/>
            <w:noWrap/>
            <w:vAlign w:val="center"/>
            <w:hideMark/>
          </w:tcPr>
          <w:p w14:paraId="27F47AC1" w14:textId="77777777" w:rsidR="00FE4662" w:rsidRPr="00FE4662" w:rsidRDefault="00FE4662" w:rsidP="00FE4662">
            <w:pPr>
              <w:spacing w:after="0" w:line="240" w:lineRule="auto"/>
              <w:jc w:val="right"/>
              <w:rPr>
                <w:rFonts w:ascii="Segoe UI" w:eastAsia="Times New Roman" w:hAnsi="Segoe UI" w:cs="Segoe UI"/>
                <w:color w:val="000000"/>
                <w:sz w:val="18"/>
                <w:szCs w:val="18"/>
                <w:lang w:eastAsia="pt-BR"/>
              </w:rPr>
            </w:pPr>
            <w:r w:rsidRPr="00FE4662">
              <w:rPr>
                <w:rFonts w:ascii="Segoe UI" w:eastAsia="Times New Roman" w:hAnsi="Segoe UI" w:cs="Segoe UI"/>
                <w:color w:val="000000"/>
                <w:sz w:val="18"/>
                <w:szCs w:val="18"/>
                <w:lang w:eastAsia="pt-BR"/>
              </w:rPr>
              <w:t xml:space="preserve">            7.121 </w:t>
            </w:r>
          </w:p>
        </w:tc>
      </w:tr>
      <w:tr w:rsidR="00FE4662" w:rsidRPr="00FE4662" w14:paraId="6779BAC2" w14:textId="77777777" w:rsidTr="00BC792D">
        <w:trPr>
          <w:trHeight w:val="255"/>
        </w:trPr>
        <w:tc>
          <w:tcPr>
            <w:tcW w:w="3131" w:type="pct"/>
            <w:tcBorders>
              <w:top w:val="nil"/>
              <w:left w:val="nil"/>
              <w:bottom w:val="nil"/>
              <w:right w:val="nil"/>
            </w:tcBorders>
            <w:shd w:val="clear" w:color="auto" w:fill="auto"/>
            <w:noWrap/>
            <w:vAlign w:val="center"/>
            <w:hideMark/>
          </w:tcPr>
          <w:p w14:paraId="0F0C440A" w14:textId="77777777" w:rsidR="00FE4662" w:rsidRPr="00FE4662" w:rsidRDefault="00FE4662" w:rsidP="00FE4662">
            <w:pPr>
              <w:spacing w:after="0" w:line="240" w:lineRule="auto"/>
              <w:rPr>
                <w:rFonts w:ascii="Segoe UI" w:eastAsia="Times New Roman" w:hAnsi="Segoe UI" w:cs="Segoe UI"/>
                <w:b/>
                <w:bCs/>
                <w:sz w:val="18"/>
                <w:szCs w:val="18"/>
                <w:lang w:eastAsia="pt-BR"/>
              </w:rPr>
            </w:pPr>
            <w:r w:rsidRPr="00FE4662">
              <w:rPr>
                <w:rFonts w:ascii="Segoe UI" w:eastAsia="Times New Roman" w:hAnsi="Segoe UI" w:cs="Segoe UI"/>
                <w:b/>
                <w:bCs/>
                <w:sz w:val="18"/>
                <w:szCs w:val="18"/>
                <w:lang w:eastAsia="pt-BR"/>
              </w:rPr>
              <w:t xml:space="preserve"> LUCRO DO EXERCÍCIO </w:t>
            </w:r>
          </w:p>
        </w:tc>
        <w:tc>
          <w:tcPr>
            <w:tcW w:w="928" w:type="pct"/>
            <w:tcBorders>
              <w:top w:val="single" w:sz="4" w:space="0" w:color="1B80C4"/>
              <w:left w:val="nil"/>
              <w:bottom w:val="double" w:sz="6" w:space="0" w:color="1B80C4"/>
              <w:right w:val="nil"/>
            </w:tcBorders>
            <w:shd w:val="clear" w:color="auto" w:fill="auto"/>
            <w:noWrap/>
            <w:vAlign w:val="center"/>
            <w:hideMark/>
          </w:tcPr>
          <w:p w14:paraId="649AFD23"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r w:rsidRPr="00FE4662">
              <w:rPr>
                <w:rFonts w:ascii="Segoe UI" w:eastAsia="Times New Roman" w:hAnsi="Segoe UI" w:cs="Segoe UI"/>
                <w:b/>
                <w:bCs/>
                <w:color w:val="000000"/>
                <w:sz w:val="18"/>
                <w:szCs w:val="18"/>
                <w:lang w:eastAsia="pt-BR"/>
              </w:rPr>
              <w:t xml:space="preserve">             (95.177)</w:t>
            </w:r>
          </w:p>
        </w:tc>
        <w:tc>
          <w:tcPr>
            <w:tcW w:w="107" w:type="pct"/>
            <w:tcBorders>
              <w:top w:val="nil"/>
              <w:left w:val="nil"/>
              <w:bottom w:val="nil"/>
              <w:right w:val="nil"/>
            </w:tcBorders>
            <w:shd w:val="clear" w:color="auto" w:fill="auto"/>
            <w:noWrap/>
            <w:vAlign w:val="center"/>
            <w:hideMark/>
          </w:tcPr>
          <w:p w14:paraId="28EE08D3"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p>
        </w:tc>
        <w:tc>
          <w:tcPr>
            <w:tcW w:w="834" w:type="pct"/>
            <w:tcBorders>
              <w:top w:val="single" w:sz="4" w:space="0" w:color="1B80C4"/>
              <w:left w:val="nil"/>
              <w:bottom w:val="double" w:sz="6" w:space="0" w:color="1B80C4"/>
              <w:right w:val="nil"/>
            </w:tcBorders>
            <w:shd w:val="clear" w:color="auto" w:fill="auto"/>
            <w:noWrap/>
            <w:vAlign w:val="center"/>
            <w:hideMark/>
          </w:tcPr>
          <w:p w14:paraId="4ED549B6" w14:textId="77777777" w:rsidR="00FE4662" w:rsidRPr="00FE4662" w:rsidRDefault="00FE4662" w:rsidP="00FE4662">
            <w:pPr>
              <w:spacing w:after="0" w:line="240" w:lineRule="auto"/>
              <w:jc w:val="right"/>
              <w:rPr>
                <w:rFonts w:ascii="Segoe UI" w:eastAsia="Times New Roman" w:hAnsi="Segoe UI" w:cs="Segoe UI"/>
                <w:b/>
                <w:bCs/>
                <w:color w:val="000000"/>
                <w:sz w:val="18"/>
                <w:szCs w:val="18"/>
                <w:lang w:eastAsia="pt-BR"/>
              </w:rPr>
            </w:pPr>
            <w:r w:rsidRPr="00FE4662">
              <w:rPr>
                <w:rFonts w:ascii="Segoe UI" w:eastAsia="Times New Roman" w:hAnsi="Segoe UI" w:cs="Segoe UI"/>
                <w:b/>
                <w:bCs/>
                <w:color w:val="000000"/>
                <w:sz w:val="18"/>
                <w:szCs w:val="18"/>
                <w:lang w:eastAsia="pt-BR"/>
              </w:rPr>
              <w:t xml:space="preserve">       (44.556)</w:t>
            </w:r>
          </w:p>
        </w:tc>
      </w:tr>
    </w:tbl>
    <w:p w14:paraId="0EC20D5C" w14:textId="03CD77C4" w:rsidR="00095A09" w:rsidRPr="000757BC" w:rsidRDefault="00095A09" w:rsidP="00244F0D">
      <w:pPr>
        <w:spacing w:before="240" w:after="120"/>
        <w:jc w:val="both"/>
        <w:rPr>
          <w:rFonts w:ascii="Segoe UI" w:hAnsi="Segoe UI" w:cs="Segoe UI"/>
        </w:rPr>
      </w:pPr>
      <w:bookmarkStart w:id="10" w:name="_Hlk111127778"/>
      <w:r w:rsidRPr="000757BC">
        <w:rPr>
          <w:rFonts w:ascii="Segoe UI" w:hAnsi="Segoe UI" w:cs="Segoe UI"/>
        </w:rPr>
        <w:lastRenderedPageBreak/>
        <w:t xml:space="preserve">Os investimentos permanentes em </w:t>
      </w:r>
      <w:r w:rsidR="00546002">
        <w:rPr>
          <w:rFonts w:ascii="Segoe UI" w:hAnsi="Segoe UI" w:cs="Segoe UI"/>
        </w:rPr>
        <w:t>controlada</w:t>
      </w:r>
      <w:r w:rsidRPr="000757BC">
        <w:rPr>
          <w:rFonts w:ascii="Segoe UI" w:hAnsi="Segoe UI" w:cs="Segoe UI"/>
        </w:rPr>
        <w:t>s são avaliad</w:t>
      </w:r>
      <w:bookmarkEnd w:id="10"/>
      <w:r w:rsidRPr="000757BC">
        <w:rPr>
          <w:rFonts w:ascii="Segoe UI" w:hAnsi="Segoe UI" w:cs="Segoe UI"/>
        </w:rPr>
        <w:t>os pelo método de equivalência patrimonial e sua composição é a seguinte:</w:t>
      </w:r>
    </w:p>
    <w:p w14:paraId="5E8642B0" w14:textId="77777777" w:rsidR="001F22DB" w:rsidRPr="00D735DA" w:rsidRDefault="001F22DB" w:rsidP="001F22DB">
      <w:pPr>
        <w:spacing w:before="240" w:afterLines="50" w:after="120"/>
        <w:jc w:val="both"/>
        <w:rPr>
          <w:rFonts w:ascii="Segoe UI" w:hAnsi="Segoe UI" w:cs="Segoe UI"/>
          <w:b/>
          <w:color w:val="1B80C4"/>
        </w:rPr>
      </w:pPr>
      <w:r w:rsidRPr="00D735DA">
        <w:rPr>
          <w:rFonts w:ascii="Segoe UI" w:hAnsi="Segoe UI" w:cs="Segoe UI"/>
          <w:b/>
          <w:color w:val="1B80C4"/>
        </w:rPr>
        <w:t>Eletronuclear S.A.</w:t>
      </w:r>
    </w:p>
    <w:p w14:paraId="75E8E9CA" w14:textId="04B69AC1" w:rsidR="009A7150" w:rsidRPr="00244C9E" w:rsidRDefault="009A7150" w:rsidP="009A7150">
      <w:pPr>
        <w:spacing w:before="240" w:after="120"/>
        <w:jc w:val="both"/>
        <w:rPr>
          <w:rFonts w:ascii="Segoe UI" w:hAnsi="Segoe UI" w:cs="Segoe UI"/>
          <w:snapToGrid w:val="0"/>
        </w:rPr>
      </w:pPr>
      <w:r w:rsidRPr="00244C9E">
        <w:rPr>
          <w:rFonts w:ascii="Segoe UI" w:hAnsi="Segoe UI" w:cs="Segoe UI"/>
          <w:snapToGrid w:val="0"/>
        </w:rPr>
        <w:t>A Eletronuclear tem como atividade principal a construção e operação de usinas nucleares, a geração de energia elétrica delas decorrentes e a realização de serviços de engenharia e correlatos, sendo essas atividades regulamentadas e fiscalizadas pela A</w:t>
      </w:r>
      <w:r w:rsidR="00700C06">
        <w:rPr>
          <w:rFonts w:ascii="Segoe UI" w:hAnsi="Segoe UI" w:cs="Segoe UI"/>
          <w:snapToGrid w:val="0"/>
        </w:rPr>
        <w:t>NEEL</w:t>
      </w:r>
      <w:r w:rsidRPr="00244C9E">
        <w:rPr>
          <w:rFonts w:ascii="Segoe UI" w:hAnsi="Segoe UI" w:cs="Segoe UI"/>
          <w:snapToGrid w:val="0"/>
        </w:rPr>
        <w:t xml:space="preserve">, vinculada ao MME. Dentro do escopo desse objeto, a Companhia vem exercendo basicamente as atividades de exploração das </w:t>
      </w:r>
      <w:r w:rsidR="00323748">
        <w:rPr>
          <w:rFonts w:ascii="Segoe UI" w:hAnsi="Segoe UI" w:cs="Segoe UI"/>
          <w:snapToGrid w:val="0"/>
        </w:rPr>
        <w:t>u</w:t>
      </w:r>
      <w:r w:rsidRPr="00244C9E">
        <w:rPr>
          <w:rFonts w:ascii="Segoe UI" w:hAnsi="Segoe UI" w:cs="Segoe UI"/>
          <w:snapToGrid w:val="0"/>
        </w:rPr>
        <w:t xml:space="preserve">sinas Angra 1 e 2, com potência nominal de 1.990 MW, bem como a construção da terceira unidade nucleoelétrica, denominada </w:t>
      </w:r>
      <w:r w:rsidR="00323748">
        <w:rPr>
          <w:rFonts w:ascii="Segoe UI" w:hAnsi="Segoe UI" w:cs="Segoe UI"/>
          <w:snapToGrid w:val="0"/>
        </w:rPr>
        <w:t>u</w:t>
      </w:r>
      <w:r w:rsidRPr="00244C9E">
        <w:rPr>
          <w:rFonts w:ascii="Segoe UI" w:hAnsi="Segoe UI" w:cs="Segoe UI"/>
          <w:snapToGrid w:val="0"/>
        </w:rPr>
        <w:t xml:space="preserve">sina Angra 3, cujo estágio está descrito na </w:t>
      </w:r>
      <w:r w:rsidRPr="00FB4A6C">
        <w:rPr>
          <w:rFonts w:ascii="Segoe UI" w:hAnsi="Segoe UI" w:cs="Segoe UI"/>
          <w:snapToGrid w:val="0"/>
        </w:rPr>
        <w:t>nota</w:t>
      </w:r>
      <w:r w:rsidR="00C80CC4">
        <w:rPr>
          <w:rFonts w:ascii="Segoe UI" w:hAnsi="Segoe UI" w:cs="Segoe UI"/>
          <w:snapToGrid w:val="0"/>
        </w:rPr>
        <w:t xml:space="preserve"> </w:t>
      </w:r>
      <w:r w:rsidR="00C80CC4">
        <w:rPr>
          <w:rFonts w:ascii="Segoe UI" w:hAnsi="Segoe UI" w:cs="Segoe UI"/>
        </w:rPr>
        <w:t>explicativa</w:t>
      </w:r>
      <w:r w:rsidRPr="00FB4A6C">
        <w:rPr>
          <w:rFonts w:ascii="Segoe UI" w:hAnsi="Segoe UI" w:cs="Segoe UI"/>
          <w:snapToGrid w:val="0"/>
        </w:rPr>
        <w:t xml:space="preserve"> 3</w:t>
      </w:r>
      <w:r w:rsidR="000656CC">
        <w:rPr>
          <w:rFonts w:ascii="Segoe UI" w:hAnsi="Segoe UI" w:cs="Segoe UI"/>
          <w:snapToGrid w:val="0"/>
        </w:rPr>
        <w:t>1</w:t>
      </w:r>
      <w:r w:rsidRPr="00FB4A6C">
        <w:rPr>
          <w:rFonts w:ascii="Segoe UI" w:hAnsi="Segoe UI" w:cs="Segoe UI"/>
          <w:snapToGrid w:val="0"/>
        </w:rPr>
        <w:t>.3.4,</w:t>
      </w:r>
      <w:r w:rsidRPr="00244C9E">
        <w:rPr>
          <w:rFonts w:ascii="Segoe UI" w:hAnsi="Segoe UI" w:cs="Segoe UI"/>
          <w:snapToGrid w:val="0"/>
        </w:rPr>
        <w:t xml:space="preserve"> todas integrantes da Central Nuclear Almirante Álvaro Alberto </w:t>
      </w:r>
      <w:r w:rsidR="00323748">
        <w:rPr>
          <w:rFonts w:ascii="Segoe UI" w:hAnsi="Segoe UI" w:cs="Segoe UI"/>
          <w:snapToGrid w:val="0"/>
        </w:rPr>
        <w:t>–</w:t>
      </w:r>
      <w:r w:rsidRPr="00244C9E">
        <w:rPr>
          <w:rFonts w:ascii="Segoe UI" w:hAnsi="Segoe UI" w:cs="Segoe UI"/>
          <w:snapToGrid w:val="0"/>
        </w:rPr>
        <w:t xml:space="preserve"> </w:t>
      </w:r>
      <w:r w:rsidR="00323748">
        <w:rPr>
          <w:rFonts w:ascii="Segoe UI" w:hAnsi="Segoe UI" w:cs="Segoe UI"/>
          <w:snapToGrid w:val="0"/>
        </w:rPr>
        <w:t>(“</w:t>
      </w:r>
      <w:r w:rsidRPr="00244C9E">
        <w:rPr>
          <w:rFonts w:ascii="Segoe UI" w:hAnsi="Segoe UI" w:cs="Segoe UI"/>
          <w:snapToGrid w:val="0"/>
        </w:rPr>
        <w:t>CNAAA</w:t>
      </w:r>
      <w:r w:rsidR="00323748">
        <w:rPr>
          <w:rFonts w:ascii="Segoe UI" w:hAnsi="Segoe UI" w:cs="Segoe UI"/>
          <w:snapToGrid w:val="0"/>
        </w:rPr>
        <w:t>”).</w:t>
      </w:r>
    </w:p>
    <w:p w14:paraId="0508003C" w14:textId="3A4C5CB2" w:rsidR="00FE4662" w:rsidRDefault="00D72904" w:rsidP="00D72904">
      <w:pPr>
        <w:spacing w:before="240" w:after="120"/>
        <w:ind w:right="75"/>
        <w:jc w:val="both"/>
        <w:rPr>
          <w:rFonts w:ascii="Segoe UI" w:hAnsi="Segoe UI" w:cs="Segoe UI"/>
          <w:snapToGrid w:val="0"/>
        </w:rPr>
      </w:pPr>
      <w:r w:rsidRPr="00515246">
        <w:rPr>
          <w:rFonts w:ascii="Segoe UI" w:hAnsi="Segoe UI" w:cs="Segoe UI"/>
          <w:snapToGrid w:val="0"/>
        </w:rPr>
        <w:t xml:space="preserve">Em </w:t>
      </w:r>
      <w:r w:rsidRPr="00BC792D">
        <w:rPr>
          <w:rFonts w:ascii="Segoe UI" w:hAnsi="Segoe UI" w:cs="Segoe UI"/>
          <w:snapToGrid w:val="0"/>
        </w:rPr>
        <w:t>junho de 2022</w:t>
      </w:r>
      <w:r w:rsidRPr="00515246">
        <w:rPr>
          <w:rFonts w:ascii="Segoe UI" w:hAnsi="Segoe UI" w:cs="Segoe UI"/>
          <w:snapToGrid w:val="0"/>
        </w:rPr>
        <w:t xml:space="preserve">, a transferência de controle da </w:t>
      </w:r>
      <w:r w:rsidRPr="00515246">
        <w:rPr>
          <w:rFonts w:ascii="Segoe UI" w:hAnsi="Segoe UI" w:cs="Segoe UI"/>
        </w:rPr>
        <w:t>Eletronuclear</w:t>
      </w:r>
      <w:r w:rsidRPr="00515246">
        <w:rPr>
          <w:rFonts w:ascii="Segoe UI" w:hAnsi="Segoe UI" w:cs="Segoe UI"/>
          <w:snapToGrid w:val="0"/>
        </w:rPr>
        <w:t xml:space="preserve"> foi concluída com o aporte de R$ 3.500.000 direto na Eletronuclear. Com isso, a ENBPar passou a deter 64,10% das ações ordinárias, o que corresponde a 32,048% de participação societária na Eletronuclear. </w:t>
      </w:r>
    </w:p>
    <w:p w14:paraId="2051A7F3" w14:textId="1EFDA091" w:rsidR="009A7150" w:rsidRDefault="00D72904" w:rsidP="00D72904">
      <w:pPr>
        <w:spacing w:before="240" w:after="120"/>
        <w:ind w:right="75"/>
        <w:jc w:val="both"/>
        <w:rPr>
          <w:rFonts w:ascii="Segoe UI" w:hAnsi="Segoe UI" w:cs="Segoe UI"/>
          <w:snapToGrid w:val="0"/>
          <w:highlight w:val="lightGray"/>
        </w:rPr>
      </w:pPr>
      <w:r w:rsidRPr="00515246">
        <w:rPr>
          <w:rFonts w:ascii="Segoe UI" w:hAnsi="Segoe UI" w:cs="Segoe UI"/>
          <w:snapToGrid w:val="0"/>
        </w:rPr>
        <w:t xml:space="preserve">Abaixo está demonstrado a composição </w:t>
      </w:r>
      <w:r w:rsidR="00D31D50">
        <w:rPr>
          <w:rFonts w:ascii="Segoe UI" w:hAnsi="Segoe UI" w:cs="Segoe UI"/>
          <w:snapToGrid w:val="0"/>
        </w:rPr>
        <w:t xml:space="preserve">de aquisição </w:t>
      </w:r>
      <w:r w:rsidRPr="00515246">
        <w:rPr>
          <w:rFonts w:ascii="Segoe UI" w:hAnsi="Segoe UI" w:cs="Segoe UI"/>
          <w:snapToGrid w:val="0"/>
        </w:rPr>
        <w:t xml:space="preserve">da </w:t>
      </w:r>
      <w:r w:rsidR="00546002">
        <w:rPr>
          <w:rFonts w:ascii="Segoe UI" w:hAnsi="Segoe UI" w:cs="Segoe UI"/>
          <w:snapToGrid w:val="0"/>
        </w:rPr>
        <w:t>controlada</w:t>
      </w:r>
      <w:r w:rsidRPr="00515246">
        <w:rPr>
          <w:rFonts w:ascii="Segoe UI" w:hAnsi="Segoe UI" w:cs="Segoe UI"/>
          <w:snapToGrid w:val="0"/>
        </w:rPr>
        <w:t xml:space="preserve"> no momento da aquisição do investimento</w:t>
      </w:r>
      <w:r w:rsidRPr="004575FF">
        <w:rPr>
          <w:rFonts w:ascii="Segoe UI" w:hAnsi="Segoe UI" w:cs="Segoe UI"/>
          <w:snapToGrid w:val="0"/>
        </w:rPr>
        <w:t>:</w:t>
      </w:r>
    </w:p>
    <w:tbl>
      <w:tblPr>
        <w:tblW w:w="5000" w:type="pct"/>
        <w:tblCellMar>
          <w:left w:w="70" w:type="dxa"/>
          <w:right w:w="70" w:type="dxa"/>
        </w:tblCellMar>
        <w:tblLook w:val="04A0" w:firstRow="1" w:lastRow="0" w:firstColumn="1" w:lastColumn="0" w:noHBand="0" w:noVBand="1"/>
      </w:tblPr>
      <w:tblGrid>
        <w:gridCol w:w="7510"/>
        <w:gridCol w:w="1987"/>
      </w:tblGrid>
      <w:tr w:rsidR="001E7D95" w:rsidRPr="00491920" w14:paraId="7C25322A" w14:textId="77777777" w:rsidTr="00D72904">
        <w:trPr>
          <w:trHeight w:val="240"/>
        </w:trPr>
        <w:tc>
          <w:tcPr>
            <w:tcW w:w="3954" w:type="pct"/>
            <w:tcBorders>
              <w:top w:val="nil"/>
              <w:left w:val="nil"/>
              <w:bottom w:val="nil"/>
              <w:right w:val="nil"/>
            </w:tcBorders>
            <w:shd w:val="clear" w:color="auto" w:fill="auto"/>
            <w:noWrap/>
            <w:vAlign w:val="bottom"/>
            <w:hideMark/>
          </w:tcPr>
          <w:p w14:paraId="661D6D82" w14:textId="4B5E992A" w:rsidR="001E7D95" w:rsidRPr="00491920" w:rsidRDefault="009A7150">
            <w:pPr>
              <w:spacing w:after="0" w:line="240" w:lineRule="auto"/>
              <w:ind w:firstLineChars="200" w:firstLine="440"/>
              <w:rPr>
                <w:rFonts w:ascii="Segoe UI" w:eastAsia="Times New Roman" w:hAnsi="Segoe UI" w:cs="Segoe UI"/>
                <w:color w:val="000000"/>
                <w:sz w:val="18"/>
                <w:szCs w:val="18"/>
                <w:lang w:eastAsia="pt-BR"/>
              </w:rPr>
            </w:pPr>
            <w:r>
              <w:rPr>
                <w:rFonts w:ascii="Segoe UI" w:hAnsi="Segoe UI" w:cs="Segoe UI"/>
                <w:snapToGrid w:val="0"/>
                <w:highlight w:val="lightGray"/>
              </w:rPr>
              <w:br w:type="page"/>
            </w:r>
            <w:r w:rsidR="001E7D95" w:rsidRPr="00491920">
              <w:rPr>
                <w:rFonts w:ascii="Segoe UI" w:eastAsia="Times New Roman" w:hAnsi="Segoe UI" w:cs="Segoe UI"/>
                <w:color w:val="000000"/>
                <w:sz w:val="18"/>
                <w:szCs w:val="18"/>
                <w:lang w:eastAsia="pt-BR"/>
              </w:rPr>
              <w:t>Caixa</w:t>
            </w:r>
          </w:p>
        </w:tc>
        <w:tc>
          <w:tcPr>
            <w:tcW w:w="1046" w:type="pct"/>
            <w:tcBorders>
              <w:top w:val="nil"/>
              <w:left w:val="nil"/>
              <w:bottom w:val="single" w:sz="4" w:space="0" w:color="1B80C4"/>
              <w:right w:val="nil"/>
            </w:tcBorders>
            <w:shd w:val="clear" w:color="auto" w:fill="auto"/>
            <w:noWrap/>
            <w:vAlign w:val="center"/>
            <w:hideMark/>
          </w:tcPr>
          <w:p w14:paraId="11FEEF0B" w14:textId="77777777" w:rsidR="001E7D95" w:rsidRPr="00491920" w:rsidRDefault="001E7D95" w:rsidP="00240EB3">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3.500.000 </w:t>
            </w:r>
          </w:p>
        </w:tc>
      </w:tr>
      <w:tr w:rsidR="001E7D95" w:rsidRPr="00491920" w14:paraId="1C0E311E" w14:textId="77777777" w:rsidTr="00D72904">
        <w:trPr>
          <w:trHeight w:val="240"/>
        </w:trPr>
        <w:tc>
          <w:tcPr>
            <w:tcW w:w="3954" w:type="pct"/>
            <w:tcBorders>
              <w:top w:val="nil"/>
              <w:left w:val="nil"/>
              <w:bottom w:val="nil"/>
              <w:right w:val="nil"/>
            </w:tcBorders>
            <w:shd w:val="clear" w:color="auto" w:fill="auto"/>
            <w:noWrap/>
            <w:vAlign w:val="bottom"/>
            <w:hideMark/>
          </w:tcPr>
          <w:p w14:paraId="3A0265CD" w14:textId="77777777" w:rsidR="001E7D95" w:rsidRPr="00491920" w:rsidRDefault="001E7D95">
            <w:pPr>
              <w:spacing w:after="0" w:line="240" w:lineRule="auto"/>
              <w:ind w:firstLineChars="100" w:firstLine="181"/>
              <w:rPr>
                <w:rFonts w:ascii="Segoe UI" w:eastAsia="Times New Roman" w:hAnsi="Segoe UI" w:cs="Segoe UI"/>
                <w:b/>
                <w:bCs/>
                <w:color w:val="000000"/>
                <w:sz w:val="18"/>
                <w:szCs w:val="18"/>
                <w:lang w:eastAsia="pt-BR"/>
              </w:rPr>
            </w:pPr>
            <w:r w:rsidRPr="00491920">
              <w:rPr>
                <w:rFonts w:ascii="Segoe UI" w:eastAsia="Times New Roman" w:hAnsi="Segoe UI" w:cs="Segoe UI"/>
                <w:b/>
                <w:bCs/>
                <w:color w:val="000000"/>
                <w:sz w:val="18"/>
                <w:szCs w:val="18"/>
                <w:lang w:eastAsia="pt-BR"/>
              </w:rPr>
              <w:t>Total da contraprestação transferida</w:t>
            </w:r>
          </w:p>
        </w:tc>
        <w:tc>
          <w:tcPr>
            <w:tcW w:w="1046" w:type="pct"/>
            <w:tcBorders>
              <w:top w:val="nil"/>
              <w:left w:val="nil"/>
              <w:bottom w:val="nil"/>
              <w:right w:val="nil"/>
            </w:tcBorders>
            <w:shd w:val="clear" w:color="auto" w:fill="auto"/>
            <w:noWrap/>
            <w:vAlign w:val="bottom"/>
            <w:hideMark/>
          </w:tcPr>
          <w:p w14:paraId="09083CB9" w14:textId="77777777" w:rsidR="001E7D95" w:rsidRPr="00491920" w:rsidRDefault="001E7D95" w:rsidP="00482C5E">
            <w:pPr>
              <w:spacing w:after="0" w:line="240" w:lineRule="auto"/>
              <w:jc w:val="right"/>
              <w:rPr>
                <w:rFonts w:ascii="Segoe UI" w:eastAsia="Times New Roman" w:hAnsi="Segoe UI" w:cs="Segoe UI"/>
                <w:b/>
                <w:bCs/>
                <w:color w:val="000000"/>
                <w:sz w:val="18"/>
                <w:szCs w:val="18"/>
                <w:lang w:eastAsia="pt-BR"/>
              </w:rPr>
            </w:pPr>
            <w:r w:rsidRPr="00491920">
              <w:rPr>
                <w:rFonts w:ascii="Segoe UI" w:eastAsia="Times New Roman" w:hAnsi="Segoe UI" w:cs="Segoe UI"/>
                <w:b/>
                <w:bCs/>
                <w:color w:val="000000"/>
                <w:sz w:val="18"/>
                <w:szCs w:val="18"/>
                <w:lang w:eastAsia="pt-BR"/>
              </w:rPr>
              <w:t xml:space="preserve">                  3.500.000 </w:t>
            </w:r>
          </w:p>
        </w:tc>
      </w:tr>
      <w:tr w:rsidR="001E7D95" w:rsidRPr="00491920" w14:paraId="1DDE6A8B" w14:textId="77777777" w:rsidTr="00D72904">
        <w:trPr>
          <w:trHeight w:val="240"/>
        </w:trPr>
        <w:tc>
          <w:tcPr>
            <w:tcW w:w="3954" w:type="pct"/>
            <w:tcBorders>
              <w:top w:val="nil"/>
              <w:left w:val="nil"/>
              <w:bottom w:val="nil"/>
              <w:right w:val="nil"/>
            </w:tcBorders>
            <w:shd w:val="clear" w:color="auto" w:fill="auto"/>
            <w:noWrap/>
            <w:vAlign w:val="bottom"/>
            <w:hideMark/>
          </w:tcPr>
          <w:p w14:paraId="677F104E" w14:textId="77777777" w:rsidR="001E7D95" w:rsidRPr="00491920" w:rsidRDefault="001E7D95">
            <w:pPr>
              <w:spacing w:after="0" w:line="240" w:lineRule="auto"/>
              <w:rPr>
                <w:rFonts w:ascii="Segoe UI" w:eastAsia="Times New Roman" w:hAnsi="Segoe UI" w:cs="Segoe UI"/>
                <w:b/>
                <w:bCs/>
                <w:color w:val="000000"/>
                <w:sz w:val="18"/>
                <w:szCs w:val="18"/>
                <w:lang w:eastAsia="pt-BR"/>
              </w:rPr>
            </w:pPr>
          </w:p>
        </w:tc>
        <w:tc>
          <w:tcPr>
            <w:tcW w:w="1046" w:type="pct"/>
            <w:tcBorders>
              <w:top w:val="nil"/>
              <w:left w:val="nil"/>
              <w:bottom w:val="nil"/>
              <w:right w:val="nil"/>
            </w:tcBorders>
            <w:shd w:val="clear" w:color="auto" w:fill="auto"/>
            <w:noWrap/>
            <w:vAlign w:val="bottom"/>
            <w:hideMark/>
          </w:tcPr>
          <w:p w14:paraId="10A17A53" w14:textId="77777777" w:rsidR="001E7D95" w:rsidRPr="00491920" w:rsidRDefault="001E7D95" w:rsidP="00482C5E">
            <w:pPr>
              <w:spacing w:after="0" w:line="240" w:lineRule="auto"/>
              <w:jc w:val="right"/>
              <w:rPr>
                <w:rFonts w:ascii="Times New Roman" w:eastAsia="Times New Roman" w:hAnsi="Times New Roman" w:cs="Times New Roman"/>
                <w:sz w:val="20"/>
                <w:szCs w:val="20"/>
                <w:lang w:eastAsia="pt-BR"/>
              </w:rPr>
            </w:pPr>
          </w:p>
        </w:tc>
      </w:tr>
      <w:tr w:rsidR="001E7D95" w:rsidRPr="00491920" w14:paraId="4EFFF1CF" w14:textId="77777777" w:rsidTr="00D72904">
        <w:trPr>
          <w:trHeight w:val="240"/>
        </w:trPr>
        <w:tc>
          <w:tcPr>
            <w:tcW w:w="3954" w:type="pct"/>
            <w:tcBorders>
              <w:top w:val="nil"/>
              <w:left w:val="nil"/>
              <w:bottom w:val="nil"/>
              <w:right w:val="nil"/>
            </w:tcBorders>
            <w:shd w:val="clear" w:color="auto" w:fill="auto"/>
            <w:noWrap/>
            <w:vAlign w:val="bottom"/>
            <w:hideMark/>
          </w:tcPr>
          <w:p w14:paraId="78AA064C" w14:textId="77777777" w:rsidR="001E7D95" w:rsidRPr="00491920" w:rsidRDefault="001E7D95">
            <w:pPr>
              <w:spacing w:after="0" w:line="240" w:lineRule="auto"/>
              <w:ind w:firstLineChars="100" w:firstLine="18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Valores reconhecidos de ativos identificáveis adquiridos e passivos assumidos</w:t>
            </w:r>
          </w:p>
        </w:tc>
        <w:tc>
          <w:tcPr>
            <w:tcW w:w="1046" w:type="pct"/>
            <w:tcBorders>
              <w:top w:val="nil"/>
              <w:left w:val="nil"/>
              <w:bottom w:val="nil"/>
              <w:right w:val="nil"/>
            </w:tcBorders>
            <w:shd w:val="clear" w:color="auto" w:fill="auto"/>
            <w:noWrap/>
            <w:vAlign w:val="bottom"/>
            <w:hideMark/>
          </w:tcPr>
          <w:p w14:paraId="2DC08D78" w14:textId="77777777" w:rsidR="001E7D95" w:rsidRPr="00491920" w:rsidRDefault="001E7D95" w:rsidP="00482C5E">
            <w:pPr>
              <w:spacing w:after="0" w:line="240" w:lineRule="auto"/>
              <w:ind w:firstLineChars="100" w:firstLine="180"/>
              <w:jc w:val="right"/>
              <w:rPr>
                <w:rFonts w:ascii="Segoe UI" w:eastAsia="Times New Roman" w:hAnsi="Segoe UI" w:cs="Segoe UI"/>
                <w:color w:val="000000"/>
                <w:sz w:val="18"/>
                <w:szCs w:val="18"/>
                <w:lang w:eastAsia="pt-BR"/>
              </w:rPr>
            </w:pPr>
          </w:p>
        </w:tc>
      </w:tr>
      <w:tr w:rsidR="001E7D95" w:rsidRPr="00491920" w14:paraId="1A118E50" w14:textId="77777777" w:rsidTr="00D72904">
        <w:trPr>
          <w:trHeight w:val="240"/>
        </w:trPr>
        <w:tc>
          <w:tcPr>
            <w:tcW w:w="3954" w:type="pct"/>
            <w:tcBorders>
              <w:top w:val="nil"/>
              <w:left w:val="nil"/>
              <w:bottom w:val="nil"/>
              <w:right w:val="nil"/>
            </w:tcBorders>
            <w:shd w:val="clear" w:color="auto" w:fill="auto"/>
            <w:noWrap/>
            <w:vAlign w:val="bottom"/>
            <w:hideMark/>
          </w:tcPr>
          <w:p w14:paraId="4BEC7B66"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Caixa e equivalente de caixa</w:t>
            </w:r>
          </w:p>
        </w:tc>
        <w:tc>
          <w:tcPr>
            <w:tcW w:w="1046" w:type="pct"/>
            <w:tcBorders>
              <w:top w:val="nil"/>
              <w:left w:val="nil"/>
              <w:bottom w:val="nil"/>
              <w:right w:val="nil"/>
            </w:tcBorders>
            <w:shd w:val="clear" w:color="auto" w:fill="auto"/>
            <w:noWrap/>
            <w:vAlign w:val="bottom"/>
            <w:hideMark/>
          </w:tcPr>
          <w:p w14:paraId="4A46D2CB"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7.852 </w:t>
            </w:r>
          </w:p>
        </w:tc>
      </w:tr>
      <w:tr w:rsidR="001E7D95" w:rsidRPr="00491920" w14:paraId="3942E615" w14:textId="77777777" w:rsidTr="00D72904">
        <w:trPr>
          <w:trHeight w:val="240"/>
        </w:trPr>
        <w:tc>
          <w:tcPr>
            <w:tcW w:w="3954" w:type="pct"/>
            <w:tcBorders>
              <w:top w:val="nil"/>
              <w:left w:val="nil"/>
              <w:bottom w:val="nil"/>
              <w:right w:val="nil"/>
            </w:tcBorders>
            <w:shd w:val="clear" w:color="auto" w:fill="auto"/>
            <w:noWrap/>
            <w:vAlign w:val="bottom"/>
            <w:hideMark/>
          </w:tcPr>
          <w:p w14:paraId="2E8D615D" w14:textId="74B2A354"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Títulos e valores mobiliários</w:t>
            </w:r>
            <w:r w:rsidR="007D7AF5">
              <w:rPr>
                <w:rFonts w:ascii="Segoe UI" w:eastAsia="Times New Roman" w:hAnsi="Segoe UI" w:cs="Segoe UI"/>
                <w:color w:val="000000"/>
                <w:sz w:val="18"/>
                <w:szCs w:val="18"/>
                <w:lang w:eastAsia="pt-BR"/>
              </w:rPr>
              <w:t xml:space="preserve"> e </w:t>
            </w:r>
            <w:r w:rsidR="00BC792D">
              <w:rPr>
                <w:rFonts w:ascii="Segoe UI" w:eastAsia="Times New Roman" w:hAnsi="Segoe UI" w:cs="Segoe UI"/>
                <w:color w:val="000000"/>
                <w:sz w:val="18"/>
                <w:szCs w:val="18"/>
                <w:lang w:eastAsia="pt-BR"/>
              </w:rPr>
              <w:t>f</w:t>
            </w:r>
            <w:r w:rsidR="005237DA">
              <w:rPr>
                <w:rFonts w:ascii="Segoe UI" w:eastAsia="Times New Roman" w:hAnsi="Segoe UI" w:cs="Segoe UI"/>
                <w:color w:val="000000"/>
                <w:sz w:val="18"/>
                <w:szCs w:val="18"/>
                <w:lang w:eastAsia="pt-BR"/>
              </w:rPr>
              <w:t>undo de descomissionamento</w:t>
            </w:r>
          </w:p>
        </w:tc>
        <w:tc>
          <w:tcPr>
            <w:tcW w:w="1046" w:type="pct"/>
            <w:tcBorders>
              <w:top w:val="nil"/>
              <w:left w:val="nil"/>
              <w:bottom w:val="nil"/>
              <w:right w:val="nil"/>
            </w:tcBorders>
            <w:shd w:val="clear" w:color="auto" w:fill="auto"/>
            <w:noWrap/>
            <w:vAlign w:val="bottom"/>
            <w:hideMark/>
          </w:tcPr>
          <w:p w14:paraId="00DCFF83"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2.475.771 </w:t>
            </w:r>
          </w:p>
        </w:tc>
      </w:tr>
      <w:tr w:rsidR="001E7D95" w:rsidRPr="00491920" w14:paraId="7278F77B" w14:textId="77777777" w:rsidTr="00D72904">
        <w:trPr>
          <w:trHeight w:val="240"/>
        </w:trPr>
        <w:tc>
          <w:tcPr>
            <w:tcW w:w="3954" w:type="pct"/>
            <w:tcBorders>
              <w:top w:val="nil"/>
              <w:left w:val="nil"/>
              <w:bottom w:val="nil"/>
              <w:right w:val="nil"/>
            </w:tcBorders>
            <w:shd w:val="clear" w:color="auto" w:fill="auto"/>
            <w:noWrap/>
            <w:vAlign w:val="bottom"/>
            <w:hideMark/>
          </w:tcPr>
          <w:p w14:paraId="568194E3"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Clientes</w:t>
            </w:r>
          </w:p>
        </w:tc>
        <w:tc>
          <w:tcPr>
            <w:tcW w:w="1046" w:type="pct"/>
            <w:tcBorders>
              <w:top w:val="nil"/>
              <w:left w:val="nil"/>
              <w:bottom w:val="nil"/>
              <w:right w:val="nil"/>
            </w:tcBorders>
            <w:shd w:val="clear" w:color="auto" w:fill="auto"/>
            <w:noWrap/>
            <w:vAlign w:val="bottom"/>
            <w:hideMark/>
          </w:tcPr>
          <w:p w14:paraId="4439A4ED"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422.399 </w:t>
            </w:r>
          </w:p>
        </w:tc>
      </w:tr>
      <w:tr w:rsidR="001E7D95" w:rsidRPr="00491920" w14:paraId="2C6CA44B" w14:textId="77777777" w:rsidTr="00D72904">
        <w:trPr>
          <w:trHeight w:val="240"/>
        </w:trPr>
        <w:tc>
          <w:tcPr>
            <w:tcW w:w="3954" w:type="pct"/>
            <w:tcBorders>
              <w:top w:val="nil"/>
              <w:left w:val="nil"/>
              <w:bottom w:val="nil"/>
              <w:right w:val="nil"/>
            </w:tcBorders>
            <w:shd w:val="clear" w:color="auto" w:fill="auto"/>
            <w:noWrap/>
            <w:vAlign w:val="bottom"/>
            <w:hideMark/>
          </w:tcPr>
          <w:p w14:paraId="25BB0C4B"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Estoque de combustível nuclear</w:t>
            </w:r>
          </w:p>
        </w:tc>
        <w:tc>
          <w:tcPr>
            <w:tcW w:w="1046" w:type="pct"/>
            <w:tcBorders>
              <w:top w:val="nil"/>
              <w:left w:val="nil"/>
              <w:bottom w:val="nil"/>
              <w:right w:val="nil"/>
            </w:tcBorders>
            <w:shd w:val="clear" w:color="auto" w:fill="auto"/>
            <w:noWrap/>
            <w:vAlign w:val="bottom"/>
            <w:hideMark/>
          </w:tcPr>
          <w:p w14:paraId="13D34E39"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1.837.333 </w:t>
            </w:r>
          </w:p>
        </w:tc>
      </w:tr>
      <w:tr w:rsidR="001E7D95" w:rsidRPr="00491920" w14:paraId="23E5341D" w14:textId="77777777" w:rsidTr="00D72904">
        <w:trPr>
          <w:trHeight w:val="240"/>
        </w:trPr>
        <w:tc>
          <w:tcPr>
            <w:tcW w:w="3954" w:type="pct"/>
            <w:tcBorders>
              <w:top w:val="nil"/>
              <w:left w:val="nil"/>
              <w:bottom w:val="nil"/>
              <w:right w:val="nil"/>
            </w:tcBorders>
            <w:shd w:val="clear" w:color="auto" w:fill="auto"/>
            <w:noWrap/>
            <w:vAlign w:val="bottom"/>
            <w:hideMark/>
          </w:tcPr>
          <w:p w14:paraId="5EE7A4F0"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Almoxarifado</w:t>
            </w:r>
          </w:p>
        </w:tc>
        <w:tc>
          <w:tcPr>
            <w:tcW w:w="1046" w:type="pct"/>
            <w:tcBorders>
              <w:top w:val="nil"/>
              <w:left w:val="nil"/>
              <w:bottom w:val="nil"/>
              <w:right w:val="nil"/>
            </w:tcBorders>
            <w:shd w:val="clear" w:color="auto" w:fill="auto"/>
            <w:noWrap/>
            <w:vAlign w:val="bottom"/>
            <w:hideMark/>
          </w:tcPr>
          <w:p w14:paraId="77AF8744"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302.191 </w:t>
            </w:r>
          </w:p>
        </w:tc>
      </w:tr>
      <w:tr w:rsidR="001E7D95" w:rsidRPr="00491920" w14:paraId="77F27BEE" w14:textId="77777777" w:rsidTr="00D72904">
        <w:trPr>
          <w:trHeight w:val="240"/>
        </w:trPr>
        <w:tc>
          <w:tcPr>
            <w:tcW w:w="3954" w:type="pct"/>
            <w:tcBorders>
              <w:top w:val="nil"/>
              <w:left w:val="nil"/>
              <w:bottom w:val="nil"/>
              <w:right w:val="nil"/>
            </w:tcBorders>
            <w:shd w:val="clear" w:color="auto" w:fill="auto"/>
            <w:noWrap/>
            <w:vAlign w:val="bottom"/>
            <w:hideMark/>
          </w:tcPr>
          <w:p w14:paraId="2B0D127B" w14:textId="39292379" w:rsidR="001E7D95" w:rsidRPr="00491920" w:rsidRDefault="00476921">
            <w:pPr>
              <w:spacing w:after="0" w:line="240" w:lineRule="auto"/>
              <w:ind w:firstLineChars="200" w:firstLine="360"/>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I</w:t>
            </w:r>
            <w:r w:rsidR="001E7D95" w:rsidRPr="00491920">
              <w:rPr>
                <w:rFonts w:ascii="Segoe UI" w:eastAsia="Times New Roman" w:hAnsi="Segoe UI" w:cs="Segoe UI"/>
                <w:color w:val="000000"/>
                <w:sz w:val="18"/>
                <w:szCs w:val="18"/>
                <w:lang w:eastAsia="pt-BR"/>
              </w:rPr>
              <w:t>mobilizado</w:t>
            </w:r>
          </w:p>
        </w:tc>
        <w:tc>
          <w:tcPr>
            <w:tcW w:w="1046" w:type="pct"/>
            <w:tcBorders>
              <w:top w:val="nil"/>
              <w:left w:val="nil"/>
              <w:bottom w:val="nil"/>
              <w:right w:val="nil"/>
            </w:tcBorders>
            <w:shd w:val="clear" w:color="auto" w:fill="auto"/>
            <w:noWrap/>
            <w:vAlign w:val="bottom"/>
            <w:hideMark/>
          </w:tcPr>
          <w:p w14:paraId="2F8AB946"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13.882.418 </w:t>
            </w:r>
          </w:p>
        </w:tc>
      </w:tr>
      <w:tr w:rsidR="001E7D95" w:rsidRPr="00491920" w14:paraId="356294BF" w14:textId="77777777" w:rsidTr="00D72904">
        <w:trPr>
          <w:trHeight w:val="240"/>
        </w:trPr>
        <w:tc>
          <w:tcPr>
            <w:tcW w:w="3954" w:type="pct"/>
            <w:tcBorders>
              <w:top w:val="nil"/>
              <w:left w:val="nil"/>
              <w:bottom w:val="nil"/>
              <w:right w:val="nil"/>
            </w:tcBorders>
            <w:shd w:val="clear" w:color="auto" w:fill="auto"/>
            <w:noWrap/>
            <w:vAlign w:val="bottom"/>
            <w:hideMark/>
          </w:tcPr>
          <w:p w14:paraId="2C8960EF"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Fornecedores</w:t>
            </w:r>
          </w:p>
        </w:tc>
        <w:tc>
          <w:tcPr>
            <w:tcW w:w="1046" w:type="pct"/>
            <w:tcBorders>
              <w:top w:val="nil"/>
              <w:left w:val="nil"/>
              <w:bottom w:val="nil"/>
              <w:right w:val="nil"/>
            </w:tcBorders>
            <w:shd w:val="clear" w:color="auto" w:fill="auto"/>
            <w:noWrap/>
            <w:vAlign w:val="bottom"/>
            <w:hideMark/>
          </w:tcPr>
          <w:p w14:paraId="2D5873E3"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(905.085)</w:t>
            </w:r>
          </w:p>
        </w:tc>
      </w:tr>
      <w:tr w:rsidR="001E7D95" w:rsidRPr="00491920" w14:paraId="00A82951" w14:textId="77777777" w:rsidTr="00D72904">
        <w:trPr>
          <w:trHeight w:val="240"/>
        </w:trPr>
        <w:tc>
          <w:tcPr>
            <w:tcW w:w="3954" w:type="pct"/>
            <w:tcBorders>
              <w:top w:val="nil"/>
              <w:left w:val="nil"/>
              <w:bottom w:val="nil"/>
              <w:right w:val="nil"/>
            </w:tcBorders>
            <w:shd w:val="clear" w:color="auto" w:fill="auto"/>
            <w:noWrap/>
            <w:vAlign w:val="bottom"/>
            <w:hideMark/>
          </w:tcPr>
          <w:p w14:paraId="21F12F97"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Empréstimos e financiamentos </w:t>
            </w:r>
          </w:p>
        </w:tc>
        <w:tc>
          <w:tcPr>
            <w:tcW w:w="1046" w:type="pct"/>
            <w:tcBorders>
              <w:top w:val="nil"/>
              <w:left w:val="nil"/>
              <w:bottom w:val="nil"/>
              <w:right w:val="nil"/>
            </w:tcBorders>
            <w:shd w:val="clear" w:color="auto" w:fill="auto"/>
            <w:noWrap/>
            <w:vAlign w:val="bottom"/>
            <w:hideMark/>
          </w:tcPr>
          <w:p w14:paraId="3CBB8348"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(7.202.244)</w:t>
            </w:r>
          </w:p>
        </w:tc>
      </w:tr>
      <w:tr w:rsidR="001E7D95" w:rsidRPr="00491920" w14:paraId="5160B631" w14:textId="77777777" w:rsidTr="00D72904">
        <w:trPr>
          <w:trHeight w:val="240"/>
        </w:trPr>
        <w:tc>
          <w:tcPr>
            <w:tcW w:w="3954" w:type="pct"/>
            <w:tcBorders>
              <w:top w:val="nil"/>
              <w:left w:val="nil"/>
              <w:bottom w:val="nil"/>
              <w:right w:val="nil"/>
            </w:tcBorders>
            <w:shd w:val="clear" w:color="auto" w:fill="auto"/>
            <w:noWrap/>
            <w:vAlign w:val="bottom"/>
            <w:hideMark/>
          </w:tcPr>
          <w:p w14:paraId="4E45B8D4" w14:textId="59EB95C4"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Passivos </w:t>
            </w:r>
            <w:r w:rsidR="00476921">
              <w:rPr>
                <w:rFonts w:ascii="Segoe UI" w:eastAsia="Times New Roman" w:hAnsi="Segoe UI" w:cs="Segoe UI"/>
                <w:color w:val="000000"/>
                <w:sz w:val="18"/>
                <w:szCs w:val="18"/>
                <w:lang w:eastAsia="pt-BR"/>
              </w:rPr>
              <w:t>c</w:t>
            </w:r>
            <w:r w:rsidRPr="00491920">
              <w:rPr>
                <w:rFonts w:ascii="Segoe UI" w:eastAsia="Times New Roman" w:hAnsi="Segoe UI" w:cs="Segoe UI"/>
                <w:color w:val="000000"/>
                <w:sz w:val="18"/>
                <w:szCs w:val="18"/>
                <w:lang w:eastAsia="pt-BR"/>
              </w:rPr>
              <w:t>ontingentes</w:t>
            </w:r>
          </w:p>
        </w:tc>
        <w:tc>
          <w:tcPr>
            <w:tcW w:w="1046" w:type="pct"/>
            <w:tcBorders>
              <w:top w:val="nil"/>
              <w:left w:val="nil"/>
              <w:bottom w:val="nil"/>
              <w:right w:val="nil"/>
            </w:tcBorders>
            <w:shd w:val="clear" w:color="auto" w:fill="auto"/>
            <w:noWrap/>
            <w:vAlign w:val="bottom"/>
            <w:hideMark/>
          </w:tcPr>
          <w:p w14:paraId="63D083E4"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(149.346)</w:t>
            </w:r>
          </w:p>
        </w:tc>
      </w:tr>
      <w:tr w:rsidR="001E7D95" w:rsidRPr="00491920" w14:paraId="4825C5B8" w14:textId="77777777" w:rsidTr="00D72904">
        <w:trPr>
          <w:trHeight w:val="23"/>
        </w:trPr>
        <w:tc>
          <w:tcPr>
            <w:tcW w:w="3954" w:type="pct"/>
            <w:tcBorders>
              <w:top w:val="nil"/>
              <w:left w:val="nil"/>
              <w:bottom w:val="nil"/>
              <w:right w:val="nil"/>
            </w:tcBorders>
            <w:shd w:val="clear" w:color="auto" w:fill="auto"/>
            <w:noWrap/>
            <w:vAlign w:val="bottom"/>
            <w:hideMark/>
          </w:tcPr>
          <w:p w14:paraId="063A5304"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Benefício pós-emprego</w:t>
            </w:r>
          </w:p>
        </w:tc>
        <w:tc>
          <w:tcPr>
            <w:tcW w:w="1046" w:type="pct"/>
            <w:tcBorders>
              <w:top w:val="nil"/>
              <w:left w:val="nil"/>
              <w:bottom w:val="nil"/>
              <w:right w:val="nil"/>
            </w:tcBorders>
            <w:shd w:val="clear" w:color="auto" w:fill="auto"/>
            <w:noWrap/>
            <w:vAlign w:val="bottom"/>
            <w:hideMark/>
          </w:tcPr>
          <w:p w14:paraId="068F726F"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(927.220)</w:t>
            </w:r>
          </w:p>
        </w:tc>
      </w:tr>
      <w:tr w:rsidR="001E7D95" w:rsidRPr="00491920" w14:paraId="7345E29F" w14:textId="77777777" w:rsidTr="00D72904">
        <w:trPr>
          <w:trHeight w:val="240"/>
        </w:trPr>
        <w:tc>
          <w:tcPr>
            <w:tcW w:w="3954" w:type="pct"/>
            <w:tcBorders>
              <w:top w:val="nil"/>
              <w:left w:val="nil"/>
              <w:bottom w:val="nil"/>
              <w:right w:val="nil"/>
            </w:tcBorders>
            <w:shd w:val="clear" w:color="auto" w:fill="auto"/>
            <w:noWrap/>
            <w:vAlign w:val="bottom"/>
            <w:hideMark/>
          </w:tcPr>
          <w:p w14:paraId="6C1F02ED" w14:textId="77777777" w:rsidR="001E7D95" w:rsidRPr="00491920" w:rsidRDefault="001E7D95">
            <w:pPr>
              <w:spacing w:after="0" w:line="240" w:lineRule="auto"/>
              <w:ind w:firstLineChars="200" w:firstLine="36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Outros passivos</w:t>
            </w:r>
          </w:p>
        </w:tc>
        <w:tc>
          <w:tcPr>
            <w:tcW w:w="1046" w:type="pct"/>
            <w:tcBorders>
              <w:top w:val="nil"/>
              <w:left w:val="nil"/>
              <w:bottom w:val="single" w:sz="4" w:space="0" w:color="1B80C4"/>
              <w:right w:val="nil"/>
            </w:tcBorders>
            <w:shd w:val="clear" w:color="auto" w:fill="auto"/>
            <w:noWrap/>
            <w:vAlign w:val="center"/>
            <w:hideMark/>
          </w:tcPr>
          <w:p w14:paraId="7CC02B31" w14:textId="62FB2DF4" w:rsidR="001E7D95" w:rsidRPr="00491920" w:rsidRDefault="001E7D95" w:rsidP="00240EB3">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(48.06</w:t>
            </w:r>
            <w:r w:rsidR="004575FF">
              <w:rPr>
                <w:rFonts w:ascii="Segoe UI" w:eastAsia="Times New Roman" w:hAnsi="Segoe UI" w:cs="Segoe UI"/>
                <w:color w:val="000000"/>
                <w:sz w:val="18"/>
                <w:szCs w:val="18"/>
                <w:lang w:eastAsia="pt-BR"/>
              </w:rPr>
              <w:t>9</w:t>
            </w:r>
            <w:r w:rsidRPr="00491920">
              <w:rPr>
                <w:rFonts w:ascii="Segoe UI" w:eastAsia="Times New Roman" w:hAnsi="Segoe UI" w:cs="Segoe UI"/>
                <w:color w:val="000000"/>
                <w:sz w:val="18"/>
                <w:szCs w:val="18"/>
                <w:lang w:eastAsia="pt-BR"/>
              </w:rPr>
              <w:t>)</w:t>
            </w:r>
          </w:p>
        </w:tc>
      </w:tr>
      <w:tr w:rsidR="001E7D95" w:rsidRPr="00491920" w14:paraId="4E8AE93A" w14:textId="77777777" w:rsidTr="00D72904">
        <w:trPr>
          <w:trHeight w:val="240"/>
        </w:trPr>
        <w:tc>
          <w:tcPr>
            <w:tcW w:w="3954" w:type="pct"/>
            <w:tcBorders>
              <w:top w:val="nil"/>
              <w:left w:val="nil"/>
              <w:bottom w:val="nil"/>
              <w:right w:val="nil"/>
            </w:tcBorders>
            <w:shd w:val="clear" w:color="auto" w:fill="auto"/>
            <w:noWrap/>
            <w:vAlign w:val="bottom"/>
            <w:hideMark/>
          </w:tcPr>
          <w:p w14:paraId="5B13D649" w14:textId="13D734DB" w:rsidR="001E7D95" w:rsidRPr="00491920" w:rsidRDefault="001E7D95">
            <w:pPr>
              <w:spacing w:after="0" w:line="240" w:lineRule="auto"/>
              <w:ind w:firstLineChars="100" w:firstLine="181"/>
              <w:rPr>
                <w:rFonts w:ascii="Segoe UI" w:eastAsia="Times New Roman" w:hAnsi="Segoe UI" w:cs="Segoe UI"/>
                <w:b/>
                <w:bCs/>
                <w:color w:val="000000"/>
                <w:sz w:val="18"/>
                <w:szCs w:val="18"/>
                <w:lang w:eastAsia="pt-BR"/>
              </w:rPr>
            </w:pPr>
            <w:r w:rsidRPr="00491920">
              <w:rPr>
                <w:rFonts w:ascii="Segoe UI" w:eastAsia="Times New Roman" w:hAnsi="Segoe UI" w:cs="Segoe UI"/>
                <w:b/>
                <w:bCs/>
                <w:color w:val="000000"/>
                <w:sz w:val="18"/>
                <w:szCs w:val="18"/>
                <w:lang w:eastAsia="pt-BR"/>
              </w:rPr>
              <w:t>Total dos ativos</w:t>
            </w:r>
            <w:r w:rsidR="00323748">
              <w:rPr>
                <w:rFonts w:ascii="Segoe UI" w:eastAsia="Times New Roman" w:hAnsi="Segoe UI" w:cs="Segoe UI"/>
                <w:b/>
                <w:bCs/>
                <w:color w:val="000000"/>
                <w:sz w:val="18"/>
                <w:szCs w:val="18"/>
                <w:lang w:eastAsia="pt-BR"/>
              </w:rPr>
              <w:t>/(passivos)</w:t>
            </w:r>
            <w:r w:rsidRPr="00491920">
              <w:rPr>
                <w:rFonts w:ascii="Segoe UI" w:eastAsia="Times New Roman" w:hAnsi="Segoe UI" w:cs="Segoe UI"/>
                <w:b/>
                <w:bCs/>
                <w:color w:val="000000"/>
                <w:sz w:val="18"/>
                <w:szCs w:val="18"/>
                <w:lang w:eastAsia="pt-BR"/>
              </w:rPr>
              <w:t xml:space="preserve"> líquidos identificáveis</w:t>
            </w:r>
          </w:p>
        </w:tc>
        <w:tc>
          <w:tcPr>
            <w:tcW w:w="1046" w:type="pct"/>
            <w:tcBorders>
              <w:top w:val="nil"/>
              <w:left w:val="nil"/>
              <w:bottom w:val="nil"/>
              <w:right w:val="nil"/>
            </w:tcBorders>
            <w:shd w:val="clear" w:color="auto" w:fill="auto"/>
            <w:noWrap/>
            <w:vAlign w:val="bottom"/>
            <w:hideMark/>
          </w:tcPr>
          <w:p w14:paraId="23109759" w14:textId="0D018E91" w:rsidR="001E7D95" w:rsidRPr="00491920" w:rsidRDefault="001E7D95" w:rsidP="00482C5E">
            <w:pPr>
              <w:spacing w:after="0" w:line="240" w:lineRule="auto"/>
              <w:jc w:val="right"/>
              <w:rPr>
                <w:rFonts w:ascii="Segoe UI" w:eastAsia="Times New Roman" w:hAnsi="Segoe UI" w:cs="Segoe UI"/>
                <w:b/>
                <w:bCs/>
                <w:color w:val="000000"/>
                <w:sz w:val="18"/>
                <w:szCs w:val="18"/>
                <w:lang w:eastAsia="pt-BR"/>
              </w:rPr>
            </w:pPr>
            <w:r w:rsidRPr="00491920">
              <w:rPr>
                <w:rFonts w:ascii="Segoe UI" w:eastAsia="Times New Roman" w:hAnsi="Segoe UI" w:cs="Segoe UI"/>
                <w:b/>
                <w:bCs/>
                <w:color w:val="000000"/>
                <w:sz w:val="18"/>
                <w:szCs w:val="18"/>
                <w:lang w:eastAsia="pt-BR"/>
              </w:rPr>
              <w:t xml:space="preserve">                  9.696.00</w:t>
            </w:r>
            <w:r w:rsidR="004575FF">
              <w:rPr>
                <w:rFonts w:ascii="Segoe UI" w:eastAsia="Times New Roman" w:hAnsi="Segoe UI" w:cs="Segoe UI"/>
                <w:b/>
                <w:bCs/>
                <w:color w:val="000000"/>
                <w:sz w:val="18"/>
                <w:szCs w:val="18"/>
                <w:lang w:eastAsia="pt-BR"/>
              </w:rPr>
              <w:t>0</w:t>
            </w:r>
            <w:r w:rsidRPr="00491920">
              <w:rPr>
                <w:rFonts w:ascii="Segoe UI" w:eastAsia="Times New Roman" w:hAnsi="Segoe UI" w:cs="Segoe UI"/>
                <w:b/>
                <w:bCs/>
                <w:color w:val="000000"/>
                <w:sz w:val="18"/>
                <w:szCs w:val="18"/>
                <w:lang w:eastAsia="pt-BR"/>
              </w:rPr>
              <w:t xml:space="preserve"> </w:t>
            </w:r>
          </w:p>
        </w:tc>
      </w:tr>
      <w:tr w:rsidR="001E7D95" w:rsidRPr="00491920" w14:paraId="6ED8E79B" w14:textId="77777777" w:rsidTr="00D72904">
        <w:trPr>
          <w:trHeight w:val="240"/>
        </w:trPr>
        <w:tc>
          <w:tcPr>
            <w:tcW w:w="3954" w:type="pct"/>
            <w:tcBorders>
              <w:top w:val="nil"/>
              <w:left w:val="nil"/>
              <w:bottom w:val="nil"/>
              <w:right w:val="nil"/>
            </w:tcBorders>
            <w:shd w:val="clear" w:color="auto" w:fill="auto"/>
            <w:noWrap/>
            <w:vAlign w:val="bottom"/>
            <w:hideMark/>
          </w:tcPr>
          <w:p w14:paraId="4222433E" w14:textId="77777777" w:rsidR="001E7D95" w:rsidRPr="00491920" w:rsidRDefault="001E7D95">
            <w:pPr>
              <w:spacing w:after="0" w:line="240" w:lineRule="auto"/>
              <w:rPr>
                <w:rFonts w:ascii="Segoe UI" w:eastAsia="Times New Roman" w:hAnsi="Segoe UI" w:cs="Segoe UI"/>
                <w:b/>
                <w:bCs/>
                <w:color w:val="000000"/>
                <w:sz w:val="18"/>
                <w:szCs w:val="18"/>
                <w:lang w:eastAsia="pt-BR"/>
              </w:rPr>
            </w:pPr>
          </w:p>
        </w:tc>
        <w:tc>
          <w:tcPr>
            <w:tcW w:w="1046" w:type="pct"/>
            <w:tcBorders>
              <w:top w:val="nil"/>
              <w:left w:val="nil"/>
              <w:bottom w:val="nil"/>
              <w:right w:val="nil"/>
            </w:tcBorders>
            <w:shd w:val="clear" w:color="auto" w:fill="auto"/>
            <w:noWrap/>
            <w:vAlign w:val="bottom"/>
            <w:hideMark/>
          </w:tcPr>
          <w:p w14:paraId="377A6DF3" w14:textId="77777777" w:rsidR="001E7D95" w:rsidRPr="00491920" w:rsidRDefault="001E7D95" w:rsidP="00482C5E">
            <w:pPr>
              <w:spacing w:after="0" w:line="240" w:lineRule="auto"/>
              <w:jc w:val="right"/>
              <w:rPr>
                <w:rFonts w:ascii="Times New Roman" w:eastAsia="Times New Roman" w:hAnsi="Times New Roman" w:cs="Times New Roman"/>
                <w:sz w:val="20"/>
                <w:szCs w:val="20"/>
                <w:lang w:eastAsia="pt-BR"/>
              </w:rPr>
            </w:pPr>
          </w:p>
        </w:tc>
      </w:tr>
      <w:tr w:rsidR="001E7D95" w:rsidRPr="00491920" w14:paraId="62A49950" w14:textId="77777777" w:rsidTr="00D72904">
        <w:trPr>
          <w:trHeight w:val="240"/>
        </w:trPr>
        <w:tc>
          <w:tcPr>
            <w:tcW w:w="3954" w:type="pct"/>
            <w:tcBorders>
              <w:top w:val="nil"/>
              <w:left w:val="nil"/>
              <w:bottom w:val="nil"/>
              <w:right w:val="nil"/>
            </w:tcBorders>
            <w:shd w:val="clear" w:color="auto" w:fill="auto"/>
            <w:noWrap/>
            <w:vAlign w:val="bottom"/>
            <w:hideMark/>
          </w:tcPr>
          <w:p w14:paraId="123A0778" w14:textId="77777777" w:rsidR="001E7D95" w:rsidRPr="00491920" w:rsidRDefault="001E7D95">
            <w:pPr>
              <w:spacing w:after="0" w:line="240" w:lineRule="auto"/>
              <w:ind w:firstLineChars="100" w:firstLine="18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Participação não controladora</w:t>
            </w:r>
          </w:p>
        </w:tc>
        <w:tc>
          <w:tcPr>
            <w:tcW w:w="1046" w:type="pct"/>
            <w:tcBorders>
              <w:top w:val="nil"/>
              <w:left w:val="nil"/>
              <w:bottom w:val="nil"/>
              <w:right w:val="nil"/>
            </w:tcBorders>
            <w:shd w:val="clear" w:color="auto" w:fill="auto"/>
            <w:noWrap/>
            <w:vAlign w:val="bottom"/>
            <w:hideMark/>
          </w:tcPr>
          <w:p w14:paraId="573D3845"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(6.588.626)</w:t>
            </w:r>
          </w:p>
        </w:tc>
      </w:tr>
      <w:tr w:rsidR="001E7D95" w:rsidRPr="00491920" w14:paraId="57D9C489" w14:textId="77777777" w:rsidTr="00D72904">
        <w:trPr>
          <w:trHeight w:val="240"/>
        </w:trPr>
        <w:tc>
          <w:tcPr>
            <w:tcW w:w="3954" w:type="pct"/>
            <w:tcBorders>
              <w:top w:val="nil"/>
              <w:left w:val="nil"/>
              <w:bottom w:val="nil"/>
              <w:right w:val="nil"/>
            </w:tcBorders>
            <w:shd w:val="clear" w:color="auto" w:fill="auto"/>
            <w:noWrap/>
            <w:vAlign w:val="bottom"/>
            <w:hideMark/>
          </w:tcPr>
          <w:p w14:paraId="5F9A81A1" w14:textId="77777777" w:rsidR="001E7D95" w:rsidRPr="00491920" w:rsidRDefault="001E7D95">
            <w:pPr>
              <w:spacing w:after="0" w:line="240" w:lineRule="auto"/>
              <w:ind w:firstLineChars="100" w:firstLine="180"/>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Ágio</w:t>
            </w:r>
          </w:p>
        </w:tc>
        <w:tc>
          <w:tcPr>
            <w:tcW w:w="1046" w:type="pct"/>
            <w:tcBorders>
              <w:top w:val="nil"/>
              <w:left w:val="nil"/>
              <w:bottom w:val="single" w:sz="4" w:space="0" w:color="1B80C4"/>
              <w:right w:val="nil"/>
            </w:tcBorders>
            <w:shd w:val="clear" w:color="auto" w:fill="auto"/>
            <w:noWrap/>
            <w:vAlign w:val="bottom"/>
            <w:hideMark/>
          </w:tcPr>
          <w:p w14:paraId="456BE916" w14:textId="77777777" w:rsidR="001E7D95" w:rsidRPr="00491920" w:rsidRDefault="001E7D95" w:rsidP="00482C5E">
            <w:pPr>
              <w:spacing w:after="0" w:line="240" w:lineRule="auto"/>
              <w:jc w:val="right"/>
              <w:rPr>
                <w:rFonts w:ascii="Segoe UI" w:eastAsia="Times New Roman" w:hAnsi="Segoe UI" w:cs="Segoe UI"/>
                <w:color w:val="000000"/>
                <w:sz w:val="18"/>
                <w:szCs w:val="18"/>
                <w:lang w:eastAsia="pt-BR"/>
              </w:rPr>
            </w:pPr>
            <w:r w:rsidRPr="00491920">
              <w:rPr>
                <w:rFonts w:ascii="Segoe UI" w:eastAsia="Times New Roman" w:hAnsi="Segoe UI" w:cs="Segoe UI"/>
                <w:color w:val="000000"/>
                <w:sz w:val="18"/>
                <w:szCs w:val="18"/>
                <w:lang w:eastAsia="pt-BR"/>
              </w:rPr>
              <w:t xml:space="preserve">                       392.626 </w:t>
            </w:r>
          </w:p>
        </w:tc>
      </w:tr>
      <w:tr w:rsidR="001E7D95" w:rsidRPr="00491920" w14:paraId="486948BA" w14:textId="77777777" w:rsidTr="00D72904">
        <w:trPr>
          <w:trHeight w:val="255"/>
        </w:trPr>
        <w:tc>
          <w:tcPr>
            <w:tcW w:w="3954" w:type="pct"/>
            <w:tcBorders>
              <w:top w:val="nil"/>
              <w:left w:val="nil"/>
              <w:bottom w:val="nil"/>
              <w:right w:val="nil"/>
            </w:tcBorders>
            <w:shd w:val="clear" w:color="auto" w:fill="auto"/>
            <w:noWrap/>
            <w:vAlign w:val="bottom"/>
            <w:hideMark/>
          </w:tcPr>
          <w:p w14:paraId="5855A9EA" w14:textId="77777777" w:rsidR="001E7D95" w:rsidRPr="00491920" w:rsidRDefault="001E7D95">
            <w:pPr>
              <w:spacing w:after="0" w:line="240" w:lineRule="auto"/>
              <w:rPr>
                <w:rFonts w:ascii="Segoe UI" w:eastAsia="Times New Roman" w:hAnsi="Segoe UI" w:cs="Segoe UI"/>
                <w:color w:val="000000"/>
                <w:sz w:val="18"/>
                <w:szCs w:val="18"/>
                <w:lang w:eastAsia="pt-BR"/>
              </w:rPr>
            </w:pPr>
          </w:p>
        </w:tc>
        <w:tc>
          <w:tcPr>
            <w:tcW w:w="1046" w:type="pct"/>
            <w:tcBorders>
              <w:top w:val="single" w:sz="4" w:space="0" w:color="1B80C4"/>
              <w:left w:val="nil"/>
              <w:bottom w:val="double" w:sz="6" w:space="0" w:color="1B80C4"/>
              <w:right w:val="nil"/>
            </w:tcBorders>
            <w:shd w:val="clear" w:color="auto" w:fill="auto"/>
            <w:noWrap/>
            <w:vAlign w:val="center"/>
            <w:hideMark/>
          </w:tcPr>
          <w:p w14:paraId="6964504B" w14:textId="77777777" w:rsidR="001E7D95" w:rsidRPr="00491920" w:rsidRDefault="001E7D95" w:rsidP="00240EB3">
            <w:pPr>
              <w:spacing w:after="0" w:line="240" w:lineRule="auto"/>
              <w:jc w:val="right"/>
              <w:rPr>
                <w:rFonts w:ascii="Segoe UI" w:eastAsia="Times New Roman" w:hAnsi="Segoe UI" w:cs="Segoe UI"/>
                <w:b/>
                <w:bCs/>
                <w:color w:val="000000"/>
                <w:sz w:val="18"/>
                <w:szCs w:val="18"/>
                <w:lang w:eastAsia="pt-BR"/>
              </w:rPr>
            </w:pPr>
            <w:r w:rsidRPr="00491920">
              <w:rPr>
                <w:rFonts w:ascii="Segoe UI" w:eastAsia="Times New Roman" w:hAnsi="Segoe UI" w:cs="Segoe UI"/>
                <w:b/>
                <w:bCs/>
                <w:color w:val="000000"/>
                <w:sz w:val="18"/>
                <w:szCs w:val="18"/>
                <w:lang w:eastAsia="pt-BR"/>
              </w:rPr>
              <w:t xml:space="preserve">                  3.500.000 </w:t>
            </w:r>
          </w:p>
        </w:tc>
      </w:tr>
    </w:tbl>
    <w:p w14:paraId="1826D41A" w14:textId="25591974" w:rsidR="001D3533" w:rsidRPr="001D3533" w:rsidRDefault="001D3533" w:rsidP="001D3533">
      <w:pPr>
        <w:spacing w:before="240" w:afterLines="50" w:after="120"/>
        <w:jc w:val="both"/>
        <w:rPr>
          <w:rFonts w:ascii="Segoe UI" w:hAnsi="Segoe UI" w:cs="Segoe UI"/>
          <w:b/>
          <w:color w:val="1B80C4"/>
        </w:rPr>
      </w:pPr>
      <w:r w:rsidRPr="001D3533">
        <w:rPr>
          <w:rFonts w:ascii="Segoe UI" w:hAnsi="Segoe UI" w:cs="Segoe UI"/>
          <w:b/>
          <w:color w:val="1B80C4"/>
        </w:rPr>
        <w:t>Indústrias Nucleares do Brasil S.A</w:t>
      </w:r>
      <w:r w:rsidR="00BC792D">
        <w:rPr>
          <w:rFonts w:ascii="Segoe UI" w:hAnsi="Segoe UI" w:cs="Segoe UI"/>
          <w:b/>
          <w:color w:val="1B80C4"/>
        </w:rPr>
        <w:t>.</w:t>
      </w:r>
      <w:r w:rsidRPr="001D3533">
        <w:rPr>
          <w:rFonts w:ascii="Segoe UI" w:hAnsi="Segoe UI" w:cs="Segoe UI"/>
          <w:b/>
          <w:color w:val="1B80C4"/>
        </w:rPr>
        <w:t xml:space="preserve"> – INB</w:t>
      </w:r>
    </w:p>
    <w:p w14:paraId="7E494D05" w14:textId="79BEF2A4" w:rsidR="009A7150" w:rsidRPr="004B1F19" w:rsidRDefault="009A7150" w:rsidP="009A7150">
      <w:pPr>
        <w:spacing w:before="240" w:after="120"/>
        <w:jc w:val="both"/>
        <w:rPr>
          <w:rFonts w:ascii="Segoe UI" w:hAnsi="Segoe UI" w:cs="Segoe UI"/>
          <w:snapToGrid w:val="0"/>
        </w:rPr>
      </w:pPr>
      <w:r w:rsidRPr="004B1F19">
        <w:rPr>
          <w:rFonts w:ascii="Segoe UI" w:hAnsi="Segoe UI" w:cs="Segoe UI"/>
          <w:snapToGrid w:val="0"/>
        </w:rPr>
        <w:t>A INB atua no setor nuclear como executora da atividade monopolizada conferida à União denominada Ciclo do Combustível Nuclear, englobando as etapas industriais de produção relacionadas à exploração de urânio, desde a etapa de mineração e beneficiamento do concentrado de urânio até a fabricação de componentes e montagem final dos elementos combustíveis que acionam os reatores nas usinas nucleares.</w:t>
      </w:r>
    </w:p>
    <w:p w14:paraId="5D1CB3B3" w14:textId="77777777" w:rsidR="009A7150" w:rsidRPr="004B1F19" w:rsidRDefault="009A7150" w:rsidP="009A7150">
      <w:pPr>
        <w:spacing w:before="240" w:after="120"/>
        <w:jc w:val="both"/>
        <w:rPr>
          <w:rFonts w:ascii="Segoe UI" w:hAnsi="Segoe UI" w:cs="Segoe UI"/>
          <w:snapToGrid w:val="0"/>
        </w:rPr>
      </w:pPr>
      <w:r w:rsidRPr="004B1F19">
        <w:rPr>
          <w:rFonts w:ascii="Segoe UI" w:hAnsi="Segoe UI" w:cs="Segoe UI"/>
          <w:snapToGrid w:val="0"/>
        </w:rPr>
        <w:lastRenderedPageBreak/>
        <w:t>A alteração do controle acionários da INB, transferida da União para a ENBPar, foi autorizada pela Medida Provisória nº 1.133, de 12 de agosto de 2022, convertida na Lei nº 14.514, de 29 de dezembro de 2022, por meio do aporte de todas as ações que a União detinha no capital social da Companhia, resultando no aumento do capital social da ENBPar, autorizado com a edição do Decreto nº 11.235, de 13 de outubro de 2022.</w:t>
      </w:r>
    </w:p>
    <w:p w14:paraId="28D884C1" w14:textId="77777777" w:rsidR="00FE4662" w:rsidRDefault="00854A63" w:rsidP="004B1F19">
      <w:pPr>
        <w:autoSpaceDE w:val="0"/>
        <w:autoSpaceDN w:val="0"/>
        <w:adjustRightInd w:val="0"/>
        <w:spacing w:before="240" w:after="120"/>
        <w:jc w:val="both"/>
        <w:rPr>
          <w:rFonts w:ascii="Segoe UI" w:hAnsi="Segoe UI" w:cs="Segoe UI"/>
        </w:rPr>
      </w:pPr>
      <w:r w:rsidRPr="004B1F19">
        <w:rPr>
          <w:rFonts w:ascii="Segoe UI" w:hAnsi="Segoe UI" w:cs="Segoe UI"/>
          <w:snapToGrid w:val="0"/>
        </w:rPr>
        <w:t>Em 2</w:t>
      </w:r>
      <w:r w:rsidRPr="00515246">
        <w:rPr>
          <w:rFonts w:ascii="Segoe UI" w:hAnsi="Segoe UI" w:cs="Segoe UI"/>
        </w:rPr>
        <w:t xml:space="preserve">6 de outubro de 2022, foi aprovado o aumento de capital da ENBPar, por meio do aporte das ações que a União detinha no capital social da INB equivalente a R$ 1.111.344. Com isso, a ENBPar passou a deter 99,99% de participação societária na Eletronuclear. </w:t>
      </w:r>
    </w:p>
    <w:p w14:paraId="762FFFAB" w14:textId="1569AE8F" w:rsidR="00854A63" w:rsidRDefault="00854A63" w:rsidP="004B1F19">
      <w:pPr>
        <w:autoSpaceDE w:val="0"/>
        <w:autoSpaceDN w:val="0"/>
        <w:adjustRightInd w:val="0"/>
        <w:spacing w:before="240" w:after="120"/>
        <w:jc w:val="both"/>
        <w:rPr>
          <w:rFonts w:ascii="Segoe UI" w:hAnsi="Segoe UI" w:cs="Segoe UI"/>
        </w:rPr>
      </w:pPr>
      <w:r w:rsidRPr="00515246">
        <w:rPr>
          <w:rFonts w:ascii="Segoe UI" w:hAnsi="Segoe UI" w:cs="Segoe UI"/>
        </w:rPr>
        <w:t xml:space="preserve">Abaixo está demonstrado a composição </w:t>
      </w:r>
      <w:r w:rsidR="000B17F1">
        <w:rPr>
          <w:rFonts w:ascii="Segoe UI" w:hAnsi="Segoe UI" w:cs="Segoe UI"/>
        </w:rPr>
        <w:t>de aquisição</w:t>
      </w:r>
      <w:r w:rsidRPr="00515246">
        <w:rPr>
          <w:rFonts w:ascii="Segoe UI" w:hAnsi="Segoe UI" w:cs="Segoe UI"/>
        </w:rPr>
        <w:t xml:space="preserve"> da </w:t>
      </w:r>
      <w:r w:rsidR="00546002">
        <w:rPr>
          <w:rFonts w:ascii="Segoe UI" w:hAnsi="Segoe UI" w:cs="Segoe UI"/>
        </w:rPr>
        <w:t>controlada</w:t>
      </w:r>
      <w:r w:rsidRPr="00515246">
        <w:rPr>
          <w:rFonts w:ascii="Segoe UI" w:hAnsi="Segoe UI" w:cs="Segoe UI"/>
        </w:rPr>
        <w:t xml:space="preserve"> no momento da aquisição do investimento</w:t>
      </w:r>
      <w:r w:rsidRPr="005C3FB4">
        <w:rPr>
          <w:rFonts w:ascii="Segoe UI" w:hAnsi="Segoe UI" w:cs="Segoe UI"/>
        </w:rPr>
        <w:t>:</w:t>
      </w:r>
    </w:p>
    <w:p w14:paraId="110E239A" w14:textId="11AED5EA" w:rsidR="009A7150" w:rsidRDefault="009A7150"/>
    <w:tbl>
      <w:tblPr>
        <w:tblW w:w="5000" w:type="pct"/>
        <w:tblCellMar>
          <w:left w:w="70" w:type="dxa"/>
          <w:right w:w="70" w:type="dxa"/>
        </w:tblCellMar>
        <w:tblLook w:val="04A0" w:firstRow="1" w:lastRow="0" w:firstColumn="1" w:lastColumn="0" w:noHBand="0" w:noVBand="1"/>
      </w:tblPr>
      <w:tblGrid>
        <w:gridCol w:w="7955"/>
        <w:gridCol w:w="1542"/>
      </w:tblGrid>
      <w:tr w:rsidR="004901D8" w:rsidRPr="004901D8" w14:paraId="124BE283" w14:textId="77777777" w:rsidTr="004901D8">
        <w:trPr>
          <w:trHeight w:val="240"/>
        </w:trPr>
        <w:tc>
          <w:tcPr>
            <w:tcW w:w="4188" w:type="pct"/>
            <w:tcBorders>
              <w:top w:val="nil"/>
              <w:left w:val="nil"/>
              <w:bottom w:val="nil"/>
              <w:right w:val="nil"/>
            </w:tcBorders>
            <w:shd w:val="clear" w:color="auto" w:fill="auto"/>
            <w:noWrap/>
            <w:vAlign w:val="center"/>
            <w:hideMark/>
          </w:tcPr>
          <w:p w14:paraId="31BE94E1"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Aporte de capital por meio das ações da INB</w:t>
            </w:r>
          </w:p>
        </w:tc>
        <w:tc>
          <w:tcPr>
            <w:tcW w:w="812" w:type="pct"/>
            <w:tcBorders>
              <w:top w:val="nil"/>
              <w:left w:val="nil"/>
              <w:bottom w:val="single" w:sz="4" w:space="0" w:color="1B80C4"/>
              <w:right w:val="nil"/>
            </w:tcBorders>
            <w:shd w:val="clear" w:color="auto" w:fill="auto"/>
            <w:noWrap/>
            <w:vAlign w:val="center"/>
            <w:hideMark/>
          </w:tcPr>
          <w:p w14:paraId="77625460" w14:textId="77DCA9DD"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1.111.344</w:t>
            </w:r>
          </w:p>
        </w:tc>
      </w:tr>
      <w:tr w:rsidR="004901D8" w:rsidRPr="004901D8" w14:paraId="770A1666" w14:textId="77777777" w:rsidTr="004901D8">
        <w:trPr>
          <w:trHeight w:val="240"/>
        </w:trPr>
        <w:tc>
          <w:tcPr>
            <w:tcW w:w="4188" w:type="pct"/>
            <w:tcBorders>
              <w:top w:val="nil"/>
              <w:left w:val="nil"/>
              <w:bottom w:val="nil"/>
              <w:right w:val="nil"/>
            </w:tcBorders>
            <w:shd w:val="clear" w:color="auto" w:fill="auto"/>
            <w:noWrap/>
            <w:vAlign w:val="center"/>
            <w:hideMark/>
          </w:tcPr>
          <w:p w14:paraId="043D63FB" w14:textId="77777777" w:rsidR="004901D8" w:rsidRPr="004901D8" w:rsidRDefault="004901D8" w:rsidP="004901D8">
            <w:pPr>
              <w:spacing w:after="0" w:line="240" w:lineRule="auto"/>
              <w:ind w:firstLineChars="100" w:firstLine="181"/>
              <w:rPr>
                <w:rFonts w:ascii="Segoe UI" w:eastAsia="Times New Roman" w:hAnsi="Segoe UI" w:cs="Segoe UI"/>
                <w:b/>
                <w:bCs/>
                <w:color w:val="000000"/>
                <w:sz w:val="18"/>
                <w:szCs w:val="18"/>
                <w:lang w:eastAsia="pt-BR"/>
              </w:rPr>
            </w:pPr>
            <w:r w:rsidRPr="004901D8">
              <w:rPr>
                <w:rFonts w:ascii="Segoe UI" w:eastAsia="Times New Roman" w:hAnsi="Segoe UI" w:cs="Segoe UI"/>
                <w:b/>
                <w:bCs/>
                <w:color w:val="000000"/>
                <w:sz w:val="18"/>
                <w:szCs w:val="18"/>
                <w:lang w:eastAsia="pt-BR"/>
              </w:rPr>
              <w:t>Total da contraprestação transferida</w:t>
            </w:r>
          </w:p>
        </w:tc>
        <w:tc>
          <w:tcPr>
            <w:tcW w:w="812" w:type="pct"/>
            <w:tcBorders>
              <w:top w:val="nil"/>
              <w:left w:val="nil"/>
              <w:bottom w:val="nil"/>
              <w:right w:val="nil"/>
            </w:tcBorders>
            <w:shd w:val="clear" w:color="auto" w:fill="auto"/>
            <w:noWrap/>
            <w:vAlign w:val="center"/>
            <w:hideMark/>
          </w:tcPr>
          <w:p w14:paraId="423143FD" w14:textId="5DB8F757"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1.111.344</w:t>
            </w:r>
          </w:p>
        </w:tc>
      </w:tr>
      <w:tr w:rsidR="004901D8" w:rsidRPr="004901D8" w14:paraId="5B3B9597" w14:textId="77777777" w:rsidTr="004901D8">
        <w:trPr>
          <w:trHeight w:val="240"/>
        </w:trPr>
        <w:tc>
          <w:tcPr>
            <w:tcW w:w="4188" w:type="pct"/>
            <w:tcBorders>
              <w:top w:val="nil"/>
              <w:left w:val="nil"/>
              <w:bottom w:val="nil"/>
              <w:right w:val="nil"/>
            </w:tcBorders>
            <w:shd w:val="clear" w:color="auto" w:fill="auto"/>
            <w:noWrap/>
            <w:vAlign w:val="bottom"/>
            <w:hideMark/>
          </w:tcPr>
          <w:p w14:paraId="590A50EC" w14:textId="77777777"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p>
        </w:tc>
        <w:tc>
          <w:tcPr>
            <w:tcW w:w="812" w:type="pct"/>
            <w:tcBorders>
              <w:top w:val="nil"/>
              <w:left w:val="nil"/>
              <w:bottom w:val="nil"/>
              <w:right w:val="nil"/>
            </w:tcBorders>
            <w:shd w:val="clear" w:color="auto" w:fill="auto"/>
            <w:noWrap/>
            <w:vAlign w:val="center"/>
            <w:hideMark/>
          </w:tcPr>
          <w:p w14:paraId="7BCF4FF6" w14:textId="77777777" w:rsidR="004901D8" w:rsidRPr="004901D8" w:rsidRDefault="004901D8" w:rsidP="004901D8">
            <w:pPr>
              <w:spacing w:after="0" w:line="240" w:lineRule="auto"/>
              <w:rPr>
                <w:rFonts w:ascii="Times New Roman" w:eastAsia="Times New Roman" w:hAnsi="Times New Roman" w:cs="Times New Roman"/>
                <w:sz w:val="20"/>
                <w:szCs w:val="20"/>
                <w:lang w:eastAsia="pt-BR"/>
              </w:rPr>
            </w:pPr>
          </w:p>
        </w:tc>
      </w:tr>
      <w:tr w:rsidR="004901D8" w:rsidRPr="004901D8" w14:paraId="6124EFD1" w14:textId="77777777" w:rsidTr="004901D8">
        <w:trPr>
          <w:trHeight w:val="240"/>
        </w:trPr>
        <w:tc>
          <w:tcPr>
            <w:tcW w:w="4188" w:type="pct"/>
            <w:tcBorders>
              <w:top w:val="nil"/>
              <w:left w:val="nil"/>
              <w:bottom w:val="nil"/>
              <w:right w:val="nil"/>
            </w:tcBorders>
            <w:shd w:val="clear" w:color="auto" w:fill="auto"/>
            <w:noWrap/>
            <w:vAlign w:val="center"/>
            <w:hideMark/>
          </w:tcPr>
          <w:p w14:paraId="17E69A33" w14:textId="77777777" w:rsidR="004901D8" w:rsidRPr="004901D8" w:rsidRDefault="004901D8" w:rsidP="004901D8">
            <w:pPr>
              <w:spacing w:after="0" w:line="240" w:lineRule="auto"/>
              <w:ind w:firstLineChars="100" w:firstLine="18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Valores reconhecidos de ativos identificáveis adquiridos e passivos assumidos</w:t>
            </w:r>
          </w:p>
        </w:tc>
        <w:tc>
          <w:tcPr>
            <w:tcW w:w="812" w:type="pct"/>
            <w:tcBorders>
              <w:top w:val="nil"/>
              <w:left w:val="nil"/>
              <w:bottom w:val="nil"/>
              <w:right w:val="nil"/>
            </w:tcBorders>
            <w:shd w:val="clear" w:color="auto" w:fill="auto"/>
            <w:noWrap/>
            <w:vAlign w:val="center"/>
            <w:hideMark/>
          </w:tcPr>
          <w:p w14:paraId="04B64FED" w14:textId="77777777" w:rsidR="004901D8" w:rsidRPr="004901D8" w:rsidRDefault="004901D8" w:rsidP="004901D8">
            <w:pPr>
              <w:spacing w:after="0" w:line="240" w:lineRule="auto"/>
              <w:ind w:firstLineChars="100" w:firstLine="180"/>
              <w:rPr>
                <w:rFonts w:ascii="Segoe UI" w:eastAsia="Times New Roman" w:hAnsi="Segoe UI" w:cs="Segoe UI"/>
                <w:color w:val="000000"/>
                <w:sz w:val="18"/>
                <w:szCs w:val="18"/>
                <w:lang w:eastAsia="pt-BR"/>
              </w:rPr>
            </w:pPr>
          </w:p>
        </w:tc>
      </w:tr>
      <w:tr w:rsidR="004901D8" w:rsidRPr="004901D8" w14:paraId="352F96AA" w14:textId="77777777" w:rsidTr="004901D8">
        <w:trPr>
          <w:trHeight w:val="240"/>
        </w:trPr>
        <w:tc>
          <w:tcPr>
            <w:tcW w:w="4188" w:type="pct"/>
            <w:tcBorders>
              <w:top w:val="nil"/>
              <w:left w:val="nil"/>
              <w:bottom w:val="nil"/>
              <w:right w:val="nil"/>
            </w:tcBorders>
            <w:shd w:val="clear" w:color="auto" w:fill="auto"/>
            <w:noWrap/>
            <w:vAlign w:val="center"/>
            <w:hideMark/>
          </w:tcPr>
          <w:p w14:paraId="61111205"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Caixa e equivalente de caixa</w:t>
            </w:r>
          </w:p>
        </w:tc>
        <w:tc>
          <w:tcPr>
            <w:tcW w:w="812" w:type="pct"/>
            <w:tcBorders>
              <w:top w:val="nil"/>
              <w:left w:val="nil"/>
              <w:bottom w:val="nil"/>
              <w:right w:val="nil"/>
            </w:tcBorders>
            <w:shd w:val="clear" w:color="auto" w:fill="auto"/>
            <w:noWrap/>
            <w:vAlign w:val="center"/>
            <w:hideMark/>
          </w:tcPr>
          <w:p w14:paraId="66ED35A3" w14:textId="6358C291"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808.268</w:t>
            </w:r>
          </w:p>
        </w:tc>
      </w:tr>
      <w:tr w:rsidR="004901D8" w:rsidRPr="004901D8" w14:paraId="5110EB6A" w14:textId="77777777" w:rsidTr="004901D8">
        <w:trPr>
          <w:trHeight w:val="240"/>
        </w:trPr>
        <w:tc>
          <w:tcPr>
            <w:tcW w:w="4188" w:type="pct"/>
            <w:tcBorders>
              <w:top w:val="nil"/>
              <w:left w:val="nil"/>
              <w:bottom w:val="nil"/>
              <w:right w:val="nil"/>
            </w:tcBorders>
            <w:shd w:val="clear" w:color="auto" w:fill="auto"/>
            <w:noWrap/>
            <w:vAlign w:val="center"/>
            <w:hideMark/>
          </w:tcPr>
          <w:p w14:paraId="7DB3D989"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Clientes</w:t>
            </w:r>
          </w:p>
        </w:tc>
        <w:tc>
          <w:tcPr>
            <w:tcW w:w="812" w:type="pct"/>
            <w:tcBorders>
              <w:top w:val="nil"/>
              <w:left w:val="nil"/>
              <w:bottom w:val="nil"/>
              <w:right w:val="nil"/>
            </w:tcBorders>
            <w:shd w:val="clear" w:color="auto" w:fill="auto"/>
            <w:noWrap/>
            <w:vAlign w:val="center"/>
            <w:hideMark/>
          </w:tcPr>
          <w:p w14:paraId="77AD5E8B" w14:textId="46CFD430"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8.793</w:t>
            </w:r>
          </w:p>
        </w:tc>
      </w:tr>
      <w:tr w:rsidR="004901D8" w:rsidRPr="004901D8" w14:paraId="025D79A0" w14:textId="77777777" w:rsidTr="004901D8">
        <w:trPr>
          <w:trHeight w:val="240"/>
        </w:trPr>
        <w:tc>
          <w:tcPr>
            <w:tcW w:w="4188" w:type="pct"/>
            <w:tcBorders>
              <w:top w:val="nil"/>
              <w:left w:val="nil"/>
              <w:bottom w:val="nil"/>
              <w:right w:val="nil"/>
            </w:tcBorders>
            <w:shd w:val="clear" w:color="auto" w:fill="auto"/>
            <w:noWrap/>
            <w:vAlign w:val="center"/>
            <w:hideMark/>
          </w:tcPr>
          <w:p w14:paraId="11241129"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Estoques</w:t>
            </w:r>
          </w:p>
        </w:tc>
        <w:tc>
          <w:tcPr>
            <w:tcW w:w="812" w:type="pct"/>
            <w:tcBorders>
              <w:top w:val="nil"/>
              <w:left w:val="nil"/>
              <w:bottom w:val="nil"/>
              <w:right w:val="nil"/>
            </w:tcBorders>
            <w:shd w:val="clear" w:color="auto" w:fill="auto"/>
            <w:noWrap/>
            <w:vAlign w:val="center"/>
            <w:hideMark/>
          </w:tcPr>
          <w:p w14:paraId="2FB30898" w14:textId="696F383C"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854.835</w:t>
            </w:r>
          </w:p>
        </w:tc>
      </w:tr>
      <w:tr w:rsidR="004901D8" w:rsidRPr="004901D8" w14:paraId="79092E20" w14:textId="77777777" w:rsidTr="004901D8">
        <w:trPr>
          <w:trHeight w:val="240"/>
        </w:trPr>
        <w:tc>
          <w:tcPr>
            <w:tcW w:w="4188" w:type="pct"/>
            <w:tcBorders>
              <w:top w:val="nil"/>
              <w:left w:val="nil"/>
              <w:bottom w:val="nil"/>
              <w:right w:val="nil"/>
            </w:tcBorders>
            <w:shd w:val="clear" w:color="auto" w:fill="auto"/>
            <w:noWrap/>
            <w:vAlign w:val="center"/>
            <w:hideMark/>
          </w:tcPr>
          <w:p w14:paraId="570FB0C3"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Impostos a recuperar</w:t>
            </w:r>
          </w:p>
        </w:tc>
        <w:tc>
          <w:tcPr>
            <w:tcW w:w="812" w:type="pct"/>
            <w:tcBorders>
              <w:top w:val="nil"/>
              <w:left w:val="nil"/>
              <w:bottom w:val="nil"/>
              <w:right w:val="nil"/>
            </w:tcBorders>
            <w:shd w:val="clear" w:color="auto" w:fill="auto"/>
            <w:noWrap/>
            <w:vAlign w:val="center"/>
            <w:hideMark/>
          </w:tcPr>
          <w:p w14:paraId="0FFD072E" w14:textId="636EC364"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100.897</w:t>
            </w:r>
          </w:p>
        </w:tc>
      </w:tr>
      <w:tr w:rsidR="004901D8" w:rsidRPr="004901D8" w14:paraId="78EE2937" w14:textId="77777777" w:rsidTr="004901D8">
        <w:trPr>
          <w:trHeight w:val="240"/>
        </w:trPr>
        <w:tc>
          <w:tcPr>
            <w:tcW w:w="4188" w:type="pct"/>
            <w:tcBorders>
              <w:top w:val="nil"/>
              <w:left w:val="nil"/>
              <w:bottom w:val="nil"/>
              <w:right w:val="nil"/>
            </w:tcBorders>
            <w:shd w:val="clear" w:color="auto" w:fill="auto"/>
            <w:noWrap/>
            <w:vAlign w:val="center"/>
            <w:hideMark/>
          </w:tcPr>
          <w:p w14:paraId="703B673A"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Imobilizado e intangível</w:t>
            </w:r>
          </w:p>
        </w:tc>
        <w:tc>
          <w:tcPr>
            <w:tcW w:w="812" w:type="pct"/>
            <w:tcBorders>
              <w:top w:val="nil"/>
              <w:left w:val="nil"/>
              <w:bottom w:val="nil"/>
              <w:right w:val="nil"/>
            </w:tcBorders>
            <w:shd w:val="clear" w:color="auto" w:fill="auto"/>
            <w:noWrap/>
            <w:vAlign w:val="center"/>
            <w:hideMark/>
          </w:tcPr>
          <w:p w14:paraId="31F40199" w14:textId="0F49BA22"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284.362</w:t>
            </w:r>
          </w:p>
        </w:tc>
      </w:tr>
      <w:tr w:rsidR="004901D8" w:rsidRPr="004901D8" w14:paraId="27661E6E" w14:textId="77777777" w:rsidTr="004901D8">
        <w:trPr>
          <w:trHeight w:val="240"/>
        </w:trPr>
        <w:tc>
          <w:tcPr>
            <w:tcW w:w="4188" w:type="pct"/>
            <w:tcBorders>
              <w:top w:val="nil"/>
              <w:left w:val="nil"/>
              <w:bottom w:val="nil"/>
              <w:right w:val="nil"/>
            </w:tcBorders>
            <w:shd w:val="clear" w:color="auto" w:fill="auto"/>
            <w:noWrap/>
            <w:vAlign w:val="center"/>
            <w:hideMark/>
          </w:tcPr>
          <w:p w14:paraId="63B00CA1"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Outros ativos</w:t>
            </w:r>
          </w:p>
        </w:tc>
        <w:tc>
          <w:tcPr>
            <w:tcW w:w="812" w:type="pct"/>
            <w:tcBorders>
              <w:top w:val="nil"/>
              <w:left w:val="nil"/>
              <w:bottom w:val="nil"/>
              <w:right w:val="nil"/>
            </w:tcBorders>
            <w:shd w:val="clear" w:color="auto" w:fill="auto"/>
            <w:noWrap/>
            <w:vAlign w:val="center"/>
            <w:hideMark/>
          </w:tcPr>
          <w:p w14:paraId="73E15AD2" w14:textId="0F5E0E04"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45.803</w:t>
            </w:r>
          </w:p>
        </w:tc>
      </w:tr>
      <w:tr w:rsidR="004901D8" w:rsidRPr="004901D8" w14:paraId="2EFBB3CB" w14:textId="77777777" w:rsidTr="004901D8">
        <w:trPr>
          <w:trHeight w:val="240"/>
        </w:trPr>
        <w:tc>
          <w:tcPr>
            <w:tcW w:w="4188" w:type="pct"/>
            <w:tcBorders>
              <w:top w:val="nil"/>
              <w:left w:val="nil"/>
              <w:bottom w:val="nil"/>
              <w:right w:val="nil"/>
            </w:tcBorders>
            <w:shd w:val="clear" w:color="auto" w:fill="auto"/>
            <w:noWrap/>
            <w:vAlign w:val="center"/>
            <w:hideMark/>
          </w:tcPr>
          <w:p w14:paraId="2006DF91"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Fornecedores</w:t>
            </w:r>
          </w:p>
        </w:tc>
        <w:tc>
          <w:tcPr>
            <w:tcW w:w="812" w:type="pct"/>
            <w:tcBorders>
              <w:top w:val="nil"/>
              <w:left w:val="nil"/>
              <w:bottom w:val="nil"/>
              <w:right w:val="nil"/>
            </w:tcBorders>
            <w:shd w:val="clear" w:color="auto" w:fill="auto"/>
            <w:noWrap/>
            <w:vAlign w:val="center"/>
            <w:hideMark/>
          </w:tcPr>
          <w:p w14:paraId="42BB8575" w14:textId="01CE92FA"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(94.216)</w:t>
            </w:r>
          </w:p>
        </w:tc>
      </w:tr>
      <w:tr w:rsidR="004901D8" w:rsidRPr="004901D8" w14:paraId="6A865D89" w14:textId="77777777" w:rsidTr="004901D8">
        <w:trPr>
          <w:trHeight w:val="240"/>
        </w:trPr>
        <w:tc>
          <w:tcPr>
            <w:tcW w:w="4188" w:type="pct"/>
            <w:tcBorders>
              <w:top w:val="nil"/>
              <w:left w:val="nil"/>
              <w:bottom w:val="nil"/>
              <w:right w:val="nil"/>
            </w:tcBorders>
            <w:shd w:val="clear" w:color="auto" w:fill="auto"/>
            <w:noWrap/>
            <w:vAlign w:val="center"/>
            <w:hideMark/>
          </w:tcPr>
          <w:p w14:paraId="092D47DE"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 xml:space="preserve">Impostos, contribuições e obrigações trabalhistas </w:t>
            </w:r>
          </w:p>
        </w:tc>
        <w:tc>
          <w:tcPr>
            <w:tcW w:w="812" w:type="pct"/>
            <w:tcBorders>
              <w:top w:val="nil"/>
              <w:left w:val="nil"/>
              <w:bottom w:val="nil"/>
              <w:right w:val="nil"/>
            </w:tcBorders>
            <w:shd w:val="clear" w:color="auto" w:fill="auto"/>
            <w:noWrap/>
            <w:vAlign w:val="center"/>
            <w:hideMark/>
          </w:tcPr>
          <w:p w14:paraId="292AD050" w14:textId="50373041"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(67.686)</w:t>
            </w:r>
          </w:p>
        </w:tc>
      </w:tr>
      <w:tr w:rsidR="004901D8" w:rsidRPr="004901D8" w14:paraId="73538CC3" w14:textId="77777777" w:rsidTr="004901D8">
        <w:trPr>
          <w:trHeight w:val="240"/>
        </w:trPr>
        <w:tc>
          <w:tcPr>
            <w:tcW w:w="4188" w:type="pct"/>
            <w:tcBorders>
              <w:top w:val="nil"/>
              <w:left w:val="nil"/>
              <w:bottom w:val="nil"/>
              <w:right w:val="nil"/>
            </w:tcBorders>
            <w:shd w:val="clear" w:color="auto" w:fill="auto"/>
            <w:noWrap/>
            <w:vAlign w:val="center"/>
            <w:hideMark/>
          </w:tcPr>
          <w:p w14:paraId="3FBF2DC2"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Previdência privada</w:t>
            </w:r>
          </w:p>
        </w:tc>
        <w:tc>
          <w:tcPr>
            <w:tcW w:w="812" w:type="pct"/>
            <w:tcBorders>
              <w:top w:val="nil"/>
              <w:left w:val="nil"/>
              <w:bottom w:val="nil"/>
              <w:right w:val="nil"/>
            </w:tcBorders>
            <w:shd w:val="clear" w:color="auto" w:fill="auto"/>
            <w:noWrap/>
            <w:vAlign w:val="center"/>
            <w:hideMark/>
          </w:tcPr>
          <w:p w14:paraId="244B2EEA" w14:textId="648B76CA"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(201.243)</w:t>
            </w:r>
          </w:p>
        </w:tc>
      </w:tr>
      <w:tr w:rsidR="004901D8" w:rsidRPr="004901D8" w14:paraId="3775B13D" w14:textId="77777777" w:rsidTr="004901D8">
        <w:trPr>
          <w:trHeight w:val="240"/>
        </w:trPr>
        <w:tc>
          <w:tcPr>
            <w:tcW w:w="4188" w:type="pct"/>
            <w:tcBorders>
              <w:top w:val="nil"/>
              <w:left w:val="nil"/>
              <w:bottom w:val="nil"/>
              <w:right w:val="nil"/>
            </w:tcBorders>
            <w:shd w:val="clear" w:color="auto" w:fill="auto"/>
            <w:noWrap/>
            <w:vAlign w:val="center"/>
            <w:hideMark/>
          </w:tcPr>
          <w:p w14:paraId="674C1929"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Benefício pós-emprego</w:t>
            </w:r>
          </w:p>
        </w:tc>
        <w:tc>
          <w:tcPr>
            <w:tcW w:w="812" w:type="pct"/>
            <w:tcBorders>
              <w:top w:val="nil"/>
              <w:left w:val="nil"/>
              <w:bottom w:val="nil"/>
              <w:right w:val="nil"/>
            </w:tcBorders>
            <w:shd w:val="clear" w:color="auto" w:fill="auto"/>
            <w:noWrap/>
            <w:vAlign w:val="center"/>
            <w:hideMark/>
          </w:tcPr>
          <w:p w14:paraId="6D6E31B4" w14:textId="74E2C02E"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(110.325)</w:t>
            </w:r>
          </w:p>
        </w:tc>
      </w:tr>
      <w:tr w:rsidR="004901D8" w:rsidRPr="004901D8" w14:paraId="6E80668F" w14:textId="77777777" w:rsidTr="004901D8">
        <w:trPr>
          <w:trHeight w:val="240"/>
        </w:trPr>
        <w:tc>
          <w:tcPr>
            <w:tcW w:w="4188" w:type="pct"/>
            <w:tcBorders>
              <w:top w:val="nil"/>
              <w:left w:val="nil"/>
              <w:bottom w:val="nil"/>
              <w:right w:val="nil"/>
            </w:tcBorders>
            <w:shd w:val="clear" w:color="auto" w:fill="auto"/>
            <w:noWrap/>
            <w:vAlign w:val="center"/>
            <w:hideMark/>
          </w:tcPr>
          <w:p w14:paraId="391D4BE6"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Provisão para contingências</w:t>
            </w:r>
          </w:p>
        </w:tc>
        <w:tc>
          <w:tcPr>
            <w:tcW w:w="812" w:type="pct"/>
            <w:tcBorders>
              <w:top w:val="nil"/>
              <w:left w:val="nil"/>
              <w:bottom w:val="nil"/>
              <w:right w:val="nil"/>
            </w:tcBorders>
            <w:shd w:val="clear" w:color="auto" w:fill="auto"/>
            <w:noWrap/>
            <w:vAlign w:val="center"/>
            <w:hideMark/>
          </w:tcPr>
          <w:p w14:paraId="33F58F1F" w14:textId="3A126B81"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(87.539)</w:t>
            </w:r>
          </w:p>
        </w:tc>
      </w:tr>
      <w:tr w:rsidR="004901D8" w:rsidRPr="004901D8" w14:paraId="1F5986E2" w14:textId="77777777" w:rsidTr="004901D8">
        <w:trPr>
          <w:trHeight w:val="240"/>
        </w:trPr>
        <w:tc>
          <w:tcPr>
            <w:tcW w:w="4188" w:type="pct"/>
            <w:tcBorders>
              <w:top w:val="nil"/>
              <w:left w:val="nil"/>
              <w:bottom w:val="nil"/>
              <w:right w:val="nil"/>
            </w:tcBorders>
            <w:shd w:val="clear" w:color="auto" w:fill="auto"/>
            <w:noWrap/>
            <w:vAlign w:val="center"/>
            <w:hideMark/>
          </w:tcPr>
          <w:p w14:paraId="4EEB7508"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Obrigações com clientes</w:t>
            </w:r>
          </w:p>
        </w:tc>
        <w:tc>
          <w:tcPr>
            <w:tcW w:w="812" w:type="pct"/>
            <w:tcBorders>
              <w:top w:val="nil"/>
              <w:left w:val="nil"/>
              <w:bottom w:val="nil"/>
              <w:right w:val="nil"/>
            </w:tcBorders>
            <w:shd w:val="clear" w:color="auto" w:fill="auto"/>
            <w:noWrap/>
            <w:vAlign w:val="center"/>
            <w:hideMark/>
          </w:tcPr>
          <w:p w14:paraId="39F5A220" w14:textId="5C94B3BB"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(309.309)</w:t>
            </w:r>
          </w:p>
        </w:tc>
      </w:tr>
      <w:tr w:rsidR="004901D8" w:rsidRPr="004901D8" w14:paraId="4819B500" w14:textId="77777777" w:rsidTr="004901D8">
        <w:trPr>
          <w:trHeight w:val="240"/>
        </w:trPr>
        <w:tc>
          <w:tcPr>
            <w:tcW w:w="4188" w:type="pct"/>
            <w:tcBorders>
              <w:top w:val="nil"/>
              <w:left w:val="nil"/>
              <w:bottom w:val="nil"/>
              <w:right w:val="nil"/>
            </w:tcBorders>
            <w:shd w:val="clear" w:color="auto" w:fill="auto"/>
            <w:noWrap/>
            <w:vAlign w:val="center"/>
            <w:hideMark/>
          </w:tcPr>
          <w:p w14:paraId="48985D19" w14:textId="77777777" w:rsidR="004901D8" w:rsidRPr="004901D8" w:rsidRDefault="004901D8" w:rsidP="004901D8">
            <w:pPr>
              <w:spacing w:after="0" w:line="240" w:lineRule="auto"/>
              <w:ind w:firstLineChars="200" w:firstLine="36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Outros passivos</w:t>
            </w:r>
          </w:p>
        </w:tc>
        <w:tc>
          <w:tcPr>
            <w:tcW w:w="812" w:type="pct"/>
            <w:tcBorders>
              <w:top w:val="nil"/>
              <w:left w:val="nil"/>
              <w:bottom w:val="single" w:sz="4" w:space="0" w:color="1B80C4"/>
              <w:right w:val="nil"/>
            </w:tcBorders>
            <w:shd w:val="clear" w:color="auto" w:fill="auto"/>
            <w:noWrap/>
            <w:vAlign w:val="center"/>
            <w:hideMark/>
          </w:tcPr>
          <w:p w14:paraId="18386F7C" w14:textId="0906BF64"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(32.769)</w:t>
            </w:r>
          </w:p>
        </w:tc>
      </w:tr>
      <w:tr w:rsidR="004901D8" w:rsidRPr="004901D8" w14:paraId="18FA7A29" w14:textId="77777777" w:rsidTr="004901D8">
        <w:trPr>
          <w:trHeight w:val="240"/>
        </w:trPr>
        <w:tc>
          <w:tcPr>
            <w:tcW w:w="4188" w:type="pct"/>
            <w:tcBorders>
              <w:top w:val="nil"/>
              <w:left w:val="nil"/>
              <w:bottom w:val="nil"/>
              <w:right w:val="nil"/>
            </w:tcBorders>
            <w:shd w:val="clear" w:color="auto" w:fill="auto"/>
            <w:noWrap/>
            <w:vAlign w:val="center"/>
            <w:hideMark/>
          </w:tcPr>
          <w:p w14:paraId="1D418962" w14:textId="61BAFB1D" w:rsidR="004901D8" w:rsidRPr="004901D8" w:rsidRDefault="004901D8" w:rsidP="004901D8">
            <w:pPr>
              <w:spacing w:after="0" w:line="240" w:lineRule="auto"/>
              <w:ind w:firstLineChars="100" w:firstLine="181"/>
              <w:rPr>
                <w:rFonts w:ascii="Segoe UI" w:eastAsia="Times New Roman" w:hAnsi="Segoe UI" w:cs="Segoe UI"/>
                <w:b/>
                <w:bCs/>
                <w:color w:val="000000"/>
                <w:sz w:val="18"/>
                <w:szCs w:val="18"/>
                <w:lang w:eastAsia="pt-BR"/>
              </w:rPr>
            </w:pPr>
            <w:r w:rsidRPr="004901D8">
              <w:rPr>
                <w:rFonts w:ascii="Segoe UI" w:eastAsia="Times New Roman" w:hAnsi="Segoe UI" w:cs="Segoe UI"/>
                <w:b/>
                <w:bCs/>
                <w:color w:val="000000"/>
                <w:sz w:val="18"/>
                <w:szCs w:val="18"/>
                <w:lang w:eastAsia="pt-BR"/>
              </w:rPr>
              <w:t>Total dos ativos</w:t>
            </w:r>
            <w:r w:rsidR="00700C06">
              <w:rPr>
                <w:rFonts w:ascii="Segoe UI" w:eastAsia="Times New Roman" w:hAnsi="Segoe UI" w:cs="Segoe UI"/>
                <w:b/>
                <w:bCs/>
                <w:color w:val="000000"/>
                <w:sz w:val="18"/>
                <w:szCs w:val="18"/>
                <w:lang w:eastAsia="pt-BR"/>
              </w:rPr>
              <w:t>/(passivos)</w:t>
            </w:r>
            <w:r w:rsidRPr="004901D8">
              <w:rPr>
                <w:rFonts w:ascii="Segoe UI" w:eastAsia="Times New Roman" w:hAnsi="Segoe UI" w:cs="Segoe UI"/>
                <w:b/>
                <w:bCs/>
                <w:color w:val="000000"/>
                <w:sz w:val="18"/>
                <w:szCs w:val="18"/>
                <w:lang w:eastAsia="pt-BR"/>
              </w:rPr>
              <w:t xml:space="preserve"> líquidos identificáveis</w:t>
            </w:r>
          </w:p>
        </w:tc>
        <w:tc>
          <w:tcPr>
            <w:tcW w:w="812" w:type="pct"/>
            <w:tcBorders>
              <w:top w:val="nil"/>
              <w:left w:val="nil"/>
              <w:bottom w:val="nil"/>
              <w:right w:val="nil"/>
            </w:tcBorders>
            <w:shd w:val="clear" w:color="auto" w:fill="auto"/>
            <w:noWrap/>
            <w:vAlign w:val="center"/>
            <w:hideMark/>
          </w:tcPr>
          <w:p w14:paraId="764039E8" w14:textId="7090C318"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1.199.871</w:t>
            </w:r>
          </w:p>
        </w:tc>
      </w:tr>
      <w:tr w:rsidR="004901D8" w:rsidRPr="004901D8" w14:paraId="10DD4CDA" w14:textId="77777777" w:rsidTr="004901D8">
        <w:trPr>
          <w:trHeight w:val="240"/>
        </w:trPr>
        <w:tc>
          <w:tcPr>
            <w:tcW w:w="4188" w:type="pct"/>
            <w:tcBorders>
              <w:top w:val="nil"/>
              <w:left w:val="nil"/>
              <w:bottom w:val="nil"/>
              <w:right w:val="nil"/>
            </w:tcBorders>
            <w:shd w:val="clear" w:color="auto" w:fill="auto"/>
            <w:noWrap/>
            <w:vAlign w:val="bottom"/>
            <w:hideMark/>
          </w:tcPr>
          <w:p w14:paraId="5C2D3A8E" w14:textId="77777777"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p>
        </w:tc>
        <w:tc>
          <w:tcPr>
            <w:tcW w:w="812" w:type="pct"/>
            <w:tcBorders>
              <w:top w:val="nil"/>
              <w:left w:val="nil"/>
              <w:bottom w:val="nil"/>
              <w:right w:val="nil"/>
            </w:tcBorders>
            <w:shd w:val="clear" w:color="auto" w:fill="auto"/>
            <w:noWrap/>
            <w:vAlign w:val="center"/>
            <w:hideMark/>
          </w:tcPr>
          <w:p w14:paraId="4E2C3440" w14:textId="77777777" w:rsidR="004901D8" w:rsidRPr="004901D8" w:rsidRDefault="004901D8" w:rsidP="004901D8">
            <w:pPr>
              <w:spacing w:after="0" w:line="240" w:lineRule="auto"/>
              <w:rPr>
                <w:rFonts w:ascii="Times New Roman" w:eastAsia="Times New Roman" w:hAnsi="Times New Roman" w:cs="Times New Roman"/>
                <w:sz w:val="20"/>
                <w:szCs w:val="20"/>
                <w:lang w:eastAsia="pt-BR"/>
              </w:rPr>
            </w:pPr>
          </w:p>
        </w:tc>
      </w:tr>
      <w:tr w:rsidR="004901D8" w:rsidRPr="004901D8" w14:paraId="602466BE" w14:textId="77777777" w:rsidTr="004901D8">
        <w:trPr>
          <w:trHeight w:val="240"/>
        </w:trPr>
        <w:tc>
          <w:tcPr>
            <w:tcW w:w="4188" w:type="pct"/>
            <w:tcBorders>
              <w:top w:val="nil"/>
              <w:left w:val="nil"/>
              <w:bottom w:val="nil"/>
              <w:right w:val="nil"/>
            </w:tcBorders>
            <w:shd w:val="clear" w:color="auto" w:fill="auto"/>
            <w:noWrap/>
            <w:vAlign w:val="center"/>
            <w:hideMark/>
          </w:tcPr>
          <w:p w14:paraId="14D9F342" w14:textId="77777777" w:rsidR="004901D8" w:rsidRPr="004901D8" w:rsidRDefault="004901D8" w:rsidP="004901D8">
            <w:pPr>
              <w:spacing w:after="0" w:line="240" w:lineRule="auto"/>
              <w:ind w:firstLineChars="100" w:firstLine="18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Participação não controladora</w:t>
            </w:r>
          </w:p>
        </w:tc>
        <w:tc>
          <w:tcPr>
            <w:tcW w:w="812" w:type="pct"/>
            <w:tcBorders>
              <w:top w:val="nil"/>
              <w:left w:val="nil"/>
              <w:bottom w:val="nil"/>
              <w:right w:val="nil"/>
            </w:tcBorders>
            <w:shd w:val="clear" w:color="auto" w:fill="auto"/>
            <w:noWrap/>
            <w:vAlign w:val="center"/>
            <w:hideMark/>
          </w:tcPr>
          <w:p w14:paraId="0855D6F7" w14:textId="3CA6A9BD"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(17)</w:t>
            </w:r>
          </w:p>
        </w:tc>
      </w:tr>
      <w:tr w:rsidR="004901D8" w:rsidRPr="004901D8" w14:paraId="4C9B7680" w14:textId="77777777" w:rsidTr="004901D8">
        <w:trPr>
          <w:trHeight w:val="240"/>
        </w:trPr>
        <w:tc>
          <w:tcPr>
            <w:tcW w:w="4188" w:type="pct"/>
            <w:tcBorders>
              <w:top w:val="nil"/>
              <w:left w:val="nil"/>
              <w:bottom w:val="nil"/>
              <w:right w:val="nil"/>
            </w:tcBorders>
            <w:shd w:val="clear" w:color="auto" w:fill="auto"/>
            <w:noWrap/>
            <w:vAlign w:val="center"/>
            <w:hideMark/>
          </w:tcPr>
          <w:p w14:paraId="6F867CE2" w14:textId="77777777" w:rsidR="004901D8" w:rsidRPr="004901D8" w:rsidRDefault="004901D8" w:rsidP="004901D8">
            <w:pPr>
              <w:spacing w:after="0" w:line="240" w:lineRule="auto"/>
              <w:ind w:firstLineChars="100" w:firstLine="180"/>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Compra vantajosa</w:t>
            </w:r>
          </w:p>
        </w:tc>
        <w:tc>
          <w:tcPr>
            <w:tcW w:w="812" w:type="pct"/>
            <w:tcBorders>
              <w:top w:val="nil"/>
              <w:left w:val="nil"/>
              <w:bottom w:val="single" w:sz="4" w:space="0" w:color="1B80C4"/>
              <w:right w:val="nil"/>
            </w:tcBorders>
            <w:shd w:val="clear" w:color="auto" w:fill="auto"/>
            <w:noWrap/>
            <w:vAlign w:val="center"/>
            <w:hideMark/>
          </w:tcPr>
          <w:p w14:paraId="1571DF98" w14:textId="4B76FE56"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r w:rsidRPr="004901D8">
              <w:rPr>
                <w:rFonts w:ascii="Segoe UI" w:eastAsia="Times New Roman" w:hAnsi="Segoe UI" w:cs="Segoe UI"/>
                <w:color w:val="000000"/>
                <w:sz w:val="18"/>
                <w:szCs w:val="18"/>
                <w:lang w:eastAsia="pt-BR"/>
              </w:rPr>
              <w:t>(88.510)</w:t>
            </w:r>
          </w:p>
        </w:tc>
      </w:tr>
      <w:tr w:rsidR="004901D8" w:rsidRPr="004901D8" w14:paraId="0481AC9E" w14:textId="77777777" w:rsidTr="004901D8">
        <w:trPr>
          <w:trHeight w:val="255"/>
        </w:trPr>
        <w:tc>
          <w:tcPr>
            <w:tcW w:w="4188" w:type="pct"/>
            <w:tcBorders>
              <w:top w:val="nil"/>
              <w:left w:val="nil"/>
              <w:bottom w:val="nil"/>
              <w:right w:val="nil"/>
            </w:tcBorders>
            <w:shd w:val="clear" w:color="auto" w:fill="auto"/>
            <w:noWrap/>
            <w:vAlign w:val="bottom"/>
            <w:hideMark/>
          </w:tcPr>
          <w:p w14:paraId="031DF3C1" w14:textId="77777777" w:rsidR="004901D8" w:rsidRPr="004901D8" w:rsidRDefault="004901D8" w:rsidP="004901D8">
            <w:pPr>
              <w:spacing w:after="0" w:line="240" w:lineRule="auto"/>
              <w:jc w:val="right"/>
              <w:rPr>
                <w:rFonts w:ascii="Segoe UI" w:eastAsia="Times New Roman" w:hAnsi="Segoe UI" w:cs="Segoe UI"/>
                <w:color w:val="000000"/>
                <w:sz w:val="18"/>
                <w:szCs w:val="18"/>
                <w:lang w:eastAsia="pt-BR"/>
              </w:rPr>
            </w:pPr>
          </w:p>
        </w:tc>
        <w:tc>
          <w:tcPr>
            <w:tcW w:w="812" w:type="pct"/>
            <w:tcBorders>
              <w:top w:val="nil"/>
              <w:left w:val="nil"/>
              <w:bottom w:val="double" w:sz="6" w:space="0" w:color="1B80C4"/>
              <w:right w:val="nil"/>
            </w:tcBorders>
            <w:shd w:val="clear" w:color="auto" w:fill="auto"/>
            <w:noWrap/>
            <w:vAlign w:val="center"/>
            <w:hideMark/>
          </w:tcPr>
          <w:p w14:paraId="2F1CF221" w14:textId="6E43017B" w:rsidR="004901D8" w:rsidRPr="004901D8" w:rsidRDefault="004901D8" w:rsidP="004901D8">
            <w:pPr>
              <w:spacing w:after="0" w:line="240" w:lineRule="auto"/>
              <w:jc w:val="right"/>
              <w:rPr>
                <w:rFonts w:ascii="Segoe UI" w:eastAsia="Times New Roman" w:hAnsi="Segoe UI" w:cs="Segoe UI"/>
                <w:b/>
                <w:bCs/>
                <w:color w:val="000000"/>
                <w:sz w:val="18"/>
                <w:szCs w:val="18"/>
                <w:lang w:eastAsia="pt-BR"/>
              </w:rPr>
            </w:pPr>
            <w:r w:rsidRPr="004901D8">
              <w:rPr>
                <w:rFonts w:ascii="Segoe UI" w:eastAsia="Times New Roman" w:hAnsi="Segoe UI" w:cs="Segoe UI"/>
                <w:b/>
                <w:bCs/>
                <w:color w:val="000000"/>
                <w:sz w:val="18"/>
                <w:szCs w:val="18"/>
                <w:lang w:eastAsia="pt-BR"/>
              </w:rPr>
              <w:t>1.111.344</w:t>
            </w:r>
          </w:p>
        </w:tc>
      </w:tr>
    </w:tbl>
    <w:p w14:paraId="3C042924" w14:textId="77777777" w:rsidR="00483767" w:rsidRPr="00483767" w:rsidRDefault="00483767" w:rsidP="00483767">
      <w:pPr>
        <w:spacing w:before="240" w:afterLines="50" w:after="120"/>
        <w:jc w:val="both"/>
        <w:rPr>
          <w:rFonts w:ascii="Segoe UI" w:hAnsi="Segoe UI" w:cs="Segoe UI"/>
          <w:b/>
          <w:color w:val="1B80C4"/>
        </w:rPr>
      </w:pPr>
      <w:r w:rsidRPr="00483767">
        <w:rPr>
          <w:rFonts w:ascii="Segoe UI" w:hAnsi="Segoe UI" w:cs="Segoe UI"/>
          <w:b/>
          <w:color w:val="1B80C4"/>
        </w:rPr>
        <w:t>Itaipu Binacional</w:t>
      </w:r>
    </w:p>
    <w:p w14:paraId="7D58424B" w14:textId="43C18043" w:rsidR="00F06094" w:rsidRPr="0009744B" w:rsidRDefault="00F06094" w:rsidP="004B1F19">
      <w:pPr>
        <w:spacing w:before="240" w:after="120"/>
        <w:jc w:val="both"/>
        <w:rPr>
          <w:rFonts w:ascii="Segoe UI" w:hAnsi="Segoe UI" w:cs="Segoe UI"/>
          <w:snapToGrid w:val="0"/>
        </w:rPr>
      </w:pPr>
      <w:r w:rsidRPr="0009744B">
        <w:rPr>
          <w:rFonts w:ascii="Segoe UI" w:hAnsi="Segoe UI" w:cs="Segoe UI"/>
          <w:snapToGrid w:val="0"/>
        </w:rPr>
        <w:t xml:space="preserve">A ITAIPU é uma Entidade Binacional criada e regida, em igualdade de direitos e obrigações, pelo Tratado assinado em 26 de abril de 1973, entre a República Federativa do Brasil e a República do Paraguai, também referidas como Altas Partes Contratantes, sendo seu capital pertencente, atualmente, em partes iguais à Empresa Brasileira de Participações em Energia Nuclear e Binacional S.A. - ENBPar e à </w:t>
      </w:r>
      <w:r w:rsidRPr="0009744B">
        <w:rPr>
          <w:rFonts w:ascii="Segoe UI" w:hAnsi="Segoe UI" w:cs="Segoe UI"/>
          <w:i/>
          <w:iCs/>
          <w:snapToGrid w:val="0"/>
        </w:rPr>
        <w:t>Administración Nacional de</w:t>
      </w:r>
      <w:r w:rsidRPr="0009744B">
        <w:rPr>
          <w:rFonts w:ascii="Segoe UI" w:hAnsi="Segoe UI" w:cs="Segoe UI"/>
          <w:snapToGrid w:val="0"/>
        </w:rPr>
        <w:t xml:space="preserve"> </w:t>
      </w:r>
      <w:r w:rsidRPr="0009744B">
        <w:rPr>
          <w:rFonts w:ascii="Segoe UI" w:hAnsi="Segoe UI" w:cs="Segoe UI"/>
          <w:i/>
          <w:iCs/>
          <w:snapToGrid w:val="0"/>
        </w:rPr>
        <w:t>Electricidad</w:t>
      </w:r>
      <w:r w:rsidRPr="0009744B">
        <w:rPr>
          <w:rFonts w:ascii="Segoe UI" w:hAnsi="Segoe UI" w:cs="Segoe UI"/>
          <w:snapToGrid w:val="0"/>
        </w:rPr>
        <w:t xml:space="preserve"> - ANDE.</w:t>
      </w:r>
    </w:p>
    <w:p w14:paraId="381DCC80" w14:textId="761073DF" w:rsidR="001F31BF" w:rsidRPr="0009744B" w:rsidRDefault="001F31BF" w:rsidP="004B1F19">
      <w:pPr>
        <w:spacing w:before="240" w:after="120"/>
        <w:jc w:val="both"/>
        <w:rPr>
          <w:rFonts w:ascii="Segoe UI" w:hAnsi="Segoe UI" w:cs="Segoe UI"/>
          <w:snapToGrid w:val="0"/>
        </w:rPr>
      </w:pPr>
      <w:r w:rsidRPr="0009744B">
        <w:rPr>
          <w:rFonts w:ascii="Segoe UI" w:hAnsi="Segoe UI" w:cs="Segoe UI"/>
          <w:snapToGrid w:val="0"/>
        </w:rPr>
        <w:t xml:space="preserve">Seu objetivo é o aproveitamento hidrelétrico dos recursos hídricos do rio Paraná, pertencentes em condomínio aos dois países, desde e inclusive o Salto Grande de Sete Quedas ou Salto de Guaíra </w:t>
      </w:r>
      <w:r w:rsidRPr="0009744B">
        <w:rPr>
          <w:rFonts w:ascii="Segoe UI" w:hAnsi="Segoe UI" w:cs="Segoe UI"/>
          <w:snapToGrid w:val="0"/>
        </w:rPr>
        <w:lastRenderedPageBreak/>
        <w:t>até a foz do rio Iguaçu, mediante a construção e a operação de uma Central Hidrelétrica, com capacidade total instalada de 14.000 MW, gerando energia elétrica de qualidade, com responsabilidade social e ambiental, contribuindo com o desenvolvimento sustentável, no Brasil e no Paraguai.</w:t>
      </w:r>
    </w:p>
    <w:p w14:paraId="73875E55" w14:textId="698D817A" w:rsidR="00CC148A" w:rsidRPr="0009744B" w:rsidRDefault="008809DD" w:rsidP="004B1F19">
      <w:pPr>
        <w:spacing w:before="240" w:after="120"/>
        <w:jc w:val="both"/>
        <w:rPr>
          <w:rFonts w:ascii="Segoe UI" w:hAnsi="Segoe UI" w:cs="Segoe UI"/>
          <w:snapToGrid w:val="0"/>
        </w:rPr>
      </w:pPr>
      <w:r w:rsidRPr="0009744B">
        <w:rPr>
          <w:rFonts w:ascii="Segoe UI" w:hAnsi="Segoe UI" w:cs="Segoe UI"/>
          <w:snapToGrid w:val="0"/>
        </w:rPr>
        <w:t>A ITAIPU é regida pelas normas estabelecidas no Tratado e seus Anexos, a seguir referidos, e tem como órgãos de administração um Conselho de Administração e uma Diretoria Executiva, integrados por igual número de membros de cada país.</w:t>
      </w:r>
    </w:p>
    <w:p w14:paraId="075FC9CE" w14:textId="77777777" w:rsidR="008809DD" w:rsidRPr="0009744B" w:rsidRDefault="00CC148A" w:rsidP="004B1F19">
      <w:pPr>
        <w:spacing w:before="240" w:after="120"/>
        <w:jc w:val="both"/>
        <w:rPr>
          <w:rFonts w:ascii="Segoe UI" w:hAnsi="Segoe UI" w:cs="Segoe UI"/>
          <w:snapToGrid w:val="0"/>
        </w:rPr>
      </w:pPr>
      <w:r w:rsidRPr="0009744B">
        <w:rPr>
          <w:rFonts w:ascii="Segoe UI" w:hAnsi="Segoe UI" w:cs="Segoe UI"/>
          <w:snapToGrid w:val="0"/>
        </w:rPr>
        <w:t xml:space="preserve">Anexo “A” - Estatuto da ITAIPU. </w:t>
      </w:r>
    </w:p>
    <w:p w14:paraId="68893CDF" w14:textId="77777777" w:rsidR="008809DD" w:rsidRPr="0009744B" w:rsidRDefault="00CC148A" w:rsidP="004B1F19">
      <w:pPr>
        <w:spacing w:before="240" w:after="120"/>
        <w:jc w:val="both"/>
        <w:rPr>
          <w:rFonts w:ascii="Segoe UI" w:hAnsi="Segoe UI" w:cs="Segoe UI"/>
          <w:snapToGrid w:val="0"/>
        </w:rPr>
      </w:pPr>
      <w:r w:rsidRPr="0009744B">
        <w:rPr>
          <w:rFonts w:ascii="Segoe UI" w:hAnsi="Segoe UI" w:cs="Segoe UI"/>
          <w:snapToGrid w:val="0"/>
        </w:rPr>
        <w:t xml:space="preserve">Anexo “B” - Descrição Geral das Instalações Destinadas à Produção de Energia Elétrica e das Obras Auxiliares. </w:t>
      </w:r>
    </w:p>
    <w:p w14:paraId="0D152F28" w14:textId="00CD8C3A" w:rsidR="00CC148A" w:rsidRPr="0009744B" w:rsidRDefault="00CC148A" w:rsidP="004B1F19">
      <w:pPr>
        <w:spacing w:before="240" w:after="120"/>
        <w:jc w:val="both"/>
        <w:rPr>
          <w:rFonts w:ascii="Segoe UI" w:hAnsi="Segoe UI" w:cs="Segoe UI"/>
          <w:snapToGrid w:val="0"/>
        </w:rPr>
      </w:pPr>
      <w:r w:rsidRPr="0009744B">
        <w:rPr>
          <w:rFonts w:ascii="Segoe UI" w:hAnsi="Segoe UI" w:cs="Segoe UI"/>
          <w:snapToGrid w:val="0"/>
        </w:rPr>
        <w:t>Anexo “C” - Bases Financeiras e de Prestação dos Serviços de Eletricidade da ITAIPU.</w:t>
      </w:r>
    </w:p>
    <w:p w14:paraId="5FD0516C" w14:textId="33951E9E" w:rsidR="006C1F5D" w:rsidRPr="0009744B" w:rsidRDefault="009902ED" w:rsidP="004B1F19">
      <w:pPr>
        <w:spacing w:before="240" w:after="120"/>
        <w:jc w:val="both"/>
        <w:rPr>
          <w:rFonts w:ascii="Segoe UI" w:hAnsi="Segoe UI" w:cs="Segoe UI"/>
          <w:snapToGrid w:val="0"/>
        </w:rPr>
      </w:pPr>
      <w:r w:rsidRPr="0009744B">
        <w:rPr>
          <w:rFonts w:ascii="Segoe UI" w:hAnsi="Segoe UI" w:cs="Segoe UI"/>
          <w:snapToGrid w:val="0"/>
        </w:rPr>
        <w:t>Em junho de 20</w:t>
      </w:r>
      <w:r w:rsidR="00377572" w:rsidRPr="0009744B">
        <w:rPr>
          <w:rFonts w:ascii="Segoe UI" w:hAnsi="Segoe UI" w:cs="Segoe UI"/>
          <w:snapToGrid w:val="0"/>
        </w:rPr>
        <w:t>22, foi efetivado o</w:t>
      </w:r>
      <w:r w:rsidR="006C1F5D" w:rsidRPr="0009744B">
        <w:rPr>
          <w:rFonts w:ascii="Segoe UI" w:hAnsi="Segoe UI" w:cs="Segoe UI"/>
          <w:snapToGrid w:val="0"/>
        </w:rPr>
        <w:t xml:space="preserve"> Contrato de Transferência de Participação Societária </w:t>
      </w:r>
      <w:r w:rsidR="00377572" w:rsidRPr="0009744B">
        <w:rPr>
          <w:rFonts w:ascii="Segoe UI" w:hAnsi="Segoe UI" w:cs="Segoe UI"/>
          <w:snapToGrid w:val="0"/>
        </w:rPr>
        <w:t>e Outras Avenças</w:t>
      </w:r>
      <w:r w:rsidR="003210C0" w:rsidRPr="0009744B">
        <w:rPr>
          <w:rFonts w:ascii="Segoe UI" w:hAnsi="Segoe UI" w:cs="Segoe UI"/>
          <w:snapToGrid w:val="0"/>
        </w:rPr>
        <w:t>, que</w:t>
      </w:r>
      <w:r w:rsidR="006C1F5D" w:rsidRPr="0009744B">
        <w:rPr>
          <w:rFonts w:ascii="Segoe UI" w:hAnsi="Segoe UI" w:cs="Segoe UI"/>
          <w:snapToGrid w:val="0"/>
        </w:rPr>
        <w:t xml:space="preserve"> transferiu a totalidade </w:t>
      </w:r>
      <w:r w:rsidR="00C828A2" w:rsidRPr="0009744B">
        <w:rPr>
          <w:rFonts w:ascii="Segoe UI" w:hAnsi="Segoe UI" w:cs="Segoe UI"/>
          <w:snapToGrid w:val="0"/>
        </w:rPr>
        <w:t>da</w:t>
      </w:r>
      <w:r w:rsidR="006C1F5D" w:rsidRPr="0009744B">
        <w:rPr>
          <w:rFonts w:ascii="Segoe UI" w:hAnsi="Segoe UI" w:cs="Segoe UI"/>
          <w:snapToGrid w:val="0"/>
        </w:rPr>
        <w:t xml:space="preserve"> participação societária </w:t>
      </w:r>
      <w:r w:rsidR="00F51C3D" w:rsidRPr="0009744B">
        <w:rPr>
          <w:rFonts w:ascii="Segoe UI" w:hAnsi="Segoe UI" w:cs="Segoe UI"/>
          <w:snapToGrid w:val="0"/>
        </w:rPr>
        <w:t>d</w:t>
      </w:r>
      <w:r w:rsidR="006C1F5D" w:rsidRPr="0009744B">
        <w:rPr>
          <w:rFonts w:ascii="Segoe UI" w:hAnsi="Segoe UI" w:cs="Segoe UI"/>
          <w:snapToGrid w:val="0"/>
        </w:rPr>
        <w:t>o capital social</w:t>
      </w:r>
      <w:r w:rsidR="00C828A2" w:rsidRPr="0009744B">
        <w:rPr>
          <w:rFonts w:ascii="Segoe UI" w:hAnsi="Segoe UI" w:cs="Segoe UI"/>
          <w:snapToGrid w:val="0"/>
        </w:rPr>
        <w:t xml:space="preserve"> de Itaipu</w:t>
      </w:r>
      <w:r w:rsidR="006C1F5D" w:rsidRPr="0009744B">
        <w:rPr>
          <w:rFonts w:ascii="Segoe UI" w:hAnsi="Segoe UI" w:cs="Segoe UI"/>
          <w:snapToGrid w:val="0"/>
        </w:rPr>
        <w:t xml:space="preserve"> da </w:t>
      </w:r>
      <w:r w:rsidR="009A3B75" w:rsidRPr="0009744B">
        <w:rPr>
          <w:rFonts w:ascii="Segoe UI" w:hAnsi="Segoe UI" w:cs="Segoe UI"/>
          <w:snapToGrid w:val="0"/>
        </w:rPr>
        <w:t xml:space="preserve">Eletrobras </w:t>
      </w:r>
      <w:r w:rsidR="00C47D83" w:rsidRPr="0009744B">
        <w:rPr>
          <w:rFonts w:ascii="Segoe UI" w:hAnsi="Segoe UI" w:cs="Segoe UI"/>
          <w:snapToGrid w:val="0"/>
        </w:rPr>
        <w:t>à</w:t>
      </w:r>
      <w:r w:rsidR="006C1F5D" w:rsidRPr="0009744B">
        <w:rPr>
          <w:rFonts w:ascii="Segoe UI" w:hAnsi="Segoe UI" w:cs="Segoe UI"/>
          <w:snapToGrid w:val="0"/>
        </w:rPr>
        <w:t xml:space="preserve"> ENBPar. A transferência de Itaipu foi notificada pela Eletrobras, em conjunto com a União, à ANDE e ao Governo do Paraguai. O preço </w:t>
      </w:r>
      <w:r w:rsidR="007F3E37" w:rsidRPr="0009744B">
        <w:rPr>
          <w:rFonts w:ascii="Segoe UI" w:hAnsi="Segoe UI" w:cs="Segoe UI"/>
          <w:snapToGrid w:val="0"/>
        </w:rPr>
        <w:t>acordado a</w:t>
      </w:r>
      <w:r w:rsidR="006C1F5D" w:rsidRPr="0009744B">
        <w:rPr>
          <w:rFonts w:ascii="Segoe UI" w:hAnsi="Segoe UI" w:cs="Segoe UI"/>
          <w:snapToGrid w:val="0"/>
        </w:rPr>
        <w:t xml:space="preserve"> ser pago pela ENBPar à Eletrobras pela aquisição da participação societária </w:t>
      </w:r>
      <w:r w:rsidR="0014302E" w:rsidRPr="0009744B">
        <w:rPr>
          <w:rFonts w:ascii="Segoe UI" w:hAnsi="Segoe UI" w:cs="Segoe UI"/>
          <w:snapToGrid w:val="0"/>
        </w:rPr>
        <w:t>foi</w:t>
      </w:r>
      <w:r w:rsidR="006C1F5D" w:rsidRPr="0009744B">
        <w:rPr>
          <w:rFonts w:ascii="Segoe UI" w:hAnsi="Segoe UI" w:cs="Segoe UI"/>
          <w:snapToGrid w:val="0"/>
        </w:rPr>
        <w:t xml:space="preserve"> de R$ 1.212.148</w:t>
      </w:r>
      <w:r w:rsidR="007F3E37" w:rsidRPr="0009744B">
        <w:rPr>
          <w:rFonts w:ascii="Segoe UI" w:hAnsi="Segoe UI" w:cs="Segoe UI"/>
          <w:snapToGrid w:val="0"/>
        </w:rPr>
        <w:t>,</w:t>
      </w:r>
      <w:r w:rsidR="006C1F5D" w:rsidRPr="0009744B">
        <w:rPr>
          <w:rFonts w:ascii="Segoe UI" w:hAnsi="Segoe UI" w:cs="Segoe UI"/>
          <w:snapToGrid w:val="0"/>
        </w:rPr>
        <w:t xml:space="preserve"> equivalentes a US$ 233.253</w:t>
      </w:r>
      <w:r w:rsidR="007F3E37" w:rsidRPr="0009744B">
        <w:rPr>
          <w:rFonts w:ascii="Segoe UI" w:hAnsi="Segoe UI" w:cs="Segoe UI"/>
          <w:snapToGrid w:val="0"/>
        </w:rPr>
        <w:t xml:space="preserve"> na data base de </w:t>
      </w:r>
      <w:r w:rsidR="00144CFD" w:rsidRPr="0009744B">
        <w:rPr>
          <w:rFonts w:ascii="Segoe UI" w:hAnsi="Segoe UI" w:cs="Segoe UI"/>
          <w:snapToGrid w:val="0"/>
        </w:rPr>
        <w:t>31 de dezembro de 2020</w:t>
      </w:r>
      <w:r w:rsidR="006C1F5D" w:rsidRPr="0009744B">
        <w:rPr>
          <w:rFonts w:ascii="Segoe UI" w:hAnsi="Segoe UI" w:cs="Segoe UI"/>
          <w:snapToGrid w:val="0"/>
        </w:rPr>
        <w:t>.</w:t>
      </w:r>
    </w:p>
    <w:p w14:paraId="55D07480" w14:textId="77777777" w:rsidR="006C1F5D" w:rsidRPr="0009744B" w:rsidRDefault="006C1F5D" w:rsidP="004B1F19">
      <w:pPr>
        <w:spacing w:before="240" w:after="120"/>
        <w:jc w:val="both"/>
        <w:rPr>
          <w:rFonts w:ascii="Segoe UI" w:hAnsi="Segoe UI" w:cs="Segoe UI"/>
          <w:snapToGrid w:val="0"/>
        </w:rPr>
      </w:pPr>
      <w:r w:rsidRPr="0009744B">
        <w:rPr>
          <w:rFonts w:ascii="Segoe UI" w:hAnsi="Segoe UI" w:cs="Segoe UI"/>
          <w:snapToGrid w:val="0"/>
        </w:rPr>
        <w:t xml:space="preserve">De acordo com o CPC 15 (R1) - Combinações de Negócios, as aquisições de negócios são contabilizadas pelo método de aquisição, onde a contrapartida transferida é mensurada pelo valor justo, que é calculado pela soma dos valores justos dos ativos transferidos, dos passivos assumidos na data de aquisição junto aos antigos controladores da adquirida e das participações emitidas em troca do controle da adquirida. </w:t>
      </w:r>
    </w:p>
    <w:p w14:paraId="39122B4A" w14:textId="77777777" w:rsidR="006C1F5D" w:rsidRPr="0009744B" w:rsidRDefault="006C1F5D" w:rsidP="004B1F19">
      <w:pPr>
        <w:spacing w:before="240" w:after="120"/>
        <w:jc w:val="both"/>
        <w:rPr>
          <w:rFonts w:ascii="Segoe UI" w:hAnsi="Segoe UI" w:cs="Segoe UI"/>
          <w:snapToGrid w:val="0"/>
        </w:rPr>
      </w:pPr>
      <w:r w:rsidRPr="0009744B">
        <w:rPr>
          <w:rFonts w:ascii="Segoe UI" w:hAnsi="Segoe UI" w:cs="Segoe UI"/>
          <w:snapToGrid w:val="0"/>
        </w:rPr>
        <w:t>A mensuração dos valores justos dos ativos identificáveis adquiridos na combinação de negócios está em andamento e os saldos estão registrados</w:t>
      </w:r>
      <w:bookmarkStart w:id="11" w:name="_Hlk125552367"/>
      <w:r w:rsidRPr="0009744B">
        <w:rPr>
          <w:rFonts w:ascii="Segoe UI" w:hAnsi="Segoe UI" w:cs="Segoe UI"/>
          <w:snapToGrid w:val="0"/>
        </w:rPr>
        <w:t>, tais saldos serão avaliados conforme estudo de alocação do ágio em até doze meses da aquisição</w:t>
      </w:r>
      <w:bookmarkEnd w:id="11"/>
      <w:r w:rsidRPr="0009744B">
        <w:rPr>
          <w:rFonts w:ascii="Segoe UI" w:hAnsi="Segoe UI" w:cs="Segoe UI"/>
          <w:snapToGrid w:val="0"/>
        </w:rPr>
        <w:t>. A Companhia está providenciando o laudo de alocação do preço de compra para que os valores sejam reconhecidos dentro do prazo determinado no CPC 15 (R1) - Combinações de Negócios.</w:t>
      </w:r>
    </w:p>
    <w:p w14:paraId="3BE0ACA3" w14:textId="2B796DEC" w:rsidR="00F9155D" w:rsidRDefault="00EE2311" w:rsidP="004B1F19">
      <w:pPr>
        <w:spacing w:before="240" w:after="120"/>
        <w:jc w:val="both"/>
        <w:rPr>
          <w:rFonts w:ascii="Segoe UI" w:hAnsi="Segoe UI" w:cs="Segoe UI"/>
          <w:snapToGrid w:val="0"/>
        </w:rPr>
      </w:pPr>
      <w:r w:rsidRPr="0009744B">
        <w:rPr>
          <w:rFonts w:ascii="Segoe UI" w:hAnsi="Segoe UI" w:cs="Segoe UI"/>
          <w:snapToGrid w:val="0"/>
        </w:rPr>
        <w:t>Conforme</w:t>
      </w:r>
      <w:r w:rsidR="00AB75CC" w:rsidRPr="0009744B">
        <w:rPr>
          <w:rFonts w:ascii="Segoe UI" w:hAnsi="Segoe UI" w:cs="Segoe UI"/>
          <w:snapToGrid w:val="0"/>
        </w:rPr>
        <w:t xml:space="preserve"> </w:t>
      </w:r>
      <w:r w:rsidRPr="0009744B">
        <w:rPr>
          <w:rFonts w:ascii="Segoe UI" w:hAnsi="Segoe UI" w:cs="Segoe UI"/>
          <w:snapToGrid w:val="0"/>
        </w:rPr>
        <w:t>previsto</w:t>
      </w:r>
      <w:r w:rsidR="00AB75CC" w:rsidRPr="0009744B">
        <w:rPr>
          <w:rFonts w:ascii="Segoe UI" w:hAnsi="Segoe UI" w:cs="Segoe UI"/>
          <w:snapToGrid w:val="0"/>
        </w:rPr>
        <w:t xml:space="preserve"> </w:t>
      </w:r>
      <w:r w:rsidR="0011541E" w:rsidRPr="0009744B">
        <w:rPr>
          <w:rFonts w:ascii="Segoe UI" w:hAnsi="Segoe UI" w:cs="Segoe UI"/>
          <w:snapToGrid w:val="0"/>
        </w:rPr>
        <w:t>n</w:t>
      </w:r>
      <w:r w:rsidR="00AB75CC" w:rsidRPr="0009744B">
        <w:rPr>
          <w:rFonts w:ascii="Segoe UI" w:hAnsi="Segoe UI" w:cs="Segoe UI"/>
          <w:snapToGrid w:val="0"/>
        </w:rPr>
        <w:t xml:space="preserve">o Anexo “C”, </w:t>
      </w:r>
      <w:r w:rsidR="00A90852" w:rsidRPr="0009744B">
        <w:rPr>
          <w:rFonts w:ascii="Segoe UI" w:hAnsi="Segoe UI" w:cs="Segoe UI"/>
          <w:snapToGrid w:val="0"/>
        </w:rPr>
        <w:t xml:space="preserve">a </w:t>
      </w:r>
      <w:r w:rsidR="003438C6" w:rsidRPr="0009744B">
        <w:rPr>
          <w:rFonts w:ascii="Segoe UI" w:hAnsi="Segoe UI" w:cs="Segoe UI"/>
          <w:snapToGrid w:val="0"/>
        </w:rPr>
        <w:t xml:space="preserve">ENBPar </w:t>
      </w:r>
      <w:r w:rsidR="00A90852" w:rsidRPr="0009744B">
        <w:rPr>
          <w:rFonts w:ascii="Segoe UI" w:hAnsi="Segoe UI" w:cs="Segoe UI"/>
          <w:snapToGrid w:val="0"/>
        </w:rPr>
        <w:t>recebe</w:t>
      </w:r>
      <w:r w:rsidR="00AB59E9" w:rsidRPr="0009744B">
        <w:rPr>
          <w:rFonts w:ascii="Segoe UI" w:hAnsi="Segoe UI" w:cs="Segoe UI"/>
          <w:snapToGrid w:val="0"/>
        </w:rPr>
        <w:t>,</w:t>
      </w:r>
      <w:r w:rsidR="00A90852" w:rsidRPr="0009744B">
        <w:rPr>
          <w:rFonts w:ascii="Segoe UI" w:hAnsi="Segoe UI" w:cs="Segoe UI"/>
          <w:snapToGrid w:val="0"/>
        </w:rPr>
        <w:t xml:space="preserve"> como forma de remuneração</w:t>
      </w:r>
      <w:r w:rsidR="00AB59E9" w:rsidRPr="0009744B">
        <w:rPr>
          <w:rFonts w:ascii="Segoe UI" w:hAnsi="Segoe UI" w:cs="Segoe UI"/>
          <w:snapToGrid w:val="0"/>
        </w:rPr>
        <w:t>,</w:t>
      </w:r>
      <w:r w:rsidR="00A90852" w:rsidRPr="0009744B">
        <w:rPr>
          <w:rFonts w:ascii="Segoe UI" w:hAnsi="Segoe UI" w:cs="Segoe UI"/>
          <w:snapToGrid w:val="0"/>
        </w:rPr>
        <w:t xml:space="preserve"> valores fixos </w:t>
      </w:r>
      <w:r w:rsidR="00AB59E9" w:rsidRPr="0009744B">
        <w:rPr>
          <w:rFonts w:ascii="Segoe UI" w:hAnsi="Segoe UI" w:cs="Segoe UI"/>
          <w:snapToGrid w:val="0"/>
        </w:rPr>
        <w:t xml:space="preserve">por ser proprietária </w:t>
      </w:r>
      <w:r w:rsidR="00FC2802" w:rsidRPr="0009744B">
        <w:rPr>
          <w:rFonts w:ascii="Segoe UI" w:hAnsi="Segoe UI" w:cs="Segoe UI"/>
          <w:snapToGrid w:val="0"/>
        </w:rPr>
        <w:t xml:space="preserve">desse investimento. </w:t>
      </w:r>
      <w:r w:rsidR="00821CF1" w:rsidRPr="0009744B">
        <w:rPr>
          <w:rFonts w:ascii="Segoe UI" w:hAnsi="Segoe UI" w:cs="Segoe UI"/>
          <w:snapToGrid w:val="0"/>
        </w:rPr>
        <w:t>N</w:t>
      </w:r>
      <w:r w:rsidR="00EA4429" w:rsidRPr="0009744B">
        <w:rPr>
          <w:rFonts w:ascii="Segoe UI" w:hAnsi="Segoe UI" w:cs="Segoe UI"/>
          <w:snapToGrid w:val="0"/>
        </w:rPr>
        <w:t>o referido contexto</w:t>
      </w:r>
      <w:r w:rsidR="00FC2802" w:rsidRPr="0009744B">
        <w:rPr>
          <w:rFonts w:ascii="Segoe UI" w:hAnsi="Segoe UI" w:cs="Segoe UI"/>
          <w:snapToGrid w:val="0"/>
        </w:rPr>
        <w:t>, qualquer a</w:t>
      </w:r>
      <w:r w:rsidR="006E00B5" w:rsidRPr="0009744B">
        <w:rPr>
          <w:rFonts w:ascii="Segoe UI" w:hAnsi="Segoe UI" w:cs="Segoe UI"/>
          <w:snapToGrid w:val="0"/>
        </w:rPr>
        <w:t xml:space="preserve">lteração nos números contábeis dessa investida não impactam </w:t>
      </w:r>
      <w:r w:rsidR="003438C6" w:rsidRPr="0009744B">
        <w:rPr>
          <w:rFonts w:ascii="Segoe UI" w:hAnsi="Segoe UI" w:cs="Segoe UI"/>
          <w:snapToGrid w:val="0"/>
        </w:rPr>
        <w:t>a ENBPar.</w:t>
      </w:r>
    </w:p>
    <w:p w14:paraId="6C7ABC0A" w14:textId="77777777" w:rsidR="00F9155D" w:rsidRDefault="00F9155D">
      <w:pPr>
        <w:rPr>
          <w:rFonts w:ascii="Segoe UI" w:hAnsi="Segoe UI" w:cs="Segoe UI"/>
          <w:snapToGrid w:val="0"/>
        </w:rPr>
      </w:pPr>
      <w:r>
        <w:rPr>
          <w:rFonts w:ascii="Segoe UI" w:hAnsi="Segoe UI" w:cs="Segoe UI"/>
          <w:snapToGrid w:val="0"/>
        </w:rPr>
        <w:br w:type="page"/>
      </w:r>
    </w:p>
    <w:p w14:paraId="0BBA686D" w14:textId="069399BE" w:rsidR="001B15C0" w:rsidRDefault="00F4139F" w:rsidP="004B1F1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lastRenderedPageBreak/>
        <w:t>1</w:t>
      </w:r>
      <w:r w:rsidR="00C21804">
        <w:rPr>
          <w:rFonts w:ascii="Segoe UI" w:hAnsi="Segoe UI" w:cs="Segoe UI"/>
          <w:b/>
          <w:color w:val="0070C0"/>
        </w:rPr>
        <w:t>3</w:t>
      </w:r>
      <w:r w:rsidRPr="000757BC">
        <w:rPr>
          <w:rFonts w:ascii="Segoe UI" w:hAnsi="Segoe UI" w:cs="Segoe UI"/>
          <w:b/>
          <w:color w:val="0070C0"/>
        </w:rPr>
        <w:t xml:space="preserve"> </w:t>
      </w:r>
      <w:r w:rsidR="002B1787" w:rsidRPr="000757BC">
        <w:rPr>
          <w:rFonts w:ascii="Segoe UI" w:hAnsi="Segoe UI" w:cs="Segoe UI"/>
          <w:b/>
          <w:color w:val="0070C0"/>
        </w:rPr>
        <w:t>– IMOBILIZADO</w:t>
      </w:r>
    </w:p>
    <w:p w14:paraId="649A39BD" w14:textId="77777777" w:rsidR="00A82736" w:rsidRDefault="00A82736" w:rsidP="008A191E"/>
    <w:tbl>
      <w:tblPr>
        <w:tblW w:w="5000" w:type="pct"/>
        <w:tblCellMar>
          <w:left w:w="70" w:type="dxa"/>
          <w:right w:w="70" w:type="dxa"/>
        </w:tblCellMar>
        <w:tblLook w:val="04A0" w:firstRow="1" w:lastRow="0" w:firstColumn="1" w:lastColumn="0" w:noHBand="0" w:noVBand="1"/>
      </w:tblPr>
      <w:tblGrid>
        <w:gridCol w:w="5915"/>
        <w:gridCol w:w="3582"/>
      </w:tblGrid>
      <w:tr w:rsidR="005A656A" w:rsidRPr="005A656A" w14:paraId="7780A22C" w14:textId="77777777" w:rsidTr="005A656A">
        <w:trPr>
          <w:trHeight w:val="259"/>
        </w:trPr>
        <w:tc>
          <w:tcPr>
            <w:tcW w:w="3114" w:type="pct"/>
            <w:tcBorders>
              <w:top w:val="nil"/>
              <w:left w:val="nil"/>
              <w:bottom w:val="nil"/>
              <w:right w:val="nil"/>
            </w:tcBorders>
            <w:shd w:val="clear" w:color="auto" w:fill="auto"/>
            <w:vAlign w:val="center"/>
            <w:hideMark/>
          </w:tcPr>
          <w:p w14:paraId="5BA08061" w14:textId="77777777" w:rsidR="005A656A" w:rsidRPr="005A656A" w:rsidRDefault="005A656A" w:rsidP="005A656A">
            <w:pPr>
              <w:spacing w:after="0" w:line="240" w:lineRule="auto"/>
              <w:rPr>
                <w:rFonts w:ascii="Times New Roman" w:eastAsia="Times New Roman" w:hAnsi="Times New Roman" w:cs="Times New Roman"/>
                <w:sz w:val="24"/>
                <w:szCs w:val="24"/>
                <w:lang w:eastAsia="pt-BR"/>
              </w:rPr>
            </w:pPr>
          </w:p>
        </w:tc>
        <w:tc>
          <w:tcPr>
            <w:tcW w:w="1886" w:type="pct"/>
            <w:tcBorders>
              <w:top w:val="nil"/>
              <w:left w:val="nil"/>
              <w:bottom w:val="nil"/>
              <w:right w:val="nil"/>
            </w:tcBorders>
            <w:shd w:val="clear" w:color="000000" w:fill="1B80C4"/>
            <w:noWrap/>
            <w:vAlign w:val="center"/>
            <w:hideMark/>
          </w:tcPr>
          <w:p w14:paraId="3769F8F5" w14:textId="77777777" w:rsidR="005A656A" w:rsidRPr="005A656A" w:rsidRDefault="005A656A" w:rsidP="005A656A">
            <w:pPr>
              <w:spacing w:after="0" w:line="240" w:lineRule="auto"/>
              <w:jc w:val="center"/>
              <w:rPr>
                <w:rFonts w:ascii="Segoe UI" w:eastAsia="Times New Roman" w:hAnsi="Segoe UI" w:cs="Segoe UI"/>
                <w:b/>
                <w:bCs/>
                <w:color w:val="FFFFFF"/>
                <w:sz w:val="18"/>
                <w:szCs w:val="18"/>
                <w:lang w:eastAsia="pt-BR"/>
              </w:rPr>
            </w:pPr>
            <w:r w:rsidRPr="005A656A">
              <w:rPr>
                <w:rFonts w:ascii="Segoe UI" w:eastAsia="Times New Roman" w:hAnsi="Segoe UI" w:cs="Segoe UI"/>
                <w:b/>
                <w:bCs/>
                <w:color w:val="FFFFFF"/>
                <w:sz w:val="18"/>
                <w:szCs w:val="18"/>
                <w:lang w:eastAsia="pt-BR"/>
              </w:rPr>
              <w:t xml:space="preserve"> Taxa média depreciação </w:t>
            </w:r>
          </w:p>
        </w:tc>
      </w:tr>
      <w:tr w:rsidR="005A656A" w:rsidRPr="005A656A" w14:paraId="541C45A4" w14:textId="77777777" w:rsidTr="005A656A">
        <w:trPr>
          <w:trHeight w:val="259"/>
        </w:trPr>
        <w:tc>
          <w:tcPr>
            <w:tcW w:w="3114" w:type="pct"/>
            <w:tcBorders>
              <w:top w:val="nil"/>
              <w:left w:val="nil"/>
              <w:bottom w:val="nil"/>
              <w:right w:val="nil"/>
            </w:tcBorders>
            <w:shd w:val="clear" w:color="auto" w:fill="auto"/>
            <w:noWrap/>
            <w:vAlign w:val="center"/>
            <w:hideMark/>
          </w:tcPr>
          <w:p w14:paraId="1CDA63A7" w14:textId="77777777" w:rsidR="005A656A" w:rsidRPr="005A656A" w:rsidRDefault="005A656A" w:rsidP="005A656A">
            <w:pPr>
              <w:spacing w:after="0" w:line="240" w:lineRule="auto"/>
              <w:outlineLvl w:val="0"/>
              <w:rPr>
                <w:rFonts w:ascii="Segoe UI" w:eastAsia="Times New Roman" w:hAnsi="Segoe UI" w:cs="Segoe UI"/>
                <w:b/>
                <w:bCs/>
                <w:color w:val="000000"/>
                <w:sz w:val="18"/>
                <w:szCs w:val="18"/>
                <w:lang w:eastAsia="pt-BR"/>
              </w:rPr>
            </w:pPr>
            <w:r w:rsidRPr="005A656A">
              <w:rPr>
                <w:rFonts w:ascii="Segoe UI" w:eastAsia="Times New Roman" w:hAnsi="Segoe UI" w:cs="Segoe UI"/>
                <w:b/>
                <w:bCs/>
                <w:color w:val="000000"/>
                <w:sz w:val="18"/>
                <w:szCs w:val="18"/>
                <w:lang w:eastAsia="pt-BR"/>
              </w:rPr>
              <w:t xml:space="preserve"> Imobilizado em serviço </w:t>
            </w:r>
          </w:p>
        </w:tc>
        <w:tc>
          <w:tcPr>
            <w:tcW w:w="1886" w:type="pct"/>
            <w:tcBorders>
              <w:top w:val="nil"/>
              <w:left w:val="nil"/>
              <w:bottom w:val="nil"/>
              <w:right w:val="nil"/>
            </w:tcBorders>
            <w:shd w:val="clear" w:color="auto" w:fill="auto"/>
            <w:noWrap/>
            <w:vAlign w:val="center"/>
            <w:hideMark/>
          </w:tcPr>
          <w:p w14:paraId="012DC647" w14:textId="77777777" w:rsidR="005A656A" w:rsidRPr="005A656A" w:rsidRDefault="005A656A" w:rsidP="005A656A">
            <w:pPr>
              <w:spacing w:after="0" w:line="240" w:lineRule="auto"/>
              <w:outlineLvl w:val="0"/>
              <w:rPr>
                <w:rFonts w:ascii="Segoe UI" w:eastAsia="Times New Roman" w:hAnsi="Segoe UI" w:cs="Segoe UI"/>
                <w:b/>
                <w:bCs/>
                <w:color w:val="000000"/>
                <w:sz w:val="18"/>
                <w:szCs w:val="18"/>
                <w:lang w:eastAsia="pt-BR"/>
              </w:rPr>
            </w:pPr>
          </w:p>
        </w:tc>
      </w:tr>
      <w:tr w:rsidR="005A656A" w:rsidRPr="005A656A" w14:paraId="76ECDB2C" w14:textId="77777777" w:rsidTr="005A656A">
        <w:trPr>
          <w:trHeight w:val="259"/>
        </w:trPr>
        <w:tc>
          <w:tcPr>
            <w:tcW w:w="3114" w:type="pct"/>
            <w:tcBorders>
              <w:top w:val="nil"/>
              <w:left w:val="nil"/>
              <w:bottom w:val="nil"/>
              <w:right w:val="nil"/>
            </w:tcBorders>
            <w:shd w:val="clear" w:color="auto" w:fill="auto"/>
            <w:noWrap/>
            <w:vAlign w:val="center"/>
            <w:hideMark/>
          </w:tcPr>
          <w:p w14:paraId="5BA89917" w14:textId="77777777" w:rsidR="005A656A" w:rsidRPr="005A656A" w:rsidRDefault="005A656A" w:rsidP="005A656A">
            <w:pPr>
              <w:spacing w:after="0" w:line="240" w:lineRule="auto"/>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 xml:space="preserve">   Terrenos </w:t>
            </w:r>
          </w:p>
        </w:tc>
        <w:tc>
          <w:tcPr>
            <w:tcW w:w="1886" w:type="pct"/>
            <w:tcBorders>
              <w:top w:val="nil"/>
              <w:left w:val="nil"/>
              <w:bottom w:val="nil"/>
              <w:right w:val="nil"/>
            </w:tcBorders>
            <w:shd w:val="clear" w:color="auto" w:fill="auto"/>
            <w:noWrap/>
            <w:vAlign w:val="center"/>
            <w:hideMark/>
          </w:tcPr>
          <w:p w14:paraId="6E05FDF7" w14:textId="1C902ADD" w:rsidR="005A656A" w:rsidRPr="005A656A" w:rsidRDefault="00E3374A" w:rsidP="005A656A">
            <w:pPr>
              <w:spacing w:after="0" w:line="240" w:lineRule="auto"/>
              <w:jc w:val="right"/>
              <w:outlineLvl w:val="0"/>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Não Aplicável</w:t>
            </w:r>
          </w:p>
        </w:tc>
      </w:tr>
      <w:tr w:rsidR="005A656A" w:rsidRPr="005A656A" w14:paraId="0DCF07F1" w14:textId="77777777" w:rsidTr="005A656A">
        <w:trPr>
          <w:trHeight w:val="259"/>
        </w:trPr>
        <w:tc>
          <w:tcPr>
            <w:tcW w:w="3114" w:type="pct"/>
            <w:tcBorders>
              <w:top w:val="nil"/>
              <w:left w:val="nil"/>
              <w:bottom w:val="nil"/>
              <w:right w:val="nil"/>
            </w:tcBorders>
            <w:shd w:val="clear" w:color="auto" w:fill="auto"/>
            <w:noWrap/>
            <w:vAlign w:val="center"/>
            <w:hideMark/>
          </w:tcPr>
          <w:p w14:paraId="77A11D4B" w14:textId="77777777" w:rsidR="005A656A" w:rsidRPr="005A656A" w:rsidRDefault="005A656A" w:rsidP="005A656A">
            <w:pPr>
              <w:spacing w:after="0" w:line="240" w:lineRule="auto"/>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 xml:space="preserve">   Barragens, reservatórios e adutoras </w:t>
            </w:r>
          </w:p>
        </w:tc>
        <w:tc>
          <w:tcPr>
            <w:tcW w:w="1886" w:type="pct"/>
            <w:tcBorders>
              <w:top w:val="nil"/>
              <w:left w:val="nil"/>
              <w:bottom w:val="nil"/>
              <w:right w:val="nil"/>
            </w:tcBorders>
            <w:shd w:val="clear" w:color="auto" w:fill="auto"/>
            <w:noWrap/>
            <w:vAlign w:val="center"/>
            <w:hideMark/>
          </w:tcPr>
          <w:p w14:paraId="7AEDBF41" w14:textId="77777777" w:rsidR="005A656A" w:rsidRPr="005A656A" w:rsidRDefault="005A656A" w:rsidP="005A656A">
            <w:pPr>
              <w:spacing w:after="0" w:line="240" w:lineRule="auto"/>
              <w:jc w:val="right"/>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7,27%</w:t>
            </w:r>
          </w:p>
        </w:tc>
      </w:tr>
      <w:tr w:rsidR="005A656A" w:rsidRPr="005A656A" w14:paraId="6C6D8E41" w14:textId="77777777" w:rsidTr="005A656A">
        <w:trPr>
          <w:trHeight w:val="259"/>
        </w:trPr>
        <w:tc>
          <w:tcPr>
            <w:tcW w:w="3114" w:type="pct"/>
            <w:tcBorders>
              <w:top w:val="nil"/>
              <w:left w:val="nil"/>
              <w:bottom w:val="nil"/>
              <w:right w:val="nil"/>
            </w:tcBorders>
            <w:shd w:val="clear" w:color="auto" w:fill="auto"/>
            <w:noWrap/>
            <w:vAlign w:val="center"/>
            <w:hideMark/>
          </w:tcPr>
          <w:p w14:paraId="5A706E9C" w14:textId="77777777" w:rsidR="005A656A" w:rsidRPr="005A656A" w:rsidRDefault="005A656A" w:rsidP="005A656A">
            <w:pPr>
              <w:spacing w:after="0" w:line="240" w:lineRule="auto"/>
              <w:outlineLvl w:val="0"/>
              <w:rPr>
                <w:rFonts w:ascii="Segoe UI" w:eastAsia="Times New Roman" w:hAnsi="Segoe UI" w:cs="Segoe UI"/>
                <w:sz w:val="18"/>
                <w:szCs w:val="18"/>
                <w:lang w:eastAsia="pt-BR"/>
              </w:rPr>
            </w:pPr>
            <w:r w:rsidRPr="005A656A">
              <w:rPr>
                <w:rFonts w:ascii="Segoe UI" w:eastAsia="Times New Roman" w:hAnsi="Segoe UI" w:cs="Segoe UI"/>
                <w:sz w:val="18"/>
                <w:szCs w:val="18"/>
                <w:lang w:eastAsia="pt-BR"/>
              </w:rPr>
              <w:t xml:space="preserve">   Edificações, obras civis e benfeitorias </w:t>
            </w:r>
          </w:p>
        </w:tc>
        <w:tc>
          <w:tcPr>
            <w:tcW w:w="1886" w:type="pct"/>
            <w:tcBorders>
              <w:top w:val="nil"/>
              <w:left w:val="nil"/>
              <w:bottom w:val="nil"/>
              <w:right w:val="nil"/>
            </w:tcBorders>
            <w:shd w:val="clear" w:color="auto" w:fill="auto"/>
            <w:noWrap/>
            <w:vAlign w:val="center"/>
            <w:hideMark/>
          </w:tcPr>
          <w:p w14:paraId="26502A25" w14:textId="77777777" w:rsidR="005A656A" w:rsidRPr="005A656A" w:rsidRDefault="005A656A" w:rsidP="005A656A">
            <w:pPr>
              <w:spacing w:after="0" w:line="240" w:lineRule="auto"/>
              <w:jc w:val="right"/>
              <w:outlineLvl w:val="0"/>
              <w:rPr>
                <w:rFonts w:ascii="Segoe UI" w:eastAsia="Times New Roman" w:hAnsi="Segoe UI" w:cs="Segoe UI"/>
                <w:sz w:val="18"/>
                <w:szCs w:val="18"/>
                <w:lang w:eastAsia="pt-BR"/>
              </w:rPr>
            </w:pPr>
            <w:r w:rsidRPr="005A656A">
              <w:rPr>
                <w:rFonts w:ascii="Segoe UI" w:eastAsia="Times New Roman" w:hAnsi="Segoe UI" w:cs="Segoe UI"/>
                <w:sz w:val="18"/>
                <w:szCs w:val="18"/>
                <w:lang w:eastAsia="pt-BR"/>
              </w:rPr>
              <w:t>3,28%</w:t>
            </w:r>
          </w:p>
        </w:tc>
      </w:tr>
      <w:tr w:rsidR="005A656A" w:rsidRPr="005A656A" w14:paraId="11C91C49" w14:textId="77777777" w:rsidTr="005A656A">
        <w:trPr>
          <w:trHeight w:val="259"/>
        </w:trPr>
        <w:tc>
          <w:tcPr>
            <w:tcW w:w="3114" w:type="pct"/>
            <w:tcBorders>
              <w:top w:val="nil"/>
              <w:left w:val="nil"/>
              <w:bottom w:val="nil"/>
              <w:right w:val="nil"/>
            </w:tcBorders>
            <w:shd w:val="clear" w:color="auto" w:fill="auto"/>
            <w:noWrap/>
            <w:vAlign w:val="center"/>
            <w:hideMark/>
          </w:tcPr>
          <w:p w14:paraId="41F73206" w14:textId="77777777" w:rsidR="005A656A" w:rsidRPr="005A656A" w:rsidRDefault="005A656A" w:rsidP="005A656A">
            <w:pPr>
              <w:spacing w:after="0" w:line="240" w:lineRule="auto"/>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 xml:space="preserve">   Máquinas e equipamentos </w:t>
            </w:r>
          </w:p>
        </w:tc>
        <w:tc>
          <w:tcPr>
            <w:tcW w:w="1886" w:type="pct"/>
            <w:tcBorders>
              <w:top w:val="nil"/>
              <w:left w:val="nil"/>
              <w:bottom w:val="nil"/>
              <w:right w:val="nil"/>
            </w:tcBorders>
            <w:shd w:val="clear" w:color="auto" w:fill="auto"/>
            <w:noWrap/>
            <w:vAlign w:val="center"/>
            <w:hideMark/>
          </w:tcPr>
          <w:p w14:paraId="4346E4EC" w14:textId="77777777" w:rsidR="005A656A" w:rsidRPr="005A656A" w:rsidRDefault="005A656A" w:rsidP="005A656A">
            <w:pPr>
              <w:spacing w:after="0" w:line="240" w:lineRule="auto"/>
              <w:jc w:val="right"/>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6,16%</w:t>
            </w:r>
          </w:p>
        </w:tc>
      </w:tr>
      <w:tr w:rsidR="005A656A" w:rsidRPr="005A656A" w14:paraId="0DC82AB1" w14:textId="77777777" w:rsidTr="005A656A">
        <w:trPr>
          <w:trHeight w:val="259"/>
        </w:trPr>
        <w:tc>
          <w:tcPr>
            <w:tcW w:w="3114" w:type="pct"/>
            <w:tcBorders>
              <w:top w:val="nil"/>
              <w:left w:val="nil"/>
              <w:bottom w:val="nil"/>
              <w:right w:val="nil"/>
            </w:tcBorders>
            <w:shd w:val="clear" w:color="auto" w:fill="auto"/>
            <w:noWrap/>
            <w:vAlign w:val="center"/>
            <w:hideMark/>
          </w:tcPr>
          <w:p w14:paraId="6B4EDB3B" w14:textId="77777777" w:rsidR="005A656A" w:rsidRPr="005A656A" w:rsidRDefault="005A656A" w:rsidP="005A656A">
            <w:pPr>
              <w:spacing w:after="0" w:line="240" w:lineRule="auto"/>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 xml:space="preserve">   Veículos  </w:t>
            </w:r>
          </w:p>
        </w:tc>
        <w:tc>
          <w:tcPr>
            <w:tcW w:w="1886" w:type="pct"/>
            <w:tcBorders>
              <w:top w:val="nil"/>
              <w:left w:val="nil"/>
              <w:bottom w:val="nil"/>
              <w:right w:val="nil"/>
            </w:tcBorders>
            <w:shd w:val="clear" w:color="auto" w:fill="auto"/>
            <w:noWrap/>
            <w:vAlign w:val="center"/>
            <w:hideMark/>
          </w:tcPr>
          <w:p w14:paraId="4B3D67E9" w14:textId="77777777" w:rsidR="005A656A" w:rsidRPr="005A656A" w:rsidRDefault="005A656A" w:rsidP="005A656A">
            <w:pPr>
              <w:spacing w:after="0" w:line="240" w:lineRule="auto"/>
              <w:jc w:val="right"/>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14,31%</w:t>
            </w:r>
          </w:p>
        </w:tc>
      </w:tr>
      <w:tr w:rsidR="005A656A" w:rsidRPr="005A656A" w14:paraId="204EFC0C" w14:textId="77777777" w:rsidTr="005A656A">
        <w:trPr>
          <w:trHeight w:val="259"/>
        </w:trPr>
        <w:tc>
          <w:tcPr>
            <w:tcW w:w="3114" w:type="pct"/>
            <w:tcBorders>
              <w:top w:val="nil"/>
              <w:left w:val="nil"/>
              <w:bottom w:val="nil"/>
              <w:right w:val="nil"/>
            </w:tcBorders>
            <w:shd w:val="clear" w:color="auto" w:fill="auto"/>
            <w:noWrap/>
            <w:vAlign w:val="center"/>
            <w:hideMark/>
          </w:tcPr>
          <w:p w14:paraId="531A81FF" w14:textId="77777777" w:rsidR="005A656A" w:rsidRPr="005A656A" w:rsidRDefault="005A656A" w:rsidP="005A656A">
            <w:pPr>
              <w:spacing w:after="0" w:line="240" w:lineRule="auto"/>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 xml:space="preserve">   Móveis e utensílios </w:t>
            </w:r>
          </w:p>
        </w:tc>
        <w:tc>
          <w:tcPr>
            <w:tcW w:w="1886" w:type="pct"/>
            <w:tcBorders>
              <w:top w:val="nil"/>
              <w:left w:val="nil"/>
              <w:bottom w:val="nil"/>
              <w:right w:val="nil"/>
            </w:tcBorders>
            <w:shd w:val="clear" w:color="auto" w:fill="auto"/>
            <w:noWrap/>
            <w:vAlign w:val="center"/>
            <w:hideMark/>
          </w:tcPr>
          <w:p w14:paraId="3AF9E83B" w14:textId="77777777" w:rsidR="005A656A" w:rsidRPr="005A656A" w:rsidRDefault="005A656A" w:rsidP="005A656A">
            <w:pPr>
              <w:spacing w:after="0" w:line="240" w:lineRule="auto"/>
              <w:jc w:val="right"/>
              <w:outlineLvl w:val="0"/>
              <w:rPr>
                <w:rFonts w:ascii="Segoe UI" w:eastAsia="Times New Roman" w:hAnsi="Segoe UI" w:cs="Segoe UI"/>
                <w:color w:val="000000"/>
                <w:sz w:val="18"/>
                <w:szCs w:val="18"/>
                <w:lang w:eastAsia="pt-BR"/>
              </w:rPr>
            </w:pPr>
            <w:r w:rsidRPr="005A656A">
              <w:rPr>
                <w:rFonts w:ascii="Segoe UI" w:eastAsia="Times New Roman" w:hAnsi="Segoe UI" w:cs="Segoe UI"/>
                <w:color w:val="000000"/>
                <w:sz w:val="18"/>
                <w:szCs w:val="18"/>
                <w:lang w:eastAsia="pt-BR"/>
              </w:rPr>
              <w:t>6,25%</w:t>
            </w:r>
          </w:p>
        </w:tc>
      </w:tr>
      <w:tr w:rsidR="005A656A" w:rsidRPr="005A656A" w14:paraId="61306178" w14:textId="77777777" w:rsidTr="005A656A">
        <w:trPr>
          <w:trHeight w:val="259"/>
        </w:trPr>
        <w:tc>
          <w:tcPr>
            <w:tcW w:w="3114" w:type="pct"/>
            <w:tcBorders>
              <w:top w:val="nil"/>
              <w:left w:val="nil"/>
              <w:bottom w:val="nil"/>
              <w:right w:val="nil"/>
            </w:tcBorders>
            <w:shd w:val="clear" w:color="auto" w:fill="auto"/>
            <w:noWrap/>
            <w:vAlign w:val="bottom"/>
            <w:hideMark/>
          </w:tcPr>
          <w:p w14:paraId="11281F52" w14:textId="77777777" w:rsidR="005A656A" w:rsidRPr="005A656A" w:rsidRDefault="005A656A" w:rsidP="005A656A">
            <w:pPr>
              <w:spacing w:after="0" w:line="240" w:lineRule="auto"/>
              <w:jc w:val="right"/>
              <w:outlineLvl w:val="0"/>
              <w:rPr>
                <w:rFonts w:ascii="Segoe UI" w:eastAsia="Times New Roman" w:hAnsi="Segoe UI" w:cs="Segoe UI"/>
                <w:color w:val="000000"/>
                <w:sz w:val="18"/>
                <w:szCs w:val="18"/>
                <w:lang w:eastAsia="pt-BR"/>
              </w:rPr>
            </w:pPr>
          </w:p>
        </w:tc>
        <w:tc>
          <w:tcPr>
            <w:tcW w:w="1886" w:type="pct"/>
            <w:tcBorders>
              <w:top w:val="nil"/>
              <w:left w:val="nil"/>
              <w:bottom w:val="nil"/>
              <w:right w:val="nil"/>
            </w:tcBorders>
            <w:shd w:val="clear" w:color="auto" w:fill="auto"/>
            <w:noWrap/>
            <w:vAlign w:val="bottom"/>
            <w:hideMark/>
          </w:tcPr>
          <w:p w14:paraId="4B4640CA" w14:textId="77777777" w:rsidR="005A656A" w:rsidRPr="005A656A" w:rsidRDefault="005A656A" w:rsidP="005A656A">
            <w:pPr>
              <w:spacing w:after="0" w:line="240" w:lineRule="auto"/>
              <w:outlineLvl w:val="0"/>
              <w:rPr>
                <w:rFonts w:ascii="Times New Roman" w:eastAsia="Times New Roman" w:hAnsi="Times New Roman" w:cs="Times New Roman"/>
                <w:sz w:val="20"/>
                <w:szCs w:val="20"/>
                <w:lang w:eastAsia="pt-BR"/>
              </w:rPr>
            </w:pPr>
          </w:p>
        </w:tc>
      </w:tr>
      <w:tr w:rsidR="005A656A" w:rsidRPr="005A656A" w14:paraId="117005CD" w14:textId="77777777" w:rsidTr="005A656A">
        <w:trPr>
          <w:trHeight w:val="259"/>
        </w:trPr>
        <w:tc>
          <w:tcPr>
            <w:tcW w:w="3114" w:type="pct"/>
            <w:tcBorders>
              <w:top w:val="nil"/>
              <w:left w:val="nil"/>
              <w:bottom w:val="nil"/>
              <w:right w:val="nil"/>
            </w:tcBorders>
            <w:shd w:val="clear" w:color="auto" w:fill="auto"/>
            <w:noWrap/>
            <w:vAlign w:val="center"/>
            <w:hideMark/>
          </w:tcPr>
          <w:p w14:paraId="18181B80" w14:textId="77777777" w:rsidR="005A656A" w:rsidRPr="005A656A" w:rsidRDefault="005A656A" w:rsidP="005A656A">
            <w:pPr>
              <w:spacing w:after="0" w:line="240" w:lineRule="auto"/>
              <w:outlineLvl w:val="0"/>
              <w:rPr>
                <w:rFonts w:ascii="Segoe UI" w:eastAsia="Times New Roman" w:hAnsi="Segoe UI" w:cs="Segoe UI"/>
                <w:b/>
                <w:bCs/>
                <w:color w:val="000000"/>
                <w:sz w:val="18"/>
                <w:szCs w:val="18"/>
                <w:lang w:eastAsia="pt-BR"/>
              </w:rPr>
            </w:pPr>
            <w:r w:rsidRPr="005A656A">
              <w:rPr>
                <w:rFonts w:ascii="Segoe UI" w:eastAsia="Times New Roman" w:hAnsi="Segoe UI" w:cs="Segoe UI"/>
                <w:b/>
                <w:bCs/>
                <w:color w:val="000000"/>
                <w:sz w:val="18"/>
                <w:szCs w:val="18"/>
                <w:lang w:eastAsia="pt-BR"/>
              </w:rPr>
              <w:t xml:space="preserve"> Direito de uso </w:t>
            </w:r>
          </w:p>
        </w:tc>
        <w:tc>
          <w:tcPr>
            <w:tcW w:w="1886" w:type="pct"/>
            <w:tcBorders>
              <w:top w:val="nil"/>
              <w:left w:val="nil"/>
              <w:bottom w:val="nil"/>
              <w:right w:val="nil"/>
            </w:tcBorders>
            <w:shd w:val="clear" w:color="auto" w:fill="auto"/>
            <w:noWrap/>
            <w:vAlign w:val="center"/>
            <w:hideMark/>
          </w:tcPr>
          <w:p w14:paraId="6FE3CE58" w14:textId="77777777" w:rsidR="005A656A" w:rsidRPr="005A656A" w:rsidRDefault="005A656A" w:rsidP="005A656A">
            <w:pPr>
              <w:spacing w:after="0" w:line="240" w:lineRule="auto"/>
              <w:outlineLvl w:val="0"/>
              <w:rPr>
                <w:rFonts w:ascii="Segoe UI" w:eastAsia="Times New Roman" w:hAnsi="Segoe UI" w:cs="Segoe UI"/>
                <w:b/>
                <w:bCs/>
                <w:color w:val="000000"/>
                <w:sz w:val="18"/>
                <w:szCs w:val="18"/>
                <w:lang w:eastAsia="pt-BR"/>
              </w:rPr>
            </w:pPr>
          </w:p>
        </w:tc>
      </w:tr>
      <w:tr w:rsidR="005A656A" w:rsidRPr="005A656A" w14:paraId="2482FD3B" w14:textId="77777777" w:rsidTr="005A656A">
        <w:trPr>
          <w:trHeight w:val="259"/>
        </w:trPr>
        <w:tc>
          <w:tcPr>
            <w:tcW w:w="3114" w:type="pct"/>
            <w:tcBorders>
              <w:top w:val="nil"/>
              <w:left w:val="nil"/>
              <w:bottom w:val="nil"/>
              <w:right w:val="nil"/>
            </w:tcBorders>
            <w:shd w:val="clear" w:color="auto" w:fill="auto"/>
            <w:noWrap/>
            <w:vAlign w:val="center"/>
            <w:hideMark/>
          </w:tcPr>
          <w:p w14:paraId="119B3875" w14:textId="77777777" w:rsidR="005A656A" w:rsidRPr="005A656A" w:rsidRDefault="005A656A" w:rsidP="005A656A">
            <w:pPr>
              <w:spacing w:after="0" w:line="240" w:lineRule="auto"/>
              <w:outlineLvl w:val="0"/>
              <w:rPr>
                <w:rFonts w:ascii="Segoe UI" w:eastAsia="Times New Roman" w:hAnsi="Segoe UI" w:cs="Segoe UI"/>
                <w:b/>
                <w:bCs/>
                <w:sz w:val="18"/>
                <w:szCs w:val="18"/>
                <w:lang w:eastAsia="pt-BR"/>
              </w:rPr>
            </w:pPr>
            <w:r w:rsidRPr="005A656A">
              <w:rPr>
                <w:rFonts w:ascii="Segoe UI" w:eastAsia="Times New Roman" w:hAnsi="Segoe UI" w:cs="Segoe UI"/>
                <w:b/>
                <w:bCs/>
                <w:sz w:val="18"/>
                <w:szCs w:val="18"/>
                <w:lang w:eastAsia="pt-BR"/>
              </w:rPr>
              <w:t xml:space="preserve">   Imobilizado em serviço </w:t>
            </w:r>
          </w:p>
        </w:tc>
        <w:tc>
          <w:tcPr>
            <w:tcW w:w="1886" w:type="pct"/>
            <w:tcBorders>
              <w:top w:val="nil"/>
              <w:left w:val="nil"/>
              <w:bottom w:val="nil"/>
              <w:right w:val="nil"/>
            </w:tcBorders>
            <w:shd w:val="clear" w:color="auto" w:fill="auto"/>
            <w:noWrap/>
            <w:vAlign w:val="center"/>
            <w:hideMark/>
          </w:tcPr>
          <w:p w14:paraId="0AD18FB6" w14:textId="77777777" w:rsidR="005A656A" w:rsidRPr="005A656A" w:rsidRDefault="005A656A" w:rsidP="005A656A">
            <w:pPr>
              <w:spacing w:after="0" w:line="240" w:lineRule="auto"/>
              <w:outlineLvl w:val="0"/>
              <w:rPr>
                <w:rFonts w:ascii="Segoe UI" w:eastAsia="Times New Roman" w:hAnsi="Segoe UI" w:cs="Segoe UI"/>
                <w:b/>
                <w:bCs/>
                <w:sz w:val="18"/>
                <w:szCs w:val="18"/>
                <w:lang w:eastAsia="pt-BR"/>
              </w:rPr>
            </w:pPr>
          </w:p>
        </w:tc>
      </w:tr>
      <w:tr w:rsidR="005A656A" w:rsidRPr="005A656A" w14:paraId="53082795" w14:textId="77777777" w:rsidTr="005A656A">
        <w:trPr>
          <w:trHeight w:val="259"/>
        </w:trPr>
        <w:tc>
          <w:tcPr>
            <w:tcW w:w="3114" w:type="pct"/>
            <w:tcBorders>
              <w:top w:val="nil"/>
              <w:left w:val="nil"/>
              <w:bottom w:val="nil"/>
              <w:right w:val="nil"/>
            </w:tcBorders>
            <w:shd w:val="clear" w:color="auto" w:fill="auto"/>
            <w:noWrap/>
            <w:vAlign w:val="center"/>
            <w:hideMark/>
          </w:tcPr>
          <w:p w14:paraId="5039782E" w14:textId="77777777" w:rsidR="005A656A" w:rsidRPr="005A656A" w:rsidRDefault="005A656A" w:rsidP="005A656A">
            <w:pPr>
              <w:spacing w:after="0" w:line="240" w:lineRule="auto"/>
              <w:outlineLvl w:val="0"/>
              <w:rPr>
                <w:rFonts w:ascii="Segoe UI" w:eastAsia="Times New Roman" w:hAnsi="Segoe UI" w:cs="Segoe UI"/>
                <w:sz w:val="18"/>
                <w:szCs w:val="18"/>
                <w:lang w:eastAsia="pt-BR"/>
              </w:rPr>
            </w:pPr>
            <w:r w:rsidRPr="005A656A">
              <w:rPr>
                <w:rFonts w:ascii="Segoe UI" w:eastAsia="Times New Roman" w:hAnsi="Segoe UI" w:cs="Segoe UI"/>
                <w:sz w:val="18"/>
                <w:szCs w:val="18"/>
                <w:lang w:eastAsia="pt-BR"/>
              </w:rPr>
              <w:t xml:space="preserve">     Edificações, obras civis e benfeitorias </w:t>
            </w:r>
          </w:p>
        </w:tc>
        <w:tc>
          <w:tcPr>
            <w:tcW w:w="1886" w:type="pct"/>
            <w:tcBorders>
              <w:top w:val="nil"/>
              <w:left w:val="nil"/>
              <w:bottom w:val="nil"/>
              <w:right w:val="nil"/>
            </w:tcBorders>
            <w:shd w:val="clear" w:color="auto" w:fill="auto"/>
            <w:noWrap/>
            <w:vAlign w:val="center"/>
            <w:hideMark/>
          </w:tcPr>
          <w:p w14:paraId="47C45BF2" w14:textId="77777777" w:rsidR="005A656A" w:rsidRPr="005A656A" w:rsidRDefault="005A656A" w:rsidP="005A656A">
            <w:pPr>
              <w:spacing w:after="0" w:line="240" w:lineRule="auto"/>
              <w:jc w:val="right"/>
              <w:outlineLvl w:val="0"/>
              <w:rPr>
                <w:rFonts w:ascii="Segoe UI" w:eastAsia="Times New Roman" w:hAnsi="Segoe UI" w:cs="Segoe UI"/>
                <w:sz w:val="18"/>
                <w:szCs w:val="18"/>
                <w:lang w:eastAsia="pt-BR"/>
              </w:rPr>
            </w:pPr>
            <w:r w:rsidRPr="005A656A">
              <w:rPr>
                <w:rFonts w:ascii="Segoe UI" w:eastAsia="Times New Roman" w:hAnsi="Segoe UI" w:cs="Segoe UI"/>
                <w:sz w:val="18"/>
                <w:szCs w:val="18"/>
                <w:lang w:eastAsia="pt-BR"/>
              </w:rPr>
              <w:t>11,82%</w:t>
            </w:r>
          </w:p>
        </w:tc>
      </w:tr>
      <w:tr w:rsidR="005A656A" w:rsidRPr="005A656A" w14:paraId="63CE4560" w14:textId="77777777" w:rsidTr="005A656A">
        <w:trPr>
          <w:trHeight w:val="259"/>
        </w:trPr>
        <w:tc>
          <w:tcPr>
            <w:tcW w:w="3114" w:type="pct"/>
            <w:tcBorders>
              <w:top w:val="nil"/>
              <w:left w:val="nil"/>
              <w:bottom w:val="nil"/>
              <w:right w:val="nil"/>
            </w:tcBorders>
            <w:shd w:val="clear" w:color="auto" w:fill="auto"/>
            <w:noWrap/>
            <w:vAlign w:val="center"/>
            <w:hideMark/>
          </w:tcPr>
          <w:p w14:paraId="7AE362B5" w14:textId="77777777" w:rsidR="005A656A" w:rsidRPr="005A656A" w:rsidRDefault="005A656A" w:rsidP="005A656A">
            <w:pPr>
              <w:spacing w:after="0" w:line="240" w:lineRule="auto"/>
              <w:outlineLvl w:val="0"/>
              <w:rPr>
                <w:rFonts w:ascii="Segoe UI" w:eastAsia="Times New Roman" w:hAnsi="Segoe UI" w:cs="Segoe UI"/>
                <w:sz w:val="18"/>
                <w:szCs w:val="18"/>
                <w:lang w:eastAsia="pt-BR"/>
              </w:rPr>
            </w:pPr>
            <w:r w:rsidRPr="005A656A">
              <w:rPr>
                <w:rFonts w:ascii="Segoe UI" w:eastAsia="Times New Roman" w:hAnsi="Segoe UI" w:cs="Segoe UI"/>
                <w:sz w:val="18"/>
                <w:szCs w:val="18"/>
                <w:lang w:eastAsia="pt-BR"/>
              </w:rPr>
              <w:t xml:space="preserve">     Veículos  </w:t>
            </w:r>
          </w:p>
        </w:tc>
        <w:tc>
          <w:tcPr>
            <w:tcW w:w="1886" w:type="pct"/>
            <w:tcBorders>
              <w:top w:val="nil"/>
              <w:left w:val="nil"/>
              <w:bottom w:val="nil"/>
              <w:right w:val="nil"/>
            </w:tcBorders>
            <w:shd w:val="clear" w:color="auto" w:fill="auto"/>
            <w:noWrap/>
            <w:vAlign w:val="center"/>
            <w:hideMark/>
          </w:tcPr>
          <w:p w14:paraId="004EA2F5" w14:textId="77777777" w:rsidR="005A656A" w:rsidRPr="005A656A" w:rsidRDefault="005A656A" w:rsidP="005A656A">
            <w:pPr>
              <w:spacing w:after="0" w:line="240" w:lineRule="auto"/>
              <w:jc w:val="right"/>
              <w:outlineLvl w:val="0"/>
              <w:rPr>
                <w:rFonts w:ascii="Segoe UI" w:eastAsia="Times New Roman" w:hAnsi="Segoe UI" w:cs="Segoe UI"/>
                <w:sz w:val="18"/>
                <w:szCs w:val="18"/>
                <w:lang w:eastAsia="pt-BR"/>
              </w:rPr>
            </w:pPr>
            <w:r w:rsidRPr="005A656A">
              <w:rPr>
                <w:rFonts w:ascii="Segoe UI" w:eastAsia="Times New Roman" w:hAnsi="Segoe UI" w:cs="Segoe UI"/>
                <w:sz w:val="18"/>
                <w:szCs w:val="18"/>
                <w:lang w:eastAsia="pt-BR"/>
              </w:rPr>
              <w:t>2,74%</w:t>
            </w:r>
          </w:p>
        </w:tc>
      </w:tr>
    </w:tbl>
    <w:p w14:paraId="7168F795" w14:textId="77777777" w:rsidR="00755A01" w:rsidRDefault="00755A01" w:rsidP="0040678F">
      <w:pPr>
        <w:spacing w:before="240" w:afterLines="50" w:after="120"/>
        <w:jc w:val="both"/>
        <w:rPr>
          <w:rFonts w:ascii="Segoe UI" w:hAnsi="Segoe UI" w:cs="Segoe UI"/>
          <w:b/>
          <w:color w:val="1B80C4"/>
        </w:rPr>
      </w:pPr>
    </w:p>
    <w:tbl>
      <w:tblPr>
        <w:tblW w:w="5000" w:type="pct"/>
        <w:tblCellMar>
          <w:left w:w="70" w:type="dxa"/>
          <w:right w:w="70" w:type="dxa"/>
        </w:tblCellMar>
        <w:tblLook w:val="04A0" w:firstRow="1" w:lastRow="0" w:firstColumn="1" w:lastColumn="0" w:noHBand="0" w:noVBand="1"/>
      </w:tblPr>
      <w:tblGrid>
        <w:gridCol w:w="3920"/>
        <w:gridCol w:w="1463"/>
        <w:gridCol w:w="1117"/>
        <w:gridCol w:w="1485"/>
        <w:gridCol w:w="1512"/>
      </w:tblGrid>
      <w:tr w:rsidR="00E81063" w:rsidRPr="001D6C58" w14:paraId="662A72FC" w14:textId="77777777">
        <w:trPr>
          <w:trHeight w:val="23"/>
        </w:trPr>
        <w:tc>
          <w:tcPr>
            <w:tcW w:w="2064" w:type="pct"/>
            <w:tcBorders>
              <w:top w:val="nil"/>
              <w:left w:val="nil"/>
              <w:bottom w:val="nil"/>
              <w:right w:val="nil"/>
            </w:tcBorders>
            <w:shd w:val="clear" w:color="auto" w:fill="auto"/>
            <w:noWrap/>
            <w:vAlign w:val="bottom"/>
            <w:hideMark/>
          </w:tcPr>
          <w:p w14:paraId="7B3D82D9" w14:textId="77777777" w:rsidR="00E81063" w:rsidRPr="001D6C58" w:rsidRDefault="00E81063">
            <w:pPr>
              <w:spacing w:after="0" w:line="240" w:lineRule="auto"/>
              <w:rPr>
                <w:rFonts w:ascii="Times New Roman" w:eastAsia="Times New Roman" w:hAnsi="Times New Roman" w:cs="Times New Roman"/>
                <w:sz w:val="24"/>
                <w:szCs w:val="24"/>
                <w:lang w:eastAsia="pt-BR"/>
              </w:rPr>
            </w:pPr>
          </w:p>
        </w:tc>
        <w:tc>
          <w:tcPr>
            <w:tcW w:w="2936" w:type="pct"/>
            <w:gridSpan w:val="4"/>
            <w:tcBorders>
              <w:top w:val="nil"/>
              <w:left w:val="nil"/>
              <w:bottom w:val="single" w:sz="4" w:space="0" w:color="auto"/>
              <w:right w:val="nil"/>
            </w:tcBorders>
            <w:shd w:val="clear" w:color="000000" w:fill="1B80C4"/>
            <w:noWrap/>
            <w:vAlign w:val="bottom"/>
            <w:hideMark/>
          </w:tcPr>
          <w:p w14:paraId="01D1BC1E" w14:textId="77777777" w:rsidR="00E81063" w:rsidRPr="001D6C58" w:rsidRDefault="00E81063">
            <w:pPr>
              <w:spacing w:after="0" w:line="240" w:lineRule="auto"/>
              <w:jc w:val="center"/>
              <w:rPr>
                <w:rFonts w:ascii="Segoe UI" w:eastAsia="Times New Roman" w:hAnsi="Segoe UI" w:cs="Segoe UI"/>
                <w:b/>
                <w:bCs/>
                <w:color w:val="FFFFFF"/>
                <w:sz w:val="18"/>
                <w:szCs w:val="18"/>
                <w:lang w:eastAsia="pt-BR"/>
              </w:rPr>
            </w:pPr>
            <w:r w:rsidRPr="001D6C58">
              <w:rPr>
                <w:rFonts w:ascii="Segoe UI" w:eastAsia="Times New Roman" w:hAnsi="Segoe UI" w:cs="Segoe UI"/>
                <w:b/>
                <w:bCs/>
                <w:color w:val="FFFFFF"/>
                <w:sz w:val="18"/>
                <w:szCs w:val="18"/>
                <w:lang w:eastAsia="pt-BR"/>
              </w:rPr>
              <w:t xml:space="preserve"> Controladora </w:t>
            </w:r>
          </w:p>
        </w:tc>
      </w:tr>
      <w:tr w:rsidR="00E81063" w:rsidRPr="001D6C58" w14:paraId="33178E80" w14:textId="77777777">
        <w:trPr>
          <w:trHeight w:val="23"/>
        </w:trPr>
        <w:tc>
          <w:tcPr>
            <w:tcW w:w="2064" w:type="pct"/>
            <w:tcBorders>
              <w:top w:val="nil"/>
              <w:left w:val="nil"/>
              <w:bottom w:val="nil"/>
              <w:right w:val="nil"/>
            </w:tcBorders>
            <w:shd w:val="clear" w:color="auto" w:fill="auto"/>
            <w:noWrap/>
            <w:vAlign w:val="bottom"/>
            <w:hideMark/>
          </w:tcPr>
          <w:p w14:paraId="058A0E36" w14:textId="77777777" w:rsidR="00E81063" w:rsidRPr="001D6C58" w:rsidRDefault="00E81063">
            <w:pPr>
              <w:spacing w:after="0" w:line="240" w:lineRule="auto"/>
              <w:jc w:val="center"/>
              <w:rPr>
                <w:rFonts w:ascii="Segoe UI" w:eastAsia="Times New Roman" w:hAnsi="Segoe UI" w:cs="Segoe UI"/>
                <w:b/>
                <w:bCs/>
                <w:color w:val="FFFFFF"/>
                <w:sz w:val="18"/>
                <w:szCs w:val="18"/>
                <w:lang w:eastAsia="pt-BR"/>
              </w:rPr>
            </w:pPr>
          </w:p>
        </w:tc>
        <w:tc>
          <w:tcPr>
            <w:tcW w:w="770" w:type="pct"/>
            <w:tcBorders>
              <w:top w:val="nil"/>
              <w:left w:val="nil"/>
              <w:bottom w:val="single" w:sz="4" w:space="0" w:color="auto"/>
              <w:right w:val="nil"/>
            </w:tcBorders>
            <w:shd w:val="clear" w:color="000000" w:fill="1B80C4"/>
            <w:noWrap/>
            <w:vAlign w:val="center"/>
            <w:hideMark/>
          </w:tcPr>
          <w:p w14:paraId="1C4FDDE0" w14:textId="77777777" w:rsidR="00E81063" w:rsidRPr="001D6C58" w:rsidRDefault="00E81063">
            <w:pPr>
              <w:spacing w:after="0" w:line="240" w:lineRule="auto"/>
              <w:jc w:val="center"/>
              <w:rPr>
                <w:rFonts w:ascii="Segoe UI" w:eastAsia="Times New Roman" w:hAnsi="Segoe UI" w:cs="Segoe UI"/>
                <w:b/>
                <w:bCs/>
                <w:color w:val="FFFFFF"/>
                <w:sz w:val="18"/>
                <w:szCs w:val="18"/>
                <w:lang w:eastAsia="pt-BR"/>
              </w:rPr>
            </w:pPr>
            <w:r w:rsidRPr="001D6C58">
              <w:rPr>
                <w:rFonts w:ascii="Segoe UI" w:eastAsia="Times New Roman" w:hAnsi="Segoe UI" w:cs="Segoe UI"/>
                <w:b/>
                <w:bCs/>
                <w:color w:val="FFFFFF"/>
                <w:sz w:val="18"/>
                <w:szCs w:val="18"/>
                <w:lang w:eastAsia="pt-BR"/>
              </w:rPr>
              <w:t>04/01/2022</w:t>
            </w:r>
          </w:p>
        </w:tc>
        <w:tc>
          <w:tcPr>
            <w:tcW w:w="588" w:type="pct"/>
            <w:tcBorders>
              <w:top w:val="nil"/>
              <w:left w:val="nil"/>
              <w:bottom w:val="single" w:sz="4" w:space="0" w:color="auto"/>
              <w:right w:val="nil"/>
            </w:tcBorders>
            <w:shd w:val="clear" w:color="000000" w:fill="1B80C4"/>
            <w:noWrap/>
            <w:vAlign w:val="center"/>
            <w:hideMark/>
          </w:tcPr>
          <w:p w14:paraId="3EFF8CF4" w14:textId="77777777" w:rsidR="00E81063" w:rsidRPr="001D6C58" w:rsidRDefault="00E81063">
            <w:pPr>
              <w:spacing w:after="0" w:line="240" w:lineRule="auto"/>
              <w:jc w:val="center"/>
              <w:rPr>
                <w:rFonts w:ascii="Segoe UI" w:eastAsia="Times New Roman" w:hAnsi="Segoe UI" w:cs="Segoe UI"/>
                <w:b/>
                <w:bCs/>
                <w:color w:val="FFFFFF"/>
                <w:sz w:val="18"/>
                <w:szCs w:val="18"/>
                <w:lang w:eastAsia="pt-BR"/>
              </w:rPr>
            </w:pPr>
            <w:r w:rsidRPr="001D6C58">
              <w:rPr>
                <w:rFonts w:ascii="Segoe UI" w:eastAsia="Times New Roman" w:hAnsi="Segoe UI" w:cs="Segoe UI"/>
                <w:b/>
                <w:bCs/>
                <w:color w:val="FFFFFF"/>
                <w:sz w:val="18"/>
                <w:szCs w:val="18"/>
                <w:lang w:eastAsia="pt-BR"/>
              </w:rPr>
              <w:t xml:space="preserve"> Adições </w:t>
            </w:r>
          </w:p>
        </w:tc>
        <w:tc>
          <w:tcPr>
            <w:tcW w:w="782" w:type="pct"/>
            <w:tcBorders>
              <w:top w:val="nil"/>
              <w:left w:val="nil"/>
              <w:bottom w:val="single" w:sz="4" w:space="0" w:color="auto"/>
              <w:right w:val="nil"/>
            </w:tcBorders>
            <w:shd w:val="clear" w:color="000000" w:fill="1B80C4"/>
            <w:noWrap/>
            <w:vAlign w:val="center"/>
            <w:hideMark/>
          </w:tcPr>
          <w:p w14:paraId="6CCF376B" w14:textId="77777777" w:rsidR="00E81063" w:rsidRPr="001D6C58" w:rsidRDefault="00E81063">
            <w:pPr>
              <w:spacing w:after="0" w:line="240" w:lineRule="auto"/>
              <w:jc w:val="center"/>
              <w:rPr>
                <w:rFonts w:ascii="Segoe UI" w:eastAsia="Times New Roman" w:hAnsi="Segoe UI" w:cs="Segoe UI"/>
                <w:b/>
                <w:bCs/>
                <w:color w:val="FFFFFF"/>
                <w:sz w:val="18"/>
                <w:szCs w:val="18"/>
                <w:lang w:eastAsia="pt-BR"/>
              </w:rPr>
            </w:pPr>
            <w:r w:rsidRPr="001D6C58">
              <w:rPr>
                <w:rFonts w:ascii="Segoe UI" w:eastAsia="Times New Roman" w:hAnsi="Segoe UI" w:cs="Segoe UI"/>
                <w:b/>
                <w:bCs/>
                <w:color w:val="FFFFFF"/>
                <w:sz w:val="18"/>
                <w:szCs w:val="18"/>
                <w:lang w:eastAsia="pt-BR"/>
              </w:rPr>
              <w:t xml:space="preserve"> Depreciação </w:t>
            </w:r>
          </w:p>
        </w:tc>
        <w:tc>
          <w:tcPr>
            <w:tcW w:w="796" w:type="pct"/>
            <w:tcBorders>
              <w:top w:val="nil"/>
              <w:left w:val="nil"/>
              <w:bottom w:val="single" w:sz="4" w:space="0" w:color="auto"/>
              <w:right w:val="nil"/>
            </w:tcBorders>
            <w:shd w:val="clear" w:color="000000" w:fill="1B80C4"/>
            <w:noWrap/>
            <w:vAlign w:val="center"/>
            <w:hideMark/>
          </w:tcPr>
          <w:p w14:paraId="648DE859" w14:textId="77777777" w:rsidR="00E81063" w:rsidRPr="001D6C58" w:rsidRDefault="00E81063">
            <w:pPr>
              <w:spacing w:after="0" w:line="240" w:lineRule="auto"/>
              <w:jc w:val="center"/>
              <w:rPr>
                <w:rFonts w:ascii="Segoe UI" w:eastAsia="Times New Roman" w:hAnsi="Segoe UI" w:cs="Segoe UI"/>
                <w:b/>
                <w:bCs/>
                <w:color w:val="FFFFFF"/>
                <w:sz w:val="18"/>
                <w:szCs w:val="18"/>
                <w:lang w:eastAsia="pt-BR"/>
              </w:rPr>
            </w:pPr>
            <w:r w:rsidRPr="001D6C58">
              <w:rPr>
                <w:rFonts w:ascii="Segoe UI" w:eastAsia="Times New Roman" w:hAnsi="Segoe UI" w:cs="Segoe UI"/>
                <w:b/>
                <w:bCs/>
                <w:color w:val="FFFFFF"/>
                <w:sz w:val="18"/>
                <w:szCs w:val="18"/>
                <w:lang w:eastAsia="pt-BR"/>
              </w:rPr>
              <w:t>31/12/2022</w:t>
            </w:r>
          </w:p>
        </w:tc>
      </w:tr>
      <w:tr w:rsidR="00E81063" w:rsidRPr="001D6C58" w14:paraId="7FC53291" w14:textId="77777777">
        <w:trPr>
          <w:trHeight w:val="23"/>
        </w:trPr>
        <w:tc>
          <w:tcPr>
            <w:tcW w:w="2064" w:type="pct"/>
            <w:tcBorders>
              <w:top w:val="nil"/>
              <w:left w:val="nil"/>
              <w:bottom w:val="nil"/>
              <w:right w:val="nil"/>
            </w:tcBorders>
            <w:shd w:val="clear" w:color="auto" w:fill="auto"/>
            <w:noWrap/>
            <w:vAlign w:val="center"/>
            <w:hideMark/>
          </w:tcPr>
          <w:p w14:paraId="29C29B1E" w14:textId="77777777" w:rsidR="00E81063" w:rsidRPr="001D6C58" w:rsidRDefault="00E81063">
            <w:pPr>
              <w:spacing w:after="0" w:line="240" w:lineRule="auto"/>
              <w:rPr>
                <w:rFonts w:ascii="Segoe UI" w:eastAsia="Times New Roman" w:hAnsi="Segoe UI" w:cs="Segoe UI"/>
                <w:b/>
                <w:bCs/>
                <w:color w:val="000000"/>
                <w:sz w:val="18"/>
                <w:szCs w:val="18"/>
                <w:lang w:eastAsia="pt-BR"/>
              </w:rPr>
            </w:pPr>
            <w:r w:rsidRPr="001D6C58">
              <w:rPr>
                <w:rFonts w:ascii="Segoe UI" w:eastAsia="Times New Roman" w:hAnsi="Segoe UI" w:cs="Segoe UI"/>
                <w:b/>
                <w:bCs/>
                <w:color w:val="000000"/>
                <w:sz w:val="18"/>
                <w:szCs w:val="18"/>
                <w:lang w:eastAsia="pt-BR"/>
              </w:rPr>
              <w:t xml:space="preserve"> Direito de uso </w:t>
            </w:r>
          </w:p>
        </w:tc>
        <w:tc>
          <w:tcPr>
            <w:tcW w:w="770" w:type="pct"/>
            <w:tcBorders>
              <w:top w:val="nil"/>
              <w:left w:val="nil"/>
              <w:bottom w:val="nil"/>
              <w:right w:val="nil"/>
            </w:tcBorders>
            <w:shd w:val="clear" w:color="auto" w:fill="auto"/>
            <w:noWrap/>
            <w:vAlign w:val="bottom"/>
            <w:hideMark/>
          </w:tcPr>
          <w:p w14:paraId="29C5A6D7" w14:textId="77777777" w:rsidR="00E81063" w:rsidRPr="001D6C58" w:rsidRDefault="00E81063">
            <w:pPr>
              <w:spacing w:after="0" w:line="240" w:lineRule="auto"/>
              <w:jc w:val="right"/>
              <w:rPr>
                <w:rFonts w:ascii="Segoe UI" w:eastAsia="Times New Roman" w:hAnsi="Segoe UI" w:cs="Segoe UI"/>
                <w:b/>
                <w:bCs/>
                <w:color w:val="000000"/>
                <w:sz w:val="18"/>
                <w:szCs w:val="18"/>
                <w:lang w:eastAsia="pt-BR"/>
              </w:rPr>
            </w:pPr>
          </w:p>
        </w:tc>
        <w:tc>
          <w:tcPr>
            <w:tcW w:w="588" w:type="pct"/>
            <w:tcBorders>
              <w:top w:val="nil"/>
              <w:left w:val="nil"/>
              <w:bottom w:val="nil"/>
              <w:right w:val="nil"/>
            </w:tcBorders>
            <w:shd w:val="clear" w:color="auto" w:fill="auto"/>
            <w:noWrap/>
            <w:vAlign w:val="bottom"/>
            <w:hideMark/>
          </w:tcPr>
          <w:p w14:paraId="1E9E50E3" w14:textId="77777777" w:rsidR="00E81063" w:rsidRPr="001D6C58" w:rsidRDefault="00E81063">
            <w:pPr>
              <w:spacing w:after="0" w:line="240" w:lineRule="auto"/>
              <w:jc w:val="right"/>
              <w:rPr>
                <w:rFonts w:ascii="Times New Roman" w:eastAsia="Times New Roman" w:hAnsi="Times New Roman" w:cs="Times New Roman"/>
                <w:sz w:val="20"/>
                <w:szCs w:val="20"/>
                <w:lang w:eastAsia="pt-BR"/>
              </w:rPr>
            </w:pPr>
          </w:p>
        </w:tc>
        <w:tc>
          <w:tcPr>
            <w:tcW w:w="782" w:type="pct"/>
            <w:tcBorders>
              <w:top w:val="nil"/>
              <w:left w:val="nil"/>
              <w:bottom w:val="nil"/>
              <w:right w:val="nil"/>
            </w:tcBorders>
            <w:shd w:val="clear" w:color="auto" w:fill="auto"/>
            <w:noWrap/>
            <w:vAlign w:val="bottom"/>
            <w:hideMark/>
          </w:tcPr>
          <w:p w14:paraId="3A91D295" w14:textId="77777777" w:rsidR="00E81063" w:rsidRPr="001D6C58" w:rsidRDefault="00E81063">
            <w:pPr>
              <w:spacing w:after="0" w:line="240" w:lineRule="auto"/>
              <w:jc w:val="right"/>
              <w:rPr>
                <w:rFonts w:ascii="Times New Roman" w:eastAsia="Times New Roman" w:hAnsi="Times New Roman" w:cs="Times New Roman"/>
                <w:sz w:val="20"/>
                <w:szCs w:val="20"/>
                <w:lang w:eastAsia="pt-BR"/>
              </w:rPr>
            </w:pPr>
          </w:p>
        </w:tc>
        <w:tc>
          <w:tcPr>
            <w:tcW w:w="796" w:type="pct"/>
            <w:tcBorders>
              <w:top w:val="nil"/>
              <w:left w:val="nil"/>
              <w:bottom w:val="nil"/>
              <w:right w:val="nil"/>
            </w:tcBorders>
            <w:shd w:val="clear" w:color="auto" w:fill="auto"/>
            <w:noWrap/>
            <w:vAlign w:val="bottom"/>
            <w:hideMark/>
          </w:tcPr>
          <w:p w14:paraId="074867DD" w14:textId="77777777" w:rsidR="00E81063" w:rsidRPr="001D6C58" w:rsidRDefault="00E81063">
            <w:pPr>
              <w:spacing w:after="0" w:line="240" w:lineRule="auto"/>
              <w:jc w:val="right"/>
              <w:rPr>
                <w:rFonts w:ascii="Times New Roman" w:eastAsia="Times New Roman" w:hAnsi="Times New Roman" w:cs="Times New Roman"/>
                <w:sz w:val="20"/>
                <w:szCs w:val="20"/>
                <w:lang w:eastAsia="pt-BR"/>
              </w:rPr>
            </w:pPr>
          </w:p>
        </w:tc>
      </w:tr>
      <w:tr w:rsidR="00E81063" w:rsidRPr="001D6C58" w14:paraId="06FF0106" w14:textId="77777777">
        <w:trPr>
          <w:trHeight w:val="23"/>
        </w:trPr>
        <w:tc>
          <w:tcPr>
            <w:tcW w:w="2064" w:type="pct"/>
            <w:tcBorders>
              <w:top w:val="nil"/>
              <w:left w:val="nil"/>
              <w:bottom w:val="nil"/>
              <w:right w:val="nil"/>
            </w:tcBorders>
            <w:shd w:val="clear" w:color="auto" w:fill="auto"/>
            <w:noWrap/>
            <w:vAlign w:val="center"/>
            <w:hideMark/>
          </w:tcPr>
          <w:p w14:paraId="4B31E81A" w14:textId="29F1950B" w:rsidR="00E81063" w:rsidRPr="001D6C58" w:rsidRDefault="00E81063">
            <w:pPr>
              <w:spacing w:after="0" w:line="240" w:lineRule="auto"/>
              <w:rPr>
                <w:rFonts w:ascii="Segoe UI" w:eastAsia="Times New Roman" w:hAnsi="Segoe UI" w:cs="Segoe UI"/>
                <w:b/>
                <w:bCs/>
                <w:color w:val="000000"/>
                <w:sz w:val="18"/>
                <w:szCs w:val="18"/>
                <w:lang w:eastAsia="pt-BR"/>
              </w:rPr>
            </w:pPr>
            <w:r w:rsidRPr="001D6C58">
              <w:rPr>
                <w:rFonts w:ascii="Segoe UI" w:eastAsia="Times New Roman" w:hAnsi="Segoe UI" w:cs="Segoe UI"/>
                <w:b/>
                <w:bCs/>
                <w:color w:val="000000"/>
                <w:sz w:val="18"/>
                <w:szCs w:val="18"/>
                <w:lang w:eastAsia="pt-BR"/>
              </w:rPr>
              <w:t xml:space="preserve">  </w:t>
            </w:r>
            <w:r w:rsidR="0074186F" w:rsidRPr="001D6C58">
              <w:rPr>
                <w:rFonts w:ascii="Segoe UI" w:eastAsia="Times New Roman" w:hAnsi="Segoe UI" w:cs="Segoe UI"/>
                <w:b/>
                <w:bCs/>
                <w:color w:val="000000"/>
                <w:sz w:val="18"/>
                <w:szCs w:val="18"/>
                <w:lang w:eastAsia="pt-BR"/>
              </w:rPr>
              <w:t xml:space="preserve">Direito de uso </w:t>
            </w:r>
            <w:r w:rsidRPr="001D6C58">
              <w:rPr>
                <w:rFonts w:ascii="Segoe UI" w:eastAsia="Times New Roman" w:hAnsi="Segoe UI" w:cs="Segoe UI"/>
                <w:b/>
                <w:bCs/>
                <w:color w:val="000000"/>
                <w:sz w:val="18"/>
                <w:szCs w:val="18"/>
                <w:lang w:eastAsia="pt-BR"/>
              </w:rPr>
              <w:t xml:space="preserve">em serviço </w:t>
            </w:r>
          </w:p>
        </w:tc>
        <w:tc>
          <w:tcPr>
            <w:tcW w:w="770" w:type="pct"/>
            <w:tcBorders>
              <w:top w:val="nil"/>
              <w:left w:val="nil"/>
              <w:bottom w:val="nil"/>
              <w:right w:val="nil"/>
            </w:tcBorders>
            <w:shd w:val="clear" w:color="auto" w:fill="auto"/>
            <w:noWrap/>
            <w:vAlign w:val="bottom"/>
            <w:hideMark/>
          </w:tcPr>
          <w:p w14:paraId="54A1F7FF" w14:textId="77777777" w:rsidR="00E81063" w:rsidRPr="001D6C58" w:rsidRDefault="00E81063">
            <w:pPr>
              <w:spacing w:after="0" w:line="240" w:lineRule="auto"/>
              <w:jc w:val="right"/>
              <w:rPr>
                <w:rFonts w:ascii="Segoe UI" w:eastAsia="Times New Roman" w:hAnsi="Segoe UI" w:cs="Segoe UI"/>
                <w:b/>
                <w:bCs/>
                <w:color w:val="000000"/>
                <w:sz w:val="18"/>
                <w:szCs w:val="18"/>
                <w:lang w:eastAsia="pt-BR"/>
              </w:rPr>
            </w:pPr>
          </w:p>
        </w:tc>
        <w:tc>
          <w:tcPr>
            <w:tcW w:w="588" w:type="pct"/>
            <w:tcBorders>
              <w:top w:val="nil"/>
              <w:left w:val="nil"/>
              <w:bottom w:val="nil"/>
              <w:right w:val="nil"/>
            </w:tcBorders>
            <w:shd w:val="clear" w:color="auto" w:fill="auto"/>
            <w:noWrap/>
            <w:vAlign w:val="bottom"/>
            <w:hideMark/>
          </w:tcPr>
          <w:p w14:paraId="64B3E792" w14:textId="77777777" w:rsidR="00E81063" w:rsidRPr="001D6C58" w:rsidRDefault="00E81063">
            <w:pPr>
              <w:spacing w:after="0" w:line="240" w:lineRule="auto"/>
              <w:jc w:val="right"/>
              <w:rPr>
                <w:rFonts w:ascii="Times New Roman" w:eastAsia="Times New Roman" w:hAnsi="Times New Roman" w:cs="Times New Roman"/>
                <w:sz w:val="20"/>
                <w:szCs w:val="20"/>
                <w:lang w:eastAsia="pt-BR"/>
              </w:rPr>
            </w:pPr>
          </w:p>
        </w:tc>
        <w:tc>
          <w:tcPr>
            <w:tcW w:w="782" w:type="pct"/>
            <w:tcBorders>
              <w:top w:val="nil"/>
              <w:left w:val="nil"/>
              <w:bottom w:val="nil"/>
              <w:right w:val="nil"/>
            </w:tcBorders>
            <w:shd w:val="clear" w:color="auto" w:fill="auto"/>
            <w:noWrap/>
            <w:vAlign w:val="bottom"/>
            <w:hideMark/>
          </w:tcPr>
          <w:p w14:paraId="64C7C87E" w14:textId="77777777" w:rsidR="00E81063" w:rsidRPr="001D6C58" w:rsidRDefault="00E81063">
            <w:pPr>
              <w:spacing w:after="0" w:line="240" w:lineRule="auto"/>
              <w:jc w:val="right"/>
              <w:rPr>
                <w:rFonts w:ascii="Times New Roman" w:eastAsia="Times New Roman" w:hAnsi="Times New Roman" w:cs="Times New Roman"/>
                <w:sz w:val="20"/>
                <w:szCs w:val="20"/>
                <w:lang w:eastAsia="pt-BR"/>
              </w:rPr>
            </w:pPr>
          </w:p>
        </w:tc>
        <w:tc>
          <w:tcPr>
            <w:tcW w:w="796" w:type="pct"/>
            <w:tcBorders>
              <w:top w:val="nil"/>
              <w:left w:val="nil"/>
              <w:bottom w:val="nil"/>
              <w:right w:val="nil"/>
            </w:tcBorders>
            <w:shd w:val="clear" w:color="auto" w:fill="auto"/>
            <w:noWrap/>
            <w:vAlign w:val="bottom"/>
            <w:hideMark/>
          </w:tcPr>
          <w:p w14:paraId="5F637EA9" w14:textId="77777777" w:rsidR="00E81063" w:rsidRPr="001D6C58" w:rsidRDefault="00E81063">
            <w:pPr>
              <w:spacing w:after="0" w:line="240" w:lineRule="auto"/>
              <w:jc w:val="right"/>
              <w:rPr>
                <w:rFonts w:ascii="Times New Roman" w:eastAsia="Times New Roman" w:hAnsi="Times New Roman" w:cs="Times New Roman"/>
                <w:sz w:val="20"/>
                <w:szCs w:val="20"/>
                <w:lang w:eastAsia="pt-BR"/>
              </w:rPr>
            </w:pPr>
          </w:p>
        </w:tc>
      </w:tr>
      <w:tr w:rsidR="00E81063" w:rsidRPr="001D6C58" w14:paraId="17025F9F" w14:textId="77777777">
        <w:trPr>
          <w:trHeight w:val="23"/>
        </w:trPr>
        <w:tc>
          <w:tcPr>
            <w:tcW w:w="2064" w:type="pct"/>
            <w:tcBorders>
              <w:top w:val="nil"/>
              <w:left w:val="nil"/>
              <w:bottom w:val="nil"/>
              <w:right w:val="nil"/>
            </w:tcBorders>
            <w:shd w:val="clear" w:color="auto" w:fill="auto"/>
            <w:noWrap/>
            <w:vAlign w:val="center"/>
            <w:hideMark/>
          </w:tcPr>
          <w:p w14:paraId="7FD6FEAB" w14:textId="3765FE64" w:rsidR="00E81063" w:rsidRPr="001D6C58" w:rsidRDefault="00E81063">
            <w:pPr>
              <w:spacing w:after="0" w:line="240" w:lineRule="auto"/>
              <w:rPr>
                <w:rFonts w:ascii="Segoe UI" w:eastAsia="Times New Roman" w:hAnsi="Segoe UI" w:cs="Segoe UI"/>
                <w:color w:val="000000"/>
                <w:sz w:val="18"/>
                <w:szCs w:val="18"/>
                <w:lang w:eastAsia="pt-BR"/>
              </w:rPr>
            </w:pPr>
            <w:r w:rsidRPr="001D6C58">
              <w:rPr>
                <w:rFonts w:ascii="Segoe UI" w:eastAsia="Times New Roman" w:hAnsi="Segoe UI" w:cs="Segoe UI"/>
                <w:color w:val="000000"/>
                <w:sz w:val="18"/>
                <w:szCs w:val="18"/>
                <w:lang w:eastAsia="pt-BR"/>
              </w:rPr>
              <w:t xml:space="preserve">     </w:t>
            </w:r>
            <w:r w:rsidR="009A723D">
              <w:rPr>
                <w:rFonts w:ascii="Segoe UI" w:eastAsia="Times New Roman" w:hAnsi="Segoe UI" w:cs="Segoe UI"/>
                <w:color w:val="000000"/>
                <w:sz w:val="18"/>
                <w:szCs w:val="18"/>
                <w:lang w:eastAsia="pt-BR"/>
              </w:rPr>
              <w:t>Arrendamento</w:t>
            </w:r>
            <w:r w:rsidR="00C37407">
              <w:rPr>
                <w:rFonts w:ascii="Segoe UI" w:eastAsia="Times New Roman" w:hAnsi="Segoe UI" w:cs="Segoe UI"/>
                <w:color w:val="000000"/>
                <w:sz w:val="18"/>
                <w:szCs w:val="18"/>
                <w:lang w:eastAsia="pt-BR"/>
              </w:rPr>
              <w:t xml:space="preserve"> (a)</w:t>
            </w:r>
            <w:r w:rsidRPr="001D6C58">
              <w:rPr>
                <w:rFonts w:ascii="Segoe UI" w:eastAsia="Times New Roman" w:hAnsi="Segoe UI" w:cs="Segoe UI"/>
                <w:color w:val="000000"/>
                <w:sz w:val="18"/>
                <w:szCs w:val="18"/>
                <w:lang w:eastAsia="pt-BR"/>
              </w:rPr>
              <w:t xml:space="preserve"> </w:t>
            </w:r>
          </w:p>
        </w:tc>
        <w:tc>
          <w:tcPr>
            <w:tcW w:w="770" w:type="pct"/>
            <w:tcBorders>
              <w:top w:val="nil"/>
              <w:left w:val="nil"/>
              <w:bottom w:val="single" w:sz="4" w:space="0" w:color="1B80C4"/>
              <w:right w:val="nil"/>
            </w:tcBorders>
            <w:shd w:val="clear" w:color="auto" w:fill="auto"/>
            <w:noWrap/>
            <w:vAlign w:val="center"/>
            <w:hideMark/>
          </w:tcPr>
          <w:p w14:paraId="75F4EEDD" w14:textId="77777777" w:rsidR="00E81063" w:rsidRPr="001D6C58" w:rsidRDefault="00E81063">
            <w:pPr>
              <w:spacing w:after="0" w:line="240" w:lineRule="auto"/>
              <w:jc w:val="right"/>
              <w:rPr>
                <w:rFonts w:ascii="Segoe UI" w:eastAsia="Times New Roman" w:hAnsi="Segoe UI" w:cs="Segoe UI"/>
                <w:color w:val="000000"/>
                <w:sz w:val="18"/>
                <w:szCs w:val="18"/>
                <w:lang w:eastAsia="pt-BR"/>
              </w:rPr>
            </w:pPr>
            <w:r w:rsidRPr="001D6C58">
              <w:rPr>
                <w:rFonts w:ascii="Segoe UI" w:eastAsia="Times New Roman" w:hAnsi="Segoe UI" w:cs="Segoe UI"/>
                <w:color w:val="000000"/>
                <w:sz w:val="18"/>
                <w:szCs w:val="18"/>
                <w:lang w:eastAsia="pt-BR"/>
              </w:rPr>
              <w:t>-</w:t>
            </w:r>
          </w:p>
        </w:tc>
        <w:tc>
          <w:tcPr>
            <w:tcW w:w="588" w:type="pct"/>
            <w:tcBorders>
              <w:top w:val="nil"/>
              <w:left w:val="nil"/>
              <w:bottom w:val="single" w:sz="4" w:space="0" w:color="1B80C4"/>
              <w:right w:val="nil"/>
            </w:tcBorders>
            <w:shd w:val="clear" w:color="auto" w:fill="auto"/>
            <w:noWrap/>
            <w:vAlign w:val="center"/>
            <w:hideMark/>
          </w:tcPr>
          <w:p w14:paraId="507C8128" w14:textId="77777777" w:rsidR="00E81063" w:rsidRPr="001D6C58" w:rsidRDefault="00E81063">
            <w:pPr>
              <w:spacing w:after="0" w:line="240" w:lineRule="auto"/>
              <w:jc w:val="right"/>
              <w:rPr>
                <w:rFonts w:ascii="Segoe UI" w:eastAsia="Times New Roman" w:hAnsi="Segoe UI" w:cs="Segoe UI"/>
                <w:color w:val="000000"/>
                <w:sz w:val="18"/>
                <w:szCs w:val="18"/>
                <w:lang w:eastAsia="pt-BR"/>
              </w:rPr>
            </w:pPr>
            <w:r w:rsidRPr="001D6C58">
              <w:rPr>
                <w:rFonts w:ascii="Segoe UI" w:eastAsia="Times New Roman" w:hAnsi="Segoe UI" w:cs="Segoe UI"/>
                <w:color w:val="000000"/>
                <w:sz w:val="18"/>
                <w:szCs w:val="18"/>
                <w:lang w:eastAsia="pt-BR"/>
              </w:rPr>
              <w:t>9.969</w:t>
            </w:r>
          </w:p>
        </w:tc>
        <w:tc>
          <w:tcPr>
            <w:tcW w:w="782" w:type="pct"/>
            <w:tcBorders>
              <w:top w:val="nil"/>
              <w:left w:val="nil"/>
              <w:bottom w:val="single" w:sz="4" w:space="0" w:color="1B80C4"/>
              <w:right w:val="nil"/>
            </w:tcBorders>
            <w:shd w:val="clear" w:color="auto" w:fill="auto"/>
            <w:noWrap/>
            <w:vAlign w:val="center"/>
            <w:hideMark/>
          </w:tcPr>
          <w:p w14:paraId="5373B286" w14:textId="77777777" w:rsidR="00E81063" w:rsidRPr="001D6C58" w:rsidRDefault="00E81063">
            <w:pPr>
              <w:spacing w:after="0" w:line="240" w:lineRule="auto"/>
              <w:jc w:val="right"/>
              <w:rPr>
                <w:rFonts w:ascii="Segoe UI" w:eastAsia="Times New Roman" w:hAnsi="Segoe UI" w:cs="Segoe UI"/>
                <w:color w:val="000000"/>
                <w:sz w:val="18"/>
                <w:szCs w:val="18"/>
                <w:lang w:eastAsia="pt-BR"/>
              </w:rPr>
            </w:pPr>
            <w:r w:rsidRPr="001D6C58">
              <w:rPr>
                <w:rFonts w:ascii="Segoe UI" w:eastAsia="Times New Roman" w:hAnsi="Segoe UI" w:cs="Segoe UI"/>
                <w:color w:val="000000"/>
                <w:sz w:val="18"/>
                <w:szCs w:val="18"/>
                <w:lang w:eastAsia="pt-BR"/>
              </w:rPr>
              <w:t>(886)</w:t>
            </w:r>
          </w:p>
        </w:tc>
        <w:tc>
          <w:tcPr>
            <w:tcW w:w="796" w:type="pct"/>
            <w:tcBorders>
              <w:top w:val="nil"/>
              <w:left w:val="nil"/>
              <w:bottom w:val="single" w:sz="4" w:space="0" w:color="1B80C4"/>
              <w:right w:val="nil"/>
            </w:tcBorders>
            <w:shd w:val="clear" w:color="auto" w:fill="auto"/>
            <w:noWrap/>
            <w:vAlign w:val="center"/>
            <w:hideMark/>
          </w:tcPr>
          <w:p w14:paraId="1894941A" w14:textId="77777777" w:rsidR="00E81063" w:rsidRPr="001D6C58" w:rsidRDefault="00E81063">
            <w:pPr>
              <w:spacing w:after="0" w:line="240" w:lineRule="auto"/>
              <w:jc w:val="right"/>
              <w:rPr>
                <w:rFonts w:ascii="Segoe UI" w:eastAsia="Times New Roman" w:hAnsi="Segoe UI" w:cs="Segoe UI"/>
                <w:color w:val="000000"/>
                <w:sz w:val="18"/>
                <w:szCs w:val="18"/>
                <w:lang w:eastAsia="pt-BR"/>
              </w:rPr>
            </w:pPr>
            <w:r w:rsidRPr="001D6C58">
              <w:rPr>
                <w:rFonts w:ascii="Segoe UI" w:eastAsia="Times New Roman" w:hAnsi="Segoe UI" w:cs="Segoe UI"/>
                <w:color w:val="000000"/>
                <w:sz w:val="18"/>
                <w:szCs w:val="18"/>
                <w:lang w:eastAsia="pt-BR"/>
              </w:rPr>
              <w:t>9.083</w:t>
            </w:r>
          </w:p>
        </w:tc>
      </w:tr>
      <w:tr w:rsidR="00E81063" w:rsidRPr="001D6C58" w14:paraId="7C14E100" w14:textId="77777777">
        <w:trPr>
          <w:trHeight w:val="23"/>
        </w:trPr>
        <w:tc>
          <w:tcPr>
            <w:tcW w:w="2064" w:type="pct"/>
            <w:tcBorders>
              <w:top w:val="nil"/>
              <w:left w:val="nil"/>
              <w:bottom w:val="nil"/>
              <w:right w:val="nil"/>
            </w:tcBorders>
            <w:shd w:val="clear" w:color="auto" w:fill="auto"/>
            <w:noWrap/>
            <w:vAlign w:val="bottom"/>
            <w:hideMark/>
          </w:tcPr>
          <w:p w14:paraId="511B16C0" w14:textId="77777777" w:rsidR="00E81063" w:rsidRPr="001D6C58" w:rsidRDefault="00E81063">
            <w:pPr>
              <w:spacing w:after="0" w:line="240" w:lineRule="auto"/>
              <w:rPr>
                <w:rFonts w:ascii="Segoe UI" w:eastAsia="Times New Roman" w:hAnsi="Segoe UI" w:cs="Segoe UI"/>
                <w:b/>
                <w:bCs/>
                <w:color w:val="000000"/>
                <w:sz w:val="18"/>
                <w:szCs w:val="18"/>
                <w:lang w:eastAsia="pt-BR"/>
              </w:rPr>
            </w:pPr>
          </w:p>
        </w:tc>
        <w:tc>
          <w:tcPr>
            <w:tcW w:w="770" w:type="pct"/>
            <w:tcBorders>
              <w:top w:val="single" w:sz="4" w:space="0" w:color="1B80C4"/>
              <w:left w:val="nil"/>
              <w:bottom w:val="double" w:sz="6" w:space="0" w:color="1B80C4"/>
              <w:right w:val="nil"/>
            </w:tcBorders>
            <w:shd w:val="clear" w:color="auto" w:fill="auto"/>
            <w:noWrap/>
            <w:vAlign w:val="center"/>
            <w:hideMark/>
          </w:tcPr>
          <w:p w14:paraId="1744A23D" w14:textId="77777777" w:rsidR="00E81063" w:rsidRPr="001D6C58" w:rsidRDefault="00E81063">
            <w:pPr>
              <w:spacing w:after="0" w:line="240" w:lineRule="auto"/>
              <w:jc w:val="right"/>
              <w:rPr>
                <w:rFonts w:ascii="Segoe UI" w:eastAsia="Times New Roman" w:hAnsi="Segoe UI" w:cs="Segoe UI"/>
                <w:b/>
                <w:bCs/>
                <w:color w:val="000000"/>
                <w:sz w:val="18"/>
                <w:szCs w:val="18"/>
                <w:lang w:eastAsia="pt-BR"/>
              </w:rPr>
            </w:pPr>
            <w:r w:rsidRPr="001D6C58">
              <w:rPr>
                <w:rFonts w:ascii="Segoe UI" w:eastAsia="Times New Roman" w:hAnsi="Segoe UI" w:cs="Segoe UI"/>
                <w:b/>
                <w:bCs/>
                <w:color w:val="000000"/>
                <w:sz w:val="18"/>
                <w:szCs w:val="18"/>
                <w:lang w:eastAsia="pt-BR"/>
              </w:rPr>
              <w:t>-</w:t>
            </w:r>
          </w:p>
        </w:tc>
        <w:tc>
          <w:tcPr>
            <w:tcW w:w="588" w:type="pct"/>
            <w:tcBorders>
              <w:top w:val="single" w:sz="4" w:space="0" w:color="1B80C4"/>
              <w:left w:val="nil"/>
              <w:bottom w:val="double" w:sz="6" w:space="0" w:color="1B80C4"/>
              <w:right w:val="nil"/>
            </w:tcBorders>
            <w:shd w:val="clear" w:color="auto" w:fill="auto"/>
            <w:noWrap/>
            <w:vAlign w:val="center"/>
            <w:hideMark/>
          </w:tcPr>
          <w:p w14:paraId="3F10B382" w14:textId="77777777" w:rsidR="00E81063" w:rsidRPr="001D6C58" w:rsidRDefault="00E81063">
            <w:pPr>
              <w:spacing w:after="0" w:line="240" w:lineRule="auto"/>
              <w:jc w:val="right"/>
              <w:rPr>
                <w:rFonts w:ascii="Segoe UI" w:eastAsia="Times New Roman" w:hAnsi="Segoe UI" w:cs="Segoe UI"/>
                <w:b/>
                <w:bCs/>
                <w:color w:val="000000"/>
                <w:sz w:val="18"/>
                <w:szCs w:val="18"/>
                <w:lang w:eastAsia="pt-BR"/>
              </w:rPr>
            </w:pPr>
            <w:r w:rsidRPr="001D6C58">
              <w:rPr>
                <w:rFonts w:ascii="Segoe UI" w:eastAsia="Times New Roman" w:hAnsi="Segoe UI" w:cs="Segoe UI"/>
                <w:b/>
                <w:bCs/>
                <w:color w:val="000000"/>
                <w:sz w:val="18"/>
                <w:szCs w:val="18"/>
                <w:lang w:eastAsia="pt-BR"/>
              </w:rPr>
              <w:t>9.969</w:t>
            </w:r>
          </w:p>
        </w:tc>
        <w:tc>
          <w:tcPr>
            <w:tcW w:w="782" w:type="pct"/>
            <w:tcBorders>
              <w:top w:val="single" w:sz="4" w:space="0" w:color="1B80C4"/>
              <w:left w:val="nil"/>
              <w:bottom w:val="double" w:sz="6" w:space="0" w:color="1B80C4"/>
              <w:right w:val="nil"/>
            </w:tcBorders>
            <w:shd w:val="clear" w:color="auto" w:fill="auto"/>
            <w:noWrap/>
            <w:vAlign w:val="center"/>
            <w:hideMark/>
          </w:tcPr>
          <w:p w14:paraId="7EC368A6" w14:textId="77777777" w:rsidR="00E81063" w:rsidRPr="001D6C58" w:rsidRDefault="00E81063">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w:t>
            </w:r>
            <w:r w:rsidRPr="001D6C58">
              <w:rPr>
                <w:rFonts w:ascii="Segoe UI" w:eastAsia="Times New Roman" w:hAnsi="Segoe UI" w:cs="Segoe UI"/>
                <w:b/>
                <w:bCs/>
                <w:color w:val="000000"/>
                <w:sz w:val="18"/>
                <w:szCs w:val="18"/>
                <w:lang w:eastAsia="pt-BR"/>
              </w:rPr>
              <w:t>886</w:t>
            </w:r>
            <w:r>
              <w:rPr>
                <w:rFonts w:ascii="Segoe UI" w:eastAsia="Times New Roman" w:hAnsi="Segoe UI" w:cs="Segoe UI"/>
                <w:b/>
                <w:bCs/>
                <w:color w:val="000000"/>
                <w:sz w:val="18"/>
                <w:szCs w:val="18"/>
                <w:lang w:eastAsia="pt-BR"/>
              </w:rPr>
              <w:t>)</w:t>
            </w:r>
          </w:p>
        </w:tc>
        <w:tc>
          <w:tcPr>
            <w:tcW w:w="796" w:type="pct"/>
            <w:tcBorders>
              <w:top w:val="single" w:sz="4" w:space="0" w:color="1B80C4"/>
              <w:left w:val="nil"/>
              <w:bottom w:val="double" w:sz="6" w:space="0" w:color="1B80C4"/>
              <w:right w:val="nil"/>
            </w:tcBorders>
            <w:shd w:val="clear" w:color="auto" w:fill="auto"/>
            <w:noWrap/>
            <w:vAlign w:val="center"/>
            <w:hideMark/>
          </w:tcPr>
          <w:p w14:paraId="2992B41F" w14:textId="77777777" w:rsidR="00E81063" w:rsidRPr="001D6C58" w:rsidRDefault="00E81063">
            <w:pPr>
              <w:spacing w:after="0" w:line="240" w:lineRule="auto"/>
              <w:jc w:val="right"/>
              <w:rPr>
                <w:rFonts w:ascii="Segoe UI" w:eastAsia="Times New Roman" w:hAnsi="Segoe UI" w:cs="Segoe UI"/>
                <w:b/>
                <w:bCs/>
                <w:color w:val="000000"/>
                <w:sz w:val="18"/>
                <w:szCs w:val="18"/>
                <w:lang w:eastAsia="pt-BR"/>
              </w:rPr>
            </w:pPr>
            <w:r w:rsidRPr="001D6C58">
              <w:rPr>
                <w:rFonts w:ascii="Segoe UI" w:eastAsia="Times New Roman" w:hAnsi="Segoe UI" w:cs="Segoe UI"/>
                <w:b/>
                <w:bCs/>
                <w:color w:val="000000"/>
                <w:sz w:val="18"/>
                <w:szCs w:val="18"/>
                <w:lang w:eastAsia="pt-BR"/>
              </w:rPr>
              <w:t>9.083</w:t>
            </w:r>
          </w:p>
        </w:tc>
      </w:tr>
    </w:tbl>
    <w:p w14:paraId="32943838" w14:textId="708A14DA" w:rsidR="00E81063" w:rsidRPr="00C37407" w:rsidRDefault="00A200F7" w:rsidP="0093565F">
      <w:pPr>
        <w:pStyle w:val="PargrafodaLista"/>
        <w:numPr>
          <w:ilvl w:val="0"/>
          <w:numId w:val="16"/>
        </w:numPr>
        <w:spacing w:before="240" w:afterLines="50" w:after="120"/>
        <w:rPr>
          <w:rFonts w:ascii="Segoe UI" w:hAnsi="Segoe UI" w:cs="Segoe UI"/>
          <w:snapToGrid w:val="0"/>
        </w:rPr>
      </w:pPr>
      <w:r w:rsidRPr="002B63AD">
        <w:rPr>
          <w:rFonts w:ascii="Segoe UI" w:hAnsi="Segoe UI" w:cs="Segoe UI"/>
          <w:snapToGrid w:val="0"/>
          <w:sz w:val="20"/>
          <w:szCs w:val="20"/>
        </w:rPr>
        <w:t>Os arrendamentos são referentes a</w:t>
      </w:r>
      <w:r w:rsidR="00414BC1">
        <w:rPr>
          <w:rFonts w:ascii="Segoe UI" w:hAnsi="Segoe UI" w:cs="Segoe UI"/>
          <w:snapToGrid w:val="0"/>
          <w:sz w:val="20"/>
          <w:szCs w:val="20"/>
        </w:rPr>
        <w:t>o contrato de</w:t>
      </w:r>
      <w:r w:rsidRPr="002B63AD">
        <w:rPr>
          <w:rFonts w:ascii="Segoe UI" w:hAnsi="Segoe UI" w:cs="Segoe UI"/>
          <w:snapToGrid w:val="0"/>
          <w:sz w:val="20"/>
          <w:szCs w:val="20"/>
        </w:rPr>
        <w:t xml:space="preserve"> locação da sede da Controladora e</w:t>
      </w:r>
      <w:r w:rsidR="009C355A">
        <w:rPr>
          <w:rFonts w:ascii="Segoe UI" w:hAnsi="Segoe UI" w:cs="Segoe UI"/>
          <w:snapToGrid w:val="0"/>
          <w:sz w:val="20"/>
          <w:szCs w:val="20"/>
        </w:rPr>
        <w:t xml:space="preserve"> contrato de</w:t>
      </w:r>
      <w:r w:rsidRPr="002B63AD">
        <w:rPr>
          <w:rFonts w:ascii="Segoe UI" w:hAnsi="Segoe UI" w:cs="Segoe UI"/>
          <w:snapToGrid w:val="0"/>
          <w:sz w:val="20"/>
          <w:szCs w:val="20"/>
        </w:rPr>
        <w:t xml:space="preserve"> </w:t>
      </w:r>
      <w:r w:rsidR="00D3162F" w:rsidRPr="002B63AD">
        <w:rPr>
          <w:rFonts w:ascii="Segoe UI" w:hAnsi="Segoe UI" w:cs="Segoe UI"/>
          <w:snapToGrid w:val="0"/>
          <w:sz w:val="20"/>
          <w:szCs w:val="20"/>
        </w:rPr>
        <w:t>loca</w:t>
      </w:r>
      <w:r w:rsidR="00335E3F" w:rsidRPr="002B63AD">
        <w:rPr>
          <w:rFonts w:ascii="Segoe UI" w:hAnsi="Segoe UI" w:cs="Segoe UI"/>
          <w:snapToGrid w:val="0"/>
          <w:sz w:val="20"/>
          <w:szCs w:val="20"/>
        </w:rPr>
        <w:t>ção de be</w:t>
      </w:r>
      <w:r w:rsidR="002B63AD" w:rsidRPr="002B63AD">
        <w:rPr>
          <w:rFonts w:ascii="Segoe UI" w:hAnsi="Segoe UI" w:cs="Segoe UI"/>
          <w:snapToGrid w:val="0"/>
          <w:sz w:val="20"/>
          <w:szCs w:val="20"/>
        </w:rPr>
        <w:t>ns m</w:t>
      </w:r>
      <w:r w:rsidR="009C355A">
        <w:rPr>
          <w:rFonts w:ascii="Segoe UI" w:hAnsi="Segoe UI" w:cs="Segoe UI"/>
          <w:snapToGrid w:val="0"/>
          <w:sz w:val="20"/>
          <w:szCs w:val="20"/>
        </w:rPr>
        <w:t>ó</w:t>
      </w:r>
      <w:r w:rsidR="002B63AD" w:rsidRPr="002B63AD">
        <w:rPr>
          <w:rFonts w:ascii="Segoe UI" w:hAnsi="Segoe UI" w:cs="Segoe UI"/>
          <w:snapToGrid w:val="0"/>
          <w:sz w:val="20"/>
          <w:szCs w:val="20"/>
        </w:rPr>
        <w:t>veis para o escritório</w:t>
      </w:r>
      <w:r w:rsidR="002B63AD">
        <w:rPr>
          <w:rFonts w:ascii="Segoe UI" w:hAnsi="Segoe UI" w:cs="Segoe UI"/>
          <w:snapToGrid w:val="0"/>
        </w:rPr>
        <w:t>.</w:t>
      </w:r>
    </w:p>
    <w:p w14:paraId="573C7124" w14:textId="3A64B554" w:rsidR="00DD25ED" w:rsidRPr="00DD25ED" w:rsidRDefault="00DD25ED" w:rsidP="009A2B2C">
      <w:pPr>
        <w:jc w:val="both"/>
        <w:rPr>
          <w:rFonts w:ascii="Segoe UI" w:hAnsi="Segoe UI" w:cs="Segoe UI"/>
          <w:snapToGrid w:val="0"/>
        </w:rPr>
      </w:pPr>
    </w:p>
    <w:p w14:paraId="378B1D96" w14:textId="5A800AB7" w:rsidR="00755A01" w:rsidRDefault="00755A01">
      <w:pPr>
        <w:rPr>
          <w:rFonts w:ascii="Segoe UI" w:hAnsi="Segoe UI" w:cs="Segoe UI"/>
          <w:b/>
          <w:color w:val="1B80C4"/>
        </w:rPr>
      </w:pPr>
      <w:r>
        <w:rPr>
          <w:rFonts w:ascii="Segoe UI" w:hAnsi="Segoe UI" w:cs="Segoe UI"/>
          <w:b/>
          <w:color w:val="1B80C4"/>
        </w:rPr>
        <w:br w:type="page"/>
      </w:r>
    </w:p>
    <w:tbl>
      <w:tblPr>
        <w:tblW w:w="5096" w:type="pct"/>
        <w:tblCellMar>
          <w:left w:w="70" w:type="dxa"/>
          <w:right w:w="70" w:type="dxa"/>
        </w:tblCellMar>
        <w:tblLook w:val="04A0" w:firstRow="1" w:lastRow="0" w:firstColumn="1" w:lastColumn="0" w:noHBand="0" w:noVBand="1"/>
      </w:tblPr>
      <w:tblGrid>
        <w:gridCol w:w="4708"/>
        <w:gridCol w:w="1070"/>
        <w:gridCol w:w="1131"/>
        <w:gridCol w:w="1233"/>
        <w:gridCol w:w="1531"/>
        <w:gridCol w:w="6"/>
      </w:tblGrid>
      <w:tr w:rsidR="00C736F3" w:rsidRPr="002362E2" w14:paraId="1D538759" w14:textId="77777777" w:rsidTr="00482C5E">
        <w:trPr>
          <w:gridAfter w:val="1"/>
          <w:wAfter w:w="4" w:type="pct"/>
          <w:trHeight w:val="259"/>
        </w:trPr>
        <w:tc>
          <w:tcPr>
            <w:tcW w:w="2432" w:type="pct"/>
            <w:tcBorders>
              <w:top w:val="nil"/>
              <w:left w:val="nil"/>
              <w:bottom w:val="nil"/>
              <w:right w:val="nil"/>
            </w:tcBorders>
            <w:shd w:val="clear" w:color="auto" w:fill="auto"/>
            <w:noWrap/>
            <w:vAlign w:val="bottom"/>
          </w:tcPr>
          <w:p w14:paraId="564D8450" w14:textId="77777777" w:rsidR="00C736F3" w:rsidRPr="002362E2" w:rsidRDefault="00C736F3" w:rsidP="002362E2">
            <w:pPr>
              <w:spacing w:after="0" w:line="240" w:lineRule="auto"/>
              <w:rPr>
                <w:rFonts w:ascii="Times New Roman" w:eastAsia="Times New Roman" w:hAnsi="Times New Roman" w:cs="Times New Roman"/>
                <w:sz w:val="24"/>
                <w:szCs w:val="24"/>
                <w:lang w:eastAsia="pt-BR"/>
              </w:rPr>
            </w:pPr>
          </w:p>
        </w:tc>
        <w:tc>
          <w:tcPr>
            <w:tcW w:w="2565" w:type="pct"/>
            <w:gridSpan w:val="4"/>
            <w:tcBorders>
              <w:top w:val="nil"/>
              <w:left w:val="nil"/>
              <w:bottom w:val="single" w:sz="4" w:space="0" w:color="FFFFFF" w:themeColor="background1"/>
              <w:right w:val="nil"/>
            </w:tcBorders>
            <w:shd w:val="clear" w:color="000000" w:fill="1B80C4"/>
            <w:vAlign w:val="center"/>
          </w:tcPr>
          <w:p w14:paraId="770BDE13" w14:textId="0E334E9B" w:rsidR="00C736F3" w:rsidRPr="002362E2" w:rsidRDefault="00C736F3" w:rsidP="002362E2">
            <w:pPr>
              <w:spacing w:after="0" w:line="240" w:lineRule="auto"/>
              <w:jc w:val="center"/>
              <w:rPr>
                <w:rFonts w:ascii="Segoe UI" w:eastAsia="Times New Roman" w:hAnsi="Segoe UI" w:cs="Segoe UI"/>
                <w:b/>
                <w:bCs/>
                <w:color w:val="FFFFFF"/>
                <w:sz w:val="18"/>
                <w:szCs w:val="18"/>
                <w:lang w:eastAsia="pt-BR"/>
              </w:rPr>
            </w:pPr>
            <w:r>
              <w:rPr>
                <w:rFonts w:ascii="Segoe UI" w:eastAsia="Times New Roman" w:hAnsi="Segoe UI" w:cs="Segoe UI"/>
                <w:b/>
                <w:bCs/>
                <w:color w:val="FFFFFF"/>
                <w:sz w:val="18"/>
                <w:szCs w:val="18"/>
                <w:lang w:eastAsia="pt-BR"/>
              </w:rPr>
              <w:t>C</w:t>
            </w:r>
            <w:r w:rsidR="00B57757">
              <w:rPr>
                <w:rFonts w:ascii="Segoe UI" w:eastAsia="Times New Roman" w:hAnsi="Segoe UI" w:cs="Segoe UI"/>
                <w:b/>
                <w:bCs/>
                <w:color w:val="FFFFFF"/>
                <w:sz w:val="18"/>
                <w:szCs w:val="18"/>
                <w:lang w:eastAsia="pt-BR"/>
              </w:rPr>
              <w:t>onsolidado</w:t>
            </w:r>
          </w:p>
        </w:tc>
      </w:tr>
      <w:tr w:rsidR="005212B3" w:rsidRPr="002362E2" w14:paraId="5434D0BC" w14:textId="77777777" w:rsidTr="00240EB3">
        <w:trPr>
          <w:trHeight w:val="259"/>
        </w:trPr>
        <w:tc>
          <w:tcPr>
            <w:tcW w:w="2432" w:type="pct"/>
            <w:tcBorders>
              <w:top w:val="nil"/>
              <w:left w:val="nil"/>
              <w:bottom w:val="nil"/>
              <w:right w:val="nil"/>
            </w:tcBorders>
            <w:shd w:val="clear" w:color="auto" w:fill="auto"/>
            <w:noWrap/>
            <w:vAlign w:val="bottom"/>
            <w:hideMark/>
          </w:tcPr>
          <w:p w14:paraId="7E4B9372" w14:textId="77777777" w:rsidR="00240EB3" w:rsidRPr="002362E2" w:rsidRDefault="00240EB3" w:rsidP="00482C5E">
            <w:pPr>
              <w:spacing w:after="0" w:line="240" w:lineRule="auto"/>
              <w:jc w:val="center"/>
              <w:rPr>
                <w:rFonts w:ascii="Times New Roman" w:eastAsia="Times New Roman" w:hAnsi="Times New Roman" w:cs="Times New Roman"/>
                <w:sz w:val="24"/>
                <w:szCs w:val="24"/>
                <w:lang w:eastAsia="pt-BR"/>
              </w:rPr>
            </w:pPr>
          </w:p>
        </w:tc>
        <w:tc>
          <w:tcPr>
            <w:tcW w:w="553" w:type="pct"/>
            <w:vMerge w:val="restart"/>
            <w:tcBorders>
              <w:top w:val="nil"/>
              <w:left w:val="nil"/>
              <w:bottom w:val="nil"/>
              <w:right w:val="nil"/>
            </w:tcBorders>
            <w:shd w:val="clear" w:color="000000" w:fill="1B80C4"/>
            <w:vAlign w:val="center"/>
            <w:hideMark/>
          </w:tcPr>
          <w:p w14:paraId="34646EFB" w14:textId="5CD34C81" w:rsidR="00240EB3" w:rsidRPr="002362E2" w:rsidRDefault="00240EB3" w:rsidP="00240EB3">
            <w:pPr>
              <w:spacing w:after="0" w:line="240" w:lineRule="auto"/>
              <w:jc w:val="center"/>
              <w:rPr>
                <w:rFonts w:ascii="Segoe UI" w:eastAsia="Times New Roman" w:hAnsi="Segoe UI" w:cs="Segoe UI"/>
                <w:b/>
                <w:bCs/>
                <w:color w:val="FFFFFF"/>
                <w:sz w:val="18"/>
                <w:szCs w:val="18"/>
                <w:lang w:eastAsia="pt-BR"/>
              </w:rPr>
            </w:pPr>
            <w:r w:rsidRPr="006F548F">
              <w:rPr>
                <w:rFonts w:ascii="Segoe UI" w:eastAsia="Times New Roman" w:hAnsi="Segoe UI" w:cs="Segoe UI"/>
                <w:b/>
                <w:bCs/>
                <w:color w:val="FFFFFF"/>
                <w:sz w:val="16"/>
                <w:szCs w:val="16"/>
                <w:lang w:eastAsia="pt-BR"/>
              </w:rPr>
              <w:t>Saldo na aquisição</w:t>
            </w:r>
          </w:p>
        </w:tc>
        <w:tc>
          <w:tcPr>
            <w:tcW w:w="584" w:type="pct"/>
            <w:vMerge w:val="restart"/>
            <w:tcBorders>
              <w:top w:val="nil"/>
              <w:left w:val="nil"/>
              <w:bottom w:val="nil"/>
              <w:right w:val="nil"/>
            </w:tcBorders>
            <w:shd w:val="clear" w:color="000000" w:fill="1B80C4"/>
            <w:noWrap/>
            <w:vAlign w:val="center"/>
            <w:hideMark/>
          </w:tcPr>
          <w:p w14:paraId="0C0262B0" w14:textId="51FFA971" w:rsidR="00240EB3" w:rsidRPr="002362E2" w:rsidRDefault="00240EB3" w:rsidP="00240EB3">
            <w:pPr>
              <w:spacing w:after="0" w:line="240" w:lineRule="auto"/>
              <w:jc w:val="center"/>
              <w:rPr>
                <w:rFonts w:ascii="Segoe UI" w:eastAsia="Times New Roman" w:hAnsi="Segoe UI" w:cs="Segoe UI"/>
                <w:b/>
                <w:bCs/>
                <w:color w:val="FFFFFF"/>
                <w:sz w:val="18"/>
                <w:szCs w:val="18"/>
                <w:lang w:eastAsia="pt-BR"/>
              </w:rPr>
            </w:pPr>
            <w:r w:rsidRPr="002362E2">
              <w:rPr>
                <w:rFonts w:ascii="Segoe UI" w:eastAsia="Times New Roman" w:hAnsi="Segoe UI" w:cs="Segoe UI"/>
                <w:b/>
                <w:bCs/>
                <w:color w:val="FFFFFF"/>
                <w:sz w:val="18"/>
                <w:szCs w:val="18"/>
                <w:lang w:eastAsia="pt-BR"/>
              </w:rPr>
              <w:t>Adições</w:t>
            </w:r>
          </w:p>
        </w:tc>
        <w:tc>
          <w:tcPr>
            <w:tcW w:w="637" w:type="pct"/>
            <w:vMerge w:val="restart"/>
            <w:tcBorders>
              <w:top w:val="nil"/>
              <w:left w:val="nil"/>
              <w:bottom w:val="nil"/>
              <w:right w:val="nil"/>
            </w:tcBorders>
            <w:shd w:val="clear" w:color="000000" w:fill="1B80C4"/>
            <w:noWrap/>
            <w:vAlign w:val="center"/>
            <w:hideMark/>
          </w:tcPr>
          <w:p w14:paraId="5290A2B3" w14:textId="191496CC" w:rsidR="00240EB3" w:rsidRPr="002362E2" w:rsidRDefault="00240EB3" w:rsidP="00240EB3">
            <w:pPr>
              <w:spacing w:after="0" w:line="240" w:lineRule="auto"/>
              <w:jc w:val="center"/>
              <w:rPr>
                <w:rFonts w:ascii="Segoe UI" w:eastAsia="Times New Roman" w:hAnsi="Segoe UI" w:cs="Segoe UI"/>
                <w:b/>
                <w:bCs/>
                <w:color w:val="FFFFFF"/>
                <w:sz w:val="18"/>
                <w:szCs w:val="18"/>
                <w:lang w:eastAsia="pt-BR"/>
              </w:rPr>
            </w:pPr>
            <w:r w:rsidRPr="002362E2">
              <w:rPr>
                <w:rFonts w:ascii="Segoe UI" w:eastAsia="Times New Roman" w:hAnsi="Segoe UI" w:cs="Segoe UI"/>
                <w:b/>
                <w:bCs/>
                <w:color w:val="FFFFFF"/>
                <w:sz w:val="18"/>
                <w:szCs w:val="18"/>
                <w:lang w:eastAsia="pt-BR"/>
              </w:rPr>
              <w:t>Depreciação</w:t>
            </w:r>
          </w:p>
        </w:tc>
        <w:tc>
          <w:tcPr>
            <w:tcW w:w="795" w:type="pct"/>
            <w:gridSpan w:val="2"/>
            <w:vMerge w:val="restart"/>
            <w:tcBorders>
              <w:top w:val="nil"/>
              <w:left w:val="nil"/>
              <w:right w:val="nil"/>
            </w:tcBorders>
            <w:shd w:val="clear" w:color="000000" w:fill="1B80C4"/>
            <w:noWrap/>
            <w:vAlign w:val="center"/>
          </w:tcPr>
          <w:p w14:paraId="11BE7FAD" w14:textId="78A28B50" w:rsidR="00240EB3" w:rsidRPr="00240EB3" w:rsidRDefault="00240EB3" w:rsidP="00240EB3">
            <w:pPr>
              <w:spacing w:after="0" w:line="240" w:lineRule="auto"/>
              <w:jc w:val="center"/>
              <w:rPr>
                <w:rFonts w:ascii="Segoe UI" w:eastAsia="Times New Roman" w:hAnsi="Segoe UI" w:cs="Segoe UI"/>
                <w:b/>
                <w:bCs/>
                <w:color w:val="FFFFFF"/>
                <w:sz w:val="18"/>
                <w:szCs w:val="18"/>
                <w:lang w:eastAsia="pt-BR"/>
              </w:rPr>
            </w:pPr>
            <w:r>
              <w:rPr>
                <w:rFonts w:ascii="Segoe UI" w:eastAsia="Times New Roman" w:hAnsi="Segoe UI" w:cs="Segoe UI"/>
                <w:b/>
                <w:bCs/>
                <w:color w:val="FFFFFF"/>
                <w:sz w:val="18"/>
                <w:szCs w:val="18"/>
                <w:lang w:eastAsia="pt-BR"/>
              </w:rPr>
              <w:t>31/12/2022</w:t>
            </w:r>
          </w:p>
        </w:tc>
      </w:tr>
      <w:tr w:rsidR="005212B3" w:rsidRPr="002362E2" w14:paraId="714EE6FF" w14:textId="77777777" w:rsidTr="00240EB3">
        <w:trPr>
          <w:trHeight w:val="259"/>
        </w:trPr>
        <w:tc>
          <w:tcPr>
            <w:tcW w:w="2432" w:type="pct"/>
            <w:tcBorders>
              <w:top w:val="nil"/>
              <w:left w:val="nil"/>
              <w:bottom w:val="nil"/>
              <w:right w:val="nil"/>
            </w:tcBorders>
            <w:shd w:val="clear" w:color="auto" w:fill="auto"/>
            <w:noWrap/>
            <w:vAlign w:val="bottom"/>
            <w:hideMark/>
          </w:tcPr>
          <w:p w14:paraId="0938A1AE" w14:textId="77777777" w:rsidR="00240EB3" w:rsidRPr="002362E2" w:rsidRDefault="00240EB3" w:rsidP="00B57757">
            <w:pPr>
              <w:spacing w:after="0" w:line="240" w:lineRule="auto"/>
              <w:jc w:val="center"/>
              <w:rPr>
                <w:rFonts w:ascii="Segoe UI" w:eastAsia="Times New Roman" w:hAnsi="Segoe UI" w:cs="Segoe UI"/>
                <w:b/>
                <w:bCs/>
                <w:color w:val="FFFFFF"/>
                <w:sz w:val="18"/>
                <w:szCs w:val="18"/>
                <w:lang w:eastAsia="pt-BR"/>
              </w:rPr>
            </w:pPr>
          </w:p>
        </w:tc>
        <w:tc>
          <w:tcPr>
            <w:tcW w:w="553" w:type="pct"/>
            <w:vMerge/>
            <w:tcBorders>
              <w:top w:val="nil"/>
              <w:left w:val="nil"/>
              <w:bottom w:val="nil"/>
              <w:right w:val="nil"/>
            </w:tcBorders>
            <w:vAlign w:val="center"/>
            <w:hideMark/>
          </w:tcPr>
          <w:p w14:paraId="5C9F3A78" w14:textId="77777777" w:rsidR="00240EB3" w:rsidRPr="002362E2" w:rsidRDefault="00240EB3" w:rsidP="00B57757">
            <w:pPr>
              <w:spacing w:after="0" w:line="240" w:lineRule="auto"/>
              <w:rPr>
                <w:rFonts w:ascii="Segoe UI" w:eastAsia="Times New Roman" w:hAnsi="Segoe UI" w:cs="Segoe UI"/>
                <w:b/>
                <w:bCs/>
                <w:color w:val="FFFFFF"/>
                <w:sz w:val="18"/>
                <w:szCs w:val="18"/>
                <w:lang w:eastAsia="pt-BR"/>
              </w:rPr>
            </w:pPr>
          </w:p>
        </w:tc>
        <w:tc>
          <w:tcPr>
            <w:tcW w:w="584" w:type="pct"/>
            <w:vMerge/>
            <w:tcBorders>
              <w:top w:val="nil"/>
              <w:left w:val="nil"/>
              <w:bottom w:val="nil"/>
              <w:right w:val="nil"/>
            </w:tcBorders>
            <w:vAlign w:val="center"/>
            <w:hideMark/>
          </w:tcPr>
          <w:p w14:paraId="6392F884" w14:textId="77777777" w:rsidR="00240EB3" w:rsidRPr="002362E2" w:rsidRDefault="00240EB3" w:rsidP="00B57757">
            <w:pPr>
              <w:spacing w:after="0" w:line="240" w:lineRule="auto"/>
              <w:rPr>
                <w:rFonts w:ascii="Segoe UI" w:eastAsia="Times New Roman" w:hAnsi="Segoe UI" w:cs="Segoe UI"/>
                <w:b/>
                <w:bCs/>
                <w:color w:val="FFFFFF"/>
                <w:sz w:val="18"/>
                <w:szCs w:val="18"/>
                <w:lang w:eastAsia="pt-BR"/>
              </w:rPr>
            </w:pPr>
          </w:p>
        </w:tc>
        <w:tc>
          <w:tcPr>
            <w:tcW w:w="637" w:type="pct"/>
            <w:vMerge/>
            <w:tcBorders>
              <w:left w:val="nil"/>
              <w:right w:val="nil"/>
            </w:tcBorders>
            <w:vAlign w:val="center"/>
            <w:hideMark/>
          </w:tcPr>
          <w:p w14:paraId="1854C183" w14:textId="77777777" w:rsidR="00240EB3" w:rsidRPr="002362E2" w:rsidRDefault="00240EB3" w:rsidP="00B57757">
            <w:pPr>
              <w:spacing w:after="0" w:line="240" w:lineRule="auto"/>
              <w:rPr>
                <w:rFonts w:ascii="Segoe UI" w:eastAsia="Times New Roman" w:hAnsi="Segoe UI" w:cs="Segoe UI"/>
                <w:b/>
                <w:bCs/>
                <w:color w:val="FFFFFF"/>
                <w:sz w:val="18"/>
                <w:szCs w:val="18"/>
                <w:lang w:eastAsia="pt-BR"/>
              </w:rPr>
            </w:pPr>
          </w:p>
        </w:tc>
        <w:tc>
          <w:tcPr>
            <w:tcW w:w="795" w:type="pct"/>
            <w:gridSpan w:val="2"/>
            <w:vMerge/>
            <w:tcBorders>
              <w:left w:val="nil"/>
              <w:right w:val="nil"/>
            </w:tcBorders>
            <w:shd w:val="clear" w:color="000000" w:fill="1B80C4"/>
            <w:noWrap/>
            <w:hideMark/>
          </w:tcPr>
          <w:p w14:paraId="0690851A" w14:textId="45E9C5FC" w:rsidR="00240EB3" w:rsidRPr="002362E2" w:rsidRDefault="00240EB3" w:rsidP="00B57757">
            <w:pPr>
              <w:spacing w:after="0" w:line="240" w:lineRule="auto"/>
              <w:jc w:val="center"/>
              <w:rPr>
                <w:rFonts w:ascii="Segoe UI" w:eastAsia="Times New Roman" w:hAnsi="Segoe UI" w:cs="Segoe UI"/>
                <w:b/>
                <w:bCs/>
                <w:color w:val="FFFFFF"/>
                <w:sz w:val="18"/>
                <w:szCs w:val="18"/>
                <w:lang w:eastAsia="pt-BR"/>
              </w:rPr>
            </w:pPr>
          </w:p>
        </w:tc>
      </w:tr>
      <w:tr w:rsidR="002362E2" w:rsidRPr="002362E2" w14:paraId="3BF781D7" w14:textId="77777777" w:rsidTr="00482C5E">
        <w:trPr>
          <w:trHeight w:val="259"/>
        </w:trPr>
        <w:tc>
          <w:tcPr>
            <w:tcW w:w="2432" w:type="pct"/>
            <w:tcBorders>
              <w:top w:val="nil"/>
              <w:left w:val="nil"/>
              <w:bottom w:val="nil"/>
              <w:right w:val="nil"/>
            </w:tcBorders>
            <w:shd w:val="clear" w:color="auto" w:fill="auto"/>
            <w:noWrap/>
            <w:vAlign w:val="center"/>
            <w:hideMark/>
          </w:tcPr>
          <w:p w14:paraId="7B00B972" w14:textId="77777777" w:rsidR="002362E2" w:rsidRPr="002362E2" w:rsidRDefault="002362E2" w:rsidP="002362E2">
            <w:pPr>
              <w:spacing w:after="0" w:line="240" w:lineRule="auto"/>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 xml:space="preserve"> Imobilizado em serviço - Angra 1 e Angra 2 </w:t>
            </w:r>
          </w:p>
        </w:tc>
        <w:tc>
          <w:tcPr>
            <w:tcW w:w="553" w:type="pct"/>
            <w:tcBorders>
              <w:top w:val="nil"/>
              <w:left w:val="nil"/>
              <w:bottom w:val="nil"/>
              <w:right w:val="nil"/>
            </w:tcBorders>
            <w:shd w:val="clear" w:color="auto" w:fill="auto"/>
            <w:noWrap/>
            <w:vAlign w:val="center"/>
            <w:hideMark/>
          </w:tcPr>
          <w:p w14:paraId="65D75182" w14:textId="77777777"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105ED540"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637" w:type="pct"/>
            <w:tcBorders>
              <w:left w:val="nil"/>
              <w:bottom w:val="nil"/>
              <w:right w:val="nil"/>
            </w:tcBorders>
            <w:shd w:val="clear" w:color="auto" w:fill="auto"/>
            <w:noWrap/>
            <w:vAlign w:val="center"/>
            <w:hideMark/>
          </w:tcPr>
          <w:p w14:paraId="2127B6BE"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795" w:type="pct"/>
            <w:gridSpan w:val="2"/>
            <w:tcBorders>
              <w:left w:val="nil"/>
              <w:bottom w:val="nil"/>
              <w:right w:val="nil"/>
            </w:tcBorders>
            <w:shd w:val="clear" w:color="auto" w:fill="auto"/>
            <w:noWrap/>
            <w:vAlign w:val="center"/>
            <w:hideMark/>
          </w:tcPr>
          <w:p w14:paraId="0B9A5D3C"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r>
      <w:tr w:rsidR="002362E2" w:rsidRPr="002362E2" w14:paraId="77E4A8AE" w14:textId="77777777" w:rsidTr="00261EF5">
        <w:trPr>
          <w:trHeight w:val="259"/>
        </w:trPr>
        <w:tc>
          <w:tcPr>
            <w:tcW w:w="2432" w:type="pct"/>
            <w:tcBorders>
              <w:top w:val="nil"/>
              <w:left w:val="nil"/>
              <w:bottom w:val="nil"/>
              <w:right w:val="nil"/>
            </w:tcBorders>
            <w:shd w:val="clear" w:color="auto" w:fill="auto"/>
            <w:noWrap/>
            <w:vAlign w:val="center"/>
            <w:hideMark/>
          </w:tcPr>
          <w:p w14:paraId="213CF40B"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Terrenos </w:t>
            </w:r>
          </w:p>
        </w:tc>
        <w:tc>
          <w:tcPr>
            <w:tcW w:w="553" w:type="pct"/>
            <w:tcBorders>
              <w:top w:val="nil"/>
              <w:left w:val="nil"/>
              <w:bottom w:val="nil"/>
              <w:right w:val="nil"/>
            </w:tcBorders>
            <w:shd w:val="clear" w:color="auto" w:fill="auto"/>
            <w:noWrap/>
            <w:vAlign w:val="center"/>
            <w:hideMark/>
          </w:tcPr>
          <w:p w14:paraId="3A6B02CB" w14:textId="13457D76"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34.380</w:t>
            </w:r>
          </w:p>
        </w:tc>
        <w:tc>
          <w:tcPr>
            <w:tcW w:w="584" w:type="pct"/>
            <w:tcBorders>
              <w:top w:val="nil"/>
              <w:left w:val="nil"/>
              <w:bottom w:val="nil"/>
              <w:right w:val="nil"/>
            </w:tcBorders>
            <w:shd w:val="clear" w:color="auto" w:fill="auto"/>
            <w:noWrap/>
            <w:vAlign w:val="center"/>
            <w:hideMark/>
          </w:tcPr>
          <w:p w14:paraId="3656F373" w14:textId="400A012E"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637" w:type="pct"/>
            <w:tcBorders>
              <w:top w:val="nil"/>
              <w:left w:val="nil"/>
              <w:bottom w:val="nil"/>
              <w:right w:val="nil"/>
            </w:tcBorders>
            <w:shd w:val="clear" w:color="auto" w:fill="auto"/>
            <w:noWrap/>
            <w:vAlign w:val="center"/>
            <w:hideMark/>
          </w:tcPr>
          <w:p w14:paraId="40C6441D" w14:textId="0293106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112FF55D" w14:textId="0A17037D"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34.380</w:t>
            </w:r>
          </w:p>
        </w:tc>
      </w:tr>
      <w:tr w:rsidR="002362E2" w:rsidRPr="002362E2" w14:paraId="45D5A345" w14:textId="77777777" w:rsidTr="00261EF5">
        <w:trPr>
          <w:trHeight w:val="259"/>
        </w:trPr>
        <w:tc>
          <w:tcPr>
            <w:tcW w:w="2432" w:type="pct"/>
            <w:tcBorders>
              <w:top w:val="nil"/>
              <w:left w:val="nil"/>
              <w:bottom w:val="nil"/>
              <w:right w:val="nil"/>
            </w:tcBorders>
            <w:shd w:val="clear" w:color="auto" w:fill="auto"/>
            <w:noWrap/>
            <w:vAlign w:val="center"/>
            <w:hideMark/>
          </w:tcPr>
          <w:p w14:paraId="1A280862"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Barragens, reservatórios e adutoras </w:t>
            </w:r>
          </w:p>
        </w:tc>
        <w:tc>
          <w:tcPr>
            <w:tcW w:w="553" w:type="pct"/>
            <w:tcBorders>
              <w:top w:val="nil"/>
              <w:left w:val="nil"/>
              <w:bottom w:val="nil"/>
              <w:right w:val="nil"/>
            </w:tcBorders>
            <w:shd w:val="clear" w:color="auto" w:fill="auto"/>
            <w:noWrap/>
            <w:vAlign w:val="center"/>
            <w:hideMark/>
          </w:tcPr>
          <w:p w14:paraId="0CD6641B" w14:textId="274B31EC"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1.224</w:t>
            </w:r>
          </w:p>
        </w:tc>
        <w:tc>
          <w:tcPr>
            <w:tcW w:w="584" w:type="pct"/>
            <w:tcBorders>
              <w:top w:val="nil"/>
              <w:left w:val="nil"/>
              <w:bottom w:val="nil"/>
              <w:right w:val="nil"/>
            </w:tcBorders>
            <w:shd w:val="clear" w:color="auto" w:fill="auto"/>
            <w:noWrap/>
            <w:vAlign w:val="center"/>
            <w:hideMark/>
          </w:tcPr>
          <w:p w14:paraId="17CB24BF" w14:textId="489AACB7"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637" w:type="pct"/>
            <w:tcBorders>
              <w:top w:val="nil"/>
              <w:left w:val="nil"/>
              <w:bottom w:val="nil"/>
              <w:right w:val="nil"/>
            </w:tcBorders>
            <w:shd w:val="clear" w:color="auto" w:fill="auto"/>
            <w:noWrap/>
            <w:vAlign w:val="center"/>
            <w:hideMark/>
          </w:tcPr>
          <w:p w14:paraId="674D6B0E" w14:textId="3C576800"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(83)</w:t>
            </w:r>
          </w:p>
        </w:tc>
        <w:tc>
          <w:tcPr>
            <w:tcW w:w="795" w:type="pct"/>
            <w:gridSpan w:val="2"/>
            <w:tcBorders>
              <w:top w:val="nil"/>
              <w:left w:val="nil"/>
              <w:bottom w:val="nil"/>
              <w:right w:val="nil"/>
            </w:tcBorders>
            <w:shd w:val="clear" w:color="auto" w:fill="auto"/>
            <w:noWrap/>
            <w:vAlign w:val="center"/>
            <w:hideMark/>
          </w:tcPr>
          <w:p w14:paraId="2010F6B8" w14:textId="65E019A5"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1.141</w:t>
            </w:r>
          </w:p>
        </w:tc>
      </w:tr>
      <w:tr w:rsidR="002362E2" w:rsidRPr="002362E2" w14:paraId="0EAA3218" w14:textId="77777777" w:rsidTr="00261EF5">
        <w:trPr>
          <w:trHeight w:val="259"/>
        </w:trPr>
        <w:tc>
          <w:tcPr>
            <w:tcW w:w="2432" w:type="pct"/>
            <w:tcBorders>
              <w:top w:val="nil"/>
              <w:left w:val="nil"/>
              <w:bottom w:val="nil"/>
              <w:right w:val="nil"/>
            </w:tcBorders>
            <w:shd w:val="clear" w:color="auto" w:fill="auto"/>
            <w:noWrap/>
            <w:vAlign w:val="center"/>
            <w:hideMark/>
          </w:tcPr>
          <w:p w14:paraId="2FE57146"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Edificações, obras civis e benfeitorias </w:t>
            </w:r>
          </w:p>
        </w:tc>
        <w:tc>
          <w:tcPr>
            <w:tcW w:w="553" w:type="pct"/>
            <w:tcBorders>
              <w:top w:val="nil"/>
              <w:left w:val="nil"/>
              <w:bottom w:val="nil"/>
              <w:right w:val="nil"/>
            </w:tcBorders>
            <w:shd w:val="clear" w:color="auto" w:fill="auto"/>
            <w:noWrap/>
            <w:vAlign w:val="center"/>
            <w:hideMark/>
          </w:tcPr>
          <w:p w14:paraId="103750CA" w14:textId="2C5CAE6A"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475.592</w:t>
            </w:r>
          </w:p>
        </w:tc>
        <w:tc>
          <w:tcPr>
            <w:tcW w:w="584" w:type="pct"/>
            <w:tcBorders>
              <w:top w:val="nil"/>
              <w:left w:val="nil"/>
              <w:bottom w:val="nil"/>
              <w:right w:val="nil"/>
            </w:tcBorders>
            <w:shd w:val="clear" w:color="auto" w:fill="auto"/>
            <w:noWrap/>
            <w:vAlign w:val="center"/>
            <w:hideMark/>
          </w:tcPr>
          <w:p w14:paraId="35231E5D" w14:textId="0A99B9B6"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94.434</w:t>
            </w:r>
          </w:p>
        </w:tc>
        <w:tc>
          <w:tcPr>
            <w:tcW w:w="637" w:type="pct"/>
            <w:tcBorders>
              <w:top w:val="nil"/>
              <w:left w:val="nil"/>
              <w:bottom w:val="nil"/>
              <w:right w:val="nil"/>
            </w:tcBorders>
            <w:shd w:val="clear" w:color="auto" w:fill="auto"/>
            <w:noWrap/>
            <w:vAlign w:val="center"/>
            <w:hideMark/>
          </w:tcPr>
          <w:p w14:paraId="1F50AC7B" w14:textId="3DB89FCD"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(26.768)</w:t>
            </w:r>
          </w:p>
        </w:tc>
        <w:tc>
          <w:tcPr>
            <w:tcW w:w="795" w:type="pct"/>
            <w:gridSpan w:val="2"/>
            <w:tcBorders>
              <w:top w:val="nil"/>
              <w:left w:val="nil"/>
              <w:bottom w:val="nil"/>
              <w:right w:val="nil"/>
            </w:tcBorders>
            <w:shd w:val="clear" w:color="auto" w:fill="auto"/>
            <w:noWrap/>
            <w:vAlign w:val="center"/>
            <w:hideMark/>
          </w:tcPr>
          <w:p w14:paraId="74F5A43A" w14:textId="286183F5"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543.258</w:t>
            </w:r>
          </w:p>
        </w:tc>
      </w:tr>
      <w:tr w:rsidR="002362E2" w:rsidRPr="002362E2" w14:paraId="6BC0C772" w14:textId="77777777" w:rsidTr="00261EF5">
        <w:trPr>
          <w:trHeight w:val="259"/>
        </w:trPr>
        <w:tc>
          <w:tcPr>
            <w:tcW w:w="2432" w:type="pct"/>
            <w:tcBorders>
              <w:top w:val="nil"/>
              <w:left w:val="nil"/>
              <w:bottom w:val="nil"/>
              <w:right w:val="nil"/>
            </w:tcBorders>
            <w:shd w:val="clear" w:color="auto" w:fill="auto"/>
            <w:noWrap/>
            <w:vAlign w:val="center"/>
            <w:hideMark/>
          </w:tcPr>
          <w:p w14:paraId="32508149"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Máquinas e equipamentos </w:t>
            </w:r>
          </w:p>
        </w:tc>
        <w:tc>
          <w:tcPr>
            <w:tcW w:w="553" w:type="pct"/>
            <w:tcBorders>
              <w:top w:val="nil"/>
              <w:left w:val="nil"/>
              <w:bottom w:val="nil"/>
              <w:right w:val="nil"/>
            </w:tcBorders>
            <w:shd w:val="clear" w:color="auto" w:fill="auto"/>
            <w:noWrap/>
            <w:vAlign w:val="center"/>
            <w:hideMark/>
          </w:tcPr>
          <w:p w14:paraId="557C9AB2" w14:textId="2A53AA18"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2.910.483</w:t>
            </w:r>
          </w:p>
        </w:tc>
        <w:tc>
          <w:tcPr>
            <w:tcW w:w="584" w:type="pct"/>
            <w:tcBorders>
              <w:top w:val="nil"/>
              <w:left w:val="nil"/>
              <w:bottom w:val="nil"/>
              <w:right w:val="nil"/>
            </w:tcBorders>
            <w:shd w:val="clear" w:color="auto" w:fill="auto"/>
            <w:noWrap/>
            <w:vAlign w:val="center"/>
            <w:hideMark/>
          </w:tcPr>
          <w:p w14:paraId="28477BF4" w14:textId="3C788FA4"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(727.506)</w:t>
            </w:r>
          </w:p>
        </w:tc>
        <w:tc>
          <w:tcPr>
            <w:tcW w:w="637" w:type="pct"/>
            <w:tcBorders>
              <w:top w:val="nil"/>
              <w:left w:val="nil"/>
              <w:bottom w:val="nil"/>
              <w:right w:val="nil"/>
            </w:tcBorders>
            <w:shd w:val="clear" w:color="auto" w:fill="auto"/>
            <w:noWrap/>
            <w:vAlign w:val="center"/>
            <w:hideMark/>
          </w:tcPr>
          <w:p w14:paraId="596AF896" w14:textId="6AAA0862"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(282.755)</w:t>
            </w:r>
          </w:p>
        </w:tc>
        <w:tc>
          <w:tcPr>
            <w:tcW w:w="795" w:type="pct"/>
            <w:gridSpan w:val="2"/>
            <w:tcBorders>
              <w:top w:val="nil"/>
              <w:left w:val="nil"/>
              <w:bottom w:val="nil"/>
              <w:right w:val="nil"/>
            </w:tcBorders>
            <w:shd w:val="clear" w:color="auto" w:fill="auto"/>
            <w:noWrap/>
            <w:vAlign w:val="center"/>
            <w:hideMark/>
          </w:tcPr>
          <w:p w14:paraId="77CF6E20" w14:textId="56A820A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1.900.222</w:t>
            </w:r>
          </w:p>
        </w:tc>
      </w:tr>
      <w:tr w:rsidR="002362E2" w:rsidRPr="002362E2" w14:paraId="18C7DEB8" w14:textId="77777777" w:rsidTr="00261EF5">
        <w:trPr>
          <w:trHeight w:val="259"/>
        </w:trPr>
        <w:tc>
          <w:tcPr>
            <w:tcW w:w="2432" w:type="pct"/>
            <w:tcBorders>
              <w:top w:val="nil"/>
              <w:left w:val="nil"/>
              <w:bottom w:val="nil"/>
              <w:right w:val="nil"/>
            </w:tcBorders>
            <w:shd w:val="clear" w:color="auto" w:fill="auto"/>
            <w:noWrap/>
            <w:vAlign w:val="center"/>
            <w:hideMark/>
          </w:tcPr>
          <w:p w14:paraId="5DB04A23"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Veículos  </w:t>
            </w:r>
          </w:p>
        </w:tc>
        <w:tc>
          <w:tcPr>
            <w:tcW w:w="553" w:type="pct"/>
            <w:tcBorders>
              <w:top w:val="nil"/>
              <w:left w:val="nil"/>
              <w:bottom w:val="nil"/>
              <w:right w:val="nil"/>
            </w:tcBorders>
            <w:shd w:val="clear" w:color="auto" w:fill="auto"/>
            <w:noWrap/>
            <w:vAlign w:val="center"/>
            <w:hideMark/>
          </w:tcPr>
          <w:p w14:paraId="4F1905F1" w14:textId="45D5126A"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1.195</w:t>
            </w:r>
          </w:p>
        </w:tc>
        <w:tc>
          <w:tcPr>
            <w:tcW w:w="584" w:type="pct"/>
            <w:tcBorders>
              <w:top w:val="nil"/>
              <w:left w:val="nil"/>
              <w:bottom w:val="nil"/>
              <w:right w:val="nil"/>
            </w:tcBorders>
            <w:shd w:val="clear" w:color="auto" w:fill="auto"/>
            <w:noWrap/>
            <w:vAlign w:val="center"/>
            <w:hideMark/>
          </w:tcPr>
          <w:p w14:paraId="0E05D79B" w14:textId="759A84FD"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26.068</w:t>
            </w:r>
          </w:p>
        </w:tc>
        <w:tc>
          <w:tcPr>
            <w:tcW w:w="637" w:type="pct"/>
            <w:tcBorders>
              <w:top w:val="nil"/>
              <w:left w:val="nil"/>
              <w:bottom w:val="nil"/>
              <w:right w:val="nil"/>
            </w:tcBorders>
            <w:shd w:val="clear" w:color="auto" w:fill="auto"/>
            <w:noWrap/>
            <w:vAlign w:val="center"/>
            <w:hideMark/>
          </w:tcPr>
          <w:p w14:paraId="112CFBC0" w14:textId="2F3E2302"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(2.463)</w:t>
            </w:r>
          </w:p>
        </w:tc>
        <w:tc>
          <w:tcPr>
            <w:tcW w:w="795" w:type="pct"/>
            <w:gridSpan w:val="2"/>
            <w:tcBorders>
              <w:top w:val="nil"/>
              <w:left w:val="nil"/>
              <w:bottom w:val="nil"/>
              <w:right w:val="nil"/>
            </w:tcBorders>
            <w:shd w:val="clear" w:color="auto" w:fill="auto"/>
            <w:noWrap/>
            <w:vAlign w:val="center"/>
            <w:hideMark/>
          </w:tcPr>
          <w:p w14:paraId="05C2AF33" w14:textId="5A130B6F"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24.800</w:t>
            </w:r>
          </w:p>
        </w:tc>
      </w:tr>
      <w:tr w:rsidR="002362E2" w:rsidRPr="002362E2" w14:paraId="1083B204" w14:textId="77777777" w:rsidTr="00261EF5">
        <w:trPr>
          <w:trHeight w:val="259"/>
        </w:trPr>
        <w:tc>
          <w:tcPr>
            <w:tcW w:w="2432" w:type="pct"/>
            <w:tcBorders>
              <w:top w:val="nil"/>
              <w:left w:val="nil"/>
              <w:bottom w:val="nil"/>
              <w:right w:val="nil"/>
            </w:tcBorders>
            <w:shd w:val="clear" w:color="auto" w:fill="auto"/>
            <w:noWrap/>
            <w:vAlign w:val="center"/>
            <w:hideMark/>
          </w:tcPr>
          <w:p w14:paraId="46B7EC3F"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Móveis e utensílios </w:t>
            </w:r>
          </w:p>
        </w:tc>
        <w:tc>
          <w:tcPr>
            <w:tcW w:w="553" w:type="pct"/>
            <w:tcBorders>
              <w:top w:val="nil"/>
              <w:left w:val="nil"/>
              <w:bottom w:val="single" w:sz="4" w:space="0" w:color="1B80C4"/>
              <w:right w:val="nil"/>
            </w:tcBorders>
            <w:shd w:val="clear" w:color="auto" w:fill="auto"/>
            <w:noWrap/>
            <w:vAlign w:val="center"/>
            <w:hideMark/>
          </w:tcPr>
          <w:p w14:paraId="18EEF798" w14:textId="39F3A998"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5.970</w:t>
            </w:r>
          </w:p>
        </w:tc>
        <w:tc>
          <w:tcPr>
            <w:tcW w:w="584" w:type="pct"/>
            <w:tcBorders>
              <w:top w:val="nil"/>
              <w:left w:val="nil"/>
              <w:bottom w:val="single" w:sz="4" w:space="0" w:color="1B80C4"/>
              <w:right w:val="nil"/>
            </w:tcBorders>
            <w:shd w:val="clear" w:color="auto" w:fill="auto"/>
            <w:noWrap/>
            <w:vAlign w:val="center"/>
            <w:hideMark/>
          </w:tcPr>
          <w:p w14:paraId="229D395E" w14:textId="117C5E23"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(556)</w:t>
            </w:r>
          </w:p>
        </w:tc>
        <w:tc>
          <w:tcPr>
            <w:tcW w:w="637" w:type="pct"/>
            <w:tcBorders>
              <w:top w:val="nil"/>
              <w:left w:val="nil"/>
              <w:bottom w:val="single" w:sz="4" w:space="0" w:color="1B80C4"/>
              <w:right w:val="nil"/>
            </w:tcBorders>
            <w:shd w:val="clear" w:color="auto" w:fill="auto"/>
            <w:noWrap/>
            <w:vAlign w:val="center"/>
            <w:hideMark/>
          </w:tcPr>
          <w:p w14:paraId="04AE9901" w14:textId="2C563D6A"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84</w:t>
            </w:r>
          </w:p>
        </w:tc>
        <w:tc>
          <w:tcPr>
            <w:tcW w:w="795" w:type="pct"/>
            <w:gridSpan w:val="2"/>
            <w:tcBorders>
              <w:top w:val="nil"/>
              <w:left w:val="nil"/>
              <w:bottom w:val="single" w:sz="4" w:space="0" w:color="1B80C4"/>
              <w:right w:val="nil"/>
            </w:tcBorders>
            <w:shd w:val="clear" w:color="auto" w:fill="auto"/>
            <w:noWrap/>
            <w:vAlign w:val="center"/>
            <w:hideMark/>
          </w:tcPr>
          <w:p w14:paraId="39306446" w14:textId="2AF83CB3"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5.498</w:t>
            </w:r>
          </w:p>
        </w:tc>
      </w:tr>
      <w:tr w:rsidR="002362E2" w:rsidRPr="002362E2" w14:paraId="7FFB5FE2" w14:textId="77777777" w:rsidTr="00261EF5">
        <w:trPr>
          <w:trHeight w:val="259"/>
        </w:trPr>
        <w:tc>
          <w:tcPr>
            <w:tcW w:w="2432" w:type="pct"/>
            <w:tcBorders>
              <w:top w:val="nil"/>
              <w:left w:val="nil"/>
              <w:bottom w:val="nil"/>
              <w:right w:val="nil"/>
            </w:tcBorders>
            <w:shd w:val="clear" w:color="auto" w:fill="auto"/>
            <w:noWrap/>
            <w:vAlign w:val="center"/>
            <w:hideMark/>
          </w:tcPr>
          <w:p w14:paraId="2750FC1A" w14:textId="77777777"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p>
        </w:tc>
        <w:tc>
          <w:tcPr>
            <w:tcW w:w="553" w:type="pct"/>
            <w:tcBorders>
              <w:top w:val="nil"/>
              <w:left w:val="nil"/>
              <w:bottom w:val="nil"/>
              <w:right w:val="nil"/>
            </w:tcBorders>
            <w:shd w:val="clear" w:color="auto" w:fill="auto"/>
            <w:noWrap/>
            <w:vAlign w:val="bottom"/>
            <w:hideMark/>
          </w:tcPr>
          <w:p w14:paraId="68E43135" w14:textId="5B6E3B69"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3.428.844</w:t>
            </w:r>
          </w:p>
        </w:tc>
        <w:tc>
          <w:tcPr>
            <w:tcW w:w="584" w:type="pct"/>
            <w:tcBorders>
              <w:top w:val="nil"/>
              <w:left w:val="nil"/>
              <w:bottom w:val="nil"/>
              <w:right w:val="nil"/>
            </w:tcBorders>
            <w:shd w:val="clear" w:color="auto" w:fill="auto"/>
            <w:noWrap/>
            <w:vAlign w:val="bottom"/>
            <w:hideMark/>
          </w:tcPr>
          <w:p w14:paraId="1540AE33" w14:textId="04BF36C4"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(607.560)</w:t>
            </w:r>
          </w:p>
        </w:tc>
        <w:tc>
          <w:tcPr>
            <w:tcW w:w="637" w:type="pct"/>
            <w:tcBorders>
              <w:top w:val="nil"/>
              <w:left w:val="nil"/>
              <w:bottom w:val="nil"/>
              <w:right w:val="nil"/>
            </w:tcBorders>
            <w:shd w:val="clear" w:color="auto" w:fill="auto"/>
            <w:noWrap/>
            <w:vAlign w:val="bottom"/>
            <w:hideMark/>
          </w:tcPr>
          <w:p w14:paraId="6D679C3D" w14:textId="2850EBEB"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(311.985)</w:t>
            </w:r>
          </w:p>
        </w:tc>
        <w:tc>
          <w:tcPr>
            <w:tcW w:w="795" w:type="pct"/>
            <w:gridSpan w:val="2"/>
            <w:tcBorders>
              <w:top w:val="nil"/>
              <w:left w:val="nil"/>
              <w:bottom w:val="nil"/>
              <w:right w:val="nil"/>
            </w:tcBorders>
            <w:shd w:val="clear" w:color="auto" w:fill="auto"/>
            <w:noWrap/>
            <w:vAlign w:val="bottom"/>
            <w:hideMark/>
          </w:tcPr>
          <w:p w14:paraId="3AE1B577" w14:textId="4F0F4AEF"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2.509.299</w:t>
            </w:r>
          </w:p>
        </w:tc>
      </w:tr>
      <w:tr w:rsidR="002362E2" w:rsidRPr="002362E2" w14:paraId="3B892761" w14:textId="77777777" w:rsidTr="00261EF5">
        <w:trPr>
          <w:trHeight w:val="259"/>
        </w:trPr>
        <w:tc>
          <w:tcPr>
            <w:tcW w:w="2432" w:type="pct"/>
            <w:tcBorders>
              <w:top w:val="nil"/>
              <w:left w:val="nil"/>
              <w:bottom w:val="nil"/>
              <w:right w:val="nil"/>
            </w:tcBorders>
            <w:shd w:val="clear" w:color="auto" w:fill="auto"/>
            <w:noWrap/>
            <w:vAlign w:val="center"/>
            <w:hideMark/>
          </w:tcPr>
          <w:p w14:paraId="699A5025" w14:textId="77777777" w:rsidR="002362E2" w:rsidRPr="002362E2" w:rsidRDefault="002362E2" w:rsidP="002362E2">
            <w:pPr>
              <w:spacing w:after="0" w:line="240" w:lineRule="auto"/>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 xml:space="preserve"> Imobilizado em curso - Angra 1 e Angra 2 </w:t>
            </w:r>
          </w:p>
        </w:tc>
        <w:tc>
          <w:tcPr>
            <w:tcW w:w="553" w:type="pct"/>
            <w:tcBorders>
              <w:top w:val="nil"/>
              <w:left w:val="nil"/>
              <w:bottom w:val="nil"/>
              <w:right w:val="nil"/>
            </w:tcBorders>
            <w:shd w:val="clear" w:color="auto" w:fill="auto"/>
            <w:noWrap/>
            <w:vAlign w:val="bottom"/>
            <w:hideMark/>
          </w:tcPr>
          <w:p w14:paraId="60017CC6" w14:textId="77777777"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p>
        </w:tc>
        <w:tc>
          <w:tcPr>
            <w:tcW w:w="584" w:type="pct"/>
            <w:tcBorders>
              <w:top w:val="nil"/>
              <w:left w:val="nil"/>
              <w:bottom w:val="nil"/>
              <w:right w:val="nil"/>
            </w:tcBorders>
            <w:shd w:val="clear" w:color="auto" w:fill="auto"/>
            <w:noWrap/>
            <w:vAlign w:val="bottom"/>
            <w:hideMark/>
          </w:tcPr>
          <w:p w14:paraId="341C8FE6"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637" w:type="pct"/>
            <w:tcBorders>
              <w:top w:val="nil"/>
              <w:left w:val="nil"/>
              <w:bottom w:val="nil"/>
              <w:right w:val="nil"/>
            </w:tcBorders>
            <w:shd w:val="clear" w:color="auto" w:fill="auto"/>
            <w:noWrap/>
            <w:vAlign w:val="bottom"/>
            <w:hideMark/>
          </w:tcPr>
          <w:p w14:paraId="46C92779"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795" w:type="pct"/>
            <w:gridSpan w:val="2"/>
            <w:tcBorders>
              <w:top w:val="nil"/>
              <w:left w:val="nil"/>
              <w:bottom w:val="nil"/>
              <w:right w:val="nil"/>
            </w:tcBorders>
            <w:shd w:val="clear" w:color="auto" w:fill="auto"/>
            <w:noWrap/>
            <w:vAlign w:val="bottom"/>
            <w:hideMark/>
          </w:tcPr>
          <w:p w14:paraId="2DFC1A49"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r>
      <w:tr w:rsidR="002362E2" w:rsidRPr="002362E2" w14:paraId="0A5E81FC" w14:textId="77777777" w:rsidTr="00261EF5">
        <w:trPr>
          <w:trHeight w:val="259"/>
        </w:trPr>
        <w:tc>
          <w:tcPr>
            <w:tcW w:w="2432" w:type="pct"/>
            <w:tcBorders>
              <w:top w:val="nil"/>
              <w:left w:val="nil"/>
              <w:bottom w:val="nil"/>
              <w:right w:val="nil"/>
            </w:tcBorders>
            <w:shd w:val="clear" w:color="auto" w:fill="auto"/>
            <w:noWrap/>
            <w:vAlign w:val="center"/>
            <w:hideMark/>
          </w:tcPr>
          <w:p w14:paraId="17B88B4F"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Barragens, reservatórios e adutoras </w:t>
            </w:r>
          </w:p>
        </w:tc>
        <w:tc>
          <w:tcPr>
            <w:tcW w:w="553" w:type="pct"/>
            <w:tcBorders>
              <w:top w:val="nil"/>
              <w:left w:val="nil"/>
              <w:bottom w:val="nil"/>
              <w:right w:val="nil"/>
            </w:tcBorders>
            <w:shd w:val="clear" w:color="auto" w:fill="auto"/>
            <w:noWrap/>
            <w:vAlign w:val="center"/>
            <w:hideMark/>
          </w:tcPr>
          <w:p w14:paraId="1DC50BBA" w14:textId="2AFBFB29"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nil"/>
              <w:right w:val="nil"/>
            </w:tcBorders>
            <w:shd w:val="clear" w:color="auto" w:fill="auto"/>
            <w:noWrap/>
            <w:vAlign w:val="center"/>
            <w:hideMark/>
          </w:tcPr>
          <w:p w14:paraId="2B5F90A0" w14:textId="3FD70BFF"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28.044</w:t>
            </w:r>
          </w:p>
        </w:tc>
        <w:tc>
          <w:tcPr>
            <w:tcW w:w="637" w:type="pct"/>
            <w:tcBorders>
              <w:top w:val="nil"/>
              <w:left w:val="nil"/>
              <w:bottom w:val="nil"/>
              <w:right w:val="nil"/>
            </w:tcBorders>
            <w:shd w:val="clear" w:color="auto" w:fill="auto"/>
            <w:noWrap/>
            <w:vAlign w:val="center"/>
            <w:hideMark/>
          </w:tcPr>
          <w:p w14:paraId="0C3C0A7E" w14:textId="5364BDCB"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766B385F" w14:textId="039D11E0"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28.044</w:t>
            </w:r>
          </w:p>
        </w:tc>
      </w:tr>
      <w:tr w:rsidR="002362E2" w:rsidRPr="002362E2" w14:paraId="3519DA69" w14:textId="77777777" w:rsidTr="00261EF5">
        <w:trPr>
          <w:trHeight w:val="259"/>
        </w:trPr>
        <w:tc>
          <w:tcPr>
            <w:tcW w:w="2432" w:type="pct"/>
            <w:tcBorders>
              <w:top w:val="nil"/>
              <w:left w:val="nil"/>
              <w:bottom w:val="nil"/>
              <w:right w:val="nil"/>
            </w:tcBorders>
            <w:shd w:val="clear" w:color="auto" w:fill="auto"/>
            <w:noWrap/>
            <w:vAlign w:val="center"/>
            <w:hideMark/>
          </w:tcPr>
          <w:p w14:paraId="66AD628F"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Edificações, obras civis e benfeitorias </w:t>
            </w:r>
          </w:p>
        </w:tc>
        <w:tc>
          <w:tcPr>
            <w:tcW w:w="553" w:type="pct"/>
            <w:tcBorders>
              <w:top w:val="nil"/>
              <w:left w:val="nil"/>
              <w:bottom w:val="nil"/>
              <w:right w:val="nil"/>
            </w:tcBorders>
            <w:shd w:val="clear" w:color="auto" w:fill="auto"/>
            <w:noWrap/>
            <w:vAlign w:val="center"/>
            <w:hideMark/>
          </w:tcPr>
          <w:p w14:paraId="24AAE2C4" w14:textId="448EA801"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nil"/>
              <w:right w:val="nil"/>
            </w:tcBorders>
            <w:shd w:val="clear" w:color="auto" w:fill="auto"/>
            <w:noWrap/>
            <w:vAlign w:val="center"/>
            <w:hideMark/>
          </w:tcPr>
          <w:p w14:paraId="4ACA3260" w14:textId="45DE7872"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146.225</w:t>
            </w:r>
          </w:p>
        </w:tc>
        <w:tc>
          <w:tcPr>
            <w:tcW w:w="637" w:type="pct"/>
            <w:tcBorders>
              <w:top w:val="nil"/>
              <w:left w:val="nil"/>
              <w:bottom w:val="nil"/>
              <w:right w:val="nil"/>
            </w:tcBorders>
            <w:shd w:val="clear" w:color="auto" w:fill="auto"/>
            <w:noWrap/>
            <w:vAlign w:val="center"/>
            <w:hideMark/>
          </w:tcPr>
          <w:p w14:paraId="49FB570E" w14:textId="18E21B95"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4A47872E" w14:textId="58947192"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146.225</w:t>
            </w:r>
          </w:p>
        </w:tc>
      </w:tr>
      <w:tr w:rsidR="002362E2" w:rsidRPr="002362E2" w14:paraId="0E9829C5" w14:textId="77777777" w:rsidTr="00261EF5">
        <w:trPr>
          <w:trHeight w:val="259"/>
        </w:trPr>
        <w:tc>
          <w:tcPr>
            <w:tcW w:w="2432" w:type="pct"/>
            <w:tcBorders>
              <w:top w:val="nil"/>
              <w:left w:val="nil"/>
              <w:bottom w:val="nil"/>
              <w:right w:val="nil"/>
            </w:tcBorders>
            <w:shd w:val="clear" w:color="auto" w:fill="auto"/>
            <w:noWrap/>
            <w:vAlign w:val="center"/>
            <w:hideMark/>
          </w:tcPr>
          <w:p w14:paraId="3BDCBACC"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Máquinas e equipamentos </w:t>
            </w:r>
          </w:p>
        </w:tc>
        <w:tc>
          <w:tcPr>
            <w:tcW w:w="553" w:type="pct"/>
            <w:tcBorders>
              <w:top w:val="nil"/>
              <w:left w:val="nil"/>
              <w:bottom w:val="nil"/>
              <w:right w:val="nil"/>
            </w:tcBorders>
            <w:shd w:val="clear" w:color="auto" w:fill="auto"/>
            <w:noWrap/>
            <w:vAlign w:val="center"/>
            <w:hideMark/>
          </w:tcPr>
          <w:p w14:paraId="1DF6F6FC" w14:textId="24D01CA2"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nil"/>
              <w:right w:val="nil"/>
            </w:tcBorders>
            <w:shd w:val="clear" w:color="auto" w:fill="auto"/>
            <w:noWrap/>
            <w:vAlign w:val="center"/>
            <w:hideMark/>
          </w:tcPr>
          <w:p w14:paraId="266DD0FA" w14:textId="6A1ECB63"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490.973</w:t>
            </w:r>
          </w:p>
        </w:tc>
        <w:tc>
          <w:tcPr>
            <w:tcW w:w="637" w:type="pct"/>
            <w:tcBorders>
              <w:top w:val="nil"/>
              <w:left w:val="nil"/>
              <w:bottom w:val="nil"/>
              <w:right w:val="nil"/>
            </w:tcBorders>
            <w:shd w:val="clear" w:color="auto" w:fill="auto"/>
            <w:noWrap/>
            <w:vAlign w:val="center"/>
            <w:hideMark/>
          </w:tcPr>
          <w:p w14:paraId="5DF6DFD5" w14:textId="4A3EC658"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62F5E67D" w14:textId="40DB728D"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490.973</w:t>
            </w:r>
          </w:p>
        </w:tc>
      </w:tr>
      <w:tr w:rsidR="002362E2" w:rsidRPr="002362E2" w14:paraId="599FC6EF" w14:textId="77777777" w:rsidTr="00261EF5">
        <w:trPr>
          <w:trHeight w:val="259"/>
        </w:trPr>
        <w:tc>
          <w:tcPr>
            <w:tcW w:w="2432" w:type="pct"/>
            <w:tcBorders>
              <w:top w:val="nil"/>
              <w:left w:val="nil"/>
              <w:bottom w:val="nil"/>
              <w:right w:val="nil"/>
            </w:tcBorders>
            <w:shd w:val="clear" w:color="auto" w:fill="auto"/>
            <w:noWrap/>
            <w:vAlign w:val="center"/>
            <w:hideMark/>
          </w:tcPr>
          <w:p w14:paraId="7E8734AB"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Veículos  </w:t>
            </w:r>
          </w:p>
        </w:tc>
        <w:tc>
          <w:tcPr>
            <w:tcW w:w="553" w:type="pct"/>
            <w:tcBorders>
              <w:top w:val="nil"/>
              <w:left w:val="nil"/>
              <w:bottom w:val="nil"/>
              <w:right w:val="nil"/>
            </w:tcBorders>
            <w:shd w:val="clear" w:color="auto" w:fill="auto"/>
            <w:noWrap/>
            <w:vAlign w:val="center"/>
            <w:hideMark/>
          </w:tcPr>
          <w:p w14:paraId="23FC769D" w14:textId="26DC2196"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nil"/>
              <w:right w:val="nil"/>
            </w:tcBorders>
            <w:shd w:val="clear" w:color="auto" w:fill="auto"/>
            <w:noWrap/>
            <w:vAlign w:val="center"/>
            <w:hideMark/>
          </w:tcPr>
          <w:p w14:paraId="275F2D7E" w14:textId="72B55492"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(137.284)</w:t>
            </w:r>
          </w:p>
        </w:tc>
        <w:tc>
          <w:tcPr>
            <w:tcW w:w="637" w:type="pct"/>
            <w:tcBorders>
              <w:top w:val="nil"/>
              <w:left w:val="nil"/>
              <w:bottom w:val="nil"/>
              <w:right w:val="nil"/>
            </w:tcBorders>
            <w:shd w:val="clear" w:color="auto" w:fill="auto"/>
            <w:noWrap/>
            <w:vAlign w:val="center"/>
            <w:hideMark/>
          </w:tcPr>
          <w:p w14:paraId="0961070E" w14:textId="1DF46C95"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6A58541D" w14:textId="62406F30"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(137.284)</w:t>
            </w:r>
          </w:p>
        </w:tc>
      </w:tr>
      <w:tr w:rsidR="002362E2" w:rsidRPr="002362E2" w14:paraId="3163B9C2" w14:textId="77777777" w:rsidTr="00261EF5">
        <w:trPr>
          <w:trHeight w:val="259"/>
        </w:trPr>
        <w:tc>
          <w:tcPr>
            <w:tcW w:w="2432" w:type="pct"/>
            <w:tcBorders>
              <w:top w:val="nil"/>
              <w:left w:val="nil"/>
              <w:bottom w:val="nil"/>
              <w:right w:val="nil"/>
            </w:tcBorders>
            <w:shd w:val="clear" w:color="auto" w:fill="auto"/>
            <w:noWrap/>
            <w:vAlign w:val="center"/>
            <w:hideMark/>
          </w:tcPr>
          <w:p w14:paraId="619F95F7"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Móveis e utensílios </w:t>
            </w:r>
          </w:p>
        </w:tc>
        <w:tc>
          <w:tcPr>
            <w:tcW w:w="553" w:type="pct"/>
            <w:tcBorders>
              <w:top w:val="nil"/>
              <w:left w:val="nil"/>
              <w:bottom w:val="nil"/>
              <w:right w:val="nil"/>
            </w:tcBorders>
            <w:shd w:val="clear" w:color="auto" w:fill="auto"/>
            <w:noWrap/>
            <w:vAlign w:val="center"/>
            <w:hideMark/>
          </w:tcPr>
          <w:p w14:paraId="42490816" w14:textId="5EE14213"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nil"/>
              <w:right w:val="nil"/>
            </w:tcBorders>
            <w:shd w:val="clear" w:color="auto" w:fill="auto"/>
            <w:noWrap/>
            <w:vAlign w:val="center"/>
            <w:hideMark/>
          </w:tcPr>
          <w:p w14:paraId="06C8084A" w14:textId="16D35C80"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(24.482)</w:t>
            </w:r>
          </w:p>
        </w:tc>
        <w:tc>
          <w:tcPr>
            <w:tcW w:w="637" w:type="pct"/>
            <w:tcBorders>
              <w:top w:val="nil"/>
              <w:left w:val="nil"/>
              <w:bottom w:val="nil"/>
              <w:right w:val="nil"/>
            </w:tcBorders>
            <w:shd w:val="clear" w:color="auto" w:fill="auto"/>
            <w:noWrap/>
            <w:vAlign w:val="center"/>
            <w:hideMark/>
          </w:tcPr>
          <w:p w14:paraId="42F2BF9F" w14:textId="08EC9931"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75AE0E33" w14:textId="3356B461"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(24.482)</w:t>
            </w:r>
          </w:p>
        </w:tc>
      </w:tr>
      <w:tr w:rsidR="002362E2" w:rsidRPr="002362E2" w14:paraId="5E2DF850" w14:textId="77777777" w:rsidTr="00261EF5">
        <w:trPr>
          <w:trHeight w:val="259"/>
        </w:trPr>
        <w:tc>
          <w:tcPr>
            <w:tcW w:w="2432" w:type="pct"/>
            <w:tcBorders>
              <w:top w:val="nil"/>
              <w:left w:val="nil"/>
              <w:bottom w:val="nil"/>
              <w:right w:val="nil"/>
            </w:tcBorders>
            <w:shd w:val="clear" w:color="auto" w:fill="auto"/>
            <w:noWrap/>
            <w:vAlign w:val="center"/>
            <w:hideMark/>
          </w:tcPr>
          <w:p w14:paraId="59DA0B6F"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A ratear </w:t>
            </w:r>
          </w:p>
        </w:tc>
        <w:tc>
          <w:tcPr>
            <w:tcW w:w="553" w:type="pct"/>
            <w:tcBorders>
              <w:top w:val="nil"/>
              <w:left w:val="nil"/>
              <w:bottom w:val="nil"/>
              <w:right w:val="nil"/>
            </w:tcBorders>
            <w:shd w:val="clear" w:color="auto" w:fill="auto"/>
            <w:noWrap/>
            <w:vAlign w:val="center"/>
            <w:hideMark/>
          </w:tcPr>
          <w:p w14:paraId="1CF597DD" w14:textId="2DC42FD8"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nil"/>
              <w:right w:val="nil"/>
            </w:tcBorders>
            <w:shd w:val="clear" w:color="auto" w:fill="auto"/>
            <w:noWrap/>
            <w:vAlign w:val="center"/>
            <w:hideMark/>
          </w:tcPr>
          <w:p w14:paraId="14CFBA67" w14:textId="69DD7F0A"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460.252</w:t>
            </w:r>
          </w:p>
        </w:tc>
        <w:tc>
          <w:tcPr>
            <w:tcW w:w="637" w:type="pct"/>
            <w:tcBorders>
              <w:top w:val="nil"/>
              <w:left w:val="nil"/>
              <w:bottom w:val="nil"/>
              <w:right w:val="nil"/>
            </w:tcBorders>
            <w:shd w:val="clear" w:color="auto" w:fill="auto"/>
            <w:noWrap/>
            <w:vAlign w:val="center"/>
            <w:hideMark/>
          </w:tcPr>
          <w:p w14:paraId="002EAEFB" w14:textId="21676478"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19FB7115" w14:textId="197BB2F0"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460.252</w:t>
            </w:r>
          </w:p>
        </w:tc>
      </w:tr>
      <w:tr w:rsidR="002362E2" w:rsidRPr="002362E2" w14:paraId="4A3EA991" w14:textId="77777777" w:rsidTr="00261EF5">
        <w:trPr>
          <w:trHeight w:val="259"/>
        </w:trPr>
        <w:tc>
          <w:tcPr>
            <w:tcW w:w="2432" w:type="pct"/>
            <w:tcBorders>
              <w:top w:val="nil"/>
              <w:left w:val="nil"/>
              <w:bottom w:val="nil"/>
              <w:right w:val="nil"/>
            </w:tcBorders>
            <w:shd w:val="clear" w:color="auto" w:fill="auto"/>
            <w:noWrap/>
            <w:vAlign w:val="center"/>
            <w:hideMark/>
          </w:tcPr>
          <w:p w14:paraId="249BFA6C"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Transf / Fab. e rep. / Mat. em processo  </w:t>
            </w:r>
          </w:p>
        </w:tc>
        <w:tc>
          <w:tcPr>
            <w:tcW w:w="553" w:type="pct"/>
            <w:tcBorders>
              <w:top w:val="nil"/>
              <w:left w:val="nil"/>
              <w:bottom w:val="nil"/>
              <w:right w:val="nil"/>
            </w:tcBorders>
            <w:shd w:val="clear" w:color="auto" w:fill="auto"/>
            <w:noWrap/>
            <w:vAlign w:val="center"/>
            <w:hideMark/>
          </w:tcPr>
          <w:p w14:paraId="0EE2D9BA" w14:textId="64DFDDAF"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nil"/>
              <w:right w:val="nil"/>
            </w:tcBorders>
            <w:shd w:val="clear" w:color="auto" w:fill="auto"/>
            <w:noWrap/>
            <w:vAlign w:val="center"/>
            <w:hideMark/>
          </w:tcPr>
          <w:p w14:paraId="2FC77BE7" w14:textId="374ACAD4"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3.978</w:t>
            </w:r>
          </w:p>
        </w:tc>
        <w:tc>
          <w:tcPr>
            <w:tcW w:w="637" w:type="pct"/>
            <w:tcBorders>
              <w:top w:val="nil"/>
              <w:left w:val="nil"/>
              <w:bottom w:val="nil"/>
              <w:right w:val="nil"/>
            </w:tcBorders>
            <w:shd w:val="clear" w:color="auto" w:fill="auto"/>
            <w:noWrap/>
            <w:vAlign w:val="center"/>
            <w:hideMark/>
          </w:tcPr>
          <w:p w14:paraId="12E923C3" w14:textId="2A8CF9BB"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150DB753" w14:textId="11E3A690"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3.978</w:t>
            </w:r>
          </w:p>
        </w:tc>
      </w:tr>
      <w:tr w:rsidR="002362E2" w:rsidRPr="002362E2" w14:paraId="344DEC85" w14:textId="77777777" w:rsidTr="00261EF5">
        <w:trPr>
          <w:trHeight w:val="259"/>
        </w:trPr>
        <w:tc>
          <w:tcPr>
            <w:tcW w:w="2432" w:type="pct"/>
            <w:tcBorders>
              <w:top w:val="nil"/>
              <w:left w:val="nil"/>
              <w:bottom w:val="nil"/>
              <w:right w:val="nil"/>
            </w:tcBorders>
            <w:shd w:val="clear" w:color="auto" w:fill="auto"/>
            <w:noWrap/>
            <w:vAlign w:val="center"/>
            <w:hideMark/>
          </w:tcPr>
          <w:p w14:paraId="60FC0547"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Adiantamento a fornecedores </w:t>
            </w:r>
          </w:p>
        </w:tc>
        <w:tc>
          <w:tcPr>
            <w:tcW w:w="553" w:type="pct"/>
            <w:tcBorders>
              <w:top w:val="nil"/>
              <w:left w:val="nil"/>
              <w:bottom w:val="single" w:sz="4" w:space="0" w:color="1B80C4"/>
              <w:right w:val="nil"/>
            </w:tcBorders>
            <w:shd w:val="clear" w:color="auto" w:fill="auto"/>
            <w:noWrap/>
            <w:vAlign w:val="center"/>
            <w:hideMark/>
          </w:tcPr>
          <w:p w14:paraId="3F635A52" w14:textId="485CA1BA"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584" w:type="pct"/>
            <w:tcBorders>
              <w:top w:val="nil"/>
              <w:left w:val="nil"/>
              <w:bottom w:val="single" w:sz="4" w:space="0" w:color="1B80C4"/>
              <w:right w:val="nil"/>
            </w:tcBorders>
            <w:shd w:val="clear" w:color="auto" w:fill="auto"/>
            <w:noWrap/>
            <w:vAlign w:val="center"/>
            <w:hideMark/>
          </w:tcPr>
          <w:p w14:paraId="618CDA59" w14:textId="2B479FD5"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27.350</w:t>
            </w:r>
          </w:p>
        </w:tc>
        <w:tc>
          <w:tcPr>
            <w:tcW w:w="637" w:type="pct"/>
            <w:tcBorders>
              <w:top w:val="nil"/>
              <w:left w:val="nil"/>
              <w:bottom w:val="single" w:sz="4" w:space="0" w:color="1B80C4"/>
              <w:right w:val="nil"/>
            </w:tcBorders>
            <w:shd w:val="clear" w:color="auto" w:fill="auto"/>
            <w:noWrap/>
            <w:vAlign w:val="center"/>
            <w:hideMark/>
          </w:tcPr>
          <w:p w14:paraId="73A16B02" w14:textId="2B63907F"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single" w:sz="4" w:space="0" w:color="1B80C4"/>
              <w:right w:val="nil"/>
            </w:tcBorders>
            <w:shd w:val="clear" w:color="auto" w:fill="auto"/>
            <w:noWrap/>
            <w:vAlign w:val="center"/>
            <w:hideMark/>
          </w:tcPr>
          <w:p w14:paraId="12933466" w14:textId="6CB0DA10"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27.350</w:t>
            </w:r>
          </w:p>
        </w:tc>
      </w:tr>
      <w:tr w:rsidR="002362E2" w:rsidRPr="002362E2" w14:paraId="017C8E3E" w14:textId="77777777" w:rsidTr="00261EF5">
        <w:trPr>
          <w:trHeight w:val="259"/>
        </w:trPr>
        <w:tc>
          <w:tcPr>
            <w:tcW w:w="2432" w:type="pct"/>
            <w:tcBorders>
              <w:top w:val="nil"/>
              <w:left w:val="nil"/>
              <w:bottom w:val="nil"/>
              <w:right w:val="nil"/>
            </w:tcBorders>
            <w:shd w:val="clear" w:color="auto" w:fill="auto"/>
            <w:noWrap/>
            <w:vAlign w:val="center"/>
            <w:hideMark/>
          </w:tcPr>
          <w:p w14:paraId="2C777E63" w14:textId="77777777"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p>
        </w:tc>
        <w:tc>
          <w:tcPr>
            <w:tcW w:w="553" w:type="pct"/>
            <w:tcBorders>
              <w:top w:val="nil"/>
              <w:left w:val="nil"/>
              <w:bottom w:val="nil"/>
              <w:right w:val="nil"/>
            </w:tcBorders>
            <w:shd w:val="clear" w:color="auto" w:fill="auto"/>
            <w:noWrap/>
            <w:vAlign w:val="bottom"/>
            <w:hideMark/>
          </w:tcPr>
          <w:p w14:paraId="7F386E28" w14:textId="6D8E94A6" w:rsidR="002362E2" w:rsidRPr="002362E2" w:rsidRDefault="002362E2" w:rsidP="002362E2">
            <w:pPr>
              <w:spacing w:after="0" w:line="240" w:lineRule="auto"/>
              <w:jc w:val="right"/>
              <w:outlineLvl w:val="0"/>
              <w:rPr>
                <w:rFonts w:ascii="Segoe UI" w:eastAsia="Times New Roman" w:hAnsi="Segoe UI" w:cs="Segoe UI"/>
                <w:b/>
                <w:bCs/>
                <w:sz w:val="18"/>
                <w:szCs w:val="18"/>
                <w:lang w:eastAsia="pt-BR"/>
              </w:rPr>
            </w:pPr>
            <w:r w:rsidRPr="002362E2">
              <w:rPr>
                <w:rFonts w:ascii="Segoe UI" w:eastAsia="Times New Roman" w:hAnsi="Segoe UI" w:cs="Segoe UI"/>
                <w:b/>
                <w:bCs/>
                <w:sz w:val="18"/>
                <w:szCs w:val="18"/>
                <w:lang w:eastAsia="pt-BR"/>
              </w:rPr>
              <w:t>-</w:t>
            </w:r>
          </w:p>
        </w:tc>
        <w:tc>
          <w:tcPr>
            <w:tcW w:w="584" w:type="pct"/>
            <w:tcBorders>
              <w:top w:val="nil"/>
              <w:left w:val="nil"/>
              <w:bottom w:val="nil"/>
              <w:right w:val="nil"/>
            </w:tcBorders>
            <w:shd w:val="clear" w:color="auto" w:fill="auto"/>
            <w:noWrap/>
            <w:vAlign w:val="bottom"/>
            <w:hideMark/>
          </w:tcPr>
          <w:p w14:paraId="32E6FEB3" w14:textId="2E90E6C0" w:rsidR="002362E2" w:rsidRPr="002362E2" w:rsidRDefault="002362E2" w:rsidP="002362E2">
            <w:pPr>
              <w:spacing w:after="0" w:line="240" w:lineRule="auto"/>
              <w:jc w:val="right"/>
              <w:outlineLvl w:val="0"/>
              <w:rPr>
                <w:rFonts w:ascii="Segoe UI" w:eastAsia="Times New Roman" w:hAnsi="Segoe UI" w:cs="Segoe UI"/>
                <w:b/>
                <w:bCs/>
                <w:sz w:val="18"/>
                <w:szCs w:val="18"/>
                <w:lang w:eastAsia="pt-BR"/>
              </w:rPr>
            </w:pPr>
            <w:r w:rsidRPr="002362E2">
              <w:rPr>
                <w:rFonts w:ascii="Segoe UI" w:eastAsia="Times New Roman" w:hAnsi="Segoe UI" w:cs="Segoe UI"/>
                <w:b/>
                <w:bCs/>
                <w:sz w:val="18"/>
                <w:szCs w:val="18"/>
                <w:lang w:eastAsia="pt-BR"/>
              </w:rPr>
              <w:t>995.056</w:t>
            </w:r>
          </w:p>
        </w:tc>
        <w:tc>
          <w:tcPr>
            <w:tcW w:w="637" w:type="pct"/>
            <w:tcBorders>
              <w:top w:val="nil"/>
              <w:left w:val="nil"/>
              <w:bottom w:val="nil"/>
              <w:right w:val="nil"/>
            </w:tcBorders>
            <w:shd w:val="clear" w:color="auto" w:fill="auto"/>
            <w:noWrap/>
            <w:vAlign w:val="bottom"/>
            <w:hideMark/>
          </w:tcPr>
          <w:p w14:paraId="62C5F0C4" w14:textId="19595607" w:rsidR="002362E2" w:rsidRPr="002362E2" w:rsidRDefault="002362E2" w:rsidP="002362E2">
            <w:pPr>
              <w:spacing w:after="0" w:line="240" w:lineRule="auto"/>
              <w:jc w:val="right"/>
              <w:outlineLvl w:val="0"/>
              <w:rPr>
                <w:rFonts w:ascii="Segoe UI" w:eastAsia="Times New Roman" w:hAnsi="Segoe UI" w:cs="Segoe UI"/>
                <w:b/>
                <w:bCs/>
                <w:sz w:val="18"/>
                <w:szCs w:val="18"/>
                <w:lang w:eastAsia="pt-BR"/>
              </w:rPr>
            </w:pPr>
            <w:r w:rsidRPr="002362E2">
              <w:rPr>
                <w:rFonts w:ascii="Segoe UI" w:eastAsia="Times New Roman" w:hAnsi="Segoe UI" w:cs="Segoe UI"/>
                <w:b/>
                <w:bCs/>
                <w:sz w:val="18"/>
                <w:szCs w:val="18"/>
                <w:lang w:eastAsia="pt-BR"/>
              </w:rPr>
              <w:t>-</w:t>
            </w:r>
          </w:p>
        </w:tc>
        <w:tc>
          <w:tcPr>
            <w:tcW w:w="795" w:type="pct"/>
            <w:gridSpan w:val="2"/>
            <w:tcBorders>
              <w:top w:val="nil"/>
              <w:left w:val="nil"/>
              <w:bottom w:val="nil"/>
              <w:right w:val="nil"/>
            </w:tcBorders>
            <w:shd w:val="clear" w:color="auto" w:fill="auto"/>
            <w:noWrap/>
            <w:vAlign w:val="bottom"/>
            <w:hideMark/>
          </w:tcPr>
          <w:p w14:paraId="5EB283F1" w14:textId="4A860070" w:rsidR="002362E2" w:rsidRPr="002362E2" w:rsidRDefault="002362E2" w:rsidP="002362E2">
            <w:pPr>
              <w:spacing w:after="0" w:line="240" w:lineRule="auto"/>
              <w:jc w:val="right"/>
              <w:outlineLvl w:val="0"/>
              <w:rPr>
                <w:rFonts w:ascii="Segoe UI" w:eastAsia="Times New Roman" w:hAnsi="Segoe UI" w:cs="Segoe UI"/>
                <w:b/>
                <w:bCs/>
                <w:sz w:val="18"/>
                <w:szCs w:val="18"/>
                <w:lang w:eastAsia="pt-BR"/>
              </w:rPr>
            </w:pPr>
            <w:r w:rsidRPr="002362E2">
              <w:rPr>
                <w:rFonts w:ascii="Segoe UI" w:eastAsia="Times New Roman" w:hAnsi="Segoe UI" w:cs="Segoe UI"/>
                <w:b/>
                <w:bCs/>
                <w:sz w:val="18"/>
                <w:szCs w:val="18"/>
                <w:lang w:eastAsia="pt-BR"/>
              </w:rPr>
              <w:t>995.056</w:t>
            </w:r>
          </w:p>
        </w:tc>
      </w:tr>
      <w:tr w:rsidR="002362E2" w:rsidRPr="002362E2" w14:paraId="3B9791E2" w14:textId="77777777" w:rsidTr="00261EF5">
        <w:trPr>
          <w:trHeight w:val="259"/>
        </w:trPr>
        <w:tc>
          <w:tcPr>
            <w:tcW w:w="2432" w:type="pct"/>
            <w:tcBorders>
              <w:top w:val="nil"/>
              <w:left w:val="nil"/>
              <w:bottom w:val="nil"/>
              <w:right w:val="nil"/>
            </w:tcBorders>
            <w:shd w:val="clear" w:color="auto" w:fill="auto"/>
            <w:noWrap/>
            <w:vAlign w:val="center"/>
            <w:hideMark/>
          </w:tcPr>
          <w:p w14:paraId="2269A443" w14:textId="77777777" w:rsidR="002362E2" w:rsidRPr="002362E2" w:rsidRDefault="002362E2" w:rsidP="002362E2">
            <w:pPr>
              <w:spacing w:after="0" w:line="240" w:lineRule="auto"/>
              <w:outlineLvl w:val="0"/>
              <w:rPr>
                <w:rFonts w:ascii="Segoe UI" w:eastAsia="Times New Roman" w:hAnsi="Segoe UI" w:cs="Segoe UI"/>
                <w:b/>
                <w:bCs/>
                <w:sz w:val="18"/>
                <w:szCs w:val="18"/>
                <w:lang w:eastAsia="pt-BR"/>
              </w:rPr>
            </w:pPr>
            <w:r w:rsidRPr="002362E2">
              <w:rPr>
                <w:rFonts w:ascii="Segoe UI" w:eastAsia="Times New Roman" w:hAnsi="Segoe UI" w:cs="Segoe UI"/>
                <w:b/>
                <w:bCs/>
                <w:sz w:val="18"/>
                <w:szCs w:val="18"/>
                <w:lang w:eastAsia="pt-BR"/>
              </w:rPr>
              <w:t xml:space="preserve"> Imobilizado em curso - Angra 3 </w:t>
            </w:r>
          </w:p>
        </w:tc>
        <w:tc>
          <w:tcPr>
            <w:tcW w:w="553" w:type="pct"/>
            <w:tcBorders>
              <w:top w:val="nil"/>
              <w:left w:val="nil"/>
              <w:bottom w:val="nil"/>
              <w:right w:val="nil"/>
            </w:tcBorders>
            <w:shd w:val="clear" w:color="auto" w:fill="auto"/>
            <w:noWrap/>
            <w:vAlign w:val="bottom"/>
            <w:hideMark/>
          </w:tcPr>
          <w:p w14:paraId="49CF599C" w14:textId="77777777" w:rsidR="002362E2" w:rsidRPr="002362E2" w:rsidRDefault="002362E2" w:rsidP="002362E2">
            <w:pPr>
              <w:spacing w:after="0" w:line="240" w:lineRule="auto"/>
              <w:jc w:val="right"/>
              <w:outlineLvl w:val="0"/>
              <w:rPr>
                <w:rFonts w:ascii="Segoe UI" w:eastAsia="Times New Roman" w:hAnsi="Segoe UI" w:cs="Segoe UI"/>
                <w:b/>
                <w:bCs/>
                <w:sz w:val="18"/>
                <w:szCs w:val="18"/>
                <w:lang w:eastAsia="pt-BR"/>
              </w:rPr>
            </w:pPr>
          </w:p>
        </w:tc>
        <w:tc>
          <w:tcPr>
            <w:tcW w:w="584" w:type="pct"/>
            <w:tcBorders>
              <w:top w:val="nil"/>
              <w:left w:val="nil"/>
              <w:bottom w:val="nil"/>
              <w:right w:val="nil"/>
            </w:tcBorders>
            <w:shd w:val="clear" w:color="auto" w:fill="auto"/>
            <w:noWrap/>
            <w:vAlign w:val="bottom"/>
            <w:hideMark/>
          </w:tcPr>
          <w:p w14:paraId="32AD8EA6"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637" w:type="pct"/>
            <w:tcBorders>
              <w:top w:val="nil"/>
              <w:left w:val="nil"/>
              <w:bottom w:val="nil"/>
              <w:right w:val="nil"/>
            </w:tcBorders>
            <w:shd w:val="clear" w:color="auto" w:fill="auto"/>
            <w:noWrap/>
            <w:vAlign w:val="bottom"/>
            <w:hideMark/>
          </w:tcPr>
          <w:p w14:paraId="474657B6"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795" w:type="pct"/>
            <w:gridSpan w:val="2"/>
            <w:tcBorders>
              <w:top w:val="nil"/>
              <w:left w:val="nil"/>
              <w:bottom w:val="nil"/>
              <w:right w:val="nil"/>
            </w:tcBorders>
            <w:shd w:val="clear" w:color="auto" w:fill="auto"/>
            <w:noWrap/>
            <w:vAlign w:val="bottom"/>
            <w:hideMark/>
          </w:tcPr>
          <w:p w14:paraId="709FC00C"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r>
      <w:tr w:rsidR="002362E2" w:rsidRPr="002362E2" w14:paraId="1A32932A" w14:textId="77777777" w:rsidTr="00261EF5">
        <w:trPr>
          <w:trHeight w:val="259"/>
        </w:trPr>
        <w:tc>
          <w:tcPr>
            <w:tcW w:w="2432" w:type="pct"/>
            <w:tcBorders>
              <w:top w:val="nil"/>
              <w:left w:val="nil"/>
              <w:bottom w:val="nil"/>
              <w:right w:val="nil"/>
            </w:tcBorders>
            <w:shd w:val="clear" w:color="auto" w:fill="auto"/>
            <w:noWrap/>
            <w:vAlign w:val="center"/>
            <w:hideMark/>
          </w:tcPr>
          <w:p w14:paraId="40C458F4"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Terrenos </w:t>
            </w:r>
          </w:p>
        </w:tc>
        <w:tc>
          <w:tcPr>
            <w:tcW w:w="553" w:type="pct"/>
            <w:tcBorders>
              <w:top w:val="nil"/>
              <w:left w:val="nil"/>
              <w:bottom w:val="nil"/>
              <w:right w:val="nil"/>
            </w:tcBorders>
            <w:shd w:val="clear" w:color="auto" w:fill="auto"/>
            <w:noWrap/>
            <w:vAlign w:val="center"/>
            <w:hideMark/>
          </w:tcPr>
          <w:p w14:paraId="479557EA" w14:textId="3E70768D"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56.433</w:t>
            </w:r>
          </w:p>
        </w:tc>
        <w:tc>
          <w:tcPr>
            <w:tcW w:w="584" w:type="pct"/>
            <w:tcBorders>
              <w:top w:val="nil"/>
              <w:left w:val="nil"/>
              <w:bottom w:val="nil"/>
              <w:right w:val="nil"/>
            </w:tcBorders>
            <w:shd w:val="clear" w:color="auto" w:fill="auto"/>
            <w:noWrap/>
            <w:vAlign w:val="center"/>
            <w:hideMark/>
          </w:tcPr>
          <w:p w14:paraId="475A8C97" w14:textId="51BD66DE"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637" w:type="pct"/>
            <w:tcBorders>
              <w:top w:val="nil"/>
              <w:left w:val="nil"/>
              <w:bottom w:val="nil"/>
              <w:right w:val="nil"/>
            </w:tcBorders>
            <w:shd w:val="clear" w:color="auto" w:fill="auto"/>
            <w:noWrap/>
            <w:vAlign w:val="center"/>
            <w:hideMark/>
          </w:tcPr>
          <w:p w14:paraId="77D05BDD" w14:textId="691A3B96"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0F61136A" w14:textId="5373C1E9"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56.433</w:t>
            </w:r>
          </w:p>
        </w:tc>
      </w:tr>
      <w:tr w:rsidR="002362E2" w:rsidRPr="002362E2" w14:paraId="4F3B0A72" w14:textId="77777777" w:rsidTr="00261EF5">
        <w:trPr>
          <w:trHeight w:val="259"/>
        </w:trPr>
        <w:tc>
          <w:tcPr>
            <w:tcW w:w="2432" w:type="pct"/>
            <w:tcBorders>
              <w:top w:val="nil"/>
              <w:left w:val="nil"/>
              <w:bottom w:val="nil"/>
              <w:right w:val="nil"/>
            </w:tcBorders>
            <w:shd w:val="clear" w:color="auto" w:fill="auto"/>
            <w:noWrap/>
            <w:vAlign w:val="center"/>
            <w:hideMark/>
          </w:tcPr>
          <w:p w14:paraId="21447AF1"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Barragens, reservatórios e adutoras </w:t>
            </w:r>
          </w:p>
        </w:tc>
        <w:tc>
          <w:tcPr>
            <w:tcW w:w="553" w:type="pct"/>
            <w:tcBorders>
              <w:top w:val="nil"/>
              <w:left w:val="nil"/>
              <w:bottom w:val="nil"/>
              <w:right w:val="nil"/>
            </w:tcBorders>
            <w:shd w:val="clear" w:color="auto" w:fill="auto"/>
            <w:noWrap/>
            <w:vAlign w:val="center"/>
            <w:hideMark/>
          </w:tcPr>
          <w:p w14:paraId="5B2D2A5E" w14:textId="12E1C0ED"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532.423</w:t>
            </w:r>
          </w:p>
        </w:tc>
        <w:tc>
          <w:tcPr>
            <w:tcW w:w="584" w:type="pct"/>
            <w:tcBorders>
              <w:top w:val="nil"/>
              <w:left w:val="nil"/>
              <w:bottom w:val="nil"/>
              <w:right w:val="nil"/>
            </w:tcBorders>
            <w:shd w:val="clear" w:color="auto" w:fill="auto"/>
            <w:noWrap/>
            <w:vAlign w:val="center"/>
            <w:hideMark/>
          </w:tcPr>
          <w:p w14:paraId="6EBF488A" w14:textId="695C81B2"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67.303</w:t>
            </w:r>
          </w:p>
        </w:tc>
        <w:tc>
          <w:tcPr>
            <w:tcW w:w="637" w:type="pct"/>
            <w:tcBorders>
              <w:top w:val="nil"/>
              <w:left w:val="nil"/>
              <w:bottom w:val="nil"/>
              <w:right w:val="nil"/>
            </w:tcBorders>
            <w:shd w:val="clear" w:color="auto" w:fill="auto"/>
            <w:noWrap/>
            <w:vAlign w:val="center"/>
            <w:hideMark/>
          </w:tcPr>
          <w:p w14:paraId="3B4EC1A8" w14:textId="6ABFF31F"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576816AF" w14:textId="15891336"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599.726</w:t>
            </w:r>
          </w:p>
        </w:tc>
      </w:tr>
      <w:tr w:rsidR="002362E2" w:rsidRPr="002362E2" w14:paraId="34460D4F" w14:textId="77777777" w:rsidTr="00261EF5">
        <w:trPr>
          <w:trHeight w:val="259"/>
        </w:trPr>
        <w:tc>
          <w:tcPr>
            <w:tcW w:w="2432" w:type="pct"/>
            <w:tcBorders>
              <w:top w:val="nil"/>
              <w:left w:val="nil"/>
              <w:bottom w:val="nil"/>
              <w:right w:val="nil"/>
            </w:tcBorders>
            <w:shd w:val="clear" w:color="auto" w:fill="auto"/>
            <w:noWrap/>
            <w:vAlign w:val="center"/>
            <w:hideMark/>
          </w:tcPr>
          <w:p w14:paraId="270C8D35"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Edificações, obras civis e benfeitorias </w:t>
            </w:r>
          </w:p>
        </w:tc>
        <w:tc>
          <w:tcPr>
            <w:tcW w:w="553" w:type="pct"/>
            <w:tcBorders>
              <w:top w:val="nil"/>
              <w:left w:val="nil"/>
              <w:bottom w:val="nil"/>
              <w:right w:val="nil"/>
            </w:tcBorders>
            <w:shd w:val="clear" w:color="auto" w:fill="auto"/>
            <w:noWrap/>
            <w:vAlign w:val="center"/>
            <w:hideMark/>
          </w:tcPr>
          <w:p w14:paraId="27920345" w14:textId="6F213391"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2.211.918</w:t>
            </w:r>
          </w:p>
        </w:tc>
        <w:tc>
          <w:tcPr>
            <w:tcW w:w="584" w:type="pct"/>
            <w:tcBorders>
              <w:top w:val="nil"/>
              <w:left w:val="nil"/>
              <w:bottom w:val="nil"/>
              <w:right w:val="nil"/>
            </w:tcBorders>
            <w:shd w:val="clear" w:color="auto" w:fill="auto"/>
            <w:noWrap/>
            <w:vAlign w:val="center"/>
            <w:hideMark/>
          </w:tcPr>
          <w:p w14:paraId="27943FD1" w14:textId="6FA20FD0"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(156.250)</w:t>
            </w:r>
          </w:p>
        </w:tc>
        <w:tc>
          <w:tcPr>
            <w:tcW w:w="637" w:type="pct"/>
            <w:tcBorders>
              <w:top w:val="nil"/>
              <w:left w:val="nil"/>
              <w:bottom w:val="nil"/>
              <w:right w:val="nil"/>
            </w:tcBorders>
            <w:shd w:val="clear" w:color="auto" w:fill="auto"/>
            <w:noWrap/>
            <w:vAlign w:val="center"/>
            <w:hideMark/>
          </w:tcPr>
          <w:p w14:paraId="7D60EEEB" w14:textId="783FC95A"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0ABA9DD8" w14:textId="02289E88"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2.055.668</w:t>
            </w:r>
          </w:p>
        </w:tc>
      </w:tr>
      <w:tr w:rsidR="002362E2" w:rsidRPr="002362E2" w14:paraId="16D5FDF9" w14:textId="77777777" w:rsidTr="00261EF5">
        <w:trPr>
          <w:trHeight w:val="259"/>
        </w:trPr>
        <w:tc>
          <w:tcPr>
            <w:tcW w:w="2432" w:type="pct"/>
            <w:tcBorders>
              <w:top w:val="nil"/>
              <w:left w:val="nil"/>
              <w:bottom w:val="nil"/>
              <w:right w:val="nil"/>
            </w:tcBorders>
            <w:shd w:val="clear" w:color="auto" w:fill="auto"/>
            <w:noWrap/>
            <w:vAlign w:val="center"/>
            <w:hideMark/>
          </w:tcPr>
          <w:p w14:paraId="7E795F1F"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Máquinas e equipamentos </w:t>
            </w:r>
          </w:p>
        </w:tc>
        <w:tc>
          <w:tcPr>
            <w:tcW w:w="553" w:type="pct"/>
            <w:tcBorders>
              <w:top w:val="nil"/>
              <w:left w:val="nil"/>
              <w:bottom w:val="nil"/>
              <w:right w:val="nil"/>
            </w:tcBorders>
            <w:shd w:val="clear" w:color="auto" w:fill="auto"/>
            <w:noWrap/>
            <w:vAlign w:val="center"/>
            <w:hideMark/>
          </w:tcPr>
          <w:p w14:paraId="114316C9" w14:textId="67BA6F66"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3.769.144</w:t>
            </w:r>
          </w:p>
        </w:tc>
        <w:tc>
          <w:tcPr>
            <w:tcW w:w="584" w:type="pct"/>
            <w:tcBorders>
              <w:top w:val="nil"/>
              <w:left w:val="nil"/>
              <w:bottom w:val="nil"/>
              <w:right w:val="nil"/>
            </w:tcBorders>
            <w:shd w:val="clear" w:color="auto" w:fill="auto"/>
            <w:noWrap/>
            <w:vAlign w:val="center"/>
            <w:hideMark/>
          </w:tcPr>
          <w:p w14:paraId="55CDCD7F" w14:textId="02D313AA"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425.272</w:t>
            </w:r>
          </w:p>
        </w:tc>
        <w:tc>
          <w:tcPr>
            <w:tcW w:w="637" w:type="pct"/>
            <w:tcBorders>
              <w:top w:val="nil"/>
              <w:left w:val="nil"/>
              <w:bottom w:val="nil"/>
              <w:right w:val="nil"/>
            </w:tcBorders>
            <w:shd w:val="clear" w:color="auto" w:fill="auto"/>
            <w:noWrap/>
            <w:vAlign w:val="center"/>
            <w:hideMark/>
          </w:tcPr>
          <w:p w14:paraId="53516EFB" w14:textId="77E344E7"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761B77F6" w14:textId="7A39B941" w:rsidR="002362E2" w:rsidRPr="002362E2" w:rsidRDefault="002362E2" w:rsidP="002362E2">
            <w:pPr>
              <w:spacing w:after="0" w:line="240" w:lineRule="auto"/>
              <w:jc w:val="right"/>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4.194.416</w:t>
            </w:r>
          </w:p>
        </w:tc>
      </w:tr>
      <w:tr w:rsidR="002362E2" w:rsidRPr="002362E2" w14:paraId="48C597AC" w14:textId="77777777" w:rsidTr="00261EF5">
        <w:trPr>
          <w:trHeight w:val="259"/>
        </w:trPr>
        <w:tc>
          <w:tcPr>
            <w:tcW w:w="2432" w:type="pct"/>
            <w:tcBorders>
              <w:top w:val="nil"/>
              <w:left w:val="nil"/>
              <w:bottom w:val="nil"/>
              <w:right w:val="nil"/>
            </w:tcBorders>
            <w:shd w:val="clear" w:color="auto" w:fill="auto"/>
            <w:noWrap/>
            <w:vAlign w:val="center"/>
            <w:hideMark/>
          </w:tcPr>
          <w:p w14:paraId="2A7CF8A0"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Veículos  </w:t>
            </w:r>
          </w:p>
        </w:tc>
        <w:tc>
          <w:tcPr>
            <w:tcW w:w="553" w:type="pct"/>
            <w:tcBorders>
              <w:top w:val="nil"/>
              <w:left w:val="nil"/>
              <w:bottom w:val="nil"/>
              <w:right w:val="nil"/>
            </w:tcBorders>
            <w:shd w:val="clear" w:color="auto" w:fill="auto"/>
            <w:noWrap/>
            <w:vAlign w:val="center"/>
            <w:hideMark/>
          </w:tcPr>
          <w:p w14:paraId="175ACA53" w14:textId="0CBCFE61"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68.860</w:t>
            </w:r>
          </w:p>
        </w:tc>
        <w:tc>
          <w:tcPr>
            <w:tcW w:w="584" w:type="pct"/>
            <w:tcBorders>
              <w:top w:val="nil"/>
              <w:left w:val="nil"/>
              <w:bottom w:val="nil"/>
              <w:right w:val="nil"/>
            </w:tcBorders>
            <w:shd w:val="clear" w:color="auto" w:fill="auto"/>
            <w:noWrap/>
            <w:vAlign w:val="center"/>
            <w:hideMark/>
          </w:tcPr>
          <w:p w14:paraId="11108E79" w14:textId="44ACC7E8"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(65.310)</w:t>
            </w:r>
          </w:p>
        </w:tc>
        <w:tc>
          <w:tcPr>
            <w:tcW w:w="637" w:type="pct"/>
            <w:tcBorders>
              <w:top w:val="nil"/>
              <w:left w:val="nil"/>
              <w:bottom w:val="nil"/>
              <w:right w:val="nil"/>
            </w:tcBorders>
            <w:shd w:val="clear" w:color="auto" w:fill="auto"/>
            <w:noWrap/>
            <w:vAlign w:val="center"/>
            <w:hideMark/>
          </w:tcPr>
          <w:p w14:paraId="433673E6" w14:textId="1F5CE13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1B092463" w14:textId="3032D6C5"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3.550</w:t>
            </w:r>
          </w:p>
        </w:tc>
      </w:tr>
      <w:tr w:rsidR="002362E2" w:rsidRPr="002362E2" w14:paraId="29826C64" w14:textId="77777777" w:rsidTr="00261EF5">
        <w:trPr>
          <w:trHeight w:val="259"/>
        </w:trPr>
        <w:tc>
          <w:tcPr>
            <w:tcW w:w="2432" w:type="pct"/>
            <w:tcBorders>
              <w:top w:val="nil"/>
              <w:left w:val="nil"/>
              <w:bottom w:val="nil"/>
              <w:right w:val="nil"/>
            </w:tcBorders>
            <w:shd w:val="clear" w:color="auto" w:fill="auto"/>
            <w:noWrap/>
            <w:vAlign w:val="center"/>
            <w:hideMark/>
          </w:tcPr>
          <w:p w14:paraId="5F5873AE"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Móveis e utensílios </w:t>
            </w:r>
          </w:p>
        </w:tc>
        <w:tc>
          <w:tcPr>
            <w:tcW w:w="553" w:type="pct"/>
            <w:tcBorders>
              <w:top w:val="nil"/>
              <w:left w:val="nil"/>
              <w:bottom w:val="nil"/>
              <w:right w:val="nil"/>
            </w:tcBorders>
            <w:shd w:val="clear" w:color="auto" w:fill="auto"/>
            <w:noWrap/>
            <w:vAlign w:val="center"/>
            <w:hideMark/>
          </w:tcPr>
          <w:p w14:paraId="5F5ABE04" w14:textId="698A0F04"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2.248</w:t>
            </w:r>
          </w:p>
        </w:tc>
        <w:tc>
          <w:tcPr>
            <w:tcW w:w="584" w:type="pct"/>
            <w:tcBorders>
              <w:top w:val="nil"/>
              <w:left w:val="nil"/>
              <w:bottom w:val="nil"/>
              <w:right w:val="nil"/>
            </w:tcBorders>
            <w:shd w:val="clear" w:color="auto" w:fill="auto"/>
            <w:noWrap/>
            <w:vAlign w:val="center"/>
            <w:hideMark/>
          </w:tcPr>
          <w:p w14:paraId="37387732" w14:textId="39397D73"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(1.758)</w:t>
            </w:r>
          </w:p>
        </w:tc>
        <w:tc>
          <w:tcPr>
            <w:tcW w:w="637" w:type="pct"/>
            <w:tcBorders>
              <w:top w:val="nil"/>
              <w:left w:val="nil"/>
              <w:bottom w:val="nil"/>
              <w:right w:val="nil"/>
            </w:tcBorders>
            <w:shd w:val="clear" w:color="auto" w:fill="auto"/>
            <w:noWrap/>
            <w:vAlign w:val="center"/>
            <w:hideMark/>
          </w:tcPr>
          <w:p w14:paraId="0C41878B" w14:textId="2A8AD2D0"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48F992D2" w14:textId="34F29F6B"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490</w:t>
            </w:r>
          </w:p>
        </w:tc>
      </w:tr>
      <w:tr w:rsidR="002362E2" w:rsidRPr="002362E2" w14:paraId="2224B8FD" w14:textId="77777777" w:rsidTr="00261EF5">
        <w:trPr>
          <w:trHeight w:val="259"/>
        </w:trPr>
        <w:tc>
          <w:tcPr>
            <w:tcW w:w="2432" w:type="pct"/>
            <w:tcBorders>
              <w:top w:val="nil"/>
              <w:left w:val="nil"/>
              <w:bottom w:val="nil"/>
              <w:right w:val="nil"/>
            </w:tcBorders>
            <w:shd w:val="clear" w:color="auto" w:fill="auto"/>
            <w:noWrap/>
            <w:vAlign w:val="center"/>
            <w:hideMark/>
          </w:tcPr>
          <w:p w14:paraId="0B84F39A"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A ratear </w:t>
            </w:r>
          </w:p>
        </w:tc>
        <w:tc>
          <w:tcPr>
            <w:tcW w:w="553" w:type="pct"/>
            <w:tcBorders>
              <w:top w:val="nil"/>
              <w:left w:val="nil"/>
              <w:bottom w:val="nil"/>
              <w:right w:val="nil"/>
            </w:tcBorders>
            <w:shd w:val="clear" w:color="auto" w:fill="auto"/>
            <w:noWrap/>
            <w:vAlign w:val="center"/>
            <w:hideMark/>
          </w:tcPr>
          <w:p w14:paraId="06820210" w14:textId="57189A3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7.568.756</w:t>
            </w:r>
          </w:p>
        </w:tc>
        <w:tc>
          <w:tcPr>
            <w:tcW w:w="584" w:type="pct"/>
            <w:tcBorders>
              <w:top w:val="nil"/>
              <w:left w:val="nil"/>
              <w:bottom w:val="nil"/>
              <w:right w:val="nil"/>
            </w:tcBorders>
            <w:shd w:val="clear" w:color="auto" w:fill="auto"/>
            <w:noWrap/>
            <w:vAlign w:val="center"/>
            <w:hideMark/>
          </w:tcPr>
          <w:p w14:paraId="4495CC3F" w14:textId="6928F16E"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(463.950)</w:t>
            </w:r>
          </w:p>
        </w:tc>
        <w:tc>
          <w:tcPr>
            <w:tcW w:w="637" w:type="pct"/>
            <w:tcBorders>
              <w:top w:val="nil"/>
              <w:left w:val="nil"/>
              <w:bottom w:val="nil"/>
              <w:right w:val="nil"/>
            </w:tcBorders>
            <w:shd w:val="clear" w:color="auto" w:fill="auto"/>
            <w:noWrap/>
            <w:vAlign w:val="center"/>
            <w:hideMark/>
          </w:tcPr>
          <w:p w14:paraId="41C95BB6" w14:textId="2732C660"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64D03240" w14:textId="5146D332"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7.104.806</w:t>
            </w:r>
          </w:p>
        </w:tc>
      </w:tr>
      <w:tr w:rsidR="002362E2" w:rsidRPr="002362E2" w14:paraId="7BB35B1E" w14:textId="77777777" w:rsidTr="00261EF5">
        <w:trPr>
          <w:trHeight w:val="259"/>
        </w:trPr>
        <w:tc>
          <w:tcPr>
            <w:tcW w:w="2432" w:type="pct"/>
            <w:tcBorders>
              <w:top w:val="nil"/>
              <w:left w:val="nil"/>
              <w:bottom w:val="nil"/>
              <w:right w:val="nil"/>
            </w:tcBorders>
            <w:shd w:val="clear" w:color="auto" w:fill="auto"/>
            <w:noWrap/>
            <w:vAlign w:val="center"/>
            <w:hideMark/>
          </w:tcPr>
          <w:p w14:paraId="75D97F6C"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Transf / Fab. e rep. / Mat. em processo  </w:t>
            </w:r>
          </w:p>
        </w:tc>
        <w:tc>
          <w:tcPr>
            <w:tcW w:w="553" w:type="pct"/>
            <w:tcBorders>
              <w:top w:val="nil"/>
              <w:left w:val="nil"/>
              <w:bottom w:val="nil"/>
              <w:right w:val="nil"/>
            </w:tcBorders>
            <w:shd w:val="clear" w:color="auto" w:fill="auto"/>
            <w:noWrap/>
            <w:vAlign w:val="center"/>
            <w:hideMark/>
          </w:tcPr>
          <w:p w14:paraId="33FA574F" w14:textId="5CB6966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(24.649)</w:t>
            </w:r>
          </w:p>
        </w:tc>
        <w:tc>
          <w:tcPr>
            <w:tcW w:w="584" w:type="pct"/>
            <w:tcBorders>
              <w:top w:val="nil"/>
              <w:left w:val="nil"/>
              <w:bottom w:val="nil"/>
              <w:right w:val="nil"/>
            </w:tcBorders>
            <w:shd w:val="clear" w:color="auto" w:fill="auto"/>
            <w:noWrap/>
            <w:vAlign w:val="center"/>
            <w:hideMark/>
          </w:tcPr>
          <w:p w14:paraId="25F43BF4" w14:textId="27635552"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27.509</w:t>
            </w:r>
          </w:p>
        </w:tc>
        <w:tc>
          <w:tcPr>
            <w:tcW w:w="637" w:type="pct"/>
            <w:tcBorders>
              <w:top w:val="nil"/>
              <w:left w:val="nil"/>
              <w:bottom w:val="nil"/>
              <w:right w:val="nil"/>
            </w:tcBorders>
            <w:shd w:val="clear" w:color="auto" w:fill="auto"/>
            <w:noWrap/>
            <w:vAlign w:val="center"/>
            <w:hideMark/>
          </w:tcPr>
          <w:p w14:paraId="25ACD9B5" w14:textId="6B43E47E"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7328B4F7" w14:textId="5F7230A2"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2.860</w:t>
            </w:r>
          </w:p>
        </w:tc>
      </w:tr>
      <w:tr w:rsidR="002362E2" w:rsidRPr="002362E2" w14:paraId="2446AF53" w14:textId="77777777" w:rsidTr="00261EF5">
        <w:trPr>
          <w:trHeight w:val="259"/>
        </w:trPr>
        <w:tc>
          <w:tcPr>
            <w:tcW w:w="2432" w:type="pct"/>
            <w:tcBorders>
              <w:top w:val="nil"/>
              <w:left w:val="nil"/>
              <w:bottom w:val="nil"/>
              <w:right w:val="nil"/>
            </w:tcBorders>
            <w:shd w:val="clear" w:color="auto" w:fill="auto"/>
            <w:noWrap/>
            <w:vAlign w:val="center"/>
            <w:hideMark/>
          </w:tcPr>
          <w:p w14:paraId="2ABB839D"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Adiantamento a fornecedores </w:t>
            </w:r>
          </w:p>
        </w:tc>
        <w:tc>
          <w:tcPr>
            <w:tcW w:w="553" w:type="pct"/>
            <w:tcBorders>
              <w:top w:val="nil"/>
              <w:left w:val="nil"/>
              <w:bottom w:val="nil"/>
              <w:right w:val="nil"/>
            </w:tcBorders>
            <w:shd w:val="clear" w:color="auto" w:fill="auto"/>
            <w:noWrap/>
            <w:vAlign w:val="center"/>
            <w:hideMark/>
          </w:tcPr>
          <w:p w14:paraId="76B4DF4B" w14:textId="26A51236"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693.015</w:t>
            </w:r>
          </w:p>
        </w:tc>
        <w:tc>
          <w:tcPr>
            <w:tcW w:w="584" w:type="pct"/>
            <w:tcBorders>
              <w:top w:val="nil"/>
              <w:left w:val="nil"/>
              <w:bottom w:val="nil"/>
              <w:right w:val="nil"/>
            </w:tcBorders>
            <w:shd w:val="clear" w:color="auto" w:fill="auto"/>
            <w:noWrap/>
            <w:vAlign w:val="center"/>
            <w:hideMark/>
          </w:tcPr>
          <w:p w14:paraId="13E74878" w14:textId="6A8A4191"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(27.350)</w:t>
            </w:r>
          </w:p>
        </w:tc>
        <w:tc>
          <w:tcPr>
            <w:tcW w:w="637" w:type="pct"/>
            <w:tcBorders>
              <w:top w:val="nil"/>
              <w:left w:val="nil"/>
              <w:bottom w:val="nil"/>
              <w:right w:val="nil"/>
            </w:tcBorders>
            <w:shd w:val="clear" w:color="auto" w:fill="auto"/>
            <w:noWrap/>
            <w:vAlign w:val="center"/>
            <w:hideMark/>
          </w:tcPr>
          <w:p w14:paraId="2AD3DFC3" w14:textId="6D50086D"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1D3C1036" w14:textId="7AD0F5CA"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665.665</w:t>
            </w:r>
          </w:p>
        </w:tc>
      </w:tr>
      <w:tr w:rsidR="002362E2" w:rsidRPr="002362E2" w14:paraId="74A32B12" w14:textId="77777777" w:rsidTr="00261EF5">
        <w:trPr>
          <w:trHeight w:val="259"/>
        </w:trPr>
        <w:tc>
          <w:tcPr>
            <w:tcW w:w="2432" w:type="pct"/>
            <w:tcBorders>
              <w:top w:val="nil"/>
              <w:left w:val="nil"/>
              <w:bottom w:val="nil"/>
              <w:right w:val="nil"/>
            </w:tcBorders>
            <w:shd w:val="clear" w:color="auto" w:fill="auto"/>
            <w:noWrap/>
            <w:vAlign w:val="center"/>
            <w:hideMark/>
          </w:tcPr>
          <w:p w14:paraId="46C0D679"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Provisão para valor recuperável dos ativos (</w:t>
            </w:r>
            <w:r w:rsidRPr="00482C5E">
              <w:rPr>
                <w:rFonts w:ascii="Segoe UI" w:hAnsi="Segoe UI"/>
                <w:i/>
                <w:color w:val="000000"/>
                <w:sz w:val="18"/>
              </w:rPr>
              <w:t>Impairment</w:t>
            </w:r>
            <w:r w:rsidRPr="002362E2">
              <w:rPr>
                <w:rFonts w:ascii="Segoe UI" w:eastAsia="Times New Roman" w:hAnsi="Segoe UI" w:cs="Segoe UI"/>
                <w:color w:val="000000"/>
                <w:sz w:val="18"/>
                <w:szCs w:val="18"/>
                <w:lang w:eastAsia="pt-BR"/>
              </w:rPr>
              <w:t xml:space="preserve">) </w:t>
            </w:r>
          </w:p>
        </w:tc>
        <w:tc>
          <w:tcPr>
            <w:tcW w:w="553" w:type="pct"/>
            <w:tcBorders>
              <w:top w:val="nil"/>
              <w:left w:val="nil"/>
              <w:bottom w:val="single" w:sz="4" w:space="0" w:color="1B80C4"/>
              <w:right w:val="nil"/>
            </w:tcBorders>
            <w:shd w:val="clear" w:color="auto" w:fill="auto"/>
            <w:noWrap/>
            <w:vAlign w:val="center"/>
            <w:hideMark/>
          </w:tcPr>
          <w:p w14:paraId="6EF0B932" w14:textId="6504A7D5"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(4.508.764)</w:t>
            </w:r>
          </w:p>
        </w:tc>
        <w:tc>
          <w:tcPr>
            <w:tcW w:w="584" w:type="pct"/>
            <w:tcBorders>
              <w:top w:val="nil"/>
              <w:left w:val="nil"/>
              <w:bottom w:val="single" w:sz="4" w:space="0" w:color="1B80C4"/>
              <w:right w:val="nil"/>
            </w:tcBorders>
            <w:shd w:val="clear" w:color="auto" w:fill="auto"/>
            <w:noWrap/>
            <w:vAlign w:val="center"/>
            <w:hideMark/>
          </w:tcPr>
          <w:p w14:paraId="23FD99D1" w14:textId="04C9A98A"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637" w:type="pct"/>
            <w:tcBorders>
              <w:top w:val="nil"/>
              <w:left w:val="nil"/>
              <w:bottom w:val="single" w:sz="4" w:space="0" w:color="1B80C4"/>
              <w:right w:val="nil"/>
            </w:tcBorders>
            <w:shd w:val="clear" w:color="auto" w:fill="auto"/>
            <w:noWrap/>
            <w:vAlign w:val="center"/>
            <w:hideMark/>
          </w:tcPr>
          <w:p w14:paraId="5302BB12" w14:textId="17ACE39C"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single" w:sz="4" w:space="0" w:color="1B80C4"/>
              <w:right w:val="nil"/>
            </w:tcBorders>
            <w:shd w:val="clear" w:color="auto" w:fill="auto"/>
            <w:noWrap/>
            <w:vAlign w:val="center"/>
            <w:hideMark/>
          </w:tcPr>
          <w:p w14:paraId="2ACF7AB5" w14:textId="152554AE"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(4.508.764)</w:t>
            </w:r>
          </w:p>
        </w:tc>
      </w:tr>
      <w:tr w:rsidR="002362E2" w:rsidRPr="002362E2" w14:paraId="79FB270D" w14:textId="77777777" w:rsidTr="00261EF5">
        <w:trPr>
          <w:trHeight w:val="259"/>
        </w:trPr>
        <w:tc>
          <w:tcPr>
            <w:tcW w:w="2432" w:type="pct"/>
            <w:tcBorders>
              <w:top w:val="nil"/>
              <w:left w:val="nil"/>
              <w:bottom w:val="nil"/>
              <w:right w:val="nil"/>
            </w:tcBorders>
            <w:shd w:val="clear" w:color="auto" w:fill="auto"/>
            <w:noWrap/>
            <w:vAlign w:val="center"/>
            <w:hideMark/>
          </w:tcPr>
          <w:p w14:paraId="32B85005" w14:textId="77777777"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p>
        </w:tc>
        <w:tc>
          <w:tcPr>
            <w:tcW w:w="553" w:type="pct"/>
            <w:tcBorders>
              <w:top w:val="nil"/>
              <w:left w:val="nil"/>
              <w:bottom w:val="nil"/>
              <w:right w:val="nil"/>
            </w:tcBorders>
            <w:shd w:val="clear" w:color="auto" w:fill="auto"/>
            <w:noWrap/>
            <w:vAlign w:val="bottom"/>
            <w:hideMark/>
          </w:tcPr>
          <w:p w14:paraId="63E29AAB" w14:textId="44851CE2"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10.369.384</w:t>
            </w:r>
          </w:p>
        </w:tc>
        <w:tc>
          <w:tcPr>
            <w:tcW w:w="584" w:type="pct"/>
            <w:tcBorders>
              <w:top w:val="nil"/>
              <w:left w:val="nil"/>
              <w:bottom w:val="nil"/>
              <w:right w:val="nil"/>
            </w:tcBorders>
            <w:shd w:val="clear" w:color="auto" w:fill="auto"/>
            <w:noWrap/>
            <w:vAlign w:val="bottom"/>
            <w:hideMark/>
          </w:tcPr>
          <w:p w14:paraId="07547D92" w14:textId="4A9A30C4"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(194.534)</w:t>
            </w:r>
          </w:p>
        </w:tc>
        <w:tc>
          <w:tcPr>
            <w:tcW w:w="637" w:type="pct"/>
            <w:tcBorders>
              <w:top w:val="nil"/>
              <w:left w:val="nil"/>
              <w:bottom w:val="nil"/>
              <w:right w:val="nil"/>
            </w:tcBorders>
            <w:shd w:val="clear" w:color="auto" w:fill="auto"/>
            <w:noWrap/>
            <w:vAlign w:val="bottom"/>
            <w:hideMark/>
          </w:tcPr>
          <w:p w14:paraId="4F620FA6" w14:textId="626E83EA"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w:t>
            </w:r>
          </w:p>
        </w:tc>
        <w:tc>
          <w:tcPr>
            <w:tcW w:w="795" w:type="pct"/>
            <w:gridSpan w:val="2"/>
            <w:tcBorders>
              <w:top w:val="nil"/>
              <w:left w:val="nil"/>
              <w:bottom w:val="nil"/>
              <w:right w:val="nil"/>
            </w:tcBorders>
            <w:shd w:val="clear" w:color="auto" w:fill="auto"/>
            <w:noWrap/>
            <w:vAlign w:val="bottom"/>
            <w:hideMark/>
          </w:tcPr>
          <w:p w14:paraId="7FFF2353" w14:textId="754EDFA2"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10.174.850</w:t>
            </w:r>
          </w:p>
        </w:tc>
      </w:tr>
      <w:tr w:rsidR="002362E2" w:rsidRPr="002362E2" w14:paraId="5ADBBD92" w14:textId="77777777" w:rsidTr="00261EF5">
        <w:trPr>
          <w:trHeight w:val="259"/>
        </w:trPr>
        <w:tc>
          <w:tcPr>
            <w:tcW w:w="2432" w:type="pct"/>
            <w:tcBorders>
              <w:top w:val="nil"/>
              <w:left w:val="nil"/>
              <w:bottom w:val="nil"/>
              <w:right w:val="nil"/>
            </w:tcBorders>
            <w:shd w:val="clear" w:color="auto" w:fill="auto"/>
            <w:noWrap/>
            <w:vAlign w:val="center"/>
            <w:hideMark/>
          </w:tcPr>
          <w:p w14:paraId="33162053" w14:textId="77777777" w:rsidR="002362E2" w:rsidRPr="002362E2" w:rsidRDefault="002362E2" w:rsidP="002362E2">
            <w:pPr>
              <w:spacing w:after="0" w:line="240" w:lineRule="auto"/>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 xml:space="preserve"> Imobilizado em Serviço - INB </w:t>
            </w:r>
          </w:p>
        </w:tc>
        <w:tc>
          <w:tcPr>
            <w:tcW w:w="553" w:type="pct"/>
            <w:tcBorders>
              <w:top w:val="nil"/>
              <w:left w:val="nil"/>
              <w:bottom w:val="nil"/>
              <w:right w:val="nil"/>
            </w:tcBorders>
            <w:shd w:val="clear" w:color="auto" w:fill="auto"/>
            <w:noWrap/>
            <w:vAlign w:val="center"/>
            <w:hideMark/>
          </w:tcPr>
          <w:p w14:paraId="72E2DAB4" w14:textId="77777777"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03ED2155"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637" w:type="pct"/>
            <w:tcBorders>
              <w:top w:val="nil"/>
              <w:left w:val="nil"/>
              <w:bottom w:val="nil"/>
              <w:right w:val="nil"/>
            </w:tcBorders>
            <w:shd w:val="clear" w:color="auto" w:fill="auto"/>
            <w:noWrap/>
            <w:vAlign w:val="center"/>
            <w:hideMark/>
          </w:tcPr>
          <w:p w14:paraId="3B2469C2"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c>
          <w:tcPr>
            <w:tcW w:w="795" w:type="pct"/>
            <w:gridSpan w:val="2"/>
            <w:tcBorders>
              <w:top w:val="nil"/>
              <w:left w:val="nil"/>
              <w:bottom w:val="nil"/>
              <w:right w:val="nil"/>
            </w:tcBorders>
            <w:shd w:val="clear" w:color="auto" w:fill="auto"/>
            <w:noWrap/>
            <w:vAlign w:val="center"/>
            <w:hideMark/>
          </w:tcPr>
          <w:p w14:paraId="7EFA13EF" w14:textId="77777777" w:rsidR="002362E2" w:rsidRPr="002362E2" w:rsidRDefault="002362E2" w:rsidP="002362E2">
            <w:pPr>
              <w:spacing w:after="0" w:line="240" w:lineRule="auto"/>
              <w:jc w:val="right"/>
              <w:outlineLvl w:val="0"/>
              <w:rPr>
                <w:rFonts w:ascii="Times New Roman" w:eastAsia="Times New Roman" w:hAnsi="Times New Roman" w:cs="Times New Roman"/>
                <w:sz w:val="20"/>
                <w:szCs w:val="20"/>
                <w:lang w:eastAsia="pt-BR"/>
              </w:rPr>
            </w:pPr>
          </w:p>
        </w:tc>
      </w:tr>
      <w:tr w:rsidR="002362E2" w:rsidRPr="002362E2" w14:paraId="1CD67F45" w14:textId="77777777" w:rsidTr="00261EF5">
        <w:trPr>
          <w:trHeight w:val="259"/>
        </w:trPr>
        <w:tc>
          <w:tcPr>
            <w:tcW w:w="2432" w:type="pct"/>
            <w:tcBorders>
              <w:top w:val="nil"/>
              <w:left w:val="nil"/>
              <w:bottom w:val="nil"/>
              <w:right w:val="nil"/>
            </w:tcBorders>
            <w:shd w:val="clear" w:color="auto" w:fill="auto"/>
            <w:noWrap/>
            <w:vAlign w:val="center"/>
            <w:hideMark/>
          </w:tcPr>
          <w:p w14:paraId="3B046CB8"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Terrenos </w:t>
            </w:r>
          </w:p>
        </w:tc>
        <w:tc>
          <w:tcPr>
            <w:tcW w:w="553" w:type="pct"/>
            <w:tcBorders>
              <w:top w:val="nil"/>
              <w:left w:val="nil"/>
              <w:bottom w:val="nil"/>
              <w:right w:val="nil"/>
            </w:tcBorders>
            <w:shd w:val="clear" w:color="auto" w:fill="auto"/>
            <w:noWrap/>
            <w:vAlign w:val="center"/>
            <w:hideMark/>
          </w:tcPr>
          <w:p w14:paraId="33CBB127" w14:textId="37334C8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18.650</w:t>
            </w:r>
          </w:p>
        </w:tc>
        <w:tc>
          <w:tcPr>
            <w:tcW w:w="584" w:type="pct"/>
            <w:tcBorders>
              <w:top w:val="nil"/>
              <w:left w:val="nil"/>
              <w:bottom w:val="nil"/>
              <w:right w:val="nil"/>
            </w:tcBorders>
            <w:shd w:val="clear" w:color="auto" w:fill="auto"/>
            <w:noWrap/>
            <w:vAlign w:val="center"/>
            <w:hideMark/>
          </w:tcPr>
          <w:p w14:paraId="2857E4A2" w14:textId="3CECFBE2"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637" w:type="pct"/>
            <w:tcBorders>
              <w:top w:val="nil"/>
              <w:left w:val="nil"/>
              <w:bottom w:val="nil"/>
              <w:right w:val="nil"/>
            </w:tcBorders>
            <w:shd w:val="clear" w:color="auto" w:fill="auto"/>
            <w:noWrap/>
            <w:vAlign w:val="center"/>
            <w:hideMark/>
          </w:tcPr>
          <w:p w14:paraId="4EEAEEEC" w14:textId="3B00699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25DCA5EF" w14:textId="1D970892"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18.650</w:t>
            </w:r>
          </w:p>
        </w:tc>
      </w:tr>
      <w:tr w:rsidR="002362E2" w:rsidRPr="002362E2" w14:paraId="017A4189" w14:textId="77777777" w:rsidTr="00261EF5">
        <w:trPr>
          <w:trHeight w:val="259"/>
        </w:trPr>
        <w:tc>
          <w:tcPr>
            <w:tcW w:w="2432" w:type="pct"/>
            <w:tcBorders>
              <w:top w:val="nil"/>
              <w:left w:val="nil"/>
              <w:bottom w:val="nil"/>
              <w:right w:val="nil"/>
            </w:tcBorders>
            <w:shd w:val="clear" w:color="auto" w:fill="auto"/>
            <w:noWrap/>
            <w:vAlign w:val="center"/>
            <w:hideMark/>
          </w:tcPr>
          <w:p w14:paraId="6BDD2B71" w14:textId="77777777" w:rsidR="002362E2" w:rsidRPr="002362E2" w:rsidRDefault="002362E2" w:rsidP="002362E2">
            <w:pPr>
              <w:spacing w:after="0" w:line="240" w:lineRule="auto"/>
              <w:outlineLvl w:val="0"/>
              <w:rPr>
                <w:rFonts w:ascii="Segoe UI" w:eastAsia="Times New Roman" w:hAnsi="Segoe UI" w:cs="Segoe UI"/>
                <w:sz w:val="18"/>
                <w:szCs w:val="18"/>
                <w:lang w:eastAsia="pt-BR"/>
              </w:rPr>
            </w:pPr>
            <w:r w:rsidRPr="002362E2">
              <w:rPr>
                <w:rFonts w:ascii="Segoe UI" w:eastAsia="Times New Roman" w:hAnsi="Segoe UI" w:cs="Segoe UI"/>
                <w:sz w:val="18"/>
                <w:szCs w:val="18"/>
                <w:lang w:eastAsia="pt-BR"/>
              </w:rPr>
              <w:t xml:space="preserve">   Edificações, obras civis e benfeitorias </w:t>
            </w:r>
          </w:p>
        </w:tc>
        <w:tc>
          <w:tcPr>
            <w:tcW w:w="553" w:type="pct"/>
            <w:tcBorders>
              <w:top w:val="nil"/>
              <w:left w:val="nil"/>
              <w:bottom w:val="nil"/>
              <w:right w:val="nil"/>
            </w:tcBorders>
            <w:shd w:val="clear" w:color="auto" w:fill="auto"/>
            <w:noWrap/>
            <w:vAlign w:val="center"/>
            <w:hideMark/>
          </w:tcPr>
          <w:p w14:paraId="1ED882CB" w14:textId="4060D8CA"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584" w:type="pct"/>
            <w:tcBorders>
              <w:top w:val="nil"/>
              <w:left w:val="nil"/>
              <w:bottom w:val="nil"/>
              <w:right w:val="nil"/>
            </w:tcBorders>
            <w:shd w:val="clear" w:color="auto" w:fill="auto"/>
            <w:noWrap/>
            <w:vAlign w:val="center"/>
            <w:hideMark/>
          </w:tcPr>
          <w:p w14:paraId="731E5938" w14:textId="62977E5C"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305.029</w:t>
            </w:r>
          </w:p>
        </w:tc>
        <w:tc>
          <w:tcPr>
            <w:tcW w:w="637" w:type="pct"/>
            <w:tcBorders>
              <w:top w:val="nil"/>
              <w:left w:val="nil"/>
              <w:bottom w:val="nil"/>
              <w:right w:val="nil"/>
            </w:tcBorders>
            <w:shd w:val="clear" w:color="auto" w:fill="auto"/>
            <w:noWrap/>
            <w:vAlign w:val="center"/>
            <w:hideMark/>
          </w:tcPr>
          <w:p w14:paraId="6E51B160" w14:textId="2E08DA6D"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4F0EAFC7" w14:textId="16AC2FCC"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305.029</w:t>
            </w:r>
          </w:p>
        </w:tc>
      </w:tr>
      <w:tr w:rsidR="002362E2" w:rsidRPr="002362E2" w14:paraId="63ECC69B" w14:textId="77777777" w:rsidTr="00261EF5">
        <w:trPr>
          <w:trHeight w:val="259"/>
        </w:trPr>
        <w:tc>
          <w:tcPr>
            <w:tcW w:w="2432" w:type="pct"/>
            <w:tcBorders>
              <w:top w:val="nil"/>
              <w:left w:val="nil"/>
              <w:bottom w:val="nil"/>
              <w:right w:val="nil"/>
            </w:tcBorders>
            <w:shd w:val="clear" w:color="auto" w:fill="auto"/>
            <w:noWrap/>
            <w:vAlign w:val="center"/>
            <w:hideMark/>
          </w:tcPr>
          <w:p w14:paraId="4A30C8E2"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Máquinas e equipamentos </w:t>
            </w:r>
          </w:p>
        </w:tc>
        <w:tc>
          <w:tcPr>
            <w:tcW w:w="553" w:type="pct"/>
            <w:tcBorders>
              <w:top w:val="nil"/>
              <w:left w:val="nil"/>
              <w:bottom w:val="nil"/>
              <w:right w:val="nil"/>
            </w:tcBorders>
            <w:shd w:val="clear" w:color="auto" w:fill="auto"/>
            <w:noWrap/>
            <w:vAlign w:val="center"/>
            <w:hideMark/>
          </w:tcPr>
          <w:p w14:paraId="4C977512" w14:textId="27CCB1AF"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21.931</w:t>
            </w:r>
          </w:p>
        </w:tc>
        <w:tc>
          <w:tcPr>
            <w:tcW w:w="584" w:type="pct"/>
            <w:tcBorders>
              <w:top w:val="nil"/>
              <w:left w:val="nil"/>
              <w:bottom w:val="nil"/>
              <w:right w:val="nil"/>
            </w:tcBorders>
            <w:shd w:val="clear" w:color="auto" w:fill="auto"/>
            <w:noWrap/>
            <w:vAlign w:val="center"/>
            <w:hideMark/>
          </w:tcPr>
          <w:p w14:paraId="69731937" w14:textId="7776150B"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24.794</w:t>
            </w:r>
          </w:p>
        </w:tc>
        <w:tc>
          <w:tcPr>
            <w:tcW w:w="637" w:type="pct"/>
            <w:tcBorders>
              <w:top w:val="nil"/>
              <w:left w:val="nil"/>
              <w:bottom w:val="nil"/>
              <w:right w:val="nil"/>
            </w:tcBorders>
            <w:shd w:val="clear" w:color="auto" w:fill="auto"/>
            <w:noWrap/>
            <w:vAlign w:val="center"/>
            <w:hideMark/>
          </w:tcPr>
          <w:p w14:paraId="7F9B3F79" w14:textId="77073F3B"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01DF05C3" w14:textId="31301B40"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46.725</w:t>
            </w:r>
          </w:p>
        </w:tc>
      </w:tr>
      <w:tr w:rsidR="002362E2" w:rsidRPr="002362E2" w14:paraId="3FC7AE97" w14:textId="77777777" w:rsidTr="00261EF5">
        <w:trPr>
          <w:trHeight w:val="259"/>
        </w:trPr>
        <w:tc>
          <w:tcPr>
            <w:tcW w:w="2432" w:type="pct"/>
            <w:tcBorders>
              <w:top w:val="nil"/>
              <w:left w:val="nil"/>
              <w:bottom w:val="nil"/>
              <w:right w:val="nil"/>
            </w:tcBorders>
            <w:shd w:val="clear" w:color="auto" w:fill="auto"/>
            <w:noWrap/>
            <w:vAlign w:val="center"/>
            <w:hideMark/>
          </w:tcPr>
          <w:p w14:paraId="0D8C0E11"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Veículos  </w:t>
            </w:r>
          </w:p>
        </w:tc>
        <w:tc>
          <w:tcPr>
            <w:tcW w:w="553" w:type="pct"/>
            <w:tcBorders>
              <w:top w:val="nil"/>
              <w:left w:val="nil"/>
              <w:bottom w:val="nil"/>
              <w:right w:val="nil"/>
            </w:tcBorders>
            <w:shd w:val="clear" w:color="auto" w:fill="auto"/>
            <w:noWrap/>
            <w:vAlign w:val="center"/>
            <w:hideMark/>
          </w:tcPr>
          <w:p w14:paraId="51045FEA" w14:textId="499239C4"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13.912</w:t>
            </w:r>
          </w:p>
        </w:tc>
        <w:tc>
          <w:tcPr>
            <w:tcW w:w="584" w:type="pct"/>
            <w:tcBorders>
              <w:top w:val="nil"/>
              <w:left w:val="nil"/>
              <w:bottom w:val="nil"/>
              <w:right w:val="nil"/>
            </w:tcBorders>
            <w:shd w:val="clear" w:color="auto" w:fill="auto"/>
            <w:noWrap/>
            <w:vAlign w:val="center"/>
            <w:hideMark/>
          </w:tcPr>
          <w:p w14:paraId="2FE087A0" w14:textId="4277517B"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1.512</w:t>
            </w:r>
          </w:p>
        </w:tc>
        <w:tc>
          <w:tcPr>
            <w:tcW w:w="637" w:type="pct"/>
            <w:tcBorders>
              <w:top w:val="nil"/>
              <w:left w:val="nil"/>
              <w:bottom w:val="nil"/>
              <w:right w:val="nil"/>
            </w:tcBorders>
            <w:shd w:val="clear" w:color="auto" w:fill="auto"/>
            <w:noWrap/>
            <w:vAlign w:val="center"/>
            <w:hideMark/>
          </w:tcPr>
          <w:p w14:paraId="53BFC304" w14:textId="2D1039DB"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7EA94BA3" w14:textId="7FE29715"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15.424</w:t>
            </w:r>
          </w:p>
        </w:tc>
      </w:tr>
      <w:tr w:rsidR="002362E2" w:rsidRPr="002362E2" w14:paraId="6B5A932C" w14:textId="77777777" w:rsidTr="00261EF5">
        <w:trPr>
          <w:trHeight w:val="259"/>
        </w:trPr>
        <w:tc>
          <w:tcPr>
            <w:tcW w:w="2432" w:type="pct"/>
            <w:tcBorders>
              <w:top w:val="nil"/>
              <w:left w:val="nil"/>
              <w:bottom w:val="nil"/>
              <w:right w:val="nil"/>
            </w:tcBorders>
            <w:shd w:val="clear" w:color="auto" w:fill="auto"/>
            <w:noWrap/>
            <w:vAlign w:val="center"/>
            <w:hideMark/>
          </w:tcPr>
          <w:p w14:paraId="6A81B2CA"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Móveis e utensílios </w:t>
            </w:r>
          </w:p>
        </w:tc>
        <w:tc>
          <w:tcPr>
            <w:tcW w:w="553" w:type="pct"/>
            <w:tcBorders>
              <w:top w:val="nil"/>
              <w:left w:val="nil"/>
              <w:bottom w:val="nil"/>
              <w:right w:val="nil"/>
            </w:tcBorders>
            <w:shd w:val="clear" w:color="auto" w:fill="auto"/>
            <w:noWrap/>
            <w:vAlign w:val="center"/>
            <w:hideMark/>
          </w:tcPr>
          <w:p w14:paraId="0CB4EAB8" w14:textId="653634A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12.115</w:t>
            </w:r>
          </w:p>
        </w:tc>
        <w:tc>
          <w:tcPr>
            <w:tcW w:w="584" w:type="pct"/>
            <w:tcBorders>
              <w:top w:val="nil"/>
              <w:left w:val="nil"/>
              <w:bottom w:val="nil"/>
              <w:right w:val="nil"/>
            </w:tcBorders>
            <w:shd w:val="clear" w:color="auto" w:fill="auto"/>
            <w:noWrap/>
            <w:vAlign w:val="center"/>
            <w:hideMark/>
          </w:tcPr>
          <w:p w14:paraId="139D4793" w14:textId="0ADC0E97"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(288)</w:t>
            </w:r>
          </w:p>
        </w:tc>
        <w:tc>
          <w:tcPr>
            <w:tcW w:w="637" w:type="pct"/>
            <w:tcBorders>
              <w:top w:val="nil"/>
              <w:left w:val="nil"/>
              <w:bottom w:val="nil"/>
              <w:right w:val="nil"/>
            </w:tcBorders>
            <w:shd w:val="clear" w:color="auto" w:fill="auto"/>
            <w:noWrap/>
            <w:vAlign w:val="center"/>
            <w:hideMark/>
          </w:tcPr>
          <w:p w14:paraId="13CF84C2" w14:textId="313B2FC5"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nil"/>
              <w:right w:val="nil"/>
            </w:tcBorders>
            <w:shd w:val="clear" w:color="auto" w:fill="auto"/>
            <w:noWrap/>
            <w:vAlign w:val="center"/>
            <w:hideMark/>
          </w:tcPr>
          <w:p w14:paraId="1B24BC5A" w14:textId="0A711B06"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11.827</w:t>
            </w:r>
          </w:p>
        </w:tc>
      </w:tr>
      <w:tr w:rsidR="002362E2" w:rsidRPr="002362E2" w14:paraId="5FEF0F33" w14:textId="77777777" w:rsidTr="00261EF5">
        <w:trPr>
          <w:trHeight w:val="259"/>
        </w:trPr>
        <w:tc>
          <w:tcPr>
            <w:tcW w:w="2432" w:type="pct"/>
            <w:tcBorders>
              <w:top w:val="nil"/>
              <w:left w:val="nil"/>
              <w:bottom w:val="nil"/>
              <w:right w:val="nil"/>
            </w:tcBorders>
            <w:shd w:val="clear" w:color="auto" w:fill="auto"/>
            <w:noWrap/>
            <w:vAlign w:val="center"/>
            <w:hideMark/>
          </w:tcPr>
          <w:p w14:paraId="0CCCEDF5" w14:textId="77777777" w:rsidR="002362E2" w:rsidRPr="002362E2" w:rsidRDefault="002362E2" w:rsidP="002362E2">
            <w:pPr>
              <w:spacing w:after="0" w:line="240" w:lineRule="auto"/>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A ratear </w:t>
            </w:r>
          </w:p>
        </w:tc>
        <w:tc>
          <w:tcPr>
            <w:tcW w:w="553" w:type="pct"/>
            <w:tcBorders>
              <w:top w:val="nil"/>
              <w:left w:val="nil"/>
              <w:bottom w:val="single" w:sz="4" w:space="0" w:color="1B80C4"/>
              <w:right w:val="nil"/>
            </w:tcBorders>
            <w:shd w:val="clear" w:color="auto" w:fill="auto"/>
            <w:noWrap/>
            <w:vAlign w:val="center"/>
            <w:hideMark/>
          </w:tcPr>
          <w:p w14:paraId="2CD183EE" w14:textId="0AF9CC2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109.496</w:t>
            </w:r>
          </w:p>
        </w:tc>
        <w:tc>
          <w:tcPr>
            <w:tcW w:w="584" w:type="pct"/>
            <w:tcBorders>
              <w:top w:val="nil"/>
              <w:left w:val="nil"/>
              <w:bottom w:val="single" w:sz="4" w:space="0" w:color="1B80C4"/>
              <w:right w:val="nil"/>
            </w:tcBorders>
            <w:shd w:val="clear" w:color="auto" w:fill="auto"/>
            <w:noWrap/>
            <w:vAlign w:val="center"/>
            <w:hideMark/>
          </w:tcPr>
          <w:p w14:paraId="7CBF1693" w14:textId="28CEDC5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(36.221)</w:t>
            </w:r>
          </w:p>
        </w:tc>
        <w:tc>
          <w:tcPr>
            <w:tcW w:w="637" w:type="pct"/>
            <w:tcBorders>
              <w:top w:val="nil"/>
              <w:left w:val="nil"/>
              <w:bottom w:val="single" w:sz="4" w:space="0" w:color="1B80C4"/>
              <w:right w:val="nil"/>
            </w:tcBorders>
            <w:shd w:val="clear" w:color="auto" w:fill="auto"/>
            <w:noWrap/>
            <w:vAlign w:val="center"/>
            <w:hideMark/>
          </w:tcPr>
          <w:p w14:paraId="49D212CB" w14:textId="03BFDDD6"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w:t>
            </w:r>
          </w:p>
        </w:tc>
        <w:tc>
          <w:tcPr>
            <w:tcW w:w="795" w:type="pct"/>
            <w:gridSpan w:val="2"/>
            <w:tcBorders>
              <w:top w:val="nil"/>
              <w:left w:val="nil"/>
              <w:bottom w:val="single" w:sz="4" w:space="0" w:color="1B80C4"/>
              <w:right w:val="nil"/>
            </w:tcBorders>
            <w:shd w:val="clear" w:color="auto" w:fill="auto"/>
            <w:noWrap/>
            <w:vAlign w:val="center"/>
            <w:hideMark/>
          </w:tcPr>
          <w:p w14:paraId="1B27C64C" w14:textId="5EBBAE39"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73.275</w:t>
            </w:r>
          </w:p>
        </w:tc>
      </w:tr>
      <w:tr w:rsidR="002362E2" w:rsidRPr="002362E2" w14:paraId="40F22623" w14:textId="77777777" w:rsidTr="00261EF5">
        <w:trPr>
          <w:trHeight w:val="259"/>
        </w:trPr>
        <w:tc>
          <w:tcPr>
            <w:tcW w:w="2432" w:type="pct"/>
            <w:tcBorders>
              <w:top w:val="nil"/>
              <w:left w:val="nil"/>
              <w:bottom w:val="nil"/>
              <w:right w:val="nil"/>
            </w:tcBorders>
            <w:shd w:val="clear" w:color="auto" w:fill="auto"/>
            <w:noWrap/>
            <w:vAlign w:val="center"/>
            <w:hideMark/>
          </w:tcPr>
          <w:p w14:paraId="7126FD34" w14:textId="77777777" w:rsidR="002362E2" w:rsidRPr="002362E2" w:rsidRDefault="002362E2" w:rsidP="002362E2">
            <w:pPr>
              <w:spacing w:after="0" w:line="240" w:lineRule="auto"/>
              <w:jc w:val="right"/>
              <w:outlineLvl w:val="0"/>
              <w:rPr>
                <w:rFonts w:ascii="Segoe UI" w:eastAsia="Times New Roman" w:hAnsi="Segoe UI" w:cs="Segoe UI"/>
                <w:color w:val="000000"/>
                <w:sz w:val="18"/>
                <w:szCs w:val="18"/>
                <w:lang w:eastAsia="pt-BR"/>
              </w:rPr>
            </w:pPr>
          </w:p>
        </w:tc>
        <w:tc>
          <w:tcPr>
            <w:tcW w:w="553" w:type="pct"/>
            <w:tcBorders>
              <w:top w:val="nil"/>
              <w:left w:val="nil"/>
              <w:bottom w:val="nil"/>
              <w:right w:val="nil"/>
            </w:tcBorders>
            <w:shd w:val="clear" w:color="auto" w:fill="auto"/>
            <w:noWrap/>
            <w:vAlign w:val="bottom"/>
            <w:hideMark/>
          </w:tcPr>
          <w:p w14:paraId="7FCCA062" w14:textId="652EE55A"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176.104</w:t>
            </w:r>
          </w:p>
        </w:tc>
        <w:tc>
          <w:tcPr>
            <w:tcW w:w="584" w:type="pct"/>
            <w:tcBorders>
              <w:top w:val="nil"/>
              <w:left w:val="nil"/>
              <w:bottom w:val="nil"/>
              <w:right w:val="nil"/>
            </w:tcBorders>
            <w:shd w:val="clear" w:color="auto" w:fill="auto"/>
            <w:noWrap/>
            <w:vAlign w:val="bottom"/>
            <w:hideMark/>
          </w:tcPr>
          <w:p w14:paraId="6831D067" w14:textId="5BFDF410"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294.826</w:t>
            </w:r>
          </w:p>
        </w:tc>
        <w:tc>
          <w:tcPr>
            <w:tcW w:w="637" w:type="pct"/>
            <w:tcBorders>
              <w:top w:val="nil"/>
              <w:left w:val="nil"/>
              <w:bottom w:val="nil"/>
              <w:right w:val="nil"/>
            </w:tcBorders>
            <w:shd w:val="clear" w:color="auto" w:fill="auto"/>
            <w:noWrap/>
            <w:vAlign w:val="bottom"/>
            <w:hideMark/>
          </w:tcPr>
          <w:p w14:paraId="5A14E28C" w14:textId="1BE8A94B"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w:t>
            </w:r>
          </w:p>
        </w:tc>
        <w:tc>
          <w:tcPr>
            <w:tcW w:w="795" w:type="pct"/>
            <w:gridSpan w:val="2"/>
            <w:tcBorders>
              <w:top w:val="nil"/>
              <w:left w:val="nil"/>
              <w:bottom w:val="nil"/>
              <w:right w:val="nil"/>
            </w:tcBorders>
            <w:shd w:val="clear" w:color="auto" w:fill="auto"/>
            <w:noWrap/>
            <w:vAlign w:val="bottom"/>
            <w:hideMark/>
          </w:tcPr>
          <w:p w14:paraId="6E43FA9C" w14:textId="05CD528C" w:rsidR="002362E2" w:rsidRPr="002362E2" w:rsidRDefault="002362E2" w:rsidP="002362E2">
            <w:pPr>
              <w:spacing w:after="0" w:line="240" w:lineRule="auto"/>
              <w:jc w:val="right"/>
              <w:outlineLvl w:val="0"/>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470.930</w:t>
            </w:r>
          </w:p>
        </w:tc>
      </w:tr>
      <w:tr w:rsidR="002362E2" w:rsidRPr="002362E2" w14:paraId="47D46883" w14:textId="77777777" w:rsidTr="00261EF5">
        <w:trPr>
          <w:trHeight w:val="259"/>
        </w:trPr>
        <w:tc>
          <w:tcPr>
            <w:tcW w:w="2432" w:type="pct"/>
            <w:tcBorders>
              <w:top w:val="nil"/>
              <w:left w:val="nil"/>
              <w:bottom w:val="nil"/>
              <w:right w:val="nil"/>
            </w:tcBorders>
            <w:shd w:val="clear" w:color="auto" w:fill="auto"/>
            <w:noWrap/>
            <w:vAlign w:val="center"/>
            <w:hideMark/>
          </w:tcPr>
          <w:p w14:paraId="24ADE31C" w14:textId="77777777" w:rsidR="002362E2" w:rsidRPr="002362E2" w:rsidRDefault="002362E2" w:rsidP="002362E2">
            <w:pPr>
              <w:spacing w:after="0" w:line="240" w:lineRule="auto"/>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 xml:space="preserve"> Direito de uso </w:t>
            </w:r>
          </w:p>
        </w:tc>
        <w:tc>
          <w:tcPr>
            <w:tcW w:w="553" w:type="pct"/>
            <w:tcBorders>
              <w:top w:val="nil"/>
              <w:left w:val="nil"/>
              <w:bottom w:val="nil"/>
              <w:right w:val="nil"/>
            </w:tcBorders>
            <w:shd w:val="clear" w:color="auto" w:fill="auto"/>
            <w:noWrap/>
            <w:vAlign w:val="bottom"/>
            <w:hideMark/>
          </w:tcPr>
          <w:p w14:paraId="3DEE6D35" w14:textId="77777777"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p>
        </w:tc>
        <w:tc>
          <w:tcPr>
            <w:tcW w:w="584" w:type="pct"/>
            <w:tcBorders>
              <w:top w:val="nil"/>
              <w:left w:val="nil"/>
              <w:bottom w:val="nil"/>
              <w:right w:val="nil"/>
            </w:tcBorders>
            <w:shd w:val="clear" w:color="auto" w:fill="auto"/>
            <w:noWrap/>
            <w:vAlign w:val="bottom"/>
            <w:hideMark/>
          </w:tcPr>
          <w:p w14:paraId="7EE06164"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637" w:type="pct"/>
            <w:tcBorders>
              <w:top w:val="nil"/>
              <w:left w:val="nil"/>
              <w:bottom w:val="nil"/>
              <w:right w:val="nil"/>
            </w:tcBorders>
            <w:shd w:val="clear" w:color="auto" w:fill="auto"/>
            <w:noWrap/>
            <w:vAlign w:val="bottom"/>
            <w:hideMark/>
          </w:tcPr>
          <w:p w14:paraId="0105430D"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795" w:type="pct"/>
            <w:gridSpan w:val="2"/>
            <w:tcBorders>
              <w:top w:val="nil"/>
              <w:left w:val="nil"/>
              <w:bottom w:val="nil"/>
              <w:right w:val="nil"/>
            </w:tcBorders>
            <w:shd w:val="clear" w:color="auto" w:fill="auto"/>
            <w:noWrap/>
            <w:vAlign w:val="bottom"/>
            <w:hideMark/>
          </w:tcPr>
          <w:p w14:paraId="41E9F7CE"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r>
      <w:tr w:rsidR="002362E2" w:rsidRPr="002362E2" w14:paraId="647A09CF" w14:textId="77777777" w:rsidTr="00261EF5">
        <w:trPr>
          <w:trHeight w:val="259"/>
        </w:trPr>
        <w:tc>
          <w:tcPr>
            <w:tcW w:w="2432" w:type="pct"/>
            <w:tcBorders>
              <w:top w:val="nil"/>
              <w:left w:val="nil"/>
              <w:bottom w:val="nil"/>
              <w:right w:val="nil"/>
            </w:tcBorders>
            <w:shd w:val="clear" w:color="auto" w:fill="auto"/>
            <w:noWrap/>
            <w:vAlign w:val="center"/>
            <w:hideMark/>
          </w:tcPr>
          <w:p w14:paraId="3ABA4441" w14:textId="77777777" w:rsidR="002362E2" w:rsidRPr="002362E2" w:rsidRDefault="002362E2" w:rsidP="002362E2">
            <w:pPr>
              <w:spacing w:after="0" w:line="240" w:lineRule="auto"/>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 xml:space="preserve">   Imobilizado em serviço </w:t>
            </w:r>
          </w:p>
        </w:tc>
        <w:tc>
          <w:tcPr>
            <w:tcW w:w="553" w:type="pct"/>
            <w:tcBorders>
              <w:top w:val="nil"/>
              <w:left w:val="nil"/>
              <w:bottom w:val="nil"/>
              <w:right w:val="nil"/>
            </w:tcBorders>
            <w:shd w:val="clear" w:color="auto" w:fill="auto"/>
            <w:noWrap/>
            <w:vAlign w:val="bottom"/>
            <w:hideMark/>
          </w:tcPr>
          <w:p w14:paraId="16D94337" w14:textId="77777777"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p>
        </w:tc>
        <w:tc>
          <w:tcPr>
            <w:tcW w:w="584" w:type="pct"/>
            <w:tcBorders>
              <w:top w:val="nil"/>
              <w:left w:val="nil"/>
              <w:bottom w:val="nil"/>
              <w:right w:val="nil"/>
            </w:tcBorders>
            <w:shd w:val="clear" w:color="auto" w:fill="auto"/>
            <w:noWrap/>
            <w:vAlign w:val="bottom"/>
            <w:hideMark/>
          </w:tcPr>
          <w:p w14:paraId="27F4410A"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637" w:type="pct"/>
            <w:tcBorders>
              <w:top w:val="nil"/>
              <w:left w:val="nil"/>
              <w:bottom w:val="nil"/>
              <w:right w:val="nil"/>
            </w:tcBorders>
            <w:shd w:val="clear" w:color="auto" w:fill="auto"/>
            <w:noWrap/>
            <w:vAlign w:val="bottom"/>
            <w:hideMark/>
          </w:tcPr>
          <w:p w14:paraId="606FEEFA"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795" w:type="pct"/>
            <w:gridSpan w:val="2"/>
            <w:tcBorders>
              <w:top w:val="nil"/>
              <w:left w:val="nil"/>
              <w:bottom w:val="nil"/>
              <w:right w:val="nil"/>
            </w:tcBorders>
            <w:shd w:val="clear" w:color="auto" w:fill="auto"/>
            <w:noWrap/>
            <w:vAlign w:val="bottom"/>
            <w:hideMark/>
          </w:tcPr>
          <w:p w14:paraId="412FDE90"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r>
      <w:tr w:rsidR="002362E2" w:rsidRPr="002362E2" w14:paraId="5F321ABD" w14:textId="77777777" w:rsidTr="00261EF5">
        <w:trPr>
          <w:trHeight w:val="259"/>
        </w:trPr>
        <w:tc>
          <w:tcPr>
            <w:tcW w:w="2432" w:type="pct"/>
            <w:tcBorders>
              <w:top w:val="nil"/>
              <w:left w:val="nil"/>
              <w:bottom w:val="nil"/>
              <w:right w:val="nil"/>
            </w:tcBorders>
            <w:shd w:val="clear" w:color="auto" w:fill="auto"/>
            <w:noWrap/>
            <w:vAlign w:val="center"/>
            <w:hideMark/>
          </w:tcPr>
          <w:p w14:paraId="38D73FB0" w14:textId="77777777" w:rsidR="002362E2" w:rsidRPr="002362E2" w:rsidRDefault="002362E2" w:rsidP="002362E2">
            <w:pPr>
              <w:spacing w:after="0" w:line="240" w:lineRule="auto"/>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Edificações, obras civis e benfeitorias </w:t>
            </w:r>
          </w:p>
        </w:tc>
        <w:tc>
          <w:tcPr>
            <w:tcW w:w="553" w:type="pct"/>
            <w:tcBorders>
              <w:top w:val="nil"/>
              <w:left w:val="nil"/>
              <w:bottom w:val="nil"/>
              <w:right w:val="nil"/>
            </w:tcBorders>
            <w:shd w:val="clear" w:color="auto" w:fill="auto"/>
            <w:noWrap/>
            <w:vAlign w:val="center"/>
            <w:hideMark/>
          </w:tcPr>
          <w:p w14:paraId="34B31596" w14:textId="0FF108AC"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(159.393)</w:t>
            </w:r>
          </w:p>
        </w:tc>
        <w:tc>
          <w:tcPr>
            <w:tcW w:w="584" w:type="pct"/>
            <w:tcBorders>
              <w:top w:val="nil"/>
              <w:left w:val="nil"/>
              <w:bottom w:val="nil"/>
              <w:right w:val="nil"/>
            </w:tcBorders>
            <w:shd w:val="clear" w:color="auto" w:fill="auto"/>
            <w:noWrap/>
            <w:vAlign w:val="center"/>
            <w:hideMark/>
          </w:tcPr>
          <w:p w14:paraId="554FDC61" w14:textId="3AC9DCB1"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(290.403)</w:t>
            </w:r>
          </w:p>
        </w:tc>
        <w:tc>
          <w:tcPr>
            <w:tcW w:w="637" w:type="pct"/>
            <w:tcBorders>
              <w:top w:val="nil"/>
              <w:left w:val="nil"/>
              <w:bottom w:val="nil"/>
              <w:right w:val="nil"/>
            </w:tcBorders>
            <w:shd w:val="clear" w:color="auto" w:fill="auto"/>
            <w:noWrap/>
            <w:vAlign w:val="center"/>
            <w:hideMark/>
          </w:tcPr>
          <w:p w14:paraId="73C65A9D" w14:textId="3E346AC1"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14.612</w:t>
            </w:r>
          </w:p>
        </w:tc>
        <w:tc>
          <w:tcPr>
            <w:tcW w:w="795" w:type="pct"/>
            <w:gridSpan w:val="2"/>
            <w:tcBorders>
              <w:top w:val="nil"/>
              <w:left w:val="nil"/>
              <w:bottom w:val="nil"/>
              <w:right w:val="nil"/>
            </w:tcBorders>
            <w:shd w:val="clear" w:color="auto" w:fill="auto"/>
            <w:noWrap/>
            <w:vAlign w:val="center"/>
            <w:hideMark/>
          </w:tcPr>
          <w:p w14:paraId="1B8F3006" w14:textId="7935F715"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(435.184)</w:t>
            </w:r>
          </w:p>
        </w:tc>
      </w:tr>
      <w:tr w:rsidR="002362E2" w:rsidRPr="002362E2" w14:paraId="22519CDF" w14:textId="77777777" w:rsidTr="00261EF5">
        <w:trPr>
          <w:trHeight w:val="259"/>
        </w:trPr>
        <w:tc>
          <w:tcPr>
            <w:tcW w:w="2432" w:type="pct"/>
            <w:tcBorders>
              <w:top w:val="nil"/>
              <w:left w:val="nil"/>
              <w:bottom w:val="nil"/>
              <w:right w:val="nil"/>
            </w:tcBorders>
            <w:shd w:val="clear" w:color="auto" w:fill="auto"/>
            <w:noWrap/>
            <w:vAlign w:val="center"/>
            <w:hideMark/>
          </w:tcPr>
          <w:p w14:paraId="2038A638" w14:textId="77777777" w:rsidR="002362E2" w:rsidRPr="002362E2" w:rsidRDefault="002362E2" w:rsidP="002362E2">
            <w:pPr>
              <w:spacing w:after="0" w:line="240" w:lineRule="auto"/>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 xml:space="preserve">     Veículos  </w:t>
            </w:r>
          </w:p>
        </w:tc>
        <w:tc>
          <w:tcPr>
            <w:tcW w:w="553" w:type="pct"/>
            <w:tcBorders>
              <w:top w:val="nil"/>
              <w:left w:val="nil"/>
              <w:bottom w:val="nil"/>
              <w:right w:val="nil"/>
            </w:tcBorders>
            <w:shd w:val="clear" w:color="auto" w:fill="auto"/>
            <w:noWrap/>
            <w:vAlign w:val="center"/>
            <w:hideMark/>
          </w:tcPr>
          <w:p w14:paraId="384D78DA" w14:textId="28DC552A"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1.699</w:t>
            </w:r>
          </w:p>
        </w:tc>
        <w:tc>
          <w:tcPr>
            <w:tcW w:w="584" w:type="pct"/>
            <w:tcBorders>
              <w:top w:val="nil"/>
              <w:left w:val="nil"/>
              <w:bottom w:val="nil"/>
              <w:right w:val="nil"/>
            </w:tcBorders>
            <w:shd w:val="clear" w:color="auto" w:fill="auto"/>
            <w:noWrap/>
            <w:vAlign w:val="center"/>
            <w:hideMark/>
          </w:tcPr>
          <w:p w14:paraId="0F221A1E" w14:textId="534EF5C9"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22.808</w:t>
            </w:r>
          </w:p>
        </w:tc>
        <w:tc>
          <w:tcPr>
            <w:tcW w:w="637" w:type="pct"/>
            <w:tcBorders>
              <w:top w:val="nil"/>
              <w:left w:val="nil"/>
              <w:bottom w:val="nil"/>
              <w:right w:val="nil"/>
            </w:tcBorders>
            <w:shd w:val="clear" w:color="auto" w:fill="auto"/>
            <w:noWrap/>
            <w:vAlign w:val="center"/>
            <w:hideMark/>
          </w:tcPr>
          <w:p w14:paraId="2A5098FD" w14:textId="7AF3E068"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31.692</w:t>
            </w:r>
          </w:p>
        </w:tc>
        <w:tc>
          <w:tcPr>
            <w:tcW w:w="795" w:type="pct"/>
            <w:gridSpan w:val="2"/>
            <w:tcBorders>
              <w:top w:val="nil"/>
              <w:left w:val="nil"/>
              <w:bottom w:val="nil"/>
              <w:right w:val="nil"/>
            </w:tcBorders>
            <w:shd w:val="clear" w:color="auto" w:fill="auto"/>
            <w:noWrap/>
            <w:vAlign w:val="center"/>
            <w:hideMark/>
          </w:tcPr>
          <w:p w14:paraId="7109DC34" w14:textId="41835C84"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r w:rsidRPr="002362E2">
              <w:rPr>
                <w:rFonts w:ascii="Segoe UI" w:eastAsia="Times New Roman" w:hAnsi="Segoe UI" w:cs="Segoe UI"/>
                <w:color w:val="000000"/>
                <w:sz w:val="18"/>
                <w:szCs w:val="18"/>
                <w:lang w:eastAsia="pt-BR"/>
              </w:rPr>
              <w:t>56.199</w:t>
            </w:r>
          </w:p>
        </w:tc>
      </w:tr>
      <w:tr w:rsidR="002362E2" w:rsidRPr="002362E2" w14:paraId="1A576054" w14:textId="77777777" w:rsidTr="00261EF5">
        <w:trPr>
          <w:trHeight w:val="259"/>
        </w:trPr>
        <w:tc>
          <w:tcPr>
            <w:tcW w:w="2432" w:type="pct"/>
            <w:tcBorders>
              <w:top w:val="nil"/>
              <w:left w:val="nil"/>
              <w:bottom w:val="nil"/>
              <w:right w:val="nil"/>
            </w:tcBorders>
            <w:shd w:val="clear" w:color="auto" w:fill="auto"/>
            <w:noWrap/>
            <w:vAlign w:val="center"/>
            <w:hideMark/>
          </w:tcPr>
          <w:p w14:paraId="2FFBD2BB" w14:textId="77777777" w:rsidR="002362E2" w:rsidRPr="002362E2" w:rsidRDefault="002362E2" w:rsidP="002362E2">
            <w:pPr>
              <w:spacing w:after="0" w:line="240" w:lineRule="auto"/>
              <w:jc w:val="right"/>
              <w:rPr>
                <w:rFonts w:ascii="Segoe UI" w:eastAsia="Times New Roman" w:hAnsi="Segoe UI" w:cs="Segoe UI"/>
                <w:color w:val="000000"/>
                <w:sz w:val="18"/>
                <w:szCs w:val="18"/>
                <w:lang w:eastAsia="pt-BR"/>
              </w:rPr>
            </w:pPr>
          </w:p>
        </w:tc>
        <w:tc>
          <w:tcPr>
            <w:tcW w:w="553" w:type="pct"/>
            <w:tcBorders>
              <w:top w:val="single" w:sz="4" w:space="0" w:color="1B80C4"/>
              <w:left w:val="nil"/>
              <w:bottom w:val="double" w:sz="6" w:space="0" w:color="1B80C4"/>
              <w:right w:val="nil"/>
            </w:tcBorders>
            <w:shd w:val="clear" w:color="auto" w:fill="auto"/>
            <w:noWrap/>
            <w:vAlign w:val="center"/>
            <w:hideMark/>
          </w:tcPr>
          <w:p w14:paraId="6AD020DB" w14:textId="58292364"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(157.694)</w:t>
            </w:r>
          </w:p>
        </w:tc>
        <w:tc>
          <w:tcPr>
            <w:tcW w:w="584" w:type="pct"/>
            <w:tcBorders>
              <w:top w:val="single" w:sz="4" w:space="0" w:color="1B80C4"/>
              <w:left w:val="nil"/>
              <w:bottom w:val="double" w:sz="6" w:space="0" w:color="1B80C4"/>
              <w:right w:val="nil"/>
            </w:tcBorders>
            <w:shd w:val="clear" w:color="auto" w:fill="auto"/>
            <w:noWrap/>
            <w:vAlign w:val="center"/>
            <w:hideMark/>
          </w:tcPr>
          <w:p w14:paraId="4D8951FE" w14:textId="6A537AF7"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(267.595)</w:t>
            </w:r>
          </w:p>
        </w:tc>
        <w:tc>
          <w:tcPr>
            <w:tcW w:w="637" w:type="pct"/>
            <w:tcBorders>
              <w:top w:val="single" w:sz="4" w:space="0" w:color="1B80C4"/>
              <w:left w:val="nil"/>
              <w:bottom w:val="double" w:sz="6" w:space="0" w:color="1B80C4"/>
              <w:right w:val="nil"/>
            </w:tcBorders>
            <w:shd w:val="clear" w:color="auto" w:fill="auto"/>
            <w:noWrap/>
            <w:vAlign w:val="center"/>
            <w:hideMark/>
          </w:tcPr>
          <w:p w14:paraId="281B4E6C" w14:textId="3C0BBAC2"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46.304</w:t>
            </w:r>
          </w:p>
        </w:tc>
        <w:tc>
          <w:tcPr>
            <w:tcW w:w="795" w:type="pct"/>
            <w:gridSpan w:val="2"/>
            <w:tcBorders>
              <w:top w:val="single" w:sz="4" w:space="0" w:color="1B80C4"/>
              <w:left w:val="nil"/>
              <w:bottom w:val="double" w:sz="6" w:space="0" w:color="1B80C4"/>
              <w:right w:val="nil"/>
            </w:tcBorders>
            <w:shd w:val="clear" w:color="auto" w:fill="auto"/>
            <w:noWrap/>
            <w:vAlign w:val="center"/>
            <w:hideMark/>
          </w:tcPr>
          <w:p w14:paraId="3A9C5436" w14:textId="5A01E180"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(378.985)</w:t>
            </w:r>
          </w:p>
        </w:tc>
      </w:tr>
      <w:tr w:rsidR="002362E2" w:rsidRPr="002362E2" w14:paraId="7AB9E51C" w14:textId="77777777" w:rsidTr="00261EF5">
        <w:trPr>
          <w:trHeight w:val="259"/>
        </w:trPr>
        <w:tc>
          <w:tcPr>
            <w:tcW w:w="2432" w:type="pct"/>
            <w:tcBorders>
              <w:top w:val="nil"/>
              <w:left w:val="nil"/>
              <w:bottom w:val="nil"/>
              <w:right w:val="nil"/>
            </w:tcBorders>
            <w:shd w:val="clear" w:color="auto" w:fill="auto"/>
            <w:noWrap/>
            <w:vAlign w:val="center"/>
            <w:hideMark/>
          </w:tcPr>
          <w:p w14:paraId="25173FA6" w14:textId="77777777"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p>
        </w:tc>
        <w:tc>
          <w:tcPr>
            <w:tcW w:w="553" w:type="pct"/>
            <w:tcBorders>
              <w:top w:val="nil"/>
              <w:left w:val="nil"/>
              <w:bottom w:val="nil"/>
              <w:right w:val="nil"/>
            </w:tcBorders>
            <w:shd w:val="clear" w:color="auto" w:fill="auto"/>
            <w:noWrap/>
            <w:vAlign w:val="center"/>
            <w:hideMark/>
          </w:tcPr>
          <w:p w14:paraId="07F18193"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584" w:type="pct"/>
            <w:tcBorders>
              <w:top w:val="nil"/>
              <w:left w:val="nil"/>
              <w:bottom w:val="nil"/>
              <w:right w:val="nil"/>
            </w:tcBorders>
            <w:shd w:val="clear" w:color="auto" w:fill="auto"/>
            <w:noWrap/>
            <w:vAlign w:val="center"/>
            <w:hideMark/>
          </w:tcPr>
          <w:p w14:paraId="570495B4"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637" w:type="pct"/>
            <w:tcBorders>
              <w:top w:val="nil"/>
              <w:left w:val="nil"/>
              <w:bottom w:val="nil"/>
              <w:right w:val="nil"/>
            </w:tcBorders>
            <w:shd w:val="clear" w:color="auto" w:fill="auto"/>
            <w:noWrap/>
            <w:vAlign w:val="center"/>
            <w:hideMark/>
          </w:tcPr>
          <w:p w14:paraId="65F00829"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795" w:type="pct"/>
            <w:gridSpan w:val="2"/>
            <w:tcBorders>
              <w:top w:val="nil"/>
              <w:left w:val="nil"/>
              <w:bottom w:val="nil"/>
              <w:right w:val="nil"/>
            </w:tcBorders>
            <w:shd w:val="clear" w:color="auto" w:fill="auto"/>
            <w:noWrap/>
            <w:vAlign w:val="center"/>
            <w:hideMark/>
          </w:tcPr>
          <w:p w14:paraId="4475EAB4"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r>
      <w:tr w:rsidR="002362E2" w:rsidRPr="002362E2" w14:paraId="47DD6E45" w14:textId="77777777" w:rsidTr="00261EF5">
        <w:trPr>
          <w:trHeight w:val="259"/>
        </w:trPr>
        <w:tc>
          <w:tcPr>
            <w:tcW w:w="2432" w:type="pct"/>
            <w:tcBorders>
              <w:top w:val="nil"/>
              <w:left w:val="nil"/>
              <w:bottom w:val="nil"/>
              <w:right w:val="nil"/>
            </w:tcBorders>
            <w:shd w:val="clear" w:color="auto" w:fill="auto"/>
            <w:noWrap/>
            <w:vAlign w:val="bottom"/>
            <w:hideMark/>
          </w:tcPr>
          <w:p w14:paraId="48976EB0" w14:textId="77777777" w:rsidR="002362E2" w:rsidRPr="002362E2" w:rsidRDefault="002362E2" w:rsidP="002362E2">
            <w:pPr>
              <w:spacing w:after="0" w:line="240" w:lineRule="auto"/>
              <w:jc w:val="right"/>
              <w:rPr>
                <w:rFonts w:ascii="Times New Roman" w:eastAsia="Times New Roman" w:hAnsi="Times New Roman" w:cs="Times New Roman"/>
                <w:sz w:val="20"/>
                <w:szCs w:val="20"/>
                <w:lang w:eastAsia="pt-BR"/>
              </w:rPr>
            </w:pPr>
          </w:p>
        </w:tc>
        <w:tc>
          <w:tcPr>
            <w:tcW w:w="553" w:type="pct"/>
            <w:tcBorders>
              <w:top w:val="single" w:sz="4" w:space="0" w:color="1B80C4"/>
              <w:left w:val="nil"/>
              <w:bottom w:val="double" w:sz="6" w:space="0" w:color="1B80C4"/>
              <w:right w:val="nil"/>
            </w:tcBorders>
            <w:shd w:val="clear" w:color="auto" w:fill="auto"/>
            <w:noWrap/>
            <w:vAlign w:val="center"/>
            <w:hideMark/>
          </w:tcPr>
          <w:p w14:paraId="747E382A" w14:textId="64035C54"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13.816.638</w:t>
            </w:r>
          </w:p>
        </w:tc>
        <w:tc>
          <w:tcPr>
            <w:tcW w:w="584" w:type="pct"/>
            <w:tcBorders>
              <w:top w:val="single" w:sz="4" w:space="0" w:color="1B80C4"/>
              <w:left w:val="nil"/>
              <w:bottom w:val="double" w:sz="6" w:space="0" w:color="1B80C4"/>
              <w:right w:val="nil"/>
            </w:tcBorders>
            <w:shd w:val="clear" w:color="auto" w:fill="auto"/>
            <w:noWrap/>
            <w:vAlign w:val="center"/>
            <w:hideMark/>
          </w:tcPr>
          <w:p w14:paraId="293DA87B" w14:textId="664A0B88"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220.193</w:t>
            </w:r>
          </w:p>
        </w:tc>
        <w:tc>
          <w:tcPr>
            <w:tcW w:w="637" w:type="pct"/>
            <w:tcBorders>
              <w:top w:val="single" w:sz="4" w:space="0" w:color="1B80C4"/>
              <w:left w:val="nil"/>
              <w:bottom w:val="double" w:sz="6" w:space="0" w:color="1B80C4"/>
              <w:right w:val="nil"/>
            </w:tcBorders>
            <w:shd w:val="clear" w:color="auto" w:fill="auto"/>
            <w:noWrap/>
            <w:vAlign w:val="center"/>
            <w:hideMark/>
          </w:tcPr>
          <w:p w14:paraId="3D754F06" w14:textId="0C6031D3"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(265.681)</w:t>
            </w:r>
          </w:p>
        </w:tc>
        <w:tc>
          <w:tcPr>
            <w:tcW w:w="795" w:type="pct"/>
            <w:gridSpan w:val="2"/>
            <w:tcBorders>
              <w:top w:val="single" w:sz="4" w:space="0" w:color="1B80C4"/>
              <w:left w:val="nil"/>
              <w:bottom w:val="double" w:sz="6" w:space="0" w:color="1B80C4"/>
              <w:right w:val="nil"/>
            </w:tcBorders>
            <w:shd w:val="clear" w:color="auto" w:fill="auto"/>
            <w:noWrap/>
            <w:vAlign w:val="center"/>
            <w:hideMark/>
          </w:tcPr>
          <w:p w14:paraId="586578F0" w14:textId="6330624D" w:rsidR="002362E2" w:rsidRPr="002362E2" w:rsidRDefault="002362E2" w:rsidP="002362E2">
            <w:pPr>
              <w:spacing w:after="0" w:line="240" w:lineRule="auto"/>
              <w:jc w:val="right"/>
              <w:rPr>
                <w:rFonts w:ascii="Segoe UI" w:eastAsia="Times New Roman" w:hAnsi="Segoe UI" w:cs="Segoe UI"/>
                <w:b/>
                <w:bCs/>
                <w:color w:val="000000"/>
                <w:sz w:val="18"/>
                <w:szCs w:val="18"/>
                <w:lang w:eastAsia="pt-BR"/>
              </w:rPr>
            </w:pPr>
            <w:r w:rsidRPr="002362E2">
              <w:rPr>
                <w:rFonts w:ascii="Segoe UI" w:eastAsia="Times New Roman" w:hAnsi="Segoe UI" w:cs="Segoe UI"/>
                <w:b/>
                <w:bCs/>
                <w:color w:val="000000"/>
                <w:sz w:val="18"/>
                <w:szCs w:val="18"/>
                <w:lang w:eastAsia="pt-BR"/>
              </w:rPr>
              <w:t>13.771.150</w:t>
            </w:r>
          </w:p>
        </w:tc>
      </w:tr>
    </w:tbl>
    <w:p w14:paraId="51DEB1C6" w14:textId="440B972A" w:rsidR="0040678F" w:rsidRPr="00D735DA" w:rsidRDefault="00BD136E" w:rsidP="0040678F">
      <w:pPr>
        <w:spacing w:before="240" w:afterLines="50" w:after="120"/>
        <w:jc w:val="both"/>
        <w:rPr>
          <w:rFonts w:ascii="Segoe UI" w:hAnsi="Segoe UI" w:cs="Segoe UI"/>
          <w:b/>
          <w:color w:val="1B80C4"/>
        </w:rPr>
      </w:pPr>
      <w:r>
        <w:rPr>
          <w:rFonts w:ascii="Segoe UI" w:hAnsi="Segoe UI" w:cs="Segoe UI"/>
          <w:b/>
          <w:color w:val="1B80C4"/>
        </w:rPr>
        <w:lastRenderedPageBreak/>
        <w:t>13.1</w:t>
      </w:r>
      <w:r w:rsidR="002838E8">
        <w:rPr>
          <w:rFonts w:ascii="Segoe UI" w:hAnsi="Segoe UI" w:cs="Segoe UI"/>
          <w:b/>
          <w:color w:val="1B80C4"/>
        </w:rPr>
        <w:t xml:space="preserve"> </w:t>
      </w:r>
      <w:r w:rsidR="00AC5183">
        <w:rPr>
          <w:rFonts w:ascii="Segoe UI" w:hAnsi="Segoe UI" w:cs="Segoe UI"/>
          <w:b/>
          <w:color w:val="1B80C4"/>
        </w:rPr>
        <w:t xml:space="preserve">- </w:t>
      </w:r>
      <w:r w:rsidR="0040678F" w:rsidRPr="00D735DA">
        <w:rPr>
          <w:rFonts w:ascii="Segoe UI" w:hAnsi="Segoe UI" w:cs="Segoe UI"/>
          <w:b/>
          <w:color w:val="1B80C4"/>
        </w:rPr>
        <w:t>Eletronuclear</w:t>
      </w:r>
    </w:p>
    <w:p w14:paraId="224717B4" w14:textId="2429A1F3" w:rsidR="00607E81" w:rsidRPr="000757BC" w:rsidRDefault="00607E81" w:rsidP="004B1F19">
      <w:pPr>
        <w:spacing w:before="240" w:after="120"/>
        <w:jc w:val="both"/>
        <w:rPr>
          <w:rFonts w:ascii="Segoe UI" w:hAnsi="Segoe UI" w:cs="Segoe UI"/>
        </w:rPr>
      </w:pPr>
      <w:r w:rsidRPr="000757BC">
        <w:rPr>
          <w:rFonts w:ascii="Segoe UI" w:hAnsi="Segoe UI" w:cs="Segoe UI"/>
        </w:rPr>
        <w:t xml:space="preserve">A Eletronuclear detém e opera duas usinas nucleares, Angra 1 e  2, e está construindo uma terceira, Angra 3.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 Para as instalações de geração termonuclear não há concessão. A autorização para operação comercial é concedida, há outorga e registro de geração concedido pela ANEEL. </w:t>
      </w:r>
    </w:p>
    <w:p w14:paraId="1C650B2A" w14:textId="4B79CC3C" w:rsidR="00607E81" w:rsidRPr="000757BC" w:rsidRDefault="00607E81" w:rsidP="004B1F19">
      <w:pPr>
        <w:tabs>
          <w:tab w:val="left" w:pos="1134"/>
          <w:tab w:val="left" w:pos="1418"/>
          <w:tab w:val="left" w:pos="1701"/>
          <w:tab w:val="left" w:pos="1985"/>
          <w:tab w:val="left" w:pos="2268"/>
        </w:tabs>
        <w:spacing w:before="240" w:after="120"/>
        <w:jc w:val="both"/>
        <w:rPr>
          <w:rFonts w:ascii="Segoe UI" w:hAnsi="Segoe UI" w:cs="Segoe UI"/>
        </w:rPr>
      </w:pPr>
      <w:bookmarkStart w:id="12" w:name="_Hlk129361891"/>
      <w:r w:rsidRPr="000757BC">
        <w:rPr>
          <w:rFonts w:ascii="Segoe UI" w:hAnsi="Segoe UI" w:cs="Segoe UI"/>
        </w:rPr>
        <w:t xml:space="preserve">A CNEN emite as autorizações para operação das usinas por um período de 40 anos, contados a partir do início da operação comercial e, com base na Reavaliação Periódica de Segurança – </w:t>
      </w:r>
      <w:r w:rsidR="00B54B44">
        <w:rPr>
          <w:rFonts w:ascii="Segoe UI" w:hAnsi="Segoe UI" w:cs="Segoe UI"/>
        </w:rPr>
        <w:t xml:space="preserve"> (“</w:t>
      </w:r>
      <w:r w:rsidRPr="000757BC">
        <w:rPr>
          <w:rFonts w:ascii="Segoe UI" w:hAnsi="Segoe UI" w:cs="Segoe UI"/>
        </w:rPr>
        <w:t>RPS</w:t>
      </w:r>
      <w:r w:rsidR="00B54B44">
        <w:rPr>
          <w:rFonts w:ascii="Segoe UI" w:hAnsi="Segoe UI" w:cs="Segoe UI"/>
        </w:rPr>
        <w:t xml:space="preserve">“), </w:t>
      </w:r>
      <w:r w:rsidRPr="000757BC">
        <w:rPr>
          <w:rFonts w:ascii="Segoe UI" w:hAnsi="Segoe UI" w:cs="Segoe UI"/>
        </w:rPr>
        <w:t xml:space="preserve">renovável por períodos de dez anos, as autorizações necessárias, podendo compreender períodos maiores. Anos antes do vencimento, cada usina pode solicitar uma prorrogação de sua autorização à CNEN. Para obter a prorrogação, a CNEN pode solicitar uma avaliação das condições operacionais da usina e, eventualmente a substituição de certos equipamentos. A Eletronuclear ainda está preparando as análises para a solicitação de extensão de vida útil para a </w:t>
      </w:r>
      <w:r w:rsidR="00B54B44">
        <w:rPr>
          <w:rFonts w:ascii="Segoe UI" w:hAnsi="Segoe UI" w:cs="Segoe UI"/>
        </w:rPr>
        <w:t>u</w:t>
      </w:r>
      <w:r w:rsidRPr="000757BC">
        <w:rPr>
          <w:rFonts w:ascii="Segoe UI" w:hAnsi="Segoe UI" w:cs="Segoe UI"/>
        </w:rPr>
        <w:t xml:space="preserve">sina de Angra 1. </w:t>
      </w:r>
    </w:p>
    <w:bookmarkEnd w:id="12"/>
    <w:p w14:paraId="6B6A1BA1" w14:textId="2D65A00A" w:rsidR="00607E81" w:rsidRPr="000757BC" w:rsidRDefault="00607E81" w:rsidP="004B1F19">
      <w:pPr>
        <w:tabs>
          <w:tab w:val="left" w:pos="1134"/>
          <w:tab w:val="left" w:pos="1418"/>
          <w:tab w:val="left" w:pos="1701"/>
          <w:tab w:val="left" w:pos="1985"/>
          <w:tab w:val="left" w:pos="2268"/>
        </w:tabs>
        <w:spacing w:before="240" w:after="120"/>
        <w:jc w:val="both"/>
        <w:rPr>
          <w:rFonts w:ascii="Segoe UI" w:hAnsi="Segoe UI" w:cs="Segoe UI"/>
        </w:rPr>
      </w:pPr>
      <w:r w:rsidRPr="000757BC">
        <w:rPr>
          <w:rFonts w:ascii="Segoe UI" w:hAnsi="Segoe UI" w:cs="Segoe UI"/>
        </w:rPr>
        <w:t xml:space="preserve">A licença de operação emitida pelo </w:t>
      </w:r>
      <w:r w:rsidR="00B54B44" w:rsidRPr="00B54B44">
        <w:rPr>
          <w:rFonts w:ascii="Segoe UI" w:hAnsi="Segoe UI" w:cs="Segoe UI"/>
        </w:rPr>
        <w:t>Instituto Brasileiro do Meio Ambiente e dos Recursos Naturais Renováveis</w:t>
      </w:r>
      <w:r w:rsidR="00B54B44" w:rsidRPr="000757BC">
        <w:rPr>
          <w:rFonts w:ascii="Segoe UI" w:hAnsi="Segoe UI" w:cs="Segoe UI"/>
        </w:rPr>
        <w:t xml:space="preserve"> </w:t>
      </w:r>
      <w:r w:rsidR="00B54B44">
        <w:rPr>
          <w:rFonts w:ascii="Segoe UI" w:hAnsi="Segoe UI" w:cs="Segoe UI"/>
        </w:rPr>
        <w:t>– (“</w:t>
      </w:r>
      <w:r w:rsidRPr="000757BC">
        <w:rPr>
          <w:rFonts w:ascii="Segoe UI" w:hAnsi="Segoe UI" w:cs="Segoe UI"/>
        </w:rPr>
        <w:t>IBAMA</w:t>
      </w:r>
      <w:r w:rsidR="00B54B44">
        <w:rPr>
          <w:rFonts w:ascii="Segoe UI" w:hAnsi="Segoe UI" w:cs="Segoe UI"/>
        </w:rPr>
        <w:t>”)</w:t>
      </w:r>
      <w:r w:rsidRPr="000757BC">
        <w:rPr>
          <w:rFonts w:ascii="Segoe UI" w:hAnsi="Segoe UI" w:cs="Segoe UI"/>
        </w:rPr>
        <w:t xml:space="preserve"> é para a CNAAA, ou seja, para Angra 1 e é válida até 2024. A atual Autorização para Operação Permanente de Angra 1, emitida pela CNEN, expira em 2024.  A usina de Angra 2, a atual autorização para </w:t>
      </w:r>
      <w:r w:rsidR="00B54B44">
        <w:rPr>
          <w:rFonts w:ascii="Segoe UI" w:hAnsi="Segoe UI" w:cs="Segoe UI"/>
        </w:rPr>
        <w:t>o</w:t>
      </w:r>
      <w:r w:rsidRPr="000757BC">
        <w:rPr>
          <w:rFonts w:ascii="Segoe UI" w:hAnsi="Segoe UI" w:cs="Segoe UI"/>
        </w:rPr>
        <w:t xml:space="preserve">peração </w:t>
      </w:r>
      <w:r w:rsidR="00B54B44">
        <w:rPr>
          <w:rFonts w:ascii="Segoe UI" w:hAnsi="Segoe UI" w:cs="Segoe UI"/>
        </w:rPr>
        <w:t>p</w:t>
      </w:r>
      <w:r w:rsidRPr="000757BC">
        <w:rPr>
          <w:rFonts w:ascii="Segoe UI" w:hAnsi="Segoe UI" w:cs="Segoe UI"/>
        </w:rPr>
        <w:t xml:space="preserve">ermanente de Angra 2, emitida pela CNEN, expira em junho de 2041. </w:t>
      </w:r>
    </w:p>
    <w:p w14:paraId="739A3BF4" w14:textId="07287695" w:rsidR="00BE305A" w:rsidRPr="003D279D" w:rsidRDefault="00AC5183" w:rsidP="00F21765">
      <w:pPr>
        <w:spacing w:before="240" w:afterLines="50" w:after="120"/>
        <w:jc w:val="both"/>
        <w:rPr>
          <w:rFonts w:ascii="Segoe UI" w:hAnsi="Segoe UI" w:cs="Segoe UI"/>
          <w:b/>
          <w:bCs/>
          <w:sz w:val="20"/>
          <w:szCs w:val="20"/>
        </w:rPr>
      </w:pPr>
      <w:r>
        <w:rPr>
          <w:rFonts w:ascii="Segoe UI" w:hAnsi="Segoe UI" w:cs="Segoe UI"/>
          <w:b/>
          <w:color w:val="1B80C4"/>
        </w:rPr>
        <w:t>13.1</w:t>
      </w:r>
      <w:r w:rsidR="00F21765">
        <w:rPr>
          <w:rFonts w:ascii="Segoe UI" w:hAnsi="Segoe UI" w:cs="Segoe UI"/>
          <w:b/>
          <w:color w:val="1B80C4"/>
        </w:rPr>
        <w:t>.1</w:t>
      </w:r>
      <w:r>
        <w:rPr>
          <w:rFonts w:ascii="Segoe UI" w:hAnsi="Segoe UI" w:cs="Segoe UI"/>
          <w:b/>
          <w:color w:val="1B80C4"/>
        </w:rPr>
        <w:t xml:space="preserve"> - </w:t>
      </w:r>
      <w:r w:rsidR="00BE305A" w:rsidRPr="00F21765">
        <w:rPr>
          <w:rFonts w:ascii="Segoe UI" w:hAnsi="Segoe UI" w:cs="Segoe UI"/>
          <w:b/>
          <w:color w:val="1B80C4"/>
        </w:rPr>
        <w:t>Valor recuperável dos ativos</w:t>
      </w:r>
      <w:r w:rsidR="00BE305A" w:rsidRPr="003D279D">
        <w:rPr>
          <w:rFonts w:ascii="Segoe UI" w:hAnsi="Segoe UI" w:cs="Segoe UI"/>
          <w:b/>
          <w:bCs/>
          <w:sz w:val="20"/>
          <w:szCs w:val="20"/>
        </w:rPr>
        <w:t xml:space="preserve">  </w:t>
      </w:r>
    </w:p>
    <w:p w14:paraId="3CC478DD" w14:textId="77777777" w:rsidR="0088239F" w:rsidRPr="00BE305A" w:rsidRDefault="0088239F" w:rsidP="00BE305A">
      <w:pPr>
        <w:tabs>
          <w:tab w:val="left" w:pos="1134"/>
          <w:tab w:val="left" w:pos="1418"/>
          <w:tab w:val="left" w:pos="1701"/>
          <w:tab w:val="left" w:pos="1985"/>
          <w:tab w:val="left" w:pos="2268"/>
        </w:tabs>
        <w:spacing w:before="240" w:after="120"/>
        <w:jc w:val="both"/>
        <w:rPr>
          <w:rFonts w:ascii="Segoe UI" w:hAnsi="Segoe UI" w:cs="Segoe UI"/>
        </w:rPr>
      </w:pPr>
      <w:r w:rsidRPr="00BE305A">
        <w:rPr>
          <w:rFonts w:ascii="Segoe UI" w:hAnsi="Segoe UI" w:cs="Segoe UI"/>
        </w:rPr>
        <w:t>A Companhia estima o valor recuperável de seus ativos imobilizados e intangíveis com base em valor em uso, tendo em vista não haver mercado ativo para a infraestrutura. O valor em uso é avaliado com base no valor presente do fluxo de caixa futuro estimado.</w:t>
      </w:r>
    </w:p>
    <w:p w14:paraId="19D63D22" w14:textId="42F3F02D" w:rsidR="0088239F" w:rsidRPr="00BE305A" w:rsidRDefault="0088239F" w:rsidP="00BE305A">
      <w:pPr>
        <w:tabs>
          <w:tab w:val="left" w:pos="1134"/>
          <w:tab w:val="left" w:pos="1418"/>
          <w:tab w:val="left" w:pos="1701"/>
          <w:tab w:val="left" w:pos="1985"/>
          <w:tab w:val="left" w:pos="2268"/>
        </w:tabs>
        <w:spacing w:before="240" w:after="120"/>
        <w:jc w:val="both"/>
        <w:rPr>
          <w:rFonts w:ascii="Segoe UI" w:hAnsi="Segoe UI" w:cs="Segoe UI"/>
        </w:rPr>
      </w:pPr>
      <w:r w:rsidRPr="00BE305A">
        <w:rPr>
          <w:rFonts w:ascii="Segoe UI" w:hAnsi="Segoe UI" w:cs="Segoe UI"/>
        </w:rPr>
        <w:t xml:space="preserve">As premissas utilizadas consideram a melhor estimativa da Administração da </w:t>
      </w:r>
      <w:r w:rsidR="003D279D" w:rsidRPr="00BE305A">
        <w:rPr>
          <w:rFonts w:ascii="Segoe UI" w:hAnsi="Segoe UI" w:cs="Segoe UI"/>
        </w:rPr>
        <w:t>Eletronuclear</w:t>
      </w:r>
      <w:r w:rsidRPr="00BE305A">
        <w:rPr>
          <w:rFonts w:ascii="Segoe UI" w:hAnsi="Segoe UI" w:cs="Segoe UI"/>
        </w:rPr>
        <w:t xml:space="preserve"> sobre as tendências futuras do setor elétrico e são baseadas tanto em fontes externas de informações como dados históricos das unidades geradoras de caixa. </w:t>
      </w:r>
    </w:p>
    <w:p w14:paraId="0F3D3593" w14:textId="309DDD43"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A administração da </w:t>
      </w:r>
      <w:r w:rsidR="00755A01" w:rsidRPr="00BE305A">
        <w:rPr>
          <w:rFonts w:ascii="Segoe UI" w:hAnsi="Segoe UI" w:cs="Segoe UI"/>
        </w:rPr>
        <w:t>Eletronuclear</w:t>
      </w:r>
      <w:r w:rsidRPr="005F0FD4">
        <w:rPr>
          <w:rFonts w:ascii="Segoe UI" w:hAnsi="Segoe UI" w:cs="Segoe UI"/>
        </w:rPr>
        <w:t xml:space="preserve"> tem razoável segurança que a nova tarifa de Angra 3, elaborada no âmbito da modelagem de retomada de Angra 3 pelo BNDES, ainda sob análise dos órgãos de controle e ainda pendente de aprovação pelo CNPE, tem como pilar a questão de sua viabilidade econômico-financeira do Projeto, conforme estabelecido na Lei 14.120/2021 e também pela Resolução CNPE nº 23, de 20 de outubro de 2021, por meio da qual foram estabelecidas as diretrizes para o cálculo do preço da energia de Angra 3 resultante dos estudos do BNDES, a formalização da tarifa, que é uma premissa extremamente sensível na aplicação do teste de recuperabilidade do ativo ainda não está aprovada pelo próprio CNPE. Em virtude de questionamentos advindos do TCU acerca dos parâmetros utilizados na modelagem da retomada </w:t>
      </w:r>
      <w:r w:rsidRPr="005F0FD4">
        <w:rPr>
          <w:rFonts w:ascii="Segoe UI" w:hAnsi="Segoe UI" w:cs="Segoe UI"/>
        </w:rPr>
        <w:lastRenderedPageBreak/>
        <w:t>do empreendimento, o tema não foi levado para apreciação do colegiado do CNPE, que aguarda então o alinhamento dos pontos listados pelo tribunal de contas a respeito do relatório elaborado.</w:t>
      </w:r>
    </w:p>
    <w:p w14:paraId="51808DEF" w14:textId="03D73824"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Desta forma, a Companhia efetuou uma análise de recuperabilidade de sua segunda Unidade Geradora de Caixa - UGC 2 (Angra 3) para avaliar os possíveis resultados da tarifa proposta no Relatório elaborado pelo BNDES e enviado para análise do TCU. Neste caso, com base nos resultados obtidos, não foi identificada a necessidade de registros de </w:t>
      </w:r>
      <w:r w:rsidRPr="00755A01">
        <w:rPr>
          <w:rFonts w:ascii="Segoe UI" w:hAnsi="Segoe UI" w:cs="Segoe UI"/>
          <w:i/>
          <w:iCs/>
        </w:rPr>
        <w:t>impairment</w:t>
      </w:r>
      <w:r w:rsidRPr="005F0FD4">
        <w:rPr>
          <w:rFonts w:ascii="Segoe UI" w:hAnsi="Segoe UI" w:cs="Segoe UI"/>
        </w:rPr>
        <w:t xml:space="preserve"> adiciona</w:t>
      </w:r>
      <w:r w:rsidR="00E55396">
        <w:rPr>
          <w:rFonts w:ascii="Segoe UI" w:hAnsi="Segoe UI" w:cs="Segoe UI"/>
        </w:rPr>
        <w:t>is</w:t>
      </w:r>
      <w:r w:rsidRPr="005F0FD4">
        <w:rPr>
          <w:rFonts w:ascii="Segoe UI" w:hAnsi="Segoe UI" w:cs="Segoe UI"/>
        </w:rPr>
        <w:t xml:space="preserve"> em 2022. Com relação à sua primeira Unidade Geradora de Caixa - UGC 1 (Angra 1 e 2) não foi identificada necessidade de realizar a análise de recuperabilidade da mesma.</w:t>
      </w:r>
    </w:p>
    <w:p w14:paraId="4FBE4F6B" w14:textId="77777777"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Na análise de sensibilidade realizada na UGC - 2 foram consideradas as principais premissas definidas a seguir:</w:t>
      </w:r>
    </w:p>
    <w:p w14:paraId="4D138BBA" w14:textId="0EB52634" w:rsidR="0088239F" w:rsidRPr="00755A01" w:rsidRDefault="0088239F" w:rsidP="00E03252">
      <w:pPr>
        <w:pStyle w:val="PargrafodaLista"/>
        <w:numPr>
          <w:ilvl w:val="0"/>
          <w:numId w:val="14"/>
        </w:numPr>
        <w:tabs>
          <w:tab w:val="left" w:pos="1134"/>
          <w:tab w:val="left" w:pos="1701"/>
          <w:tab w:val="left" w:pos="1985"/>
          <w:tab w:val="left" w:pos="2268"/>
        </w:tabs>
        <w:spacing w:after="120"/>
        <w:ind w:left="851" w:hanging="425"/>
        <w:rPr>
          <w:rFonts w:ascii="Segoe UI" w:hAnsi="Segoe UI" w:cs="Segoe UI"/>
        </w:rPr>
      </w:pPr>
      <w:r w:rsidRPr="00755A01">
        <w:rPr>
          <w:rFonts w:ascii="Segoe UI" w:hAnsi="Segoe UI" w:cs="Segoe UI"/>
        </w:rPr>
        <w:t>Crescimento orgânico compatível com os dados históricos e reajustes tarifários contratuais de inflação</w:t>
      </w:r>
      <w:r w:rsidR="001737E0">
        <w:rPr>
          <w:rFonts w:ascii="Segoe UI" w:hAnsi="Segoe UI" w:cs="Segoe UI"/>
        </w:rPr>
        <w:t>;</w:t>
      </w:r>
      <w:r w:rsidRPr="00755A01">
        <w:rPr>
          <w:rFonts w:ascii="Segoe UI" w:hAnsi="Segoe UI" w:cs="Segoe UI"/>
        </w:rPr>
        <w:t xml:space="preserve"> </w:t>
      </w:r>
    </w:p>
    <w:p w14:paraId="2C20FCA3" w14:textId="5AFD5107" w:rsidR="0088239F" w:rsidRPr="00755A01" w:rsidRDefault="0088239F" w:rsidP="00E03252">
      <w:pPr>
        <w:pStyle w:val="PargrafodaLista"/>
        <w:numPr>
          <w:ilvl w:val="0"/>
          <w:numId w:val="14"/>
        </w:numPr>
        <w:tabs>
          <w:tab w:val="left" w:pos="1134"/>
          <w:tab w:val="left" w:pos="1418"/>
          <w:tab w:val="left" w:pos="1701"/>
          <w:tab w:val="left" w:pos="1985"/>
          <w:tab w:val="left" w:pos="2268"/>
        </w:tabs>
        <w:spacing w:after="120"/>
        <w:ind w:left="851" w:hanging="425"/>
        <w:rPr>
          <w:rFonts w:ascii="Segoe UI" w:hAnsi="Segoe UI" w:cs="Segoe UI"/>
        </w:rPr>
      </w:pPr>
      <w:r w:rsidRPr="00755A01">
        <w:rPr>
          <w:rFonts w:ascii="Segoe UI" w:hAnsi="Segoe UI" w:cs="Segoe UI"/>
        </w:rPr>
        <w:t>Taxa de desconto.</w:t>
      </w:r>
    </w:p>
    <w:p w14:paraId="0069B30E" w14:textId="77777777"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Para a Usina Angra 3, em função das características peculiares de financiamento, a taxa de desconto foi calculada considerando a estrutura de capital específica do projeto, o que resultou na taxa de desconto para a base dezembro de 2022 de 6,28% (7,01% em dezembro de 2021). Nesses cálculos foram utilizados parâmetros dos relatórios preliminares elaborados no âmbito do Serviço C da modelagem da retomada de Angra 3 sendo conduzidas pelo BNDES.</w:t>
      </w:r>
    </w:p>
    <w:p w14:paraId="0A3CD502" w14:textId="1E0E14E5" w:rsidR="0088239F" w:rsidRPr="00755A01" w:rsidRDefault="0088239F" w:rsidP="00E03252">
      <w:pPr>
        <w:pStyle w:val="PargrafodaLista"/>
        <w:numPr>
          <w:ilvl w:val="0"/>
          <w:numId w:val="14"/>
        </w:numPr>
        <w:tabs>
          <w:tab w:val="left" w:pos="1134"/>
          <w:tab w:val="left" w:pos="1701"/>
          <w:tab w:val="left" w:pos="1985"/>
          <w:tab w:val="left" w:pos="2268"/>
        </w:tabs>
        <w:spacing w:after="120"/>
        <w:ind w:left="851" w:hanging="425"/>
        <w:rPr>
          <w:rFonts w:ascii="Segoe UI" w:hAnsi="Segoe UI" w:cs="Segoe UI"/>
        </w:rPr>
      </w:pPr>
      <w:r w:rsidRPr="00755A01">
        <w:rPr>
          <w:rFonts w:ascii="Segoe UI" w:hAnsi="Segoe UI" w:cs="Segoe UI"/>
        </w:rPr>
        <w:t>Data de Entrada em Operação.</w:t>
      </w:r>
    </w:p>
    <w:p w14:paraId="3AF45803" w14:textId="432B0799"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A data prevista para entrada em operação da usina está estimada para julho de 2028, conforme aprovação da Diretoria Executiva da E</w:t>
      </w:r>
      <w:r w:rsidR="00755A01">
        <w:rPr>
          <w:rFonts w:ascii="Segoe UI" w:hAnsi="Segoe UI" w:cs="Segoe UI"/>
        </w:rPr>
        <w:t>letronuclear</w:t>
      </w:r>
      <w:r w:rsidRPr="005F0FD4">
        <w:rPr>
          <w:rFonts w:ascii="Segoe UI" w:hAnsi="Segoe UI" w:cs="Segoe UI"/>
        </w:rPr>
        <w:t xml:space="preserve"> com base nos estudos em curso pelo BNDES para viabilizar o empreendimento Angra 3.  </w:t>
      </w:r>
    </w:p>
    <w:p w14:paraId="3D63840D" w14:textId="1D444F1D" w:rsidR="0088239F" w:rsidRPr="00755A01" w:rsidRDefault="0088239F" w:rsidP="00E03252">
      <w:pPr>
        <w:pStyle w:val="PargrafodaLista"/>
        <w:numPr>
          <w:ilvl w:val="0"/>
          <w:numId w:val="14"/>
        </w:numPr>
        <w:tabs>
          <w:tab w:val="left" w:pos="1134"/>
          <w:tab w:val="left" w:pos="1701"/>
          <w:tab w:val="left" w:pos="1985"/>
          <w:tab w:val="left" w:pos="2268"/>
        </w:tabs>
        <w:spacing w:after="120"/>
        <w:ind w:left="851" w:hanging="425"/>
        <w:rPr>
          <w:rFonts w:ascii="Segoe UI" w:hAnsi="Segoe UI" w:cs="Segoe UI"/>
        </w:rPr>
      </w:pPr>
      <w:r w:rsidRPr="00755A01">
        <w:rPr>
          <w:rFonts w:ascii="Segoe UI" w:hAnsi="Segoe UI" w:cs="Segoe UI"/>
        </w:rPr>
        <w:t>Orçamento Total do Projeto</w:t>
      </w:r>
      <w:r w:rsidR="001737E0">
        <w:rPr>
          <w:rFonts w:ascii="Segoe UI" w:hAnsi="Segoe UI" w:cs="Segoe UI"/>
        </w:rPr>
        <w:t>.</w:t>
      </w:r>
    </w:p>
    <w:p w14:paraId="46AF4506" w14:textId="7D6B9B08"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Com base nos relatórios encaminhados pelo BNDES e após a devida revisão, a Diretoria Executiva da </w:t>
      </w:r>
      <w:r w:rsidR="00755A01" w:rsidRPr="005F0FD4">
        <w:rPr>
          <w:rFonts w:ascii="Segoe UI" w:hAnsi="Segoe UI" w:cs="Segoe UI"/>
        </w:rPr>
        <w:t>E</w:t>
      </w:r>
      <w:r w:rsidR="00755A01">
        <w:rPr>
          <w:rFonts w:ascii="Segoe UI" w:hAnsi="Segoe UI" w:cs="Segoe UI"/>
        </w:rPr>
        <w:t>letronuclear</w:t>
      </w:r>
      <w:r w:rsidRPr="005F0FD4">
        <w:rPr>
          <w:rFonts w:ascii="Segoe UI" w:hAnsi="Segoe UI" w:cs="Segoe UI"/>
        </w:rPr>
        <w:t xml:space="preserve"> aprovou nova revisão do </w:t>
      </w:r>
      <w:r w:rsidR="00755A01">
        <w:rPr>
          <w:rFonts w:ascii="Segoe UI" w:hAnsi="Segoe UI" w:cs="Segoe UI"/>
        </w:rPr>
        <w:t>c</w:t>
      </w:r>
      <w:r w:rsidRPr="005F0FD4">
        <w:rPr>
          <w:rFonts w:ascii="Segoe UI" w:hAnsi="Segoe UI" w:cs="Segoe UI"/>
        </w:rPr>
        <w:t xml:space="preserve">ronograma </w:t>
      </w:r>
      <w:r w:rsidR="00755A01">
        <w:rPr>
          <w:rFonts w:ascii="Segoe UI" w:hAnsi="Segoe UI" w:cs="Segoe UI"/>
        </w:rPr>
        <w:t>e</w:t>
      </w:r>
      <w:r w:rsidRPr="005F0FD4">
        <w:rPr>
          <w:rFonts w:ascii="Segoe UI" w:hAnsi="Segoe UI" w:cs="Segoe UI"/>
        </w:rPr>
        <w:t xml:space="preserve">xecutivo do </w:t>
      </w:r>
      <w:r w:rsidR="00755A01">
        <w:rPr>
          <w:rFonts w:ascii="Segoe UI" w:hAnsi="Segoe UI" w:cs="Segoe UI"/>
        </w:rPr>
        <w:t>e</w:t>
      </w:r>
      <w:r w:rsidRPr="005F0FD4">
        <w:rPr>
          <w:rFonts w:ascii="Segoe UI" w:hAnsi="Segoe UI" w:cs="Segoe UI"/>
        </w:rPr>
        <w:t xml:space="preserve">mpreendimento Angra 3, alterando a data de previsão de Início de operação da </w:t>
      </w:r>
      <w:r w:rsidR="00755A01">
        <w:rPr>
          <w:rFonts w:ascii="Segoe UI" w:hAnsi="Segoe UI" w:cs="Segoe UI"/>
        </w:rPr>
        <w:t>u</w:t>
      </w:r>
      <w:r w:rsidRPr="005F0FD4">
        <w:rPr>
          <w:rFonts w:ascii="Segoe UI" w:hAnsi="Segoe UI" w:cs="Segoe UI"/>
        </w:rPr>
        <w:t xml:space="preserve">sina para julho de 2028, assim como o </w:t>
      </w:r>
      <w:r w:rsidR="00755A01">
        <w:rPr>
          <w:rFonts w:ascii="Segoe UI" w:hAnsi="Segoe UI" w:cs="Segoe UI"/>
        </w:rPr>
        <w:t>o</w:t>
      </w:r>
      <w:r w:rsidRPr="005F0FD4">
        <w:rPr>
          <w:rFonts w:ascii="Segoe UI" w:hAnsi="Segoe UI" w:cs="Segoe UI"/>
        </w:rPr>
        <w:t xml:space="preserve">rçamento de </w:t>
      </w:r>
      <w:r w:rsidR="00755A01">
        <w:rPr>
          <w:rFonts w:ascii="Segoe UI" w:hAnsi="Segoe UI" w:cs="Segoe UI"/>
        </w:rPr>
        <w:t>c</w:t>
      </w:r>
      <w:r w:rsidRPr="005F0FD4">
        <w:rPr>
          <w:rFonts w:ascii="Segoe UI" w:hAnsi="Segoe UI" w:cs="Segoe UI"/>
        </w:rPr>
        <w:t xml:space="preserve">ustos </w:t>
      </w:r>
      <w:r w:rsidR="00755A01">
        <w:rPr>
          <w:rFonts w:ascii="Segoe UI" w:hAnsi="Segoe UI" w:cs="Segoe UI"/>
        </w:rPr>
        <w:t>d</w:t>
      </w:r>
      <w:r w:rsidRPr="005F0FD4">
        <w:rPr>
          <w:rFonts w:ascii="Segoe UI" w:hAnsi="Segoe UI" w:cs="Segoe UI"/>
        </w:rPr>
        <w:t xml:space="preserve">iretos do empreendimento de R$ 30.832 (base dezembro-2021) para </w:t>
      </w:r>
      <w:r w:rsidR="00755A01">
        <w:rPr>
          <w:rFonts w:ascii="Segoe UI" w:hAnsi="Segoe UI" w:cs="Segoe UI"/>
        </w:rPr>
        <w:t xml:space="preserve">     </w:t>
      </w:r>
      <w:r w:rsidR="00240EB3">
        <w:rPr>
          <w:rFonts w:ascii="Segoe UI" w:hAnsi="Segoe UI" w:cs="Segoe UI"/>
        </w:rPr>
        <w:t xml:space="preserve">   </w:t>
      </w:r>
      <w:r w:rsidR="00755A01">
        <w:rPr>
          <w:rFonts w:ascii="Segoe UI" w:hAnsi="Segoe UI" w:cs="Segoe UI"/>
        </w:rPr>
        <w:t xml:space="preserve">    </w:t>
      </w:r>
      <w:r w:rsidRPr="005F0FD4">
        <w:rPr>
          <w:rFonts w:ascii="Segoe UI" w:hAnsi="Segoe UI" w:cs="Segoe UI"/>
        </w:rPr>
        <w:t xml:space="preserve">R$ 29.243 (base setembro de 2021). </w:t>
      </w:r>
    </w:p>
    <w:p w14:paraId="58C74DBF" w14:textId="204861ED"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O total de custos indiretos, estimados para o empreendimento, soma o valor total de R$ 8.953 sendo R$ 3.924 realizados e R$ 5.028 a realizar até julho de 2028. O aumento nos custos indiretos em relação ao teste realizado em 2021 está relacionado à manutenção dos pagamentos dos contratos de financiamento do BNDES e CEF.</w:t>
      </w:r>
    </w:p>
    <w:p w14:paraId="704240C5" w14:textId="0CA29407"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Houve redução nominal de R$ 630 em relação ao </w:t>
      </w:r>
      <w:r w:rsidR="008E62D0">
        <w:rPr>
          <w:rFonts w:ascii="Segoe UI" w:hAnsi="Segoe UI" w:cs="Segoe UI"/>
        </w:rPr>
        <w:t>o</w:t>
      </w:r>
      <w:r w:rsidRPr="005F0FD4">
        <w:rPr>
          <w:rFonts w:ascii="Segoe UI" w:hAnsi="Segoe UI" w:cs="Segoe UI"/>
        </w:rPr>
        <w:t xml:space="preserve">rçamento base dezembro de 2020, utilizado no teste de </w:t>
      </w:r>
      <w:r w:rsidRPr="008E62D0">
        <w:rPr>
          <w:rFonts w:ascii="Segoe UI" w:hAnsi="Segoe UI" w:cs="Segoe UI"/>
          <w:i/>
          <w:iCs/>
        </w:rPr>
        <w:t>impairment</w:t>
      </w:r>
      <w:r w:rsidRPr="005F0FD4">
        <w:rPr>
          <w:rFonts w:ascii="Segoe UI" w:hAnsi="Segoe UI" w:cs="Segoe UI"/>
        </w:rPr>
        <w:t>, realizado em 2021. Desta forma, o orçamento direto totalizou o valor de R$ 30.832, sendo R$ 10.758 realizados e R$ 19.442 a realizar.</w:t>
      </w:r>
    </w:p>
    <w:p w14:paraId="13910B7E" w14:textId="4DBF655D" w:rsidR="0088239F" w:rsidRPr="008E62D0" w:rsidRDefault="0088239F" w:rsidP="00E03252">
      <w:pPr>
        <w:pStyle w:val="PargrafodaLista"/>
        <w:numPr>
          <w:ilvl w:val="0"/>
          <w:numId w:val="14"/>
        </w:numPr>
        <w:tabs>
          <w:tab w:val="left" w:pos="1134"/>
          <w:tab w:val="left" w:pos="1701"/>
          <w:tab w:val="left" w:pos="1985"/>
          <w:tab w:val="left" w:pos="2268"/>
        </w:tabs>
        <w:spacing w:after="120"/>
        <w:ind w:left="851" w:hanging="425"/>
        <w:rPr>
          <w:rFonts w:ascii="Segoe UI" w:hAnsi="Segoe UI" w:cs="Segoe UI"/>
        </w:rPr>
      </w:pPr>
      <w:r w:rsidRPr="008E62D0">
        <w:rPr>
          <w:rFonts w:ascii="Segoe UI" w:hAnsi="Segoe UI" w:cs="Segoe UI"/>
        </w:rPr>
        <w:lastRenderedPageBreak/>
        <w:t>Sinergia</w:t>
      </w:r>
    </w:p>
    <w:p w14:paraId="4EEA332F" w14:textId="247E3BEA"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As </w:t>
      </w:r>
      <w:r w:rsidR="008E62D0">
        <w:rPr>
          <w:rFonts w:ascii="Segoe UI" w:hAnsi="Segoe UI" w:cs="Segoe UI"/>
        </w:rPr>
        <w:t>u</w:t>
      </w:r>
      <w:r w:rsidRPr="005F0FD4">
        <w:rPr>
          <w:rFonts w:ascii="Segoe UI" w:hAnsi="Segoe UI" w:cs="Segoe UI"/>
        </w:rPr>
        <w:t xml:space="preserve">sinas Angra 2 e Angra 3 são oriundas de projetos similares e, por isso, tem sido utilizado o parâmetro de custos de Angra 2 em Angra 3. Ocorre que existirá um ganho de custo/produtividade na entrada de Angra 3 por não haver necessidade de duplicar todas as atividades geradoras de custo, pois áreas comuns </w:t>
      </w:r>
      <w:r w:rsidR="00755A01" w:rsidRPr="005F0FD4">
        <w:rPr>
          <w:rFonts w:ascii="Segoe UI" w:hAnsi="Segoe UI" w:cs="Segoe UI"/>
        </w:rPr>
        <w:t>atenderão</w:t>
      </w:r>
      <w:r w:rsidRPr="005F0FD4">
        <w:rPr>
          <w:rFonts w:ascii="Segoe UI" w:hAnsi="Segoe UI" w:cs="Segoe UI"/>
        </w:rPr>
        <w:t xml:space="preserve"> as duas usinas. </w:t>
      </w:r>
    </w:p>
    <w:p w14:paraId="534E7933" w14:textId="3D5167DA"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A sinergia apurada para o projeto, considerando estudos internos, baseados na utilização da mão de obra da Companhia, apontou para um patamar de cerca de 25,4% conforme Nota Técnica da Superintendência Financeira– SF.</w:t>
      </w:r>
      <w:r w:rsidR="00C46F51">
        <w:rPr>
          <w:rFonts w:ascii="Segoe UI" w:hAnsi="Segoe UI" w:cs="Segoe UI"/>
        </w:rPr>
        <w:t xml:space="preserve"> </w:t>
      </w:r>
      <w:r w:rsidRPr="005F0FD4">
        <w:rPr>
          <w:rFonts w:ascii="Segoe UI" w:hAnsi="Segoe UI" w:cs="Segoe UI"/>
        </w:rPr>
        <w:t xml:space="preserve">A 022/2016, sendo esse percentual utilizado para estimativa do custo operacional PMSO da </w:t>
      </w:r>
      <w:r w:rsidR="008E62D0">
        <w:rPr>
          <w:rFonts w:ascii="Segoe UI" w:hAnsi="Segoe UI" w:cs="Segoe UI"/>
        </w:rPr>
        <w:t>u</w:t>
      </w:r>
      <w:r w:rsidRPr="005F0FD4">
        <w:rPr>
          <w:rFonts w:ascii="Segoe UI" w:hAnsi="Segoe UI" w:cs="Segoe UI"/>
        </w:rPr>
        <w:t>sina Angra 3, no teste de </w:t>
      </w:r>
      <w:r w:rsidRPr="00755A01">
        <w:rPr>
          <w:rFonts w:ascii="Segoe UI" w:hAnsi="Segoe UI" w:cs="Segoe UI"/>
          <w:i/>
          <w:iCs/>
        </w:rPr>
        <w:t>impairment</w:t>
      </w:r>
      <w:r w:rsidRPr="005F0FD4">
        <w:rPr>
          <w:rFonts w:ascii="Segoe UI" w:hAnsi="Segoe UI" w:cs="Segoe UI"/>
        </w:rPr>
        <w:t> de dezembro de 2015 e nos testes posteriores, com ajustes inflacionários e reduções por ganhos no custo de pessoal decorrentes dos planos de desligamentos.</w:t>
      </w:r>
    </w:p>
    <w:p w14:paraId="1D4C36A4" w14:textId="77777777"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A Lei nº 14.120/21 estabeleceu as condições gerais para estruturação do empreendimento Angra 3, garantindo ao projeto uma tarifa que assegure a sua viabilidade econômico-financeira, sendo este um marco relevante para conclusão do projeto. Ademais, a Resolução do CNPE 23/21, definiu parâmetros para cálculo da tarifa de equilíbrio pelo BNDES, dentre os quais a data base, 30 de junho de 2020, e o custo de capital próprio real de 8,88% ao ano para remuneração do capital investido.   </w:t>
      </w:r>
    </w:p>
    <w:p w14:paraId="0E45825B" w14:textId="6EEB750A"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Durante o ano de 2022 foram celebrados entre ENBP</w:t>
      </w:r>
      <w:r w:rsidR="008E62D0">
        <w:rPr>
          <w:rFonts w:ascii="Segoe UI" w:hAnsi="Segoe UI" w:cs="Segoe UI"/>
        </w:rPr>
        <w:t>ar</w:t>
      </w:r>
      <w:r w:rsidRPr="005F0FD4">
        <w:rPr>
          <w:rFonts w:ascii="Segoe UI" w:hAnsi="Segoe UI" w:cs="Segoe UI"/>
        </w:rPr>
        <w:t>, nova controladora da E</w:t>
      </w:r>
      <w:r w:rsidR="00755A01">
        <w:rPr>
          <w:rFonts w:ascii="Segoe UI" w:hAnsi="Segoe UI" w:cs="Segoe UI"/>
        </w:rPr>
        <w:t>letronuclear</w:t>
      </w:r>
      <w:r w:rsidRPr="005F0FD4">
        <w:rPr>
          <w:rFonts w:ascii="Segoe UI" w:hAnsi="Segoe UI" w:cs="Segoe UI"/>
        </w:rPr>
        <w:t xml:space="preserve">, e a </w:t>
      </w:r>
      <w:r w:rsidR="00755A01" w:rsidRPr="005F0FD4">
        <w:rPr>
          <w:rFonts w:ascii="Segoe UI" w:hAnsi="Segoe UI" w:cs="Segoe UI"/>
        </w:rPr>
        <w:t>E</w:t>
      </w:r>
      <w:r w:rsidR="00755A01">
        <w:rPr>
          <w:rFonts w:ascii="Segoe UI" w:hAnsi="Segoe UI" w:cs="Segoe UI"/>
        </w:rPr>
        <w:t>letrobras</w:t>
      </w:r>
      <w:r w:rsidRPr="005F0FD4">
        <w:rPr>
          <w:rFonts w:ascii="Segoe UI" w:hAnsi="Segoe UI" w:cs="Segoe UI"/>
        </w:rPr>
        <w:t xml:space="preserve">, ainda uma acionista relevante mesmo após o processo de desestatização, </w:t>
      </w:r>
      <w:r w:rsidR="008E62D0">
        <w:rPr>
          <w:rFonts w:ascii="Segoe UI" w:hAnsi="Segoe UI" w:cs="Segoe UI"/>
        </w:rPr>
        <w:t>a</w:t>
      </w:r>
      <w:r w:rsidRPr="005F0FD4">
        <w:rPr>
          <w:rFonts w:ascii="Segoe UI" w:hAnsi="Segoe UI" w:cs="Segoe UI"/>
        </w:rPr>
        <w:t xml:space="preserve">cordos de </w:t>
      </w:r>
      <w:r w:rsidR="008E62D0">
        <w:rPr>
          <w:rFonts w:ascii="Segoe UI" w:hAnsi="Segoe UI" w:cs="Segoe UI"/>
        </w:rPr>
        <w:t>a</w:t>
      </w:r>
      <w:r w:rsidRPr="005F0FD4">
        <w:rPr>
          <w:rFonts w:ascii="Segoe UI" w:hAnsi="Segoe UI" w:cs="Segoe UI"/>
        </w:rPr>
        <w:t xml:space="preserve">cionista e de </w:t>
      </w:r>
      <w:r w:rsidR="008E62D0">
        <w:rPr>
          <w:rFonts w:ascii="Segoe UI" w:hAnsi="Segoe UI" w:cs="Segoe UI"/>
        </w:rPr>
        <w:t>i</w:t>
      </w:r>
      <w:r w:rsidRPr="005F0FD4">
        <w:rPr>
          <w:rFonts w:ascii="Segoe UI" w:hAnsi="Segoe UI" w:cs="Segoe UI"/>
        </w:rPr>
        <w:t xml:space="preserve">nvestimentos. No âmbito do </w:t>
      </w:r>
      <w:r w:rsidR="008E62D0">
        <w:rPr>
          <w:rFonts w:ascii="Segoe UI" w:hAnsi="Segoe UI" w:cs="Segoe UI"/>
        </w:rPr>
        <w:t>a</w:t>
      </w:r>
      <w:r w:rsidRPr="005F0FD4">
        <w:rPr>
          <w:rFonts w:ascii="Segoe UI" w:hAnsi="Segoe UI" w:cs="Segoe UI"/>
        </w:rPr>
        <w:t xml:space="preserve">cordo de </w:t>
      </w:r>
      <w:r w:rsidR="008E62D0">
        <w:rPr>
          <w:rFonts w:ascii="Segoe UI" w:hAnsi="Segoe UI" w:cs="Segoe UI"/>
        </w:rPr>
        <w:t>i</w:t>
      </w:r>
      <w:r w:rsidRPr="005F0FD4">
        <w:rPr>
          <w:rFonts w:ascii="Segoe UI" w:hAnsi="Segoe UI" w:cs="Segoe UI"/>
        </w:rPr>
        <w:t xml:space="preserve">nvestimentos, as duas partes concordaram em cooperar com a </w:t>
      </w:r>
      <w:r w:rsidR="00755A01" w:rsidRPr="005F0FD4">
        <w:rPr>
          <w:rFonts w:ascii="Segoe UI" w:hAnsi="Segoe UI" w:cs="Segoe UI"/>
        </w:rPr>
        <w:t>E</w:t>
      </w:r>
      <w:r w:rsidR="00755A01">
        <w:rPr>
          <w:rFonts w:ascii="Segoe UI" w:hAnsi="Segoe UI" w:cs="Segoe UI"/>
        </w:rPr>
        <w:t>letronuclear</w:t>
      </w:r>
      <w:r w:rsidRPr="005F0FD4">
        <w:rPr>
          <w:rFonts w:ascii="Segoe UI" w:hAnsi="Segoe UI" w:cs="Segoe UI"/>
        </w:rPr>
        <w:t xml:space="preserve"> para a captação de novos recursos para conclusão da construção da </w:t>
      </w:r>
      <w:r w:rsidR="008E62D0">
        <w:rPr>
          <w:rFonts w:ascii="Segoe UI" w:hAnsi="Segoe UI" w:cs="Segoe UI"/>
        </w:rPr>
        <w:t>u</w:t>
      </w:r>
      <w:r w:rsidRPr="005F0FD4">
        <w:rPr>
          <w:rFonts w:ascii="Segoe UI" w:hAnsi="Segoe UI" w:cs="Segoe UI"/>
        </w:rPr>
        <w:t>sina Angra 3. As obrigações assumidas pela E</w:t>
      </w:r>
      <w:r w:rsidR="00755A01">
        <w:rPr>
          <w:rFonts w:ascii="Segoe UI" w:hAnsi="Segoe UI" w:cs="Segoe UI"/>
        </w:rPr>
        <w:t>letrobras</w:t>
      </w:r>
      <w:r w:rsidRPr="005F0FD4">
        <w:rPr>
          <w:rFonts w:ascii="Segoe UI" w:hAnsi="Segoe UI" w:cs="Segoe UI"/>
        </w:rPr>
        <w:t xml:space="preserve"> antes de sua desestatização (garantias aos contratos de financiamentos para o projeto de Angra 3, como é o caso dos contratos com o BNDES e CEF) foram mantidas. Com relação à novas captações, as duas partes se comprometem a prestar as garantias necessárias na proporção do capital votante das duas no capital social da </w:t>
      </w:r>
      <w:r w:rsidR="00755A01" w:rsidRPr="005F0FD4">
        <w:rPr>
          <w:rFonts w:ascii="Segoe UI" w:hAnsi="Segoe UI" w:cs="Segoe UI"/>
        </w:rPr>
        <w:t>E</w:t>
      </w:r>
      <w:r w:rsidR="00755A01">
        <w:rPr>
          <w:rFonts w:ascii="Segoe UI" w:hAnsi="Segoe UI" w:cs="Segoe UI"/>
        </w:rPr>
        <w:t>letronuclear</w:t>
      </w:r>
      <w:r w:rsidRPr="005F0FD4">
        <w:rPr>
          <w:rFonts w:ascii="Segoe UI" w:hAnsi="Segoe UI" w:cs="Segoe UI"/>
        </w:rPr>
        <w:t>.</w:t>
      </w:r>
    </w:p>
    <w:p w14:paraId="62B2AA88" w14:textId="4B1B1FA1"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Em fevereiro de 2022 foi assinado o contrato para realização das obras civis com o </w:t>
      </w:r>
      <w:r w:rsidR="008E62D0">
        <w:rPr>
          <w:rFonts w:ascii="Segoe UI" w:hAnsi="Segoe UI" w:cs="Segoe UI"/>
        </w:rPr>
        <w:t>c</w:t>
      </w:r>
      <w:r w:rsidRPr="005F0FD4">
        <w:rPr>
          <w:rFonts w:ascii="Segoe UI" w:hAnsi="Segoe UI" w:cs="Segoe UI"/>
        </w:rPr>
        <w:t xml:space="preserve">onsórcio formado pela Ferreira Guedes, Matricial e ADtranz. Entre as principais atividades a serem executadas nesta etapa da retomada da obra de Angra 3, está a conclusão da superestrutura de concreto do edifício do reator de Angra 3. </w:t>
      </w:r>
    </w:p>
    <w:p w14:paraId="2282F6BD" w14:textId="6C415B3D"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Em </w:t>
      </w:r>
      <w:r w:rsidR="00A474E6">
        <w:rPr>
          <w:rFonts w:ascii="Segoe UI" w:hAnsi="Segoe UI" w:cs="Segoe UI"/>
        </w:rPr>
        <w:t>n</w:t>
      </w:r>
      <w:r w:rsidRPr="005F0FD4">
        <w:rPr>
          <w:rFonts w:ascii="Segoe UI" w:hAnsi="Segoe UI" w:cs="Segoe UI"/>
        </w:rPr>
        <w:t>ovembro de 2022 houve o reinício do processo de concretagem de Angra 3. O evento marcou a retomada das obras civis da usina. Desde a assinatura do contrato houve a mobilização para preparação do canteiro de obras, o que incluiu a montagem de uma central de concreto no local.</w:t>
      </w:r>
    </w:p>
    <w:p w14:paraId="664DB658" w14:textId="77777777" w:rsidR="0088239F" w:rsidRPr="005F0FD4"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A despeito dos significativos avanços acima mencionados, para a realização do teste de recuperabilidade em dezembro de 2022, apesar de todos os parâmetros para o cálculo da tarifa de equilíbrio do projeto estarem disponíveis, a tarifa não é definida pela Companhia, sendo de </w:t>
      </w:r>
      <w:r w:rsidRPr="005F0FD4">
        <w:rPr>
          <w:rFonts w:ascii="Segoe UI" w:hAnsi="Segoe UI" w:cs="Segoe UI"/>
        </w:rPr>
        <w:lastRenderedPageBreak/>
        <w:t xml:space="preserve">responsabilidade do CNPE. Portanto, ainda resta pendente a homologação tarifária, que é de grande relevância para a estruturação do projeto.   </w:t>
      </w:r>
    </w:p>
    <w:p w14:paraId="51A31078" w14:textId="1C60AAC8" w:rsidR="0088239F" w:rsidRDefault="0088239F" w:rsidP="005F0FD4">
      <w:pPr>
        <w:tabs>
          <w:tab w:val="left" w:pos="1134"/>
          <w:tab w:val="left" w:pos="1418"/>
          <w:tab w:val="left" w:pos="1701"/>
          <w:tab w:val="left" w:pos="1985"/>
          <w:tab w:val="left" w:pos="2268"/>
        </w:tabs>
        <w:spacing w:before="240" w:after="120"/>
        <w:jc w:val="both"/>
        <w:rPr>
          <w:rFonts w:ascii="Segoe UI" w:hAnsi="Segoe UI" w:cs="Segoe UI"/>
        </w:rPr>
      </w:pPr>
      <w:r w:rsidRPr="005F0FD4">
        <w:rPr>
          <w:rFonts w:ascii="Segoe UI" w:hAnsi="Segoe UI" w:cs="Segoe UI"/>
        </w:rPr>
        <w:t xml:space="preserve">A fundamentação da manutenção do saldo provisionado de </w:t>
      </w:r>
      <w:r w:rsidRPr="008E62D0">
        <w:rPr>
          <w:rFonts w:ascii="Segoe UI" w:hAnsi="Segoe UI" w:cs="Segoe UI"/>
          <w:i/>
          <w:iCs/>
        </w:rPr>
        <w:t>impairment</w:t>
      </w:r>
      <w:r w:rsidRPr="005F0FD4">
        <w:rPr>
          <w:rFonts w:ascii="Segoe UI" w:hAnsi="Segoe UI" w:cs="Segoe UI"/>
        </w:rPr>
        <w:t xml:space="preserve"> no montante de </w:t>
      </w:r>
      <w:r w:rsidR="008E62D0">
        <w:rPr>
          <w:rFonts w:ascii="Segoe UI" w:hAnsi="Segoe UI" w:cs="Segoe UI"/>
        </w:rPr>
        <w:t xml:space="preserve">           </w:t>
      </w:r>
      <w:r w:rsidR="00240EB3">
        <w:rPr>
          <w:rFonts w:ascii="Segoe UI" w:hAnsi="Segoe UI" w:cs="Segoe UI"/>
        </w:rPr>
        <w:t xml:space="preserve">  </w:t>
      </w:r>
      <w:r w:rsidR="008E62D0">
        <w:rPr>
          <w:rFonts w:ascii="Segoe UI" w:hAnsi="Segoe UI" w:cs="Segoe UI"/>
        </w:rPr>
        <w:t xml:space="preserve">    </w:t>
      </w:r>
      <w:r w:rsidRPr="005F0FD4">
        <w:rPr>
          <w:rFonts w:ascii="Segoe UI" w:hAnsi="Segoe UI" w:cs="Segoe UI"/>
        </w:rPr>
        <w:t xml:space="preserve">R$ 4.508.764 é derivada substancialmente da carência da homologação da tarifa do empreendimento. </w:t>
      </w:r>
    </w:p>
    <w:p w14:paraId="6A4E0380" w14:textId="77777777" w:rsidR="00624E49" w:rsidRDefault="00624E49" w:rsidP="00624E49">
      <w:pPr>
        <w:shd w:val="clear" w:color="auto" w:fill="FFFFFF"/>
        <w:rPr>
          <w:rFonts w:ascii="Segoe UI" w:hAnsi="Segoe UI" w:cs="Segoe UI"/>
        </w:rPr>
      </w:pPr>
      <w:r w:rsidRPr="00D806D6">
        <w:rPr>
          <w:rFonts w:ascii="Segoe UI" w:hAnsi="Segoe UI" w:cs="Segoe UI"/>
        </w:rPr>
        <w:t>A movimentação das provisões é como segue:</w:t>
      </w:r>
    </w:p>
    <w:tbl>
      <w:tblPr>
        <w:tblW w:w="5000" w:type="pct"/>
        <w:tblCellMar>
          <w:left w:w="70" w:type="dxa"/>
          <w:right w:w="70" w:type="dxa"/>
        </w:tblCellMar>
        <w:tblLook w:val="04A0" w:firstRow="1" w:lastRow="0" w:firstColumn="1" w:lastColumn="0" w:noHBand="0" w:noVBand="1"/>
      </w:tblPr>
      <w:tblGrid>
        <w:gridCol w:w="2796"/>
        <w:gridCol w:w="1595"/>
        <w:gridCol w:w="929"/>
        <w:gridCol w:w="1261"/>
        <w:gridCol w:w="1662"/>
        <w:gridCol w:w="1254"/>
      </w:tblGrid>
      <w:tr w:rsidR="00D806D6" w:rsidRPr="00D806D6" w14:paraId="512F86CF" w14:textId="77777777" w:rsidTr="00D806D6">
        <w:trPr>
          <w:trHeight w:val="259"/>
        </w:trPr>
        <w:tc>
          <w:tcPr>
            <w:tcW w:w="1472" w:type="pct"/>
            <w:tcBorders>
              <w:top w:val="nil"/>
              <w:left w:val="nil"/>
              <w:bottom w:val="nil"/>
              <w:right w:val="nil"/>
            </w:tcBorders>
            <w:shd w:val="clear" w:color="000000" w:fill="1B80C4"/>
            <w:noWrap/>
            <w:vAlign w:val="center"/>
            <w:hideMark/>
          </w:tcPr>
          <w:p w14:paraId="5730CACE"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xml:space="preserve">Unidade geradora de caixa </w:t>
            </w:r>
          </w:p>
        </w:tc>
        <w:tc>
          <w:tcPr>
            <w:tcW w:w="840" w:type="pct"/>
            <w:tcBorders>
              <w:top w:val="nil"/>
              <w:left w:val="nil"/>
              <w:bottom w:val="nil"/>
              <w:right w:val="nil"/>
            </w:tcBorders>
            <w:shd w:val="clear" w:color="000000" w:fill="1B80C4"/>
            <w:noWrap/>
            <w:vAlign w:val="center"/>
            <w:hideMark/>
          </w:tcPr>
          <w:p w14:paraId="05E12EFC"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xml:space="preserve"> Na Aquisição </w:t>
            </w:r>
          </w:p>
        </w:tc>
        <w:tc>
          <w:tcPr>
            <w:tcW w:w="489" w:type="pct"/>
            <w:tcBorders>
              <w:top w:val="nil"/>
              <w:left w:val="nil"/>
              <w:bottom w:val="nil"/>
              <w:right w:val="nil"/>
            </w:tcBorders>
            <w:shd w:val="clear" w:color="000000" w:fill="1B80C4"/>
            <w:noWrap/>
            <w:vAlign w:val="center"/>
            <w:hideMark/>
          </w:tcPr>
          <w:p w14:paraId="2AD42D79"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xml:space="preserve"> Adição </w:t>
            </w:r>
          </w:p>
        </w:tc>
        <w:tc>
          <w:tcPr>
            <w:tcW w:w="664" w:type="pct"/>
            <w:tcBorders>
              <w:top w:val="nil"/>
              <w:left w:val="nil"/>
              <w:bottom w:val="nil"/>
              <w:right w:val="nil"/>
            </w:tcBorders>
            <w:shd w:val="clear" w:color="000000" w:fill="1B80C4"/>
            <w:noWrap/>
            <w:vAlign w:val="center"/>
            <w:hideMark/>
          </w:tcPr>
          <w:p w14:paraId="28E15014"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xml:space="preserve"> Reversões </w:t>
            </w:r>
          </w:p>
        </w:tc>
        <w:tc>
          <w:tcPr>
            <w:tcW w:w="875" w:type="pct"/>
            <w:tcBorders>
              <w:top w:val="nil"/>
              <w:left w:val="nil"/>
              <w:bottom w:val="nil"/>
              <w:right w:val="nil"/>
            </w:tcBorders>
            <w:shd w:val="clear" w:color="000000" w:fill="1B80C4"/>
            <w:noWrap/>
            <w:vAlign w:val="center"/>
            <w:hideMark/>
          </w:tcPr>
          <w:p w14:paraId="66C9CFED"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xml:space="preserve"> Transferências </w:t>
            </w:r>
          </w:p>
        </w:tc>
        <w:tc>
          <w:tcPr>
            <w:tcW w:w="660" w:type="pct"/>
            <w:tcBorders>
              <w:top w:val="nil"/>
              <w:left w:val="nil"/>
              <w:bottom w:val="nil"/>
              <w:right w:val="nil"/>
            </w:tcBorders>
            <w:shd w:val="clear" w:color="000000" w:fill="1B80C4"/>
            <w:noWrap/>
            <w:vAlign w:val="center"/>
            <w:hideMark/>
          </w:tcPr>
          <w:p w14:paraId="673AADEF"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31/12/2022</w:t>
            </w:r>
          </w:p>
        </w:tc>
      </w:tr>
      <w:tr w:rsidR="00D806D6" w:rsidRPr="00D806D6" w14:paraId="0C09CF33" w14:textId="77777777" w:rsidTr="00D806D6">
        <w:trPr>
          <w:trHeight w:val="259"/>
        </w:trPr>
        <w:tc>
          <w:tcPr>
            <w:tcW w:w="1472" w:type="pct"/>
            <w:tcBorders>
              <w:top w:val="nil"/>
              <w:left w:val="nil"/>
              <w:bottom w:val="nil"/>
              <w:right w:val="nil"/>
            </w:tcBorders>
            <w:shd w:val="clear" w:color="auto" w:fill="auto"/>
            <w:noWrap/>
            <w:vAlign w:val="bottom"/>
            <w:hideMark/>
          </w:tcPr>
          <w:p w14:paraId="27539D00" w14:textId="77777777" w:rsidR="00D806D6" w:rsidRPr="00D806D6" w:rsidRDefault="00D806D6" w:rsidP="00D806D6">
            <w:pPr>
              <w:spacing w:after="0" w:line="240" w:lineRule="auto"/>
              <w:outlineLvl w:val="0"/>
              <w:rPr>
                <w:rFonts w:ascii="Segoe UI" w:eastAsia="Times New Roman" w:hAnsi="Segoe UI" w:cs="Segoe UI"/>
                <w:sz w:val="18"/>
                <w:szCs w:val="18"/>
                <w:lang w:eastAsia="pt-BR"/>
              </w:rPr>
            </w:pPr>
            <w:r w:rsidRPr="00D806D6">
              <w:rPr>
                <w:rFonts w:ascii="Segoe UI" w:eastAsia="Times New Roman" w:hAnsi="Segoe UI" w:cs="Segoe UI"/>
                <w:sz w:val="18"/>
                <w:szCs w:val="18"/>
                <w:lang w:eastAsia="pt-BR"/>
              </w:rPr>
              <w:t xml:space="preserve"> Angra 3 </w:t>
            </w:r>
          </w:p>
        </w:tc>
        <w:tc>
          <w:tcPr>
            <w:tcW w:w="840" w:type="pct"/>
            <w:tcBorders>
              <w:top w:val="nil"/>
              <w:left w:val="nil"/>
              <w:bottom w:val="nil"/>
              <w:right w:val="nil"/>
            </w:tcBorders>
            <w:shd w:val="clear" w:color="auto" w:fill="auto"/>
            <w:noWrap/>
            <w:vAlign w:val="bottom"/>
            <w:hideMark/>
          </w:tcPr>
          <w:p w14:paraId="4DBACEC2" w14:textId="77777777" w:rsidR="00D806D6" w:rsidRPr="00D806D6" w:rsidRDefault="00D806D6" w:rsidP="00D806D6">
            <w:pPr>
              <w:spacing w:after="0" w:line="240" w:lineRule="auto"/>
              <w:outlineLvl w:val="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(4.508.764)</w:t>
            </w:r>
          </w:p>
        </w:tc>
        <w:tc>
          <w:tcPr>
            <w:tcW w:w="489" w:type="pct"/>
            <w:tcBorders>
              <w:top w:val="nil"/>
              <w:left w:val="nil"/>
              <w:bottom w:val="nil"/>
              <w:right w:val="nil"/>
            </w:tcBorders>
            <w:shd w:val="clear" w:color="auto" w:fill="auto"/>
            <w:noWrap/>
            <w:vAlign w:val="bottom"/>
            <w:hideMark/>
          </w:tcPr>
          <w:p w14:paraId="129AC671" w14:textId="77777777" w:rsidR="00D806D6" w:rsidRPr="00D806D6" w:rsidRDefault="00D806D6" w:rsidP="00D806D6">
            <w:pPr>
              <w:spacing w:after="0" w:line="240" w:lineRule="auto"/>
              <w:outlineLvl w:val="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   </w:t>
            </w:r>
          </w:p>
        </w:tc>
        <w:tc>
          <w:tcPr>
            <w:tcW w:w="664" w:type="pct"/>
            <w:tcBorders>
              <w:top w:val="nil"/>
              <w:left w:val="nil"/>
              <w:bottom w:val="nil"/>
              <w:right w:val="nil"/>
            </w:tcBorders>
            <w:shd w:val="clear" w:color="auto" w:fill="auto"/>
            <w:noWrap/>
            <w:vAlign w:val="bottom"/>
            <w:hideMark/>
          </w:tcPr>
          <w:p w14:paraId="56BB87FC" w14:textId="77777777" w:rsidR="00D806D6" w:rsidRPr="00D806D6" w:rsidRDefault="00D806D6" w:rsidP="00D806D6">
            <w:pPr>
              <w:spacing w:after="0" w:line="240" w:lineRule="auto"/>
              <w:outlineLvl w:val="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   </w:t>
            </w:r>
          </w:p>
        </w:tc>
        <w:tc>
          <w:tcPr>
            <w:tcW w:w="875" w:type="pct"/>
            <w:tcBorders>
              <w:top w:val="nil"/>
              <w:left w:val="nil"/>
              <w:bottom w:val="nil"/>
              <w:right w:val="nil"/>
            </w:tcBorders>
            <w:shd w:val="clear" w:color="auto" w:fill="auto"/>
            <w:noWrap/>
            <w:vAlign w:val="bottom"/>
            <w:hideMark/>
          </w:tcPr>
          <w:p w14:paraId="735CAB75" w14:textId="77777777" w:rsidR="00D806D6" w:rsidRPr="00D806D6" w:rsidRDefault="00D806D6" w:rsidP="00D806D6">
            <w:pPr>
              <w:spacing w:after="0" w:line="240" w:lineRule="auto"/>
              <w:outlineLvl w:val="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   </w:t>
            </w:r>
          </w:p>
        </w:tc>
        <w:tc>
          <w:tcPr>
            <w:tcW w:w="660" w:type="pct"/>
            <w:tcBorders>
              <w:top w:val="nil"/>
              <w:left w:val="nil"/>
              <w:bottom w:val="nil"/>
              <w:right w:val="nil"/>
            </w:tcBorders>
            <w:shd w:val="clear" w:color="auto" w:fill="auto"/>
            <w:noWrap/>
            <w:vAlign w:val="bottom"/>
            <w:hideMark/>
          </w:tcPr>
          <w:p w14:paraId="452A8A56" w14:textId="77777777" w:rsidR="00D806D6" w:rsidRPr="00D806D6" w:rsidRDefault="00D806D6" w:rsidP="00D806D6">
            <w:pPr>
              <w:spacing w:after="0" w:line="240" w:lineRule="auto"/>
              <w:outlineLvl w:val="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(4.508.764)</w:t>
            </w:r>
          </w:p>
        </w:tc>
      </w:tr>
    </w:tbl>
    <w:p w14:paraId="0B42CD07" w14:textId="424C1F94" w:rsidR="008E76E7" w:rsidRPr="00EF6F03" w:rsidRDefault="008E76E7" w:rsidP="00624E49">
      <w:pPr>
        <w:shd w:val="clear" w:color="auto" w:fill="FFFFFF"/>
        <w:rPr>
          <w:rFonts w:ascii="Segoe UI" w:hAnsi="Segoe UI" w:cs="Segoe UI"/>
        </w:rPr>
      </w:pPr>
    </w:p>
    <w:p w14:paraId="767535AF" w14:textId="6DCF9015" w:rsidR="001D3533" w:rsidRPr="00D806D6" w:rsidRDefault="00F21765" w:rsidP="001D3533">
      <w:pPr>
        <w:spacing w:before="240" w:afterLines="50" w:after="120"/>
        <w:jc w:val="both"/>
        <w:rPr>
          <w:rFonts w:ascii="Segoe UI" w:hAnsi="Segoe UI" w:cs="Segoe UI"/>
          <w:b/>
          <w:color w:val="1B80C4"/>
        </w:rPr>
      </w:pPr>
      <w:r w:rsidRPr="00D806D6">
        <w:rPr>
          <w:rFonts w:ascii="Segoe UI" w:hAnsi="Segoe UI" w:cs="Segoe UI"/>
          <w:b/>
          <w:color w:val="1B80C4"/>
        </w:rPr>
        <w:t xml:space="preserve">13.2 - </w:t>
      </w:r>
      <w:r w:rsidR="001D3533" w:rsidRPr="00D806D6">
        <w:rPr>
          <w:rFonts w:ascii="Segoe UI" w:hAnsi="Segoe UI" w:cs="Segoe UI"/>
          <w:b/>
          <w:color w:val="1B80C4"/>
        </w:rPr>
        <w:t>Indústrias Nucleares do Brasil S.A – INB</w:t>
      </w:r>
    </w:p>
    <w:p w14:paraId="73AE6617" w14:textId="2D6B708C" w:rsidR="00A82736" w:rsidRPr="00D806D6" w:rsidRDefault="00A82736" w:rsidP="00D806D6">
      <w:pPr>
        <w:tabs>
          <w:tab w:val="left" w:pos="1134"/>
          <w:tab w:val="left" w:pos="1418"/>
          <w:tab w:val="left" w:pos="1701"/>
          <w:tab w:val="left" w:pos="1985"/>
          <w:tab w:val="left" w:pos="2268"/>
        </w:tabs>
        <w:spacing w:before="240" w:after="120"/>
        <w:jc w:val="both"/>
        <w:rPr>
          <w:rFonts w:ascii="Segoe UI" w:hAnsi="Segoe UI" w:cs="Segoe UI"/>
        </w:rPr>
      </w:pPr>
      <w:r w:rsidRPr="00D806D6">
        <w:rPr>
          <w:rFonts w:ascii="Segoe UI" w:hAnsi="Segoe UI" w:cs="Segoe UI"/>
        </w:rPr>
        <w:t xml:space="preserve">Nas demonstrações financeiras de 31 de dezembro de 2021, a </w:t>
      </w:r>
      <w:r w:rsidR="00475080" w:rsidRPr="00D806D6">
        <w:rPr>
          <w:rFonts w:ascii="Segoe UI" w:hAnsi="Segoe UI" w:cs="Segoe UI"/>
        </w:rPr>
        <w:t>INB</w:t>
      </w:r>
      <w:r w:rsidRPr="00D806D6">
        <w:rPr>
          <w:rFonts w:ascii="Segoe UI" w:hAnsi="Segoe UI" w:cs="Segoe UI"/>
        </w:rPr>
        <w:t xml:space="preserve"> realizou um acompanhamento, sem identificar indicativos de desvalorização de seus ativos, portanto, não realizou o teste de recuperabilidade, sem prejuízo ao atendimento às normas contábeis. </w:t>
      </w:r>
    </w:p>
    <w:p w14:paraId="6F04A59F" w14:textId="1C1B2BED" w:rsidR="00A82736" w:rsidRPr="00D806D6" w:rsidRDefault="00A82736" w:rsidP="00D806D6">
      <w:pPr>
        <w:tabs>
          <w:tab w:val="left" w:pos="1134"/>
          <w:tab w:val="left" w:pos="1418"/>
          <w:tab w:val="left" w:pos="1701"/>
          <w:tab w:val="left" w:pos="1985"/>
          <w:tab w:val="left" w:pos="2268"/>
        </w:tabs>
        <w:spacing w:before="240" w:after="120"/>
        <w:jc w:val="both"/>
        <w:rPr>
          <w:rFonts w:ascii="Segoe UI" w:hAnsi="Segoe UI" w:cs="Segoe UI"/>
        </w:rPr>
      </w:pPr>
      <w:r w:rsidRPr="00D806D6">
        <w:rPr>
          <w:rFonts w:ascii="Segoe UI" w:hAnsi="Segoe UI" w:cs="Segoe UI"/>
        </w:rPr>
        <w:t xml:space="preserve">Visando regularizar essa situação, a INB procedeu à contratação da empresa Integrade Soluções de Informática, Controle Patrimonial e Avaliações Ltda que executou no período de novembro de 2021 a setembro de 2022 os serviços de inventário físico, teste de recuperabilidade e avaliações que confirmaram não ser necessários ajustes por </w:t>
      </w:r>
      <w:r w:rsidRPr="00D806D6">
        <w:rPr>
          <w:rFonts w:ascii="Segoe UI" w:hAnsi="Segoe UI" w:cs="Segoe UI"/>
          <w:i/>
          <w:iCs/>
        </w:rPr>
        <w:t>impairment</w:t>
      </w:r>
      <w:r w:rsidRPr="00D806D6">
        <w:rPr>
          <w:rFonts w:ascii="Segoe UI" w:hAnsi="Segoe UI" w:cs="Segoe UI"/>
        </w:rPr>
        <w:t xml:space="preserve"> dos seus ativos, sendo tais conclusões consignadas em laudo de avaliação expedido pela citada empresa</w:t>
      </w:r>
      <w:r w:rsidR="00B5717A" w:rsidRPr="00D806D6">
        <w:rPr>
          <w:rFonts w:ascii="Segoe UI" w:hAnsi="Segoe UI" w:cs="Segoe UI"/>
        </w:rPr>
        <w:t>.</w:t>
      </w:r>
    </w:p>
    <w:p w14:paraId="6BD14231" w14:textId="681D1BD0" w:rsidR="006763DE" w:rsidRPr="0009744B" w:rsidRDefault="006763DE" w:rsidP="006763DE">
      <w:pPr>
        <w:spacing w:before="240" w:after="120"/>
        <w:jc w:val="both"/>
        <w:rPr>
          <w:rFonts w:ascii="Segoe UI" w:hAnsi="Segoe UI" w:cs="Segoe UI"/>
          <w:b/>
          <w:color w:val="0070C0"/>
          <w:bdr w:val="nil"/>
        </w:rPr>
      </w:pPr>
      <w:r w:rsidRPr="0009744B">
        <w:rPr>
          <w:rFonts w:ascii="Segoe UI" w:hAnsi="Segoe UI" w:cs="Segoe UI"/>
          <w:b/>
          <w:color w:val="0070C0"/>
          <w:bdr w:val="nil"/>
        </w:rPr>
        <w:t>13.</w:t>
      </w:r>
      <w:r w:rsidR="00A50602">
        <w:rPr>
          <w:rFonts w:ascii="Segoe UI" w:hAnsi="Segoe UI" w:cs="Segoe UI"/>
          <w:b/>
          <w:color w:val="0070C0"/>
          <w:bdr w:val="nil"/>
        </w:rPr>
        <w:t>2.</w:t>
      </w:r>
      <w:r w:rsidRPr="0009744B">
        <w:rPr>
          <w:rFonts w:ascii="Segoe UI" w:hAnsi="Segoe UI" w:cs="Segoe UI"/>
          <w:b/>
          <w:color w:val="0070C0"/>
          <w:bdr w:val="nil"/>
        </w:rPr>
        <w:t>1 – Subvenção do tesouro para investimento</w:t>
      </w:r>
    </w:p>
    <w:p w14:paraId="55E53F6B" w14:textId="77777777" w:rsidR="006763DE" w:rsidRPr="0009744B" w:rsidRDefault="006763DE" w:rsidP="006763DE">
      <w:pPr>
        <w:jc w:val="both"/>
        <w:rPr>
          <w:rFonts w:ascii="Segoe UI" w:hAnsi="Segoe UI" w:cs="Segoe UI"/>
          <w:snapToGrid w:val="0"/>
        </w:rPr>
      </w:pPr>
      <w:r w:rsidRPr="0009744B">
        <w:rPr>
          <w:rFonts w:ascii="Segoe UI" w:hAnsi="Segoe UI" w:cs="Segoe UI"/>
        </w:rPr>
        <w:t>A partir do exercício de 2010 a INB recebeu recursos do Tesouro para investimentos no Projeto de Enriquecimento de Urânio</w:t>
      </w:r>
      <w:r w:rsidRPr="0009744B">
        <w:rPr>
          <w:rFonts w:ascii="Segoe UI" w:hAnsi="Segoe UI" w:cs="Segoe UI"/>
          <w:snapToGrid w:val="0"/>
        </w:rPr>
        <w:t xml:space="preserve">, que foram tratados como subvenções no Ativo não circulante - Imobilizado, como forma de demonstração da dedução dos ativos adquiridos com os recursos destinados para esse fim, sendo apropriado ao resultado com base na depreciação ou por baixa dos ativos adquiridos com os respectivos recursos. </w:t>
      </w:r>
    </w:p>
    <w:p w14:paraId="56BEE22F" w14:textId="77777777" w:rsidR="006763DE" w:rsidRPr="0009744B" w:rsidRDefault="006763DE" w:rsidP="006763DE">
      <w:pPr>
        <w:jc w:val="both"/>
        <w:rPr>
          <w:rFonts w:ascii="Segoe UI" w:hAnsi="Segoe UI" w:cs="Segoe UI"/>
        </w:rPr>
      </w:pPr>
      <w:r w:rsidRPr="0009744B">
        <w:rPr>
          <w:rFonts w:ascii="Segoe UI" w:hAnsi="Segoe UI" w:cs="Segoe UI"/>
        </w:rPr>
        <w:t>Esse procedimento se deve em função da consulta formulada pelo Conselho Fiscal da INB à Procuradoria Geral da Fazenda Nacional PGFN/CAS/nº 2.332/2010 onde a procuradoria, naquela época, foi contrária à classificação como AFAC por entender que a CNEN não era a responsável pelas transferências financeiras a título de subvenção para Investimento para a INB, e sim, o Tesouro Nacional (União) através da Fonte 100.</w:t>
      </w:r>
    </w:p>
    <w:p w14:paraId="73F7F7A4" w14:textId="77777777" w:rsidR="006763DE" w:rsidRDefault="006763DE" w:rsidP="006763DE">
      <w:pPr>
        <w:autoSpaceDE w:val="0"/>
        <w:autoSpaceDN w:val="0"/>
        <w:adjustRightInd w:val="0"/>
        <w:spacing w:before="240" w:after="120"/>
        <w:jc w:val="both"/>
        <w:rPr>
          <w:rFonts w:ascii="Segoe UI" w:hAnsi="Segoe UI" w:cs="Segoe UI"/>
        </w:rPr>
      </w:pPr>
      <w:r w:rsidRPr="0009744B">
        <w:rPr>
          <w:rFonts w:ascii="Segoe UI" w:hAnsi="Segoe UI" w:cs="Segoe UI"/>
          <w:snapToGrid w:val="0"/>
        </w:rPr>
        <w:t>Após a última alteração societária, a INB, com a finalidade de representar adequadamente a nova realidade empresarial, tratará do tema no exercício de 2023.</w:t>
      </w:r>
    </w:p>
    <w:p w14:paraId="7B439C54" w14:textId="2CD709D5" w:rsidR="00D51702" w:rsidRDefault="00D51702">
      <w:pPr>
        <w:rPr>
          <w:rFonts w:ascii="Segoe UI" w:hAnsi="Segoe UI" w:cs="Segoe UI"/>
        </w:rPr>
      </w:pPr>
      <w:r>
        <w:rPr>
          <w:rFonts w:ascii="Segoe UI" w:hAnsi="Segoe UI" w:cs="Segoe UI"/>
        </w:rPr>
        <w:br w:type="page"/>
      </w:r>
    </w:p>
    <w:p w14:paraId="09E3B0E9" w14:textId="1D7C6EE1" w:rsidR="002B1787" w:rsidRPr="000757BC" w:rsidRDefault="00581D1F" w:rsidP="00CF5F07">
      <w:pPr>
        <w:tabs>
          <w:tab w:val="left" w:pos="567"/>
          <w:tab w:val="left" w:pos="1134"/>
          <w:tab w:val="left" w:pos="1701"/>
          <w:tab w:val="left" w:pos="2268"/>
          <w:tab w:val="left" w:pos="2835"/>
        </w:tabs>
        <w:jc w:val="both"/>
        <w:outlineLvl w:val="0"/>
        <w:rPr>
          <w:rFonts w:ascii="Segoe UI" w:hAnsi="Segoe UI" w:cs="Segoe UI"/>
          <w:b/>
          <w:color w:val="0070C0"/>
        </w:rPr>
      </w:pPr>
      <w:r w:rsidRPr="00F63F20">
        <w:rPr>
          <w:rFonts w:ascii="Segoe UI" w:hAnsi="Segoe UI" w:cs="Segoe UI"/>
          <w:b/>
          <w:color w:val="0070C0"/>
        </w:rPr>
        <w:lastRenderedPageBreak/>
        <w:t>1</w:t>
      </w:r>
      <w:r w:rsidR="00925AEE" w:rsidRPr="00F63F20">
        <w:rPr>
          <w:rFonts w:ascii="Segoe UI" w:hAnsi="Segoe UI" w:cs="Segoe UI"/>
          <w:b/>
          <w:color w:val="0070C0"/>
        </w:rPr>
        <w:t>4</w:t>
      </w:r>
      <w:r w:rsidR="00F4139F" w:rsidRPr="00F63F20">
        <w:rPr>
          <w:rFonts w:ascii="Segoe UI" w:hAnsi="Segoe UI" w:cs="Segoe UI"/>
          <w:b/>
          <w:color w:val="0070C0"/>
        </w:rPr>
        <w:t xml:space="preserve"> </w:t>
      </w:r>
      <w:r w:rsidR="002B1787" w:rsidRPr="00F63F20">
        <w:rPr>
          <w:rFonts w:ascii="Segoe UI" w:hAnsi="Segoe UI" w:cs="Segoe UI"/>
          <w:b/>
          <w:color w:val="0070C0"/>
        </w:rPr>
        <w:t>– INTANGÍVEL</w:t>
      </w:r>
    </w:p>
    <w:p w14:paraId="7F068F51" w14:textId="5621F009" w:rsidR="00D627C4" w:rsidRPr="000757BC" w:rsidRDefault="00D627C4" w:rsidP="00F63F20">
      <w:pPr>
        <w:spacing w:before="240" w:after="120"/>
        <w:jc w:val="both"/>
        <w:rPr>
          <w:rFonts w:ascii="Segoe UI" w:hAnsi="Segoe UI" w:cs="Segoe UI"/>
        </w:rPr>
      </w:pPr>
      <w:r w:rsidRPr="000757BC">
        <w:rPr>
          <w:rFonts w:ascii="Segoe UI" w:hAnsi="Segoe UI" w:cs="Segoe UI"/>
        </w:rPr>
        <w:t xml:space="preserve">O ativo intangível da </w:t>
      </w:r>
      <w:r w:rsidR="004A4B03">
        <w:rPr>
          <w:rFonts w:ascii="Segoe UI" w:hAnsi="Segoe UI" w:cs="Segoe UI"/>
        </w:rPr>
        <w:t xml:space="preserve">Eletronuclear </w:t>
      </w:r>
      <w:r w:rsidR="00956CEC" w:rsidRPr="000757BC">
        <w:rPr>
          <w:rFonts w:ascii="Segoe UI" w:hAnsi="Segoe UI" w:cs="Segoe UI"/>
        </w:rPr>
        <w:t>é composto</w:t>
      </w:r>
      <w:r w:rsidRPr="000757BC">
        <w:rPr>
          <w:rFonts w:ascii="Segoe UI" w:hAnsi="Segoe UI" w:cs="Segoe UI"/>
        </w:rPr>
        <w:t xml:space="preserve"> basicamente da aquisição de</w:t>
      </w:r>
      <w:r w:rsidRPr="000757BC">
        <w:rPr>
          <w:rFonts w:ascii="Segoe UI" w:hAnsi="Segoe UI" w:cs="Segoe UI"/>
          <w:bCs/>
        </w:rPr>
        <w:t xml:space="preserve"> licença de uso do software do seu </w:t>
      </w:r>
      <w:r w:rsidRPr="000757BC">
        <w:rPr>
          <w:rFonts w:ascii="Segoe UI" w:hAnsi="Segoe UI" w:cs="Segoe UI"/>
        </w:rPr>
        <w:t>sistema corporativo central, denominado SAP R/3, e de outros softwares aplicativos de uso específico e geral, de valores substanciais, estando os mesmos registrados pelo custo de aquisição.</w:t>
      </w:r>
    </w:p>
    <w:p w14:paraId="39B50ADD" w14:textId="6494BF2B" w:rsidR="007B7A68" w:rsidRPr="000757BC" w:rsidRDefault="00D627C4" w:rsidP="00D806D6">
      <w:pPr>
        <w:rPr>
          <w:rFonts w:ascii="Segoe UI" w:hAnsi="Segoe UI" w:cs="Segoe UI"/>
        </w:rPr>
      </w:pPr>
      <w:r w:rsidRPr="000757BC">
        <w:rPr>
          <w:rFonts w:ascii="Segoe UI" w:hAnsi="Segoe UI" w:cs="Segoe UI"/>
        </w:rPr>
        <w:t>Os intangíveis em serviço são amortizados a taxa anual de 20%.</w:t>
      </w:r>
      <w:r w:rsidR="00EB31D4" w:rsidRPr="000757BC">
        <w:rPr>
          <w:rFonts w:ascii="Segoe UI" w:hAnsi="Segoe UI" w:cs="Segoe UI"/>
        </w:rPr>
        <w:t xml:space="preserve"> </w:t>
      </w:r>
      <w:r w:rsidR="00EB31D4" w:rsidRPr="000757BC">
        <w:rPr>
          <w:rFonts w:ascii="Segoe UI" w:hAnsi="Segoe UI" w:cs="Segoe UI"/>
        </w:rPr>
        <w:tab/>
      </w:r>
    </w:p>
    <w:p w14:paraId="51DA9168" w14:textId="3DA5DD62" w:rsidR="00EA151F" w:rsidRDefault="00EA151F">
      <w:pPr>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2725"/>
        <w:gridCol w:w="1094"/>
        <w:gridCol w:w="194"/>
        <w:gridCol w:w="1233"/>
        <w:gridCol w:w="194"/>
        <w:gridCol w:w="1402"/>
        <w:gridCol w:w="194"/>
        <w:gridCol w:w="1582"/>
        <w:gridCol w:w="879"/>
      </w:tblGrid>
      <w:tr w:rsidR="000B4A56" w:rsidRPr="000B4A56" w14:paraId="79D718A9" w14:textId="77777777" w:rsidTr="00BC317F">
        <w:trPr>
          <w:trHeight w:val="20"/>
        </w:trPr>
        <w:tc>
          <w:tcPr>
            <w:tcW w:w="1435" w:type="pct"/>
            <w:tcBorders>
              <w:top w:val="nil"/>
              <w:left w:val="nil"/>
              <w:bottom w:val="nil"/>
              <w:right w:val="nil"/>
            </w:tcBorders>
            <w:shd w:val="clear" w:color="auto" w:fill="auto"/>
            <w:noWrap/>
            <w:vAlign w:val="bottom"/>
            <w:hideMark/>
          </w:tcPr>
          <w:p w14:paraId="295EF6AF" w14:textId="77777777" w:rsidR="000B4A56" w:rsidRPr="000B4A56" w:rsidRDefault="000B4A56" w:rsidP="000B4A56">
            <w:pPr>
              <w:spacing w:after="0" w:line="240" w:lineRule="auto"/>
              <w:rPr>
                <w:rFonts w:ascii="Times New Roman" w:eastAsia="Times New Roman" w:hAnsi="Times New Roman" w:cs="Times New Roman"/>
                <w:sz w:val="24"/>
                <w:szCs w:val="24"/>
                <w:lang w:eastAsia="pt-BR"/>
              </w:rPr>
            </w:pPr>
          </w:p>
        </w:tc>
        <w:tc>
          <w:tcPr>
            <w:tcW w:w="576" w:type="pct"/>
            <w:tcBorders>
              <w:top w:val="nil"/>
              <w:left w:val="nil"/>
              <w:bottom w:val="nil"/>
              <w:right w:val="nil"/>
            </w:tcBorders>
            <w:shd w:val="clear" w:color="000000" w:fill="1B80C4"/>
            <w:noWrap/>
            <w:vAlign w:val="center"/>
            <w:hideMark/>
          </w:tcPr>
          <w:p w14:paraId="3B2A5D2F" w14:textId="77777777"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 xml:space="preserve"> Ágio </w:t>
            </w:r>
          </w:p>
        </w:tc>
        <w:tc>
          <w:tcPr>
            <w:tcW w:w="102" w:type="pct"/>
            <w:tcBorders>
              <w:top w:val="nil"/>
              <w:left w:val="nil"/>
              <w:bottom w:val="nil"/>
              <w:right w:val="nil"/>
            </w:tcBorders>
            <w:shd w:val="clear" w:color="000000" w:fill="1B80C4"/>
            <w:noWrap/>
            <w:vAlign w:val="center"/>
            <w:hideMark/>
          </w:tcPr>
          <w:p w14:paraId="6345A419" w14:textId="77777777"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 </w:t>
            </w:r>
          </w:p>
        </w:tc>
        <w:tc>
          <w:tcPr>
            <w:tcW w:w="649" w:type="pct"/>
            <w:tcBorders>
              <w:top w:val="nil"/>
              <w:left w:val="nil"/>
              <w:bottom w:val="nil"/>
              <w:right w:val="nil"/>
            </w:tcBorders>
            <w:shd w:val="clear" w:color="000000" w:fill="1B80C4"/>
            <w:noWrap/>
            <w:vAlign w:val="center"/>
            <w:hideMark/>
          </w:tcPr>
          <w:p w14:paraId="01B52CA0" w14:textId="77777777"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 xml:space="preserve"> Softwares </w:t>
            </w:r>
          </w:p>
        </w:tc>
        <w:tc>
          <w:tcPr>
            <w:tcW w:w="102" w:type="pct"/>
            <w:tcBorders>
              <w:top w:val="nil"/>
              <w:left w:val="nil"/>
              <w:bottom w:val="nil"/>
              <w:right w:val="nil"/>
            </w:tcBorders>
            <w:shd w:val="clear" w:color="000000" w:fill="1B80C4"/>
            <w:noWrap/>
            <w:vAlign w:val="center"/>
            <w:hideMark/>
          </w:tcPr>
          <w:p w14:paraId="1E7DABED" w14:textId="77777777"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 </w:t>
            </w:r>
          </w:p>
        </w:tc>
        <w:tc>
          <w:tcPr>
            <w:tcW w:w="738" w:type="pct"/>
            <w:tcBorders>
              <w:top w:val="nil"/>
              <w:left w:val="nil"/>
              <w:bottom w:val="nil"/>
              <w:right w:val="nil"/>
            </w:tcBorders>
            <w:shd w:val="clear" w:color="000000" w:fill="1B80C4"/>
            <w:noWrap/>
            <w:vAlign w:val="center"/>
            <w:hideMark/>
          </w:tcPr>
          <w:p w14:paraId="5639669C" w14:textId="77777777"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 xml:space="preserve"> Direito de uso </w:t>
            </w:r>
          </w:p>
        </w:tc>
        <w:tc>
          <w:tcPr>
            <w:tcW w:w="102" w:type="pct"/>
            <w:tcBorders>
              <w:top w:val="nil"/>
              <w:left w:val="nil"/>
              <w:bottom w:val="nil"/>
              <w:right w:val="nil"/>
            </w:tcBorders>
            <w:shd w:val="clear" w:color="000000" w:fill="1B80C4"/>
            <w:noWrap/>
            <w:vAlign w:val="center"/>
            <w:hideMark/>
          </w:tcPr>
          <w:p w14:paraId="73225266" w14:textId="77777777"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 </w:t>
            </w:r>
          </w:p>
        </w:tc>
        <w:tc>
          <w:tcPr>
            <w:tcW w:w="833" w:type="pct"/>
            <w:tcBorders>
              <w:top w:val="nil"/>
              <w:left w:val="nil"/>
              <w:bottom w:val="nil"/>
              <w:right w:val="nil"/>
            </w:tcBorders>
            <w:shd w:val="clear" w:color="000000" w:fill="1B80C4"/>
            <w:vAlign w:val="center"/>
            <w:hideMark/>
          </w:tcPr>
          <w:p w14:paraId="06C00A32" w14:textId="566E0A89"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Enriquecimento/ Reconversão/</w:t>
            </w:r>
            <w:r w:rsidRPr="000B4A56">
              <w:rPr>
                <w:rFonts w:ascii="Segoe UI" w:eastAsia="Times New Roman" w:hAnsi="Segoe UI" w:cs="Segoe UI"/>
                <w:b/>
                <w:bCs/>
                <w:color w:val="FFFFFF"/>
                <w:sz w:val="18"/>
                <w:szCs w:val="18"/>
                <w:lang w:eastAsia="pt-BR"/>
              </w:rPr>
              <w:br/>
              <w:t xml:space="preserve">Pastilhas/Caetité </w:t>
            </w:r>
          </w:p>
        </w:tc>
        <w:tc>
          <w:tcPr>
            <w:tcW w:w="465" w:type="pct"/>
            <w:tcBorders>
              <w:top w:val="nil"/>
              <w:left w:val="nil"/>
              <w:bottom w:val="nil"/>
              <w:right w:val="nil"/>
            </w:tcBorders>
            <w:shd w:val="clear" w:color="000000" w:fill="1B80C4"/>
            <w:vAlign w:val="center"/>
            <w:hideMark/>
          </w:tcPr>
          <w:p w14:paraId="1053CC73" w14:textId="77777777" w:rsidR="000B4A56" w:rsidRPr="000B4A56" w:rsidRDefault="000B4A56" w:rsidP="000B4A56">
            <w:pPr>
              <w:spacing w:after="0" w:line="240" w:lineRule="auto"/>
              <w:jc w:val="center"/>
              <w:rPr>
                <w:rFonts w:ascii="Segoe UI" w:eastAsia="Times New Roman" w:hAnsi="Segoe UI" w:cs="Segoe UI"/>
                <w:b/>
                <w:bCs/>
                <w:color w:val="FFFFFF"/>
                <w:sz w:val="18"/>
                <w:szCs w:val="18"/>
                <w:lang w:eastAsia="pt-BR"/>
              </w:rPr>
            </w:pPr>
            <w:r w:rsidRPr="000B4A56">
              <w:rPr>
                <w:rFonts w:ascii="Segoe UI" w:eastAsia="Times New Roman" w:hAnsi="Segoe UI" w:cs="Segoe UI"/>
                <w:b/>
                <w:bCs/>
                <w:color w:val="FFFFFF"/>
                <w:sz w:val="18"/>
                <w:szCs w:val="18"/>
                <w:lang w:eastAsia="pt-BR"/>
              </w:rPr>
              <w:t xml:space="preserve"> Total </w:t>
            </w:r>
          </w:p>
        </w:tc>
      </w:tr>
      <w:tr w:rsidR="000B4A56" w:rsidRPr="000B4A56" w14:paraId="1C61D466" w14:textId="77777777" w:rsidTr="00BC317F">
        <w:trPr>
          <w:trHeight w:val="20"/>
        </w:trPr>
        <w:tc>
          <w:tcPr>
            <w:tcW w:w="1435" w:type="pct"/>
            <w:tcBorders>
              <w:top w:val="nil"/>
              <w:left w:val="nil"/>
              <w:bottom w:val="nil"/>
              <w:right w:val="nil"/>
            </w:tcBorders>
            <w:shd w:val="clear" w:color="auto" w:fill="auto"/>
            <w:noWrap/>
            <w:vAlign w:val="bottom"/>
            <w:hideMark/>
          </w:tcPr>
          <w:p w14:paraId="4BDA1723" w14:textId="77777777" w:rsidR="000B4A56" w:rsidRPr="000B4A56" w:rsidRDefault="000B4A56" w:rsidP="000B4A56">
            <w:pPr>
              <w:spacing w:after="0" w:line="240" w:lineRule="auto"/>
              <w:rPr>
                <w:rFonts w:ascii="Segoe UI" w:eastAsia="Times New Roman" w:hAnsi="Segoe UI" w:cs="Segoe UI"/>
                <w:b/>
                <w:bCs/>
                <w:color w:val="000000"/>
                <w:sz w:val="18"/>
                <w:szCs w:val="18"/>
                <w:lang w:eastAsia="pt-BR"/>
              </w:rPr>
            </w:pPr>
            <w:r w:rsidRPr="000B4A56">
              <w:rPr>
                <w:rFonts w:ascii="Segoe UI" w:eastAsia="Times New Roman" w:hAnsi="Segoe UI" w:cs="Segoe UI"/>
                <w:b/>
                <w:bCs/>
                <w:color w:val="000000"/>
                <w:sz w:val="18"/>
                <w:szCs w:val="18"/>
                <w:lang w:eastAsia="pt-BR"/>
              </w:rPr>
              <w:t>Em 04 de janeiro 2022</w:t>
            </w:r>
          </w:p>
        </w:tc>
        <w:tc>
          <w:tcPr>
            <w:tcW w:w="576" w:type="pct"/>
            <w:tcBorders>
              <w:top w:val="single" w:sz="4" w:space="0" w:color="1B80C4"/>
              <w:left w:val="nil"/>
              <w:bottom w:val="single" w:sz="4" w:space="0" w:color="1B80C4"/>
              <w:right w:val="nil"/>
            </w:tcBorders>
            <w:shd w:val="clear" w:color="auto" w:fill="auto"/>
            <w:noWrap/>
            <w:vAlign w:val="center"/>
            <w:hideMark/>
          </w:tcPr>
          <w:p w14:paraId="08B66A6B" w14:textId="0AE5B2E5"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center"/>
            <w:hideMark/>
          </w:tcPr>
          <w:p w14:paraId="591D3009"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649" w:type="pct"/>
            <w:tcBorders>
              <w:top w:val="single" w:sz="4" w:space="0" w:color="1B80C4"/>
              <w:left w:val="nil"/>
              <w:bottom w:val="single" w:sz="4" w:space="0" w:color="1B80C4"/>
              <w:right w:val="nil"/>
            </w:tcBorders>
            <w:shd w:val="clear" w:color="auto" w:fill="auto"/>
            <w:noWrap/>
            <w:vAlign w:val="center"/>
            <w:hideMark/>
          </w:tcPr>
          <w:p w14:paraId="4FC8A6B4" w14:textId="1FCF89ED"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center"/>
            <w:hideMark/>
          </w:tcPr>
          <w:p w14:paraId="5FB034A2"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738" w:type="pct"/>
            <w:tcBorders>
              <w:top w:val="single" w:sz="4" w:space="0" w:color="1B80C4"/>
              <w:left w:val="nil"/>
              <w:bottom w:val="single" w:sz="4" w:space="0" w:color="1B80C4"/>
              <w:right w:val="nil"/>
            </w:tcBorders>
            <w:shd w:val="clear" w:color="auto" w:fill="auto"/>
            <w:noWrap/>
            <w:vAlign w:val="center"/>
            <w:hideMark/>
          </w:tcPr>
          <w:p w14:paraId="05E0249D" w14:textId="4EBD70A5"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center"/>
            <w:hideMark/>
          </w:tcPr>
          <w:p w14:paraId="02E954E2"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833" w:type="pct"/>
            <w:tcBorders>
              <w:top w:val="single" w:sz="4" w:space="0" w:color="1B80C4"/>
              <w:left w:val="nil"/>
              <w:bottom w:val="single" w:sz="4" w:space="0" w:color="1B80C4"/>
              <w:right w:val="nil"/>
            </w:tcBorders>
            <w:shd w:val="clear" w:color="auto" w:fill="auto"/>
            <w:noWrap/>
            <w:vAlign w:val="center"/>
            <w:hideMark/>
          </w:tcPr>
          <w:p w14:paraId="4C6A1E45" w14:textId="5CAC6CA8"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465" w:type="pct"/>
            <w:tcBorders>
              <w:top w:val="single" w:sz="4" w:space="0" w:color="1B80C4"/>
              <w:left w:val="nil"/>
              <w:bottom w:val="single" w:sz="4" w:space="0" w:color="1B80C4"/>
              <w:right w:val="nil"/>
            </w:tcBorders>
            <w:shd w:val="clear" w:color="auto" w:fill="auto"/>
            <w:noWrap/>
            <w:vAlign w:val="center"/>
            <w:hideMark/>
          </w:tcPr>
          <w:p w14:paraId="1E181171" w14:textId="2E6098D8"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r>
      <w:tr w:rsidR="000B4A56" w:rsidRPr="000B4A56" w14:paraId="1C0F8175" w14:textId="77777777" w:rsidTr="00BC317F">
        <w:trPr>
          <w:trHeight w:val="20"/>
        </w:trPr>
        <w:tc>
          <w:tcPr>
            <w:tcW w:w="1435" w:type="pct"/>
            <w:tcBorders>
              <w:top w:val="nil"/>
              <w:left w:val="nil"/>
              <w:bottom w:val="nil"/>
              <w:right w:val="nil"/>
            </w:tcBorders>
            <w:shd w:val="clear" w:color="auto" w:fill="auto"/>
            <w:noWrap/>
            <w:vAlign w:val="bottom"/>
            <w:hideMark/>
          </w:tcPr>
          <w:p w14:paraId="701E174E" w14:textId="77777777" w:rsidR="000B4A56" w:rsidRPr="000B4A56" w:rsidRDefault="000B4A56" w:rsidP="000B4A56">
            <w:pPr>
              <w:spacing w:after="0" w:line="240" w:lineRule="auto"/>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Custo aquisição investida</w:t>
            </w:r>
          </w:p>
        </w:tc>
        <w:tc>
          <w:tcPr>
            <w:tcW w:w="576" w:type="pct"/>
            <w:tcBorders>
              <w:top w:val="nil"/>
              <w:left w:val="nil"/>
              <w:bottom w:val="nil"/>
              <w:right w:val="nil"/>
            </w:tcBorders>
            <w:shd w:val="clear" w:color="auto" w:fill="auto"/>
            <w:noWrap/>
            <w:vAlign w:val="center"/>
            <w:hideMark/>
          </w:tcPr>
          <w:p w14:paraId="4D710BC3" w14:textId="1930E572"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center"/>
            <w:hideMark/>
          </w:tcPr>
          <w:p w14:paraId="04DD1E92"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649" w:type="pct"/>
            <w:tcBorders>
              <w:top w:val="nil"/>
              <w:left w:val="nil"/>
              <w:bottom w:val="nil"/>
              <w:right w:val="nil"/>
            </w:tcBorders>
            <w:shd w:val="clear" w:color="auto" w:fill="auto"/>
            <w:noWrap/>
            <w:vAlign w:val="center"/>
            <w:hideMark/>
          </w:tcPr>
          <w:p w14:paraId="31EA7BA4" w14:textId="2AFCB7EB"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279.497</w:t>
            </w:r>
          </w:p>
        </w:tc>
        <w:tc>
          <w:tcPr>
            <w:tcW w:w="102" w:type="pct"/>
            <w:tcBorders>
              <w:top w:val="nil"/>
              <w:left w:val="nil"/>
              <w:bottom w:val="nil"/>
              <w:right w:val="nil"/>
            </w:tcBorders>
            <w:shd w:val="clear" w:color="auto" w:fill="auto"/>
            <w:noWrap/>
            <w:vAlign w:val="center"/>
            <w:hideMark/>
          </w:tcPr>
          <w:p w14:paraId="0B9609B0"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738" w:type="pct"/>
            <w:tcBorders>
              <w:top w:val="nil"/>
              <w:left w:val="nil"/>
              <w:bottom w:val="nil"/>
              <w:right w:val="nil"/>
            </w:tcBorders>
            <w:shd w:val="clear" w:color="auto" w:fill="auto"/>
            <w:noWrap/>
            <w:vAlign w:val="center"/>
            <w:hideMark/>
          </w:tcPr>
          <w:p w14:paraId="15FE66E1" w14:textId="2CE51A1C"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865</w:t>
            </w:r>
          </w:p>
        </w:tc>
        <w:tc>
          <w:tcPr>
            <w:tcW w:w="102" w:type="pct"/>
            <w:tcBorders>
              <w:top w:val="nil"/>
              <w:left w:val="nil"/>
              <w:bottom w:val="nil"/>
              <w:right w:val="nil"/>
            </w:tcBorders>
            <w:shd w:val="clear" w:color="auto" w:fill="auto"/>
            <w:noWrap/>
            <w:vAlign w:val="center"/>
            <w:hideMark/>
          </w:tcPr>
          <w:p w14:paraId="5BBD7338"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833" w:type="pct"/>
            <w:tcBorders>
              <w:top w:val="nil"/>
              <w:left w:val="nil"/>
              <w:bottom w:val="nil"/>
              <w:right w:val="nil"/>
            </w:tcBorders>
            <w:shd w:val="clear" w:color="auto" w:fill="auto"/>
            <w:noWrap/>
            <w:vAlign w:val="center"/>
            <w:hideMark/>
          </w:tcPr>
          <w:p w14:paraId="0DFA0F00" w14:textId="78C30064"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113.762</w:t>
            </w:r>
          </w:p>
        </w:tc>
        <w:tc>
          <w:tcPr>
            <w:tcW w:w="465" w:type="pct"/>
            <w:tcBorders>
              <w:top w:val="nil"/>
              <w:left w:val="nil"/>
              <w:bottom w:val="nil"/>
              <w:right w:val="nil"/>
            </w:tcBorders>
            <w:shd w:val="clear" w:color="auto" w:fill="auto"/>
            <w:noWrap/>
            <w:vAlign w:val="center"/>
            <w:hideMark/>
          </w:tcPr>
          <w:p w14:paraId="4D1E3CCE" w14:textId="32C5613C"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394.124</w:t>
            </w:r>
          </w:p>
        </w:tc>
      </w:tr>
      <w:tr w:rsidR="000B4A56" w:rsidRPr="000B4A56" w14:paraId="7608F987" w14:textId="77777777" w:rsidTr="00BC317F">
        <w:trPr>
          <w:trHeight w:val="20"/>
        </w:trPr>
        <w:tc>
          <w:tcPr>
            <w:tcW w:w="1435" w:type="pct"/>
            <w:tcBorders>
              <w:top w:val="nil"/>
              <w:left w:val="nil"/>
              <w:bottom w:val="nil"/>
              <w:right w:val="nil"/>
            </w:tcBorders>
            <w:shd w:val="clear" w:color="auto" w:fill="auto"/>
            <w:noWrap/>
            <w:vAlign w:val="bottom"/>
            <w:hideMark/>
          </w:tcPr>
          <w:p w14:paraId="19E61815" w14:textId="77777777" w:rsidR="000B4A56" w:rsidRPr="000B4A56" w:rsidRDefault="000B4A56" w:rsidP="000B4A56">
            <w:pPr>
              <w:spacing w:after="0" w:line="240" w:lineRule="auto"/>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Amortização aquisição investida</w:t>
            </w:r>
          </w:p>
        </w:tc>
        <w:tc>
          <w:tcPr>
            <w:tcW w:w="576" w:type="pct"/>
            <w:tcBorders>
              <w:top w:val="nil"/>
              <w:left w:val="nil"/>
              <w:bottom w:val="nil"/>
              <w:right w:val="nil"/>
            </w:tcBorders>
            <w:shd w:val="clear" w:color="auto" w:fill="auto"/>
            <w:noWrap/>
            <w:vAlign w:val="center"/>
            <w:hideMark/>
          </w:tcPr>
          <w:p w14:paraId="2B36A869" w14:textId="3004D2E1"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center"/>
            <w:hideMark/>
          </w:tcPr>
          <w:p w14:paraId="6AE78242"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649" w:type="pct"/>
            <w:tcBorders>
              <w:top w:val="nil"/>
              <w:left w:val="nil"/>
              <w:bottom w:val="nil"/>
              <w:right w:val="nil"/>
            </w:tcBorders>
            <w:shd w:val="clear" w:color="auto" w:fill="auto"/>
            <w:noWrap/>
            <w:vAlign w:val="center"/>
            <w:hideMark/>
          </w:tcPr>
          <w:p w14:paraId="4E7D0E12" w14:textId="21B24B6F"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(191.114)</w:t>
            </w:r>
          </w:p>
        </w:tc>
        <w:tc>
          <w:tcPr>
            <w:tcW w:w="102" w:type="pct"/>
            <w:tcBorders>
              <w:top w:val="nil"/>
              <w:left w:val="nil"/>
              <w:bottom w:val="nil"/>
              <w:right w:val="nil"/>
            </w:tcBorders>
            <w:shd w:val="clear" w:color="auto" w:fill="auto"/>
            <w:noWrap/>
            <w:vAlign w:val="center"/>
            <w:hideMark/>
          </w:tcPr>
          <w:p w14:paraId="2E919830"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738" w:type="pct"/>
            <w:tcBorders>
              <w:top w:val="nil"/>
              <w:left w:val="nil"/>
              <w:bottom w:val="nil"/>
              <w:right w:val="nil"/>
            </w:tcBorders>
            <w:shd w:val="clear" w:color="auto" w:fill="auto"/>
            <w:noWrap/>
            <w:vAlign w:val="center"/>
            <w:hideMark/>
          </w:tcPr>
          <w:p w14:paraId="22884680" w14:textId="7E017249"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(865)</w:t>
            </w:r>
          </w:p>
        </w:tc>
        <w:tc>
          <w:tcPr>
            <w:tcW w:w="102" w:type="pct"/>
            <w:tcBorders>
              <w:top w:val="nil"/>
              <w:left w:val="nil"/>
              <w:bottom w:val="nil"/>
              <w:right w:val="nil"/>
            </w:tcBorders>
            <w:shd w:val="clear" w:color="auto" w:fill="auto"/>
            <w:noWrap/>
            <w:vAlign w:val="center"/>
            <w:hideMark/>
          </w:tcPr>
          <w:p w14:paraId="610566E7"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833" w:type="pct"/>
            <w:tcBorders>
              <w:top w:val="nil"/>
              <w:left w:val="nil"/>
              <w:bottom w:val="nil"/>
              <w:right w:val="nil"/>
            </w:tcBorders>
            <w:shd w:val="clear" w:color="auto" w:fill="auto"/>
            <w:noWrap/>
            <w:vAlign w:val="center"/>
            <w:hideMark/>
          </w:tcPr>
          <w:p w14:paraId="274993EC" w14:textId="394ED085"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(35.605)</w:t>
            </w:r>
          </w:p>
        </w:tc>
        <w:tc>
          <w:tcPr>
            <w:tcW w:w="465" w:type="pct"/>
            <w:tcBorders>
              <w:top w:val="nil"/>
              <w:left w:val="nil"/>
              <w:bottom w:val="nil"/>
              <w:right w:val="nil"/>
            </w:tcBorders>
            <w:shd w:val="clear" w:color="auto" w:fill="auto"/>
            <w:noWrap/>
            <w:vAlign w:val="center"/>
            <w:hideMark/>
          </w:tcPr>
          <w:p w14:paraId="4CBC7CB5" w14:textId="33A9765B"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(227.584)</w:t>
            </w:r>
          </w:p>
        </w:tc>
      </w:tr>
      <w:tr w:rsidR="000B4A56" w:rsidRPr="000B4A56" w14:paraId="41F7C9FD" w14:textId="77777777" w:rsidTr="00BC317F">
        <w:trPr>
          <w:trHeight w:val="20"/>
        </w:trPr>
        <w:tc>
          <w:tcPr>
            <w:tcW w:w="1435" w:type="pct"/>
            <w:tcBorders>
              <w:top w:val="nil"/>
              <w:left w:val="nil"/>
              <w:bottom w:val="nil"/>
              <w:right w:val="nil"/>
            </w:tcBorders>
            <w:shd w:val="clear" w:color="auto" w:fill="auto"/>
            <w:noWrap/>
            <w:vAlign w:val="bottom"/>
            <w:hideMark/>
          </w:tcPr>
          <w:p w14:paraId="51599EB6"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576" w:type="pct"/>
            <w:tcBorders>
              <w:top w:val="nil"/>
              <w:left w:val="nil"/>
              <w:bottom w:val="nil"/>
              <w:right w:val="nil"/>
            </w:tcBorders>
            <w:shd w:val="clear" w:color="auto" w:fill="auto"/>
            <w:noWrap/>
            <w:vAlign w:val="center"/>
            <w:hideMark/>
          </w:tcPr>
          <w:p w14:paraId="762A90E5"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center"/>
            <w:hideMark/>
          </w:tcPr>
          <w:p w14:paraId="5A0586CB"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c>
          <w:tcPr>
            <w:tcW w:w="649" w:type="pct"/>
            <w:tcBorders>
              <w:top w:val="nil"/>
              <w:left w:val="nil"/>
              <w:bottom w:val="nil"/>
              <w:right w:val="nil"/>
            </w:tcBorders>
            <w:shd w:val="clear" w:color="auto" w:fill="auto"/>
            <w:noWrap/>
            <w:vAlign w:val="center"/>
            <w:hideMark/>
          </w:tcPr>
          <w:p w14:paraId="2110FF47"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center"/>
            <w:hideMark/>
          </w:tcPr>
          <w:p w14:paraId="241DFEFE"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c>
          <w:tcPr>
            <w:tcW w:w="738" w:type="pct"/>
            <w:tcBorders>
              <w:top w:val="nil"/>
              <w:left w:val="nil"/>
              <w:bottom w:val="nil"/>
              <w:right w:val="nil"/>
            </w:tcBorders>
            <w:shd w:val="clear" w:color="auto" w:fill="auto"/>
            <w:noWrap/>
            <w:vAlign w:val="center"/>
            <w:hideMark/>
          </w:tcPr>
          <w:p w14:paraId="2DCC1298"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center"/>
            <w:hideMark/>
          </w:tcPr>
          <w:p w14:paraId="08F20D2A"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c>
          <w:tcPr>
            <w:tcW w:w="833" w:type="pct"/>
            <w:tcBorders>
              <w:top w:val="nil"/>
              <w:left w:val="nil"/>
              <w:bottom w:val="nil"/>
              <w:right w:val="nil"/>
            </w:tcBorders>
            <w:shd w:val="clear" w:color="auto" w:fill="auto"/>
            <w:noWrap/>
            <w:vAlign w:val="center"/>
            <w:hideMark/>
          </w:tcPr>
          <w:p w14:paraId="48EFC3B9"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c>
          <w:tcPr>
            <w:tcW w:w="465" w:type="pct"/>
            <w:tcBorders>
              <w:top w:val="nil"/>
              <w:left w:val="nil"/>
              <w:bottom w:val="nil"/>
              <w:right w:val="nil"/>
            </w:tcBorders>
            <w:shd w:val="clear" w:color="auto" w:fill="auto"/>
            <w:noWrap/>
            <w:vAlign w:val="center"/>
            <w:hideMark/>
          </w:tcPr>
          <w:p w14:paraId="31346447" w14:textId="77777777" w:rsidR="000B4A56" w:rsidRPr="000B4A56" w:rsidRDefault="000B4A56" w:rsidP="000B4A56">
            <w:pPr>
              <w:spacing w:after="0" w:line="240" w:lineRule="auto"/>
              <w:jc w:val="right"/>
              <w:rPr>
                <w:rFonts w:ascii="Times New Roman" w:eastAsia="Times New Roman" w:hAnsi="Times New Roman" w:cs="Times New Roman"/>
                <w:sz w:val="20"/>
                <w:szCs w:val="20"/>
                <w:lang w:eastAsia="pt-BR"/>
              </w:rPr>
            </w:pPr>
          </w:p>
        </w:tc>
      </w:tr>
      <w:tr w:rsidR="000B4A56" w:rsidRPr="000B4A56" w14:paraId="2B8C6970" w14:textId="77777777" w:rsidTr="00BC317F">
        <w:trPr>
          <w:trHeight w:val="20"/>
        </w:trPr>
        <w:tc>
          <w:tcPr>
            <w:tcW w:w="1435" w:type="pct"/>
            <w:tcBorders>
              <w:top w:val="nil"/>
              <w:left w:val="nil"/>
              <w:bottom w:val="nil"/>
              <w:right w:val="nil"/>
            </w:tcBorders>
            <w:shd w:val="clear" w:color="auto" w:fill="auto"/>
            <w:noWrap/>
            <w:vAlign w:val="bottom"/>
            <w:hideMark/>
          </w:tcPr>
          <w:p w14:paraId="5A0CD2B7" w14:textId="77777777" w:rsidR="000B4A56" w:rsidRPr="000B4A56" w:rsidRDefault="000B4A56" w:rsidP="000B4A56">
            <w:pPr>
              <w:spacing w:after="0" w:line="240" w:lineRule="auto"/>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Custo</w:t>
            </w:r>
          </w:p>
        </w:tc>
        <w:tc>
          <w:tcPr>
            <w:tcW w:w="576" w:type="pct"/>
            <w:tcBorders>
              <w:top w:val="nil"/>
              <w:left w:val="nil"/>
              <w:bottom w:val="nil"/>
              <w:right w:val="nil"/>
            </w:tcBorders>
            <w:shd w:val="clear" w:color="auto" w:fill="auto"/>
            <w:noWrap/>
            <w:vAlign w:val="bottom"/>
            <w:hideMark/>
          </w:tcPr>
          <w:p w14:paraId="38FC8E39" w14:textId="48A8EFEE"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392.626</w:t>
            </w:r>
          </w:p>
        </w:tc>
        <w:tc>
          <w:tcPr>
            <w:tcW w:w="102" w:type="pct"/>
            <w:tcBorders>
              <w:top w:val="nil"/>
              <w:left w:val="nil"/>
              <w:bottom w:val="nil"/>
              <w:right w:val="nil"/>
            </w:tcBorders>
            <w:shd w:val="clear" w:color="auto" w:fill="auto"/>
            <w:noWrap/>
            <w:vAlign w:val="bottom"/>
            <w:hideMark/>
          </w:tcPr>
          <w:p w14:paraId="4BE8EF15"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649" w:type="pct"/>
            <w:tcBorders>
              <w:top w:val="nil"/>
              <w:left w:val="nil"/>
              <w:bottom w:val="nil"/>
              <w:right w:val="nil"/>
            </w:tcBorders>
            <w:shd w:val="clear" w:color="auto" w:fill="auto"/>
            <w:noWrap/>
            <w:vAlign w:val="bottom"/>
            <w:hideMark/>
          </w:tcPr>
          <w:p w14:paraId="4228D251" w14:textId="63E272F5"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23.946</w:t>
            </w:r>
          </w:p>
        </w:tc>
        <w:tc>
          <w:tcPr>
            <w:tcW w:w="102" w:type="pct"/>
            <w:tcBorders>
              <w:top w:val="nil"/>
              <w:left w:val="nil"/>
              <w:bottom w:val="nil"/>
              <w:right w:val="nil"/>
            </w:tcBorders>
            <w:shd w:val="clear" w:color="auto" w:fill="auto"/>
            <w:noWrap/>
            <w:vAlign w:val="bottom"/>
            <w:hideMark/>
          </w:tcPr>
          <w:p w14:paraId="33195786"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738" w:type="pct"/>
            <w:tcBorders>
              <w:top w:val="nil"/>
              <w:left w:val="nil"/>
              <w:bottom w:val="nil"/>
              <w:right w:val="nil"/>
            </w:tcBorders>
            <w:shd w:val="clear" w:color="auto" w:fill="auto"/>
            <w:noWrap/>
            <w:vAlign w:val="bottom"/>
            <w:hideMark/>
          </w:tcPr>
          <w:p w14:paraId="6E3F914F" w14:textId="36B7266D"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17B6778B" w14:textId="7777777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833" w:type="pct"/>
            <w:tcBorders>
              <w:top w:val="nil"/>
              <w:left w:val="nil"/>
              <w:bottom w:val="nil"/>
              <w:right w:val="nil"/>
            </w:tcBorders>
            <w:shd w:val="clear" w:color="auto" w:fill="auto"/>
            <w:noWrap/>
            <w:vAlign w:val="bottom"/>
            <w:hideMark/>
          </w:tcPr>
          <w:p w14:paraId="4E14BC14" w14:textId="55FCC385"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465" w:type="pct"/>
            <w:tcBorders>
              <w:top w:val="nil"/>
              <w:left w:val="nil"/>
              <w:bottom w:val="nil"/>
              <w:right w:val="nil"/>
            </w:tcBorders>
            <w:shd w:val="clear" w:color="auto" w:fill="auto"/>
            <w:noWrap/>
            <w:vAlign w:val="center"/>
            <w:hideMark/>
          </w:tcPr>
          <w:p w14:paraId="0C802808" w14:textId="56906B51"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416.572</w:t>
            </w:r>
          </w:p>
        </w:tc>
      </w:tr>
      <w:tr w:rsidR="000B4A56" w:rsidRPr="000B4A56" w14:paraId="02F6A4A1" w14:textId="77777777" w:rsidTr="00BC317F">
        <w:trPr>
          <w:trHeight w:val="20"/>
        </w:trPr>
        <w:tc>
          <w:tcPr>
            <w:tcW w:w="1435" w:type="pct"/>
            <w:tcBorders>
              <w:top w:val="nil"/>
              <w:left w:val="nil"/>
              <w:bottom w:val="nil"/>
              <w:right w:val="nil"/>
            </w:tcBorders>
            <w:shd w:val="clear" w:color="auto" w:fill="auto"/>
            <w:noWrap/>
            <w:vAlign w:val="bottom"/>
            <w:hideMark/>
          </w:tcPr>
          <w:p w14:paraId="44B5BFCF" w14:textId="77777777" w:rsidR="000B4A56" w:rsidRPr="000B4A56" w:rsidRDefault="000B4A56" w:rsidP="000B4A56">
            <w:pPr>
              <w:spacing w:after="0" w:line="240" w:lineRule="auto"/>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Amortização</w:t>
            </w:r>
          </w:p>
        </w:tc>
        <w:tc>
          <w:tcPr>
            <w:tcW w:w="576" w:type="pct"/>
            <w:tcBorders>
              <w:top w:val="nil"/>
              <w:left w:val="nil"/>
              <w:bottom w:val="single" w:sz="4" w:space="0" w:color="1B80C4"/>
              <w:right w:val="nil"/>
            </w:tcBorders>
            <w:shd w:val="clear" w:color="auto" w:fill="auto"/>
            <w:noWrap/>
            <w:vAlign w:val="center"/>
            <w:hideMark/>
          </w:tcPr>
          <w:p w14:paraId="0B8C450A" w14:textId="0F68AF49"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single" w:sz="4" w:space="0" w:color="1B80C4"/>
              <w:right w:val="nil"/>
            </w:tcBorders>
            <w:shd w:val="clear" w:color="auto" w:fill="auto"/>
            <w:noWrap/>
            <w:vAlign w:val="center"/>
            <w:hideMark/>
          </w:tcPr>
          <w:p w14:paraId="1F414622" w14:textId="3E1949A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649" w:type="pct"/>
            <w:tcBorders>
              <w:top w:val="nil"/>
              <w:left w:val="nil"/>
              <w:bottom w:val="single" w:sz="4" w:space="0" w:color="1B80C4"/>
              <w:right w:val="nil"/>
            </w:tcBorders>
            <w:shd w:val="clear" w:color="auto" w:fill="auto"/>
            <w:noWrap/>
            <w:vAlign w:val="center"/>
            <w:hideMark/>
          </w:tcPr>
          <w:p w14:paraId="262C545B" w14:textId="40CC60D2"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(6.060)</w:t>
            </w:r>
          </w:p>
        </w:tc>
        <w:tc>
          <w:tcPr>
            <w:tcW w:w="102" w:type="pct"/>
            <w:tcBorders>
              <w:top w:val="nil"/>
              <w:left w:val="nil"/>
              <w:bottom w:val="single" w:sz="4" w:space="0" w:color="1B80C4"/>
              <w:right w:val="nil"/>
            </w:tcBorders>
            <w:shd w:val="clear" w:color="auto" w:fill="auto"/>
            <w:noWrap/>
            <w:vAlign w:val="center"/>
            <w:hideMark/>
          </w:tcPr>
          <w:p w14:paraId="0DACDDE9" w14:textId="7BAB3A24"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738" w:type="pct"/>
            <w:tcBorders>
              <w:top w:val="nil"/>
              <w:left w:val="nil"/>
              <w:bottom w:val="single" w:sz="4" w:space="0" w:color="1B80C4"/>
              <w:right w:val="nil"/>
            </w:tcBorders>
            <w:shd w:val="clear" w:color="auto" w:fill="auto"/>
            <w:noWrap/>
            <w:vAlign w:val="center"/>
            <w:hideMark/>
          </w:tcPr>
          <w:p w14:paraId="3BC9E59F" w14:textId="43285413"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102" w:type="pct"/>
            <w:tcBorders>
              <w:top w:val="nil"/>
              <w:left w:val="nil"/>
              <w:bottom w:val="single" w:sz="4" w:space="0" w:color="1B80C4"/>
              <w:right w:val="nil"/>
            </w:tcBorders>
            <w:shd w:val="clear" w:color="auto" w:fill="auto"/>
            <w:noWrap/>
            <w:vAlign w:val="center"/>
            <w:hideMark/>
          </w:tcPr>
          <w:p w14:paraId="4B7AE485" w14:textId="7D2E2667"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p>
        </w:tc>
        <w:tc>
          <w:tcPr>
            <w:tcW w:w="833" w:type="pct"/>
            <w:tcBorders>
              <w:top w:val="nil"/>
              <w:left w:val="nil"/>
              <w:bottom w:val="single" w:sz="4" w:space="0" w:color="1B80C4"/>
              <w:right w:val="nil"/>
            </w:tcBorders>
            <w:shd w:val="clear" w:color="auto" w:fill="auto"/>
            <w:noWrap/>
            <w:vAlign w:val="center"/>
            <w:hideMark/>
          </w:tcPr>
          <w:p w14:paraId="449DA167" w14:textId="0C4460BF"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w:t>
            </w:r>
          </w:p>
        </w:tc>
        <w:tc>
          <w:tcPr>
            <w:tcW w:w="465" w:type="pct"/>
            <w:tcBorders>
              <w:top w:val="nil"/>
              <w:left w:val="nil"/>
              <w:bottom w:val="single" w:sz="4" w:space="0" w:color="1B80C4"/>
              <w:right w:val="nil"/>
            </w:tcBorders>
            <w:shd w:val="clear" w:color="auto" w:fill="auto"/>
            <w:noWrap/>
            <w:vAlign w:val="center"/>
            <w:hideMark/>
          </w:tcPr>
          <w:p w14:paraId="6E45B326" w14:textId="66272C18" w:rsidR="000B4A56" w:rsidRPr="000B4A56" w:rsidRDefault="000B4A56" w:rsidP="000B4A56">
            <w:pPr>
              <w:spacing w:after="0" w:line="240" w:lineRule="auto"/>
              <w:jc w:val="right"/>
              <w:rPr>
                <w:rFonts w:ascii="Segoe UI" w:eastAsia="Times New Roman" w:hAnsi="Segoe UI" w:cs="Segoe UI"/>
                <w:color w:val="000000"/>
                <w:sz w:val="18"/>
                <w:szCs w:val="18"/>
                <w:lang w:eastAsia="pt-BR"/>
              </w:rPr>
            </w:pPr>
            <w:r w:rsidRPr="000B4A56">
              <w:rPr>
                <w:rFonts w:ascii="Segoe UI" w:eastAsia="Times New Roman" w:hAnsi="Segoe UI" w:cs="Segoe UI"/>
                <w:color w:val="000000"/>
                <w:sz w:val="18"/>
                <w:szCs w:val="18"/>
                <w:lang w:eastAsia="pt-BR"/>
              </w:rPr>
              <w:t>(6.060)</w:t>
            </w:r>
          </w:p>
        </w:tc>
      </w:tr>
      <w:tr w:rsidR="000B4A56" w:rsidRPr="000B4A56" w14:paraId="0DBBACDC" w14:textId="77777777" w:rsidTr="00BC317F">
        <w:trPr>
          <w:trHeight w:val="20"/>
        </w:trPr>
        <w:tc>
          <w:tcPr>
            <w:tcW w:w="1435" w:type="pct"/>
            <w:tcBorders>
              <w:top w:val="nil"/>
              <w:left w:val="nil"/>
              <w:bottom w:val="nil"/>
              <w:right w:val="nil"/>
            </w:tcBorders>
            <w:shd w:val="clear" w:color="auto" w:fill="auto"/>
            <w:noWrap/>
            <w:vAlign w:val="bottom"/>
            <w:hideMark/>
          </w:tcPr>
          <w:p w14:paraId="4B1676A6" w14:textId="77777777" w:rsidR="000B4A56" w:rsidRPr="000B4A56" w:rsidRDefault="000B4A56" w:rsidP="000B4A56">
            <w:pPr>
              <w:spacing w:after="0" w:line="240" w:lineRule="auto"/>
              <w:rPr>
                <w:rFonts w:ascii="Segoe UI" w:eastAsia="Times New Roman" w:hAnsi="Segoe UI" w:cs="Segoe UI"/>
                <w:b/>
                <w:bCs/>
                <w:color w:val="000000"/>
                <w:sz w:val="18"/>
                <w:szCs w:val="18"/>
                <w:lang w:eastAsia="pt-BR"/>
              </w:rPr>
            </w:pPr>
            <w:r w:rsidRPr="000B4A56">
              <w:rPr>
                <w:rFonts w:ascii="Segoe UI" w:eastAsia="Times New Roman" w:hAnsi="Segoe UI" w:cs="Segoe UI"/>
                <w:b/>
                <w:bCs/>
                <w:color w:val="000000"/>
                <w:sz w:val="18"/>
                <w:szCs w:val="18"/>
                <w:lang w:eastAsia="pt-BR"/>
              </w:rPr>
              <w:t>Em 31 de dezembro 2022</w:t>
            </w:r>
          </w:p>
        </w:tc>
        <w:tc>
          <w:tcPr>
            <w:tcW w:w="576" w:type="pct"/>
            <w:tcBorders>
              <w:top w:val="nil"/>
              <w:left w:val="nil"/>
              <w:bottom w:val="nil"/>
              <w:right w:val="nil"/>
            </w:tcBorders>
            <w:shd w:val="clear" w:color="auto" w:fill="auto"/>
            <w:noWrap/>
            <w:vAlign w:val="bottom"/>
            <w:hideMark/>
          </w:tcPr>
          <w:p w14:paraId="37D2A70F" w14:textId="6377A70D"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r w:rsidRPr="000B4A56">
              <w:rPr>
                <w:rFonts w:ascii="Segoe UI" w:eastAsia="Times New Roman" w:hAnsi="Segoe UI" w:cs="Segoe UI"/>
                <w:b/>
                <w:bCs/>
                <w:color w:val="000000"/>
                <w:sz w:val="18"/>
                <w:szCs w:val="18"/>
                <w:lang w:eastAsia="pt-BR"/>
              </w:rPr>
              <w:t>392.626</w:t>
            </w:r>
          </w:p>
        </w:tc>
        <w:tc>
          <w:tcPr>
            <w:tcW w:w="102" w:type="pct"/>
            <w:tcBorders>
              <w:top w:val="nil"/>
              <w:left w:val="nil"/>
              <w:bottom w:val="nil"/>
              <w:right w:val="nil"/>
            </w:tcBorders>
            <w:shd w:val="clear" w:color="auto" w:fill="auto"/>
            <w:noWrap/>
            <w:vAlign w:val="bottom"/>
            <w:hideMark/>
          </w:tcPr>
          <w:p w14:paraId="275FB262" w14:textId="77777777"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p>
        </w:tc>
        <w:tc>
          <w:tcPr>
            <w:tcW w:w="649" w:type="pct"/>
            <w:tcBorders>
              <w:top w:val="nil"/>
              <w:left w:val="nil"/>
              <w:bottom w:val="nil"/>
              <w:right w:val="nil"/>
            </w:tcBorders>
            <w:shd w:val="clear" w:color="auto" w:fill="auto"/>
            <w:noWrap/>
            <w:vAlign w:val="bottom"/>
            <w:hideMark/>
          </w:tcPr>
          <w:p w14:paraId="1D4B1B77" w14:textId="23831DB4"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r w:rsidRPr="000B4A56">
              <w:rPr>
                <w:rFonts w:ascii="Segoe UI" w:eastAsia="Times New Roman" w:hAnsi="Segoe UI" w:cs="Segoe UI"/>
                <w:b/>
                <w:bCs/>
                <w:color w:val="000000"/>
                <w:sz w:val="18"/>
                <w:szCs w:val="18"/>
                <w:lang w:eastAsia="pt-BR"/>
              </w:rPr>
              <w:t>106.269</w:t>
            </w:r>
          </w:p>
        </w:tc>
        <w:tc>
          <w:tcPr>
            <w:tcW w:w="102" w:type="pct"/>
            <w:tcBorders>
              <w:top w:val="nil"/>
              <w:left w:val="nil"/>
              <w:bottom w:val="nil"/>
              <w:right w:val="nil"/>
            </w:tcBorders>
            <w:shd w:val="clear" w:color="auto" w:fill="auto"/>
            <w:noWrap/>
            <w:vAlign w:val="bottom"/>
            <w:hideMark/>
          </w:tcPr>
          <w:p w14:paraId="6569711B" w14:textId="77777777"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p>
        </w:tc>
        <w:tc>
          <w:tcPr>
            <w:tcW w:w="738" w:type="pct"/>
            <w:tcBorders>
              <w:top w:val="nil"/>
              <w:left w:val="nil"/>
              <w:bottom w:val="nil"/>
              <w:right w:val="nil"/>
            </w:tcBorders>
            <w:shd w:val="clear" w:color="auto" w:fill="auto"/>
            <w:noWrap/>
            <w:vAlign w:val="bottom"/>
            <w:hideMark/>
          </w:tcPr>
          <w:p w14:paraId="19250096" w14:textId="40078E87"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r w:rsidRPr="000B4A56">
              <w:rPr>
                <w:rFonts w:ascii="Segoe UI" w:eastAsia="Times New Roman" w:hAnsi="Segoe UI" w:cs="Segoe UI"/>
                <w:b/>
                <w:bCs/>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3B9443EC" w14:textId="77777777"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p>
        </w:tc>
        <w:tc>
          <w:tcPr>
            <w:tcW w:w="833" w:type="pct"/>
            <w:tcBorders>
              <w:top w:val="nil"/>
              <w:left w:val="nil"/>
              <w:bottom w:val="nil"/>
              <w:right w:val="nil"/>
            </w:tcBorders>
            <w:shd w:val="clear" w:color="auto" w:fill="auto"/>
            <w:noWrap/>
            <w:vAlign w:val="bottom"/>
            <w:hideMark/>
          </w:tcPr>
          <w:p w14:paraId="41FE8EE0" w14:textId="11F7CC2B"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r w:rsidRPr="000B4A56">
              <w:rPr>
                <w:rFonts w:ascii="Segoe UI" w:eastAsia="Times New Roman" w:hAnsi="Segoe UI" w:cs="Segoe UI"/>
                <w:b/>
                <w:bCs/>
                <w:color w:val="000000"/>
                <w:sz w:val="18"/>
                <w:szCs w:val="18"/>
                <w:lang w:eastAsia="pt-BR"/>
              </w:rPr>
              <w:t>78.157</w:t>
            </w:r>
          </w:p>
        </w:tc>
        <w:tc>
          <w:tcPr>
            <w:tcW w:w="465" w:type="pct"/>
            <w:tcBorders>
              <w:top w:val="nil"/>
              <w:left w:val="nil"/>
              <w:bottom w:val="nil"/>
              <w:right w:val="nil"/>
            </w:tcBorders>
            <w:shd w:val="clear" w:color="auto" w:fill="auto"/>
            <w:noWrap/>
            <w:vAlign w:val="bottom"/>
            <w:hideMark/>
          </w:tcPr>
          <w:p w14:paraId="5DBBEE8E" w14:textId="177F4736" w:rsidR="000B4A56" w:rsidRPr="000B4A56" w:rsidRDefault="000B4A56" w:rsidP="000B4A56">
            <w:pPr>
              <w:spacing w:after="0" w:line="240" w:lineRule="auto"/>
              <w:jc w:val="right"/>
              <w:rPr>
                <w:rFonts w:ascii="Segoe UI" w:eastAsia="Times New Roman" w:hAnsi="Segoe UI" w:cs="Segoe UI"/>
                <w:b/>
                <w:bCs/>
                <w:color w:val="000000"/>
                <w:sz w:val="18"/>
                <w:szCs w:val="18"/>
                <w:lang w:eastAsia="pt-BR"/>
              </w:rPr>
            </w:pPr>
            <w:r w:rsidRPr="000B4A56">
              <w:rPr>
                <w:rFonts w:ascii="Segoe UI" w:eastAsia="Times New Roman" w:hAnsi="Segoe UI" w:cs="Segoe UI"/>
                <w:b/>
                <w:bCs/>
                <w:color w:val="000000"/>
                <w:sz w:val="18"/>
                <w:szCs w:val="18"/>
                <w:lang w:eastAsia="pt-BR"/>
              </w:rPr>
              <w:t>577.052</w:t>
            </w:r>
          </w:p>
        </w:tc>
      </w:tr>
    </w:tbl>
    <w:p w14:paraId="7DC4D665" w14:textId="30ECE579" w:rsidR="000B4A56" w:rsidRPr="001D6C58" w:rsidRDefault="000B4A56" w:rsidP="001D6C58">
      <w:pPr>
        <w:rPr>
          <w:sz w:val="18"/>
          <w:szCs w:val="18"/>
        </w:rPr>
      </w:pPr>
    </w:p>
    <w:p w14:paraId="0B2C1E30" w14:textId="34AE77FF" w:rsidR="002C19C5" w:rsidRDefault="002C19C5">
      <w:pPr>
        <w:rPr>
          <w:sz w:val="18"/>
          <w:szCs w:val="18"/>
        </w:rPr>
      </w:pPr>
    </w:p>
    <w:p w14:paraId="5DABC62A" w14:textId="0B6FB029" w:rsidR="0014614C" w:rsidRPr="000757BC" w:rsidRDefault="00581D1F" w:rsidP="00180C54">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2A4E82">
        <w:rPr>
          <w:rFonts w:ascii="Segoe UI" w:hAnsi="Segoe UI" w:cs="Segoe UI"/>
          <w:b/>
          <w:color w:val="0070C0"/>
        </w:rPr>
        <w:t>5</w:t>
      </w:r>
      <w:r w:rsidR="00F4139F" w:rsidRPr="000757BC">
        <w:rPr>
          <w:rFonts w:ascii="Segoe UI" w:hAnsi="Segoe UI" w:cs="Segoe UI"/>
          <w:b/>
          <w:color w:val="0070C0"/>
        </w:rPr>
        <w:t xml:space="preserve"> </w:t>
      </w:r>
      <w:r w:rsidR="0014614C" w:rsidRPr="000757BC">
        <w:rPr>
          <w:rFonts w:ascii="Segoe UI" w:hAnsi="Segoe UI" w:cs="Segoe UI"/>
          <w:b/>
          <w:color w:val="0070C0"/>
        </w:rPr>
        <w:t xml:space="preserve">– FORNECEDORES </w:t>
      </w:r>
    </w:p>
    <w:tbl>
      <w:tblPr>
        <w:tblW w:w="5000" w:type="pct"/>
        <w:tblCellMar>
          <w:left w:w="70" w:type="dxa"/>
          <w:right w:w="70" w:type="dxa"/>
        </w:tblCellMar>
        <w:tblLook w:val="04A0" w:firstRow="1" w:lastRow="0" w:firstColumn="1" w:lastColumn="0" w:noHBand="0" w:noVBand="1"/>
      </w:tblPr>
      <w:tblGrid>
        <w:gridCol w:w="4855"/>
        <w:gridCol w:w="2169"/>
        <w:gridCol w:w="304"/>
        <w:gridCol w:w="2169"/>
      </w:tblGrid>
      <w:tr w:rsidR="00D806D6" w:rsidRPr="00D806D6" w14:paraId="571BBDCA" w14:textId="77777777" w:rsidTr="00D806D6">
        <w:trPr>
          <w:trHeight w:val="240"/>
        </w:trPr>
        <w:tc>
          <w:tcPr>
            <w:tcW w:w="2556" w:type="pct"/>
            <w:tcBorders>
              <w:top w:val="nil"/>
              <w:left w:val="nil"/>
              <w:bottom w:val="nil"/>
              <w:right w:val="nil"/>
            </w:tcBorders>
            <w:shd w:val="clear" w:color="auto" w:fill="auto"/>
            <w:noWrap/>
            <w:vAlign w:val="bottom"/>
            <w:hideMark/>
          </w:tcPr>
          <w:p w14:paraId="49CC5A83" w14:textId="77777777" w:rsidR="00D806D6" w:rsidRPr="00D806D6" w:rsidRDefault="00D806D6" w:rsidP="00D806D6">
            <w:pPr>
              <w:spacing w:after="0" w:line="240" w:lineRule="auto"/>
              <w:rPr>
                <w:rFonts w:ascii="Times New Roman" w:eastAsia="Times New Roman" w:hAnsi="Times New Roman" w:cs="Times New Roman"/>
                <w:sz w:val="24"/>
                <w:szCs w:val="24"/>
                <w:lang w:eastAsia="pt-BR"/>
              </w:rPr>
            </w:pPr>
          </w:p>
        </w:tc>
        <w:tc>
          <w:tcPr>
            <w:tcW w:w="1142" w:type="pct"/>
            <w:tcBorders>
              <w:top w:val="nil"/>
              <w:left w:val="nil"/>
              <w:bottom w:val="nil"/>
              <w:right w:val="nil"/>
            </w:tcBorders>
            <w:shd w:val="clear" w:color="000000" w:fill="1B80C4"/>
            <w:noWrap/>
            <w:vAlign w:val="bottom"/>
            <w:hideMark/>
          </w:tcPr>
          <w:p w14:paraId="3FB93ED0"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xml:space="preserve"> Controladora </w:t>
            </w:r>
          </w:p>
        </w:tc>
        <w:tc>
          <w:tcPr>
            <w:tcW w:w="160" w:type="pct"/>
            <w:tcBorders>
              <w:top w:val="nil"/>
              <w:left w:val="nil"/>
              <w:bottom w:val="nil"/>
              <w:right w:val="nil"/>
            </w:tcBorders>
            <w:shd w:val="clear" w:color="000000" w:fill="1B80C4"/>
            <w:noWrap/>
            <w:vAlign w:val="bottom"/>
            <w:hideMark/>
          </w:tcPr>
          <w:p w14:paraId="40AB88A1"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w:t>
            </w:r>
          </w:p>
        </w:tc>
        <w:tc>
          <w:tcPr>
            <w:tcW w:w="1142" w:type="pct"/>
            <w:tcBorders>
              <w:top w:val="nil"/>
              <w:left w:val="nil"/>
              <w:bottom w:val="nil"/>
              <w:right w:val="nil"/>
            </w:tcBorders>
            <w:shd w:val="clear" w:color="000000" w:fill="1B80C4"/>
            <w:noWrap/>
            <w:vAlign w:val="bottom"/>
            <w:hideMark/>
          </w:tcPr>
          <w:p w14:paraId="0FA564E1"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xml:space="preserve"> Consolidado </w:t>
            </w:r>
          </w:p>
        </w:tc>
      </w:tr>
      <w:tr w:rsidR="005212B3" w:rsidRPr="00D806D6" w14:paraId="714367B3" w14:textId="77777777" w:rsidTr="00497328">
        <w:trPr>
          <w:trHeight w:val="240"/>
        </w:trPr>
        <w:tc>
          <w:tcPr>
            <w:tcW w:w="2556" w:type="pct"/>
            <w:tcBorders>
              <w:top w:val="nil"/>
              <w:left w:val="nil"/>
              <w:bottom w:val="nil"/>
              <w:right w:val="nil"/>
            </w:tcBorders>
            <w:shd w:val="clear" w:color="auto" w:fill="auto"/>
            <w:noWrap/>
            <w:vAlign w:val="bottom"/>
            <w:hideMark/>
          </w:tcPr>
          <w:p w14:paraId="5E4CD51C"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p>
        </w:tc>
        <w:tc>
          <w:tcPr>
            <w:tcW w:w="1142" w:type="pct"/>
            <w:tcBorders>
              <w:top w:val="single" w:sz="4" w:space="0" w:color="FFFFFF"/>
              <w:left w:val="nil"/>
              <w:bottom w:val="single" w:sz="4" w:space="0" w:color="FFFFFF"/>
              <w:right w:val="nil"/>
            </w:tcBorders>
            <w:shd w:val="clear" w:color="000000" w:fill="1B80C4"/>
            <w:noWrap/>
            <w:vAlign w:val="center"/>
            <w:hideMark/>
          </w:tcPr>
          <w:p w14:paraId="44986E23" w14:textId="77777777" w:rsidR="00D806D6" w:rsidRPr="00D806D6" w:rsidRDefault="00D806D6" w:rsidP="00D806D6">
            <w:pPr>
              <w:spacing w:after="0" w:line="240" w:lineRule="auto"/>
              <w:jc w:val="center"/>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31/12/2022</w:t>
            </w:r>
          </w:p>
        </w:tc>
        <w:tc>
          <w:tcPr>
            <w:tcW w:w="160" w:type="pct"/>
            <w:tcBorders>
              <w:left w:val="nil"/>
              <w:right w:val="nil"/>
            </w:tcBorders>
            <w:shd w:val="clear" w:color="000000" w:fill="1B80C4"/>
            <w:noWrap/>
            <w:vAlign w:val="center"/>
            <w:hideMark/>
          </w:tcPr>
          <w:p w14:paraId="26C5FBD3" w14:textId="77777777" w:rsidR="00D806D6" w:rsidRPr="00D806D6" w:rsidRDefault="00D806D6" w:rsidP="00D806D6">
            <w:pPr>
              <w:spacing w:after="0" w:line="240" w:lineRule="auto"/>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 </w:t>
            </w:r>
          </w:p>
        </w:tc>
        <w:tc>
          <w:tcPr>
            <w:tcW w:w="1142" w:type="pct"/>
            <w:tcBorders>
              <w:top w:val="single" w:sz="4" w:space="0" w:color="FFFFFF"/>
              <w:left w:val="nil"/>
              <w:bottom w:val="single" w:sz="4" w:space="0" w:color="FFFFFF"/>
              <w:right w:val="nil"/>
            </w:tcBorders>
            <w:shd w:val="clear" w:color="000000" w:fill="1B80C4"/>
            <w:noWrap/>
            <w:vAlign w:val="center"/>
            <w:hideMark/>
          </w:tcPr>
          <w:p w14:paraId="145A8F98" w14:textId="77777777" w:rsidR="00D806D6" w:rsidRPr="00D806D6" w:rsidRDefault="00D806D6" w:rsidP="00D806D6">
            <w:pPr>
              <w:spacing w:after="0" w:line="240" w:lineRule="auto"/>
              <w:jc w:val="right"/>
              <w:rPr>
                <w:rFonts w:ascii="Segoe UI" w:eastAsia="Times New Roman" w:hAnsi="Segoe UI" w:cs="Segoe UI"/>
                <w:b/>
                <w:bCs/>
                <w:color w:val="FFFFFF"/>
                <w:sz w:val="18"/>
                <w:szCs w:val="18"/>
                <w:lang w:eastAsia="pt-BR"/>
              </w:rPr>
            </w:pPr>
            <w:r w:rsidRPr="00D806D6">
              <w:rPr>
                <w:rFonts w:ascii="Segoe UI" w:eastAsia="Times New Roman" w:hAnsi="Segoe UI" w:cs="Segoe UI"/>
                <w:b/>
                <w:bCs/>
                <w:color w:val="FFFFFF"/>
                <w:sz w:val="18"/>
                <w:szCs w:val="18"/>
                <w:lang w:eastAsia="pt-BR"/>
              </w:rPr>
              <w:t>31/12/2022</w:t>
            </w:r>
          </w:p>
        </w:tc>
      </w:tr>
      <w:tr w:rsidR="00D806D6" w:rsidRPr="00D806D6" w14:paraId="64F6F2C2" w14:textId="77777777" w:rsidTr="00482C5E">
        <w:trPr>
          <w:trHeight w:val="240"/>
        </w:trPr>
        <w:tc>
          <w:tcPr>
            <w:tcW w:w="2556" w:type="pct"/>
            <w:tcBorders>
              <w:top w:val="nil"/>
              <w:left w:val="nil"/>
              <w:bottom w:val="nil"/>
              <w:right w:val="nil"/>
            </w:tcBorders>
            <w:shd w:val="clear" w:color="auto" w:fill="auto"/>
            <w:noWrap/>
            <w:vAlign w:val="center"/>
            <w:hideMark/>
          </w:tcPr>
          <w:p w14:paraId="41EE21AF" w14:textId="77777777" w:rsidR="00D806D6" w:rsidRPr="00D806D6" w:rsidRDefault="00D806D6" w:rsidP="00D806D6">
            <w:pPr>
              <w:spacing w:after="0" w:line="240" w:lineRule="auto"/>
              <w:rPr>
                <w:rFonts w:ascii="Segoe UI" w:eastAsia="Times New Roman" w:hAnsi="Segoe UI" w:cs="Segoe UI"/>
                <w:b/>
                <w:bCs/>
                <w:color w:val="000000"/>
                <w:sz w:val="18"/>
                <w:szCs w:val="18"/>
                <w:lang w:eastAsia="pt-BR"/>
              </w:rPr>
            </w:pPr>
            <w:r w:rsidRPr="00D806D6">
              <w:rPr>
                <w:rFonts w:ascii="Segoe UI" w:eastAsia="Times New Roman" w:hAnsi="Segoe UI" w:cs="Segoe UI"/>
                <w:b/>
                <w:bCs/>
                <w:color w:val="000000"/>
                <w:sz w:val="18"/>
                <w:szCs w:val="18"/>
                <w:lang w:eastAsia="pt-BR"/>
              </w:rPr>
              <w:t xml:space="preserve"> Bens, materiais e serviços: </w:t>
            </w:r>
          </w:p>
        </w:tc>
        <w:tc>
          <w:tcPr>
            <w:tcW w:w="1142" w:type="pct"/>
            <w:tcBorders>
              <w:top w:val="nil"/>
              <w:left w:val="nil"/>
              <w:bottom w:val="nil"/>
              <w:right w:val="nil"/>
            </w:tcBorders>
            <w:shd w:val="clear" w:color="auto" w:fill="auto"/>
            <w:noWrap/>
            <w:vAlign w:val="center"/>
            <w:hideMark/>
          </w:tcPr>
          <w:p w14:paraId="678F0087" w14:textId="77777777" w:rsidR="00D806D6" w:rsidRPr="00D806D6" w:rsidRDefault="00D806D6" w:rsidP="00D806D6">
            <w:pPr>
              <w:spacing w:after="0" w:line="240" w:lineRule="auto"/>
              <w:rPr>
                <w:rFonts w:ascii="Segoe UI" w:eastAsia="Times New Roman" w:hAnsi="Segoe UI" w:cs="Segoe UI"/>
                <w:b/>
                <w:bCs/>
                <w:color w:val="000000"/>
                <w:sz w:val="18"/>
                <w:szCs w:val="18"/>
                <w:lang w:eastAsia="pt-BR"/>
              </w:rPr>
            </w:pPr>
          </w:p>
        </w:tc>
        <w:tc>
          <w:tcPr>
            <w:tcW w:w="160" w:type="pct"/>
            <w:tcBorders>
              <w:left w:val="nil"/>
              <w:bottom w:val="nil"/>
              <w:right w:val="nil"/>
            </w:tcBorders>
            <w:shd w:val="clear" w:color="auto" w:fill="auto"/>
            <w:noWrap/>
            <w:vAlign w:val="bottom"/>
            <w:hideMark/>
          </w:tcPr>
          <w:p w14:paraId="74141F98" w14:textId="77777777" w:rsidR="00D806D6" w:rsidRPr="00D806D6" w:rsidRDefault="00D806D6" w:rsidP="00D806D6">
            <w:pPr>
              <w:spacing w:after="0" w:line="240" w:lineRule="auto"/>
              <w:jc w:val="right"/>
              <w:rPr>
                <w:rFonts w:ascii="Times New Roman" w:eastAsia="Times New Roman" w:hAnsi="Times New Roman" w:cs="Times New Roman"/>
                <w:sz w:val="20"/>
                <w:szCs w:val="20"/>
                <w:lang w:eastAsia="pt-BR"/>
              </w:rPr>
            </w:pPr>
          </w:p>
        </w:tc>
        <w:tc>
          <w:tcPr>
            <w:tcW w:w="1142" w:type="pct"/>
            <w:tcBorders>
              <w:top w:val="nil"/>
              <w:left w:val="nil"/>
              <w:bottom w:val="nil"/>
              <w:right w:val="nil"/>
            </w:tcBorders>
            <w:shd w:val="clear" w:color="auto" w:fill="auto"/>
            <w:noWrap/>
            <w:vAlign w:val="center"/>
            <w:hideMark/>
          </w:tcPr>
          <w:p w14:paraId="430D0148" w14:textId="77777777" w:rsidR="00D806D6" w:rsidRPr="00D806D6" w:rsidRDefault="00D806D6" w:rsidP="00D806D6">
            <w:pPr>
              <w:spacing w:after="0" w:line="240" w:lineRule="auto"/>
              <w:rPr>
                <w:rFonts w:ascii="Times New Roman" w:eastAsia="Times New Roman" w:hAnsi="Times New Roman" w:cs="Times New Roman"/>
                <w:sz w:val="20"/>
                <w:szCs w:val="20"/>
                <w:lang w:eastAsia="pt-BR"/>
              </w:rPr>
            </w:pPr>
          </w:p>
        </w:tc>
      </w:tr>
      <w:tr w:rsidR="00D806D6" w:rsidRPr="00D806D6" w14:paraId="5975E6BF" w14:textId="77777777" w:rsidTr="00D806D6">
        <w:trPr>
          <w:trHeight w:val="240"/>
        </w:trPr>
        <w:tc>
          <w:tcPr>
            <w:tcW w:w="2556" w:type="pct"/>
            <w:tcBorders>
              <w:top w:val="nil"/>
              <w:left w:val="nil"/>
              <w:bottom w:val="nil"/>
              <w:right w:val="nil"/>
            </w:tcBorders>
            <w:shd w:val="clear" w:color="auto" w:fill="auto"/>
            <w:noWrap/>
            <w:vAlign w:val="center"/>
            <w:hideMark/>
          </w:tcPr>
          <w:p w14:paraId="70CBE0E1" w14:textId="77777777" w:rsidR="00D806D6" w:rsidRPr="00D806D6" w:rsidRDefault="00D806D6" w:rsidP="00D806D6">
            <w:pPr>
              <w:spacing w:after="0" w:line="240" w:lineRule="auto"/>
              <w:ind w:firstLineChars="100" w:firstLine="18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Fatura processada </w:t>
            </w:r>
          </w:p>
        </w:tc>
        <w:tc>
          <w:tcPr>
            <w:tcW w:w="1142" w:type="pct"/>
            <w:tcBorders>
              <w:top w:val="nil"/>
              <w:left w:val="nil"/>
              <w:bottom w:val="nil"/>
              <w:right w:val="nil"/>
            </w:tcBorders>
            <w:shd w:val="clear" w:color="auto" w:fill="auto"/>
            <w:noWrap/>
            <w:vAlign w:val="center"/>
            <w:hideMark/>
          </w:tcPr>
          <w:p w14:paraId="587F00DD"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2.006.508 </w:t>
            </w:r>
          </w:p>
        </w:tc>
        <w:tc>
          <w:tcPr>
            <w:tcW w:w="160" w:type="pct"/>
            <w:tcBorders>
              <w:top w:val="nil"/>
              <w:left w:val="nil"/>
              <w:bottom w:val="nil"/>
              <w:right w:val="nil"/>
            </w:tcBorders>
            <w:shd w:val="clear" w:color="auto" w:fill="auto"/>
            <w:noWrap/>
            <w:vAlign w:val="bottom"/>
            <w:hideMark/>
          </w:tcPr>
          <w:p w14:paraId="1B50F222"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p>
        </w:tc>
        <w:tc>
          <w:tcPr>
            <w:tcW w:w="1142" w:type="pct"/>
            <w:tcBorders>
              <w:top w:val="nil"/>
              <w:left w:val="nil"/>
              <w:bottom w:val="nil"/>
              <w:right w:val="nil"/>
            </w:tcBorders>
            <w:shd w:val="clear" w:color="auto" w:fill="auto"/>
            <w:noWrap/>
            <w:vAlign w:val="center"/>
            <w:hideMark/>
          </w:tcPr>
          <w:p w14:paraId="0B65BFA5"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2.791.282 </w:t>
            </w:r>
          </w:p>
        </w:tc>
      </w:tr>
      <w:tr w:rsidR="00D806D6" w:rsidRPr="00D806D6" w14:paraId="4F40752F" w14:textId="77777777" w:rsidTr="00D806D6">
        <w:trPr>
          <w:trHeight w:val="240"/>
        </w:trPr>
        <w:tc>
          <w:tcPr>
            <w:tcW w:w="2556" w:type="pct"/>
            <w:tcBorders>
              <w:top w:val="nil"/>
              <w:left w:val="nil"/>
              <w:bottom w:val="nil"/>
              <w:right w:val="nil"/>
            </w:tcBorders>
            <w:shd w:val="clear" w:color="auto" w:fill="auto"/>
            <w:noWrap/>
            <w:vAlign w:val="center"/>
            <w:hideMark/>
          </w:tcPr>
          <w:p w14:paraId="1B220402" w14:textId="77777777" w:rsidR="00D806D6" w:rsidRPr="00D806D6" w:rsidRDefault="00D806D6" w:rsidP="00D806D6">
            <w:pPr>
              <w:spacing w:after="0" w:line="240" w:lineRule="auto"/>
              <w:ind w:firstLineChars="100" w:firstLine="18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Variação cambial </w:t>
            </w:r>
          </w:p>
        </w:tc>
        <w:tc>
          <w:tcPr>
            <w:tcW w:w="1142" w:type="pct"/>
            <w:tcBorders>
              <w:top w:val="nil"/>
              <w:left w:val="nil"/>
              <w:bottom w:val="nil"/>
              <w:right w:val="nil"/>
            </w:tcBorders>
            <w:shd w:val="clear" w:color="auto" w:fill="auto"/>
            <w:noWrap/>
            <w:vAlign w:val="center"/>
            <w:hideMark/>
          </w:tcPr>
          <w:p w14:paraId="0300734F"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716.388 </w:t>
            </w:r>
          </w:p>
        </w:tc>
        <w:tc>
          <w:tcPr>
            <w:tcW w:w="160" w:type="pct"/>
            <w:tcBorders>
              <w:top w:val="nil"/>
              <w:left w:val="nil"/>
              <w:bottom w:val="nil"/>
              <w:right w:val="nil"/>
            </w:tcBorders>
            <w:shd w:val="clear" w:color="auto" w:fill="auto"/>
            <w:noWrap/>
            <w:vAlign w:val="bottom"/>
            <w:hideMark/>
          </w:tcPr>
          <w:p w14:paraId="4354421D"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p>
        </w:tc>
        <w:tc>
          <w:tcPr>
            <w:tcW w:w="1142" w:type="pct"/>
            <w:tcBorders>
              <w:top w:val="nil"/>
              <w:left w:val="nil"/>
              <w:bottom w:val="nil"/>
              <w:right w:val="nil"/>
            </w:tcBorders>
            <w:shd w:val="clear" w:color="auto" w:fill="auto"/>
            <w:noWrap/>
            <w:vAlign w:val="center"/>
            <w:hideMark/>
          </w:tcPr>
          <w:p w14:paraId="12793705"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752.343 </w:t>
            </w:r>
          </w:p>
        </w:tc>
      </w:tr>
      <w:tr w:rsidR="00D806D6" w:rsidRPr="00D806D6" w14:paraId="0201B0BB" w14:textId="77777777" w:rsidTr="00D806D6">
        <w:trPr>
          <w:trHeight w:val="240"/>
        </w:trPr>
        <w:tc>
          <w:tcPr>
            <w:tcW w:w="2556" w:type="pct"/>
            <w:tcBorders>
              <w:top w:val="nil"/>
              <w:left w:val="nil"/>
              <w:bottom w:val="nil"/>
              <w:right w:val="nil"/>
            </w:tcBorders>
            <w:shd w:val="clear" w:color="auto" w:fill="auto"/>
            <w:noWrap/>
            <w:vAlign w:val="center"/>
            <w:hideMark/>
          </w:tcPr>
          <w:p w14:paraId="76DC7904" w14:textId="77777777" w:rsidR="00D806D6" w:rsidRPr="00D806D6" w:rsidRDefault="00D806D6" w:rsidP="00D806D6">
            <w:pPr>
              <w:spacing w:after="0" w:line="240" w:lineRule="auto"/>
              <w:ind w:firstLineChars="100" w:firstLine="180"/>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Provisão </w:t>
            </w:r>
          </w:p>
        </w:tc>
        <w:tc>
          <w:tcPr>
            <w:tcW w:w="1142" w:type="pct"/>
            <w:tcBorders>
              <w:top w:val="nil"/>
              <w:left w:val="nil"/>
              <w:bottom w:val="nil"/>
              <w:right w:val="nil"/>
            </w:tcBorders>
            <w:shd w:val="clear" w:color="auto" w:fill="auto"/>
            <w:noWrap/>
            <w:vAlign w:val="center"/>
            <w:hideMark/>
          </w:tcPr>
          <w:p w14:paraId="031B92B5"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1.091.320 </w:t>
            </w:r>
          </w:p>
        </w:tc>
        <w:tc>
          <w:tcPr>
            <w:tcW w:w="160" w:type="pct"/>
            <w:tcBorders>
              <w:top w:val="nil"/>
              <w:left w:val="nil"/>
              <w:bottom w:val="nil"/>
              <w:right w:val="nil"/>
            </w:tcBorders>
            <w:shd w:val="clear" w:color="auto" w:fill="auto"/>
            <w:noWrap/>
            <w:vAlign w:val="bottom"/>
            <w:hideMark/>
          </w:tcPr>
          <w:p w14:paraId="53D7CDCB"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p>
        </w:tc>
        <w:tc>
          <w:tcPr>
            <w:tcW w:w="1142" w:type="pct"/>
            <w:tcBorders>
              <w:top w:val="nil"/>
              <w:left w:val="nil"/>
              <w:bottom w:val="nil"/>
              <w:right w:val="nil"/>
            </w:tcBorders>
            <w:shd w:val="clear" w:color="auto" w:fill="auto"/>
            <w:noWrap/>
            <w:vAlign w:val="center"/>
            <w:hideMark/>
          </w:tcPr>
          <w:p w14:paraId="18FECCC0"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r w:rsidRPr="00D806D6">
              <w:rPr>
                <w:rFonts w:ascii="Segoe UI" w:eastAsia="Times New Roman" w:hAnsi="Segoe UI" w:cs="Segoe UI"/>
                <w:color w:val="000000"/>
                <w:sz w:val="18"/>
                <w:szCs w:val="18"/>
                <w:lang w:eastAsia="pt-BR"/>
              </w:rPr>
              <w:t xml:space="preserve">           1.308.541 </w:t>
            </w:r>
          </w:p>
        </w:tc>
      </w:tr>
      <w:tr w:rsidR="00D806D6" w:rsidRPr="00D806D6" w14:paraId="12E09ACD" w14:textId="77777777" w:rsidTr="00D806D6">
        <w:trPr>
          <w:trHeight w:val="255"/>
        </w:trPr>
        <w:tc>
          <w:tcPr>
            <w:tcW w:w="2556" w:type="pct"/>
            <w:tcBorders>
              <w:top w:val="nil"/>
              <w:left w:val="nil"/>
              <w:bottom w:val="nil"/>
              <w:right w:val="nil"/>
            </w:tcBorders>
            <w:shd w:val="clear" w:color="auto" w:fill="auto"/>
            <w:noWrap/>
            <w:vAlign w:val="center"/>
            <w:hideMark/>
          </w:tcPr>
          <w:p w14:paraId="15E59448" w14:textId="77777777" w:rsidR="00D806D6" w:rsidRPr="00D806D6" w:rsidRDefault="00D806D6" w:rsidP="00D806D6">
            <w:pPr>
              <w:spacing w:after="0" w:line="240" w:lineRule="auto"/>
              <w:jc w:val="right"/>
              <w:rPr>
                <w:rFonts w:ascii="Segoe UI" w:eastAsia="Times New Roman" w:hAnsi="Segoe UI" w:cs="Segoe UI"/>
                <w:color w:val="000000"/>
                <w:sz w:val="18"/>
                <w:szCs w:val="18"/>
                <w:lang w:eastAsia="pt-BR"/>
              </w:rPr>
            </w:pPr>
          </w:p>
        </w:tc>
        <w:tc>
          <w:tcPr>
            <w:tcW w:w="1142" w:type="pct"/>
            <w:tcBorders>
              <w:top w:val="single" w:sz="4" w:space="0" w:color="auto"/>
              <w:left w:val="nil"/>
              <w:bottom w:val="double" w:sz="6" w:space="0" w:color="auto"/>
              <w:right w:val="nil"/>
            </w:tcBorders>
            <w:shd w:val="clear" w:color="auto" w:fill="auto"/>
            <w:noWrap/>
            <w:vAlign w:val="center"/>
            <w:hideMark/>
          </w:tcPr>
          <w:p w14:paraId="2376574A" w14:textId="77777777" w:rsidR="00D806D6" w:rsidRPr="00D806D6" w:rsidRDefault="00D806D6" w:rsidP="00D806D6">
            <w:pPr>
              <w:spacing w:after="0" w:line="240" w:lineRule="auto"/>
              <w:jc w:val="right"/>
              <w:rPr>
                <w:rFonts w:ascii="Segoe UI" w:eastAsia="Times New Roman" w:hAnsi="Segoe UI" w:cs="Segoe UI"/>
                <w:b/>
                <w:bCs/>
                <w:color w:val="000000"/>
                <w:sz w:val="18"/>
                <w:szCs w:val="18"/>
                <w:lang w:eastAsia="pt-BR"/>
              </w:rPr>
            </w:pPr>
            <w:r w:rsidRPr="00D806D6">
              <w:rPr>
                <w:rFonts w:ascii="Segoe UI" w:eastAsia="Times New Roman" w:hAnsi="Segoe UI" w:cs="Segoe UI"/>
                <w:b/>
                <w:bCs/>
                <w:color w:val="000000"/>
                <w:sz w:val="18"/>
                <w:szCs w:val="18"/>
                <w:lang w:eastAsia="pt-BR"/>
              </w:rPr>
              <w:t xml:space="preserve">        3.814.216 </w:t>
            </w:r>
          </w:p>
        </w:tc>
        <w:tc>
          <w:tcPr>
            <w:tcW w:w="160" w:type="pct"/>
            <w:tcBorders>
              <w:top w:val="nil"/>
              <w:left w:val="nil"/>
              <w:bottom w:val="nil"/>
              <w:right w:val="nil"/>
            </w:tcBorders>
            <w:shd w:val="clear" w:color="auto" w:fill="auto"/>
            <w:noWrap/>
            <w:vAlign w:val="bottom"/>
            <w:hideMark/>
          </w:tcPr>
          <w:p w14:paraId="0DFF8728" w14:textId="77777777" w:rsidR="00D806D6" w:rsidRPr="00D806D6" w:rsidRDefault="00D806D6" w:rsidP="00D806D6">
            <w:pPr>
              <w:spacing w:after="0" w:line="240" w:lineRule="auto"/>
              <w:jc w:val="right"/>
              <w:rPr>
                <w:rFonts w:ascii="Segoe UI" w:eastAsia="Times New Roman" w:hAnsi="Segoe UI" w:cs="Segoe UI"/>
                <w:b/>
                <w:bCs/>
                <w:color w:val="000000"/>
                <w:sz w:val="18"/>
                <w:szCs w:val="18"/>
                <w:lang w:eastAsia="pt-BR"/>
              </w:rPr>
            </w:pPr>
          </w:p>
        </w:tc>
        <w:tc>
          <w:tcPr>
            <w:tcW w:w="1142" w:type="pct"/>
            <w:tcBorders>
              <w:top w:val="single" w:sz="4" w:space="0" w:color="auto"/>
              <w:left w:val="nil"/>
              <w:bottom w:val="double" w:sz="6" w:space="0" w:color="auto"/>
              <w:right w:val="nil"/>
            </w:tcBorders>
            <w:shd w:val="clear" w:color="auto" w:fill="auto"/>
            <w:noWrap/>
            <w:vAlign w:val="center"/>
            <w:hideMark/>
          </w:tcPr>
          <w:p w14:paraId="1EF0B1C5" w14:textId="77777777" w:rsidR="00D806D6" w:rsidRPr="00D806D6" w:rsidRDefault="00D806D6" w:rsidP="00D806D6">
            <w:pPr>
              <w:spacing w:after="0" w:line="240" w:lineRule="auto"/>
              <w:jc w:val="right"/>
              <w:rPr>
                <w:rFonts w:ascii="Segoe UI" w:eastAsia="Times New Roman" w:hAnsi="Segoe UI" w:cs="Segoe UI"/>
                <w:b/>
                <w:bCs/>
                <w:color w:val="000000"/>
                <w:sz w:val="18"/>
                <w:szCs w:val="18"/>
                <w:lang w:eastAsia="pt-BR"/>
              </w:rPr>
            </w:pPr>
            <w:r w:rsidRPr="00D806D6">
              <w:rPr>
                <w:rFonts w:ascii="Segoe UI" w:eastAsia="Times New Roman" w:hAnsi="Segoe UI" w:cs="Segoe UI"/>
                <w:b/>
                <w:bCs/>
                <w:color w:val="000000"/>
                <w:sz w:val="18"/>
                <w:szCs w:val="18"/>
                <w:lang w:eastAsia="pt-BR"/>
              </w:rPr>
              <w:t xml:space="preserve">        4.852.166 </w:t>
            </w:r>
          </w:p>
        </w:tc>
      </w:tr>
    </w:tbl>
    <w:p w14:paraId="55244DA4" w14:textId="77777777" w:rsidR="00EB31D4" w:rsidRPr="000757BC" w:rsidRDefault="00EB31D4" w:rsidP="00DB2D0B">
      <w:pPr>
        <w:jc w:val="both"/>
        <w:rPr>
          <w:rFonts w:ascii="Segoe UI" w:hAnsi="Segoe UI" w:cs="Segoe UI"/>
        </w:rPr>
      </w:pPr>
    </w:p>
    <w:p w14:paraId="1F7E70D6" w14:textId="7ABD8F03" w:rsidR="00DB2D0B" w:rsidRPr="000757BC" w:rsidRDefault="00DB2D0B" w:rsidP="00F63F20">
      <w:pPr>
        <w:spacing w:before="240" w:after="120"/>
        <w:jc w:val="both"/>
        <w:rPr>
          <w:rFonts w:ascii="Segoe UI" w:hAnsi="Segoe UI" w:cs="Segoe UI"/>
        </w:rPr>
      </w:pPr>
      <w:r w:rsidRPr="000757BC">
        <w:rPr>
          <w:rFonts w:ascii="Segoe UI" w:hAnsi="Segoe UI" w:cs="Segoe UI"/>
        </w:rPr>
        <w:t>O montante da fatura processada compreende</w:t>
      </w:r>
      <w:r w:rsidR="0012625D" w:rsidRPr="000757BC">
        <w:rPr>
          <w:rFonts w:ascii="Segoe UI" w:hAnsi="Segoe UI" w:cs="Segoe UI"/>
        </w:rPr>
        <w:t>, substancialmente,</w:t>
      </w:r>
      <w:r w:rsidRPr="000757BC">
        <w:rPr>
          <w:rFonts w:ascii="Segoe UI" w:hAnsi="Segoe UI" w:cs="Segoe UI"/>
        </w:rPr>
        <w:t xml:space="preserve"> a energia comprada de Itaipu.</w:t>
      </w:r>
    </w:p>
    <w:p w14:paraId="01A0BE80" w14:textId="77777777" w:rsidR="00D51702" w:rsidRDefault="00D51702">
      <w:pPr>
        <w:rPr>
          <w:rFonts w:ascii="Segoe UI" w:hAnsi="Segoe UI" w:cs="Segoe UI"/>
          <w:b/>
          <w:color w:val="0070C0"/>
        </w:rPr>
      </w:pPr>
      <w:r>
        <w:rPr>
          <w:rFonts w:ascii="Segoe UI" w:hAnsi="Segoe UI" w:cs="Segoe UI"/>
          <w:b/>
          <w:color w:val="0070C0"/>
        </w:rPr>
        <w:br w:type="page"/>
      </w:r>
    </w:p>
    <w:p w14:paraId="50BB7811" w14:textId="243E35C0" w:rsidR="002B1787" w:rsidRPr="000757BC" w:rsidRDefault="00581D1F" w:rsidP="00F63F20">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lastRenderedPageBreak/>
        <w:t>1</w:t>
      </w:r>
      <w:r w:rsidR="002A4E82">
        <w:rPr>
          <w:rFonts w:ascii="Segoe UI" w:hAnsi="Segoe UI" w:cs="Segoe UI"/>
          <w:b/>
          <w:color w:val="0070C0"/>
        </w:rPr>
        <w:t>6</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EMPRÉSTIMOS E FINANCIAMENTOS </w:t>
      </w:r>
    </w:p>
    <w:p w14:paraId="42F9F21A" w14:textId="496A5D4D" w:rsidR="00D806D6" w:rsidRDefault="00E55C8F" w:rsidP="00F63F20">
      <w:pPr>
        <w:spacing w:before="240" w:after="120"/>
        <w:jc w:val="both"/>
        <w:rPr>
          <w:rFonts w:ascii="Segoe UI" w:hAnsi="Segoe UI" w:cs="Segoe UI"/>
        </w:rPr>
      </w:pPr>
      <w:r w:rsidRPr="000757BC">
        <w:rPr>
          <w:rFonts w:ascii="Segoe UI" w:hAnsi="Segoe UI" w:cs="Segoe UI"/>
        </w:rPr>
        <w:t xml:space="preserve">A composição dos empréstimos e financiamentos devidos pela </w:t>
      </w:r>
      <w:r w:rsidR="004A4B03">
        <w:rPr>
          <w:rFonts w:ascii="Segoe UI" w:hAnsi="Segoe UI" w:cs="Segoe UI"/>
        </w:rPr>
        <w:t xml:space="preserve">Eletronuclear </w:t>
      </w:r>
      <w:r w:rsidRPr="000757BC">
        <w:rPr>
          <w:rFonts w:ascii="Segoe UI" w:hAnsi="Segoe UI" w:cs="Segoe UI"/>
        </w:rPr>
        <w:t xml:space="preserve">está demonstrada a seguir: </w:t>
      </w:r>
    </w:p>
    <w:tbl>
      <w:tblPr>
        <w:tblW w:w="4959" w:type="pct"/>
        <w:tblCellMar>
          <w:left w:w="70" w:type="dxa"/>
          <w:right w:w="70" w:type="dxa"/>
        </w:tblCellMar>
        <w:tblLook w:val="04A0" w:firstRow="1" w:lastRow="0" w:firstColumn="1" w:lastColumn="0" w:noHBand="0" w:noVBand="1"/>
      </w:tblPr>
      <w:tblGrid>
        <w:gridCol w:w="4834"/>
        <w:gridCol w:w="173"/>
        <w:gridCol w:w="1181"/>
        <w:gridCol w:w="1662"/>
        <w:gridCol w:w="1569"/>
      </w:tblGrid>
      <w:tr w:rsidR="00CE6538" w:rsidRPr="00CE6538" w14:paraId="51057052" w14:textId="77777777" w:rsidTr="008E62D0">
        <w:trPr>
          <w:trHeight w:val="300"/>
        </w:trPr>
        <w:tc>
          <w:tcPr>
            <w:tcW w:w="2566" w:type="pct"/>
            <w:tcBorders>
              <w:top w:val="nil"/>
              <w:left w:val="nil"/>
              <w:bottom w:val="nil"/>
              <w:right w:val="nil"/>
            </w:tcBorders>
            <w:shd w:val="clear" w:color="auto" w:fill="auto"/>
            <w:noWrap/>
            <w:vAlign w:val="bottom"/>
            <w:hideMark/>
          </w:tcPr>
          <w:p w14:paraId="56D4D1B5" w14:textId="4F3F09DE" w:rsidR="00CE6538" w:rsidRPr="00CE6538" w:rsidRDefault="00D806D6" w:rsidP="00CE6538">
            <w:pPr>
              <w:spacing w:after="0" w:line="240" w:lineRule="auto"/>
              <w:rPr>
                <w:rFonts w:ascii="Segoe UI" w:eastAsia="Times New Roman" w:hAnsi="Segoe UI" w:cs="Segoe UI"/>
                <w:sz w:val="18"/>
                <w:szCs w:val="18"/>
                <w:lang w:eastAsia="pt-BR"/>
              </w:rPr>
            </w:pPr>
            <w:r>
              <w:rPr>
                <w:rFonts w:ascii="Segoe UI" w:hAnsi="Segoe UI" w:cs="Segoe UI"/>
              </w:rPr>
              <w:br w:type="page"/>
            </w:r>
          </w:p>
        </w:tc>
        <w:tc>
          <w:tcPr>
            <w:tcW w:w="92" w:type="pct"/>
            <w:tcBorders>
              <w:top w:val="nil"/>
              <w:left w:val="nil"/>
              <w:bottom w:val="nil"/>
              <w:right w:val="nil"/>
            </w:tcBorders>
            <w:shd w:val="clear" w:color="auto" w:fill="auto"/>
            <w:noWrap/>
            <w:vAlign w:val="bottom"/>
            <w:hideMark/>
          </w:tcPr>
          <w:p w14:paraId="3D7DF20F"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vMerge w:val="restart"/>
            <w:tcBorders>
              <w:top w:val="nil"/>
              <w:left w:val="nil"/>
              <w:bottom w:val="nil"/>
              <w:right w:val="nil"/>
            </w:tcBorders>
            <w:shd w:val="clear" w:color="000000" w:fill="1B80C4"/>
            <w:noWrap/>
            <w:vAlign w:val="center"/>
            <w:hideMark/>
          </w:tcPr>
          <w:p w14:paraId="7C6A1B7C"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Taxa Média</w:t>
            </w:r>
          </w:p>
        </w:tc>
        <w:tc>
          <w:tcPr>
            <w:tcW w:w="1715" w:type="pct"/>
            <w:gridSpan w:val="2"/>
            <w:tcBorders>
              <w:top w:val="nil"/>
              <w:left w:val="nil"/>
              <w:bottom w:val="single" w:sz="4" w:space="0" w:color="FFFFFF" w:themeColor="background1"/>
              <w:right w:val="nil"/>
            </w:tcBorders>
            <w:shd w:val="clear" w:color="000000" w:fill="1B80C4"/>
            <w:noWrap/>
            <w:vAlign w:val="bottom"/>
            <w:hideMark/>
          </w:tcPr>
          <w:p w14:paraId="0DAD6B98"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xml:space="preserve"> Consolidado </w:t>
            </w:r>
          </w:p>
        </w:tc>
      </w:tr>
      <w:tr w:rsidR="00CE6538" w:rsidRPr="00CE6538" w14:paraId="122E1947" w14:textId="77777777" w:rsidTr="008E62D0">
        <w:trPr>
          <w:trHeight w:val="300"/>
        </w:trPr>
        <w:tc>
          <w:tcPr>
            <w:tcW w:w="2566" w:type="pct"/>
            <w:tcBorders>
              <w:top w:val="nil"/>
              <w:left w:val="nil"/>
              <w:bottom w:val="nil"/>
              <w:right w:val="nil"/>
            </w:tcBorders>
            <w:shd w:val="clear" w:color="auto" w:fill="auto"/>
            <w:noWrap/>
            <w:vAlign w:val="bottom"/>
            <w:hideMark/>
          </w:tcPr>
          <w:p w14:paraId="58B2EC47"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p>
        </w:tc>
        <w:tc>
          <w:tcPr>
            <w:tcW w:w="92" w:type="pct"/>
            <w:tcBorders>
              <w:top w:val="nil"/>
              <w:left w:val="nil"/>
              <w:bottom w:val="nil"/>
              <w:right w:val="nil"/>
            </w:tcBorders>
            <w:shd w:val="clear" w:color="auto" w:fill="auto"/>
            <w:noWrap/>
            <w:vAlign w:val="bottom"/>
            <w:hideMark/>
          </w:tcPr>
          <w:p w14:paraId="631F4E9C"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vMerge/>
            <w:tcBorders>
              <w:top w:val="nil"/>
              <w:left w:val="nil"/>
              <w:bottom w:val="nil"/>
              <w:right w:val="nil"/>
            </w:tcBorders>
            <w:vAlign w:val="center"/>
            <w:hideMark/>
          </w:tcPr>
          <w:p w14:paraId="7DC73874" w14:textId="77777777" w:rsidR="00CE6538" w:rsidRPr="00CE6538" w:rsidRDefault="00CE6538" w:rsidP="00CE6538">
            <w:pPr>
              <w:spacing w:after="0" w:line="240" w:lineRule="auto"/>
              <w:rPr>
                <w:rFonts w:ascii="Segoe UI" w:eastAsia="Times New Roman" w:hAnsi="Segoe UI" w:cs="Segoe UI"/>
                <w:b/>
                <w:bCs/>
                <w:color w:val="FFFFFF"/>
                <w:sz w:val="18"/>
                <w:szCs w:val="18"/>
                <w:lang w:eastAsia="pt-BR"/>
              </w:rPr>
            </w:pPr>
          </w:p>
        </w:tc>
        <w:tc>
          <w:tcPr>
            <w:tcW w:w="1715" w:type="pct"/>
            <w:gridSpan w:val="2"/>
            <w:tcBorders>
              <w:top w:val="single" w:sz="4" w:space="0" w:color="FFFFFF" w:themeColor="background1"/>
              <w:left w:val="nil"/>
              <w:bottom w:val="nil"/>
              <w:right w:val="nil"/>
            </w:tcBorders>
            <w:shd w:val="clear" w:color="000000" w:fill="1B80C4"/>
            <w:noWrap/>
            <w:vAlign w:val="center"/>
            <w:hideMark/>
          </w:tcPr>
          <w:p w14:paraId="5ECDA48A"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31/12/2022</w:t>
            </w:r>
          </w:p>
        </w:tc>
      </w:tr>
      <w:tr w:rsidR="00CE6538" w:rsidRPr="00CE6538" w14:paraId="4FEC687D" w14:textId="77777777" w:rsidTr="00CE6538">
        <w:trPr>
          <w:trHeight w:val="240"/>
        </w:trPr>
        <w:tc>
          <w:tcPr>
            <w:tcW w:w="2566" w:type="pct"/>
            <w:tcBorders>
              <w:top w:val="nil"/>
              <w:left w:val="nil"/>
              <w:bottom w:val="nil"/>
              <w:right w:val="nil"/>
            </w:tcBorders>
            <w:shd w:val="clear" w:color="auto" w:fill="auto"/>
            <w:noWrap/>
            <w:vAlign w:val="bottom"/>
            <w:hideMark/>
          </w:tcPr>
          <w:p w14:paraId="0D8C75CA"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p>
        </w:tc>
        <w:tc>
          <w:tcPr>
            <w:tcW w:w="92" w:type="pct"/>
            <w:tcBorders>
              <w:top w:val="nil"/>
              <w:left w:val="nil"/>
              <w:bottom w:val="nil"/>
              <w:right w:val="nil"/>
            </w:tcBorders>
            <w:shd w:val="clear" w:color="auto" w:fill="auto"/>
            <w:noWrap/>
            <w:vAlign w:val="bottom"/>
            <w:hideMark/>
          </w:tcPr>
          <w:p w14:paraId="608F7450"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vMerge/>
            <w:tcBorders>
              <w:top w:val="nil"/>
              <w:left w:val="nil"/>
              <w:bottom w:val="nil"/>
              <w:right w:val="nil"/>
            </w:tcBorders>
            <w:vAlign w:val="center"/>
            <w:hideMark/>
          </w:tcPr>
          <w:p w14:paraId="6A3C0AB2" w14:textId="77777777" w:rsidR="00CE6538" w:rsidRPr="00CE6538" w:rsidRDefault="00CE6538" w:rsidP="00CE6538">
            <w:pPr>
              <w:spacing w:after="0" w:line="240" w:lineRule="auto"/>
              <w:rPr>
                <w:rFonts w:ascii="Segoe UI" w:eastAsia="Times New Roman" w:hAnsi="Segoe UI" w:cs="Segoe UI"/>
                <w:b/>
                <w:bCs/>
                <w:color w:val="FFFFFF"/>
                <w:sz w:val="18"/>
                <w:szCs w:val="18"/>
                <w:lang w:eastAsia="pt-BR"/>
              </w:rPr>
            </w:pPr>
          </w:p>
        </w:tc>
        <w:tc>
          <w:tcPr>
            <w:tcW w:w="882" w:type="pct"/>
            <w:tcBorders>
              <w:top w:val="nil"/>
              <w:left w:val="nil"/>
              <w:bottom w:val="nil"/>
              <w:right w:val="nil"/>
            </w:tcBorders>
            <w:shd w:val="clear" w:color="000000" w:fill="1B80C4"/>
            <w:noWrap/>
            <w:vAlign w:val="center"/>
            <w:hideMark/>
          </w:tcPr>
          <w:p w14:paraId="1C734DF8"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Circulante</w:t>
            </w:r>
          </w:p>
        </w:tc>
        <w:tc>
          <w:tcPr>
            <w:tcW w:w="833" w:type="pct"/>
            <w:tcBorders>
              <w:top w:val="nil"/>
              <w:left w:val="nil"/>
              <w:bottom w:val="nil"/>
              <w:right w:val="nil"/>
            </w:tcBorders>
            <w:shd w:val="clear" w:color="000000" w:fill="1B80C4"/>
            <w:noWrap/>
            <w:vAlign w:val="center"/>
            <w:hideMark/>
          </w:tcPr>
          <w:p w14:paraId="0E82EDE0"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Não Circulante</w:t>
            </w:r>
          </w:p>
        </w:tc>
      </w:tr>
      <w:tr w:rsidR="00CE6538" w:rsidRPr="00CE6538" w14:paraId="41427B43" w14:textId="77777777" w:rsidTr="00CE6538">
        <w:trPr>
          <w:trHeight w:val="240"/>
        </w:trPr>
        <w:tc>
          <w:tcPr>
            <w:tcW w:w="2566" w:type="pct"/>
            <w:tcBorders>
              <w:top w:val="nil"/>
              <w:left w:val="nil"/>
              <w:bottom w:val="nil"/>
              <w:right w:val="nil"/>
            </w:tcBorders>
            <w:shd w:val="clear" w:color="auto" w:fill="auto"/>
            <w:noWrap/>
            <w:vAlign w:val="bottom"/>
            <w:hideMark/>
          </w:tcPr>
          <w:p w14:paraId="3B717381" w14:textId="77777777" w:rsidR="00CE6538" w:rsidRPr="00CE6538" w:rsidRDefault="00CE6538" w:rsidP="00CE6538">
            <w:pPr>
              <w:spacing w:after="0" w:line="240" w:lineRule="auto"/>
              <w:rPr>
                <w:rFonts w:ascii="Segoe UI" w:eastAsia="Times New Roman" w:hAnsi="Segoe UI" w:cs="Segoe UI"/>
                <w:b/>
                <w:bCs/>
                <w:sz w:val="18"/>
                <w:szCs w:val="18"/>
                <w:lang w:eastAsia="pt-BR"/>
              </w:rPr>
            </w:pPr>
            <w:r w:rsidRPr="00CE6538">
              <w:rPr>
                <w:rFonts w:ascii="Segoe UI" w:eastAsia="Times New Roman" w:hAnsi="Segoe UI" w:cs="Segoe UI"/>
                <w:b/>
                <w:bCs/>
                <w:sz w:val="18"/>
                <w:szCs w:val="18"/>
                <w:lang w:eastAsia="pt-BR"/>
              </w:rPr>
              <w:t xml:space="preserve"> ANGRAS 1 e 2:  </w:t>
            </w:r>
          </w:p>
        </w:tc>
        <w:tc>
          <w:tcPr>
            <w:tcW w:w="92" w:type="pct"/>
            <w:tcBorders>
              <w:top w:val="nil"/>
              <w:left w:val="nil"/>
              <w:bottom w:val="nil"/>
              <w:right w:val="nil"/>
            </w:tcBorders>
            <w:shd w:val="clear" w:color="auto" w:fill="auto"/>
            <w:noWrap/>
            <w:vAlign w:val="bottom"/>
            <w:hideMark/>
          </w:tcPr>
          <w:p w14:paraId="0A68EB84" w14:textId="77777777" w:rsidR="00CE6538" w:rsidRPr="00CE6538" w:rsidRDefault="00CE6538" w:rsidP="00CE6538">
            <w:pPr>
              <w:spacing w:after="0" w:line="240" w:lineRule="auto"/>
              <w:rPr>
                <w:rFonts w:ascii="Segoe UI" w:eastAsia="Times New Roman" w:hAnsi="Segoe UI" w:cs="Segoe UI"/>
                <w:b/>
                <w:bCs/>
                <w:sz w:val="18"/>
                <w:szCs w:val="18"/>
                <w:lang w:eastAsia="pt-BR"/>
              </w:rPr>
            </w:pPr>
          </w:p>
        </w:tc>
        <w:tc>
          <w:tcPr>
            <w:tcW w:w="627" w:type="pct"/>
            <w:tcBorders>
              <w:top w:val="nil"/>
              <w:left w:val="nil"/>
              <w:bottom w:val="nil"/>
              <w:right w:val="nil"/>
            </w:tcBorders>
            <w:shd w:val="clear" w:color="auto" w:fill="auto"/>
            <w:noWrap/>
            <w:vAlign w:val="bottom"/>
            <w:hideMark/>
          </w:tcPr>
          <w:p w14:paraId="3F871A12"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882" w:type="pct"/>
            <w:tcBorders>
              <w:top w:val="nil"/>
              <w:left w:val="nil"/>
              <w:bottom w:val="nil"/>
              <w:right w:val="nil"/>
            </w:tcBorders>
            <w:shd w:val="clear" w:color="auto" w:fill="auto"/>
            <w:noWrap/>
            <w:vAlign w:val="bottom"/>
            <w:hideMark/>
          </w:tcPr>
          <w:p w14:paraId="3D000C9D"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c>
          <w:tcPr>
            <w:tcW w:w="833" w:type="pct"/>
            <w:tcBorders>
              <w:top w:val="nil"/>
              <w:left w:val="nil"/>
              <w:bottom w:val="nil"/>
              <w:right w:val="nil"/>
            </w:tcBorders>
            <w:shd w:val="clear" w:color="auto" w:fill="auto"/>
            <w:noWrap/>
            <w:vAlign w:val="bottom"/>
            <w:hideMark/>
          </w:tcPr>
          <w:p w14:paraId="45F0C857"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r>
      <w:tr w:rsidR="00CE6538" w:rsidRPr="00CE6538" w14:paraId="6339A41B" w14:textId="77777777" w:rsidTr="00CE6538">
        <w:trPr>
          <w:trHeight w:val="285"/>
        </w:trPr>
        <w:tc>
          <w:tcPr>
            <w:tcW w:w="2566" w:type="pct"/>
            <w:tcBorders>
              <w:top w:val="nil"/>
              <w:left w:val="nil"/>
              <w:bottom w:val="nil"/>
              <w:right w:val="nil"/>
            </w:tcBorders>
            <w:shd w:val="clear" w:color="auto" w:fill="auto"/>
            <w:noWrap/>
            <w:vAlign w:val="center"/>
            <w:hideMark/>
          </w:tcPr>
          <w:p w14:paraId="2E7F8206" w14:textId="77777777" w:rsidR="00CE6538" w:rsidRPr="00CE6538" w:rsidRDefault="00CE6538" w:rsidP="00CE6538">
            <w:pPr>
              <w:spacing w:after="0" w:line="240" w:lineRule="auto"/>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ELETROBRAS - RGR  ECF 2278/ ECF 2507/ ECF 2579 </w:t>
            </w:r>
          </w:p>
        </w:tc>
        <w:tc>
          <w:tcPr>
            <w:tcW w:w="92" w:type="pct"/>
            <w:tcBorders>
              <w:top w:val="nil"/>
              <w:left w:val="nil"/>
              <w:bottom w:val="nil"/>
              <w:right w:val="nil"/>
            </w:tcBorders>
            <w:shd w:val="clear" w:color="auto" w:fill="auto"/>
            <w:noWrap/>
            <w:vAlign w:val="center"/>
            <w:hideMark/>
          </w:tcPr>
          <w:p w14:paraId="6CABDAFF"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center"/>
            <w:hideMark/>
          </w:tcPr>
          <w:p w14:paraId="6D4D4D10" w14:textId="77777777" w:rsidR="00CE6538" w:rsidRPr="00CE6538" w:rsidRDefault="00CE6538" w:rsidP="00CE6538">
            <w:pPr>
              <w:spacing w:after="0" w:line="240" w:lineRule="auto"/>
              <w:jc w:val="center"/>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5,00%</w:t>
            </w:r>
          </w:p>
        </w:tc>
        <w:tc>
          <w:tcPr>
            <w:tcW w:w="882" w:type="pct"/>
            <w:tcBorders>
              <w:top w:val="nil"/>
              <w:left w:val="nil"/>
              <w:bottom w:val="nil"/>
              <w:right w:val="nil"/>
            </w:tcBorders>
            <w:shd w:val="clear" w:color="auto" w:fill="auto"/>
            <w:noWrap/>
            <w:vAlign w:val="bottom"/>
            <w:hideMark/>
          </w:tcPr>
          <w:p w14:paraId="499251C1" w14:textId="51280160"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37.787</w:t>
            </w:r>
          </w:p>
        </w:tc>
        <w:tc>
          <w:tcPr>
            <w:tcW w:w="833" w:type="pct"/>
            <w:tcBorders>
              <w:top w:val="nil"/>
              <w:left w:val="nil"/>
              <w:bottom w:val="nil"/>
              <w:right w:val="nil"/>
            </w:tcBorders>
            <w:shd w:val="clear" w:color="auto" w:fill="auto"/>
            <w:noWrap/>
            <w:vAlign w:val="bottom"/>
            <w:hideMark/>
          </w:tcPr>
          <w:p w14:paraId="0D57252B" w14:textId="08C5E8B5"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96.575</w:t>
            </w:r>
          </w:p>
        </w:tc>
      </w:tr>
      <w:tr w:rsidR="00CE6538" w:rsidRPr="00CE6538" w14:paraId="24EE8514" w14:textId="77777777" w:rsidTr="00CE6538">
        <w:trPr>
          <w:trHeight w:val="285"/>
        </w:trPr>
        <w:tc>
          <w:tcPr>
            <w:tcW w:w="2566" w:type="pct"/>
            <w:tcBorders>
              <w:top w:val="nil"/>
              <w:left w:val="nil"/>
              <w:bottom w:val="nil"/>
              <w:right w:val="nil"/>
            </w:tcBorders>
            <w:shd w:val="clear" w:color="auto" w:fill="auto"/>
            <w:noWrap/>
            <w:vAlign w:val="bottom"/>
            <w:hideMark/>
          </w:tcPr>
          <w:p w14:paraId="35599692" w14:textId="77777777" w:rsidR="00CE6538" w:rsidRPr="00CE6538" w:rsidRDefault="00CE6538" w:rsidP="00CE6538">
            <w:pPr>
              <w:spacing w:after="0" w:line="240" w:lineRule="auto"/>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FURNAS - Instrumento de confissão de dívida </w:t>
            </w:r>
          </w:p>
        </w:tc>
        <w:tc>
          <w:tcPr>
            <w:tcW w:w="92" w:type="pct"/>
            <w:tcBorders>
              <w:top w:val="nil"/>
              <w:left w:val="nil"/>
              <w:bottom w:val="nil"/>
              <w:right w:val="nil"/>
            </w:tcBorders>
            <w:shd w:val="clear" w:color="auto" w:fill="auto"/>
            <w:noWrap/>
            <w:vAlign w:val="bottom"/>
            <w:hideMark/>
          </w:tcPr>
          <w:p w14:paraId="48F2350E"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center"/>
            <w:hideMark/>
          </w:tcPr>
          <w:p w14:paraId="4CD93A1C" w14:textId="77777777" w:rsidR="00CE6538" w:rsidRPr="00CE6538" w:rsidRDefault="00CE6538" w:rsidP="00CE6538">
            <w:pPr>
              <w:spacing w:after="0" w:line="240" w:lineRule="auto"/>
              <w:jc w:val="center"/>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7,85%</w:t>
            </w:r>
          </w:p>
        </w:tc>
        <w:tc>
          <w:tcPr>
            <w:tcW w:w="882" w:type="pct"/>
            <w:tcBorders>
              <w:top w:val="nil"/>
              <w:left w:val="nil"/>
              <w:bottom w:val="nil"/>
              <w:right w:val="nil"/>
            </w:tcBorders>
            <w:shd w:val="clear" w:color="auto" w:fill="auto"/>
            <w:noWrap/>
            <w:vAlign w:val="bottom"/>
            <w:hideMark/>
          </w:tcPr>
          <w:p w14:paraId="449725A7" w14:textId="3373F1AC"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40.805</w:t>
            </w:r>
          </w:p>
        </w:tc>
        <w:tc>
          <w:tcPr>
            <w:tcW w:w="833" w:type="pct"/>
            <w:tcBorders>
              <w:top w:val="nil"/>
              <w:left w:val="nil"/>
              <w:bottom w:val="nil"/>
              <w:right w:val="nil"/>
            </w:tcBorders>
            <w:shd w:val="clear" w:color="auto" w:fill="auto"/>
            <w:noWrap/>
            <w:vAlign w:val="bottom"/>
            <w:hideMark/>
          </w:tcPr>
          <w:p w14:paraId="758C5D91" w14:textId="01A444EB"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238.026</w:t>
            </w:r>
          </w:p>
        </w:tc>
      </w:tr>
      <w:tr w:rsidR="00CE6538" w:rsidRPr="00CE6538" w14:paraId="2F04AB87" w14:textId="77777777" w:rsidTr="00CE6538">
        <w:trPr>
          <w:trHeight w:val="285"/>
        </w:trPr>
        <w:tc>
          <w:tcPr>
            <w:tcW w:w="2566" w:type="pct"/>
            <w:tcBorders>
              <w:top w:val="nil"/>
              <w:left w:val="nil"/>
              <w:bottom w:val="nil"/>
              <w:right w:val="nil"/>
            </w:tcBorders>
            <w:shd w:val="clear" w:color="auto" w:fill="auto"/>
            <w:noWrap/>
            <w:vAlign w:val="bottom"/>
            <w:hideMark/>
          </w:tcPr>
          <w:p w14:paraId="6D741E6A" w14:textId="77777777" w:rsidR="00CE6538" w:rsidRPr="00CE6538" w:rsidRDefault="00CE6538" w:rsidP="00CE6538">
            <w:pPr>
              <w:spacing w:after="0" w:line="240" w:lineRule="auto"/>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SANTANDER - LTO Angra 1 </w:t>
            </w:r>
          </w:p>
        </w:tc>
        <w:tc>
          <w:tcPr>
            <w:tcW w:w="92" w:type="pct"/>
            <w:tcBorders>
              <w:top w:val="nil"/>
              <w:left w:val="nil"/>
              <w:bottom w:val="nil"/>
              <w:right w:val="nil"/>
            </w:tcBorders>
            <w:shd w:val="clear" w:color="auto" w:fill="auto"/>
            <w:noWrap/>
            <w:vAlign w:val="bottom"/>
            <w:hideMark/>
          </w:tcPr>
          <w:p w14:paraId="1ABFB3A8"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center"/>
            <w:hideMark/>
          </w:tcPr>
          <w:p w14:paraId="301D063D" w14:textId="77777777" w:rsidR="00CE6538" w:rsidRPr="00CE6538" w:rsidRDefault="00CE6538" w:rsidP="00CE6538">
            <w:pPr>
              <w:spacing w:after="0" w:line="240" w:lineRule="auto"/>
              <w:jc w:val="center"/>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4,78%</w:t>
            </w:r>
          </w:p>
        </w:tc>
        <w:tc>
          <w:tcPr>
            <w:tcW w:w="882" w:type="pct"/>
            <w:tcBorders>
              <w:top w:val="nil"/>
              <w:left w:val="nil"/>
              <w:bottom w:val="nil"/>
              <w:right w:val="nil"/>
            </w:tcBorders>
            <w:shd w:val="clear" w:color="auto" w:fill="auto"/>
            <w:noWrap/>
            <w:vAlign w:val="bottom"/>
            <w:hideMark/>
          </w:tcPr>
          <w:p w14:paraId="648521F5" w14:textId="0147D0E0"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21.563</w:t>
            </w:r>
          </w:p>
        </w:tc>
        <w:tc>
          <w:tcPr>
            <w:tcW w:w="833" w:type="pct"/>
            <w:tcBorders>
              <w:top w:val="nil"/>
              <w:left w:val="nil"/>
              <w:bottom w:val="nil"/>
              <w:right w:val="nil"/>
            </w:tcBorders>
            <w:shd w:val="clear" w:color="auto" w:fill="auto"/>
            <w:noWrap/>
            <w:vAlign w:val="bottom"/>
            <w:hideMark/>
          </w:tcPr>
          <w:p w14:paraId="62749F00" w14:textId="6FC85160"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81.8</w:t>
            </w:r>
            <w:r w:rsidR="00054DC0">
              <w:rPr>
                <w:rFonts w:ascii="Segoe UI" w:eastAsia="Times New Roman" w:hAnsi="Segoe UI" w:cs="Segoe UI"/>
                <w:sz w:val="18"/>
                <w:szCs w:val="18"/>
                <w:lang w:eastAsia="pt-BR"/>
              </w:rPr>
              <w:t>30</w:t>
            </w:r>
          </w:p>
        </w:tc>
      </w:tr>
      <w:tr w:rsidR="00CE6538" w:rsidRPr="00CE6538" w14:paraId="7437C8F8" w14:textId="77777777" w:rsidTr="00CE6538">
        <w:trPr>
          <w:trHeight w:val="240"/>
        </w:trPr>
        <w:tc>
          <w:tcPr>
            <w:tcW w:w="2566" w:type="pct"/>
            <w:tcBorders>
              <w:top w:val="nil"/>
              <w:left w:val="nil"/>
              <w:bottom w:val="nil"/>
              <w:right w:val="nil"/>
            </w:tcBorders>
            <w:shd w:val="clear" w:color="auto" w:fill="auto"/>
            <w:noWrap/>
            <w:vAlign w:val="bottom"/>
            <w:hideMark/>
          </w:tcPr>
          <w:p w14:paraId="61351C6E"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92" w:type="pct"/>
            <w:tcBorders>
              <w:top w:val="nil"/>
              <w:left w:val="nil"/>
              <w:bottom w:val="nil"/>
              <w:right w:val="nil"/>
            </w:tcBorders>
            <w:shd w:val="clear" w:color="auto" w:fill="auto"/>
            <w:noWrap/>
            <w:vAlign w:val="bottom"/>
            <w:hideMark/>
          </w:tcPr>
          <w:p w14:paraId="4D907F40"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bottom"/>
            <w:hideMark/>
          </w:tcPr>
          <w:p w14:paraId="1FB7BF8D"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882" w:type="pct"/>
            <w:tcBorders>
              <w:top w:val="nil"/>
              <w:left w:val="nil"/>
              <w:bottom w:val="nil"/>
              <w:right w:val="nil"/>
            </w:tcBorders>
            <w:shd w:val="clear" w:color="auto" w:fill="auto"/>
            <w:noWrap/>
            <w:vAlign w:val="bottom"/>
            <w:hideMark/>
          </w:tcPr>
          <w:p w14:paraId="673C45B5"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c>
          <w:tcPr>
            <w:tcW w:w="833" w:type="pct"/>
            <w:tcBorders>
              <w:top w:val="nil"/>
              <w:left w:val="nil"/>
              <w:bottom w:val="nil"/>
              <w:right w:val="nil"/>
            </w:tcBorders>
            <w:shd w:val="clear" w:color="auto" w:fill="auto"/>
            <w:noWrap/>
            <w:vAlign w:val="bottom"/>
            <w:hideMark/>
          </w:tcPr>
          <w:p w14:paraId="0E4B2785"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r>
      <w:tr w:rsidR="00CE6538" w:rsidRPr="00CE6538" w14:paraId="577D6EE3" w14:textId="77777777" w:rsidTr="00CE6538">
        <w:trPr>
          <w:trHeight w:val="240"/>
        </w:trPr>
        <w:tc>
          <w:tcPr>
            <w:tcW w:w="2566" w:type="pct"/>
            <w:tcBorders>
              <w:top w:val="nil"/>
              <w:left w:val="nil"/>
              <w:bottom w:val="nil"/>
              <w:right w:val="nil"/>
            </w:tcBorders>
            <w:shd w:val="clear" w:color="auto" w:fill="auto"/>
            <w:noWrap/>
            <w:vAlign w:val="bottom"/>
            <w:hideMark/>
          </w:tcPr>
          <w:p w14:paraId="1B25C004" w14:textId="77777777" w:rsidR="00CE6538" w:rsidRPr="00CE6538" w:rsidRDefault="00CE6538" w:rsidP="00CE6538">
            <w:pPr>
              <w:spacing w:after="0" w:line="240" w:lineRule="auto"/>
              <w:rPr>
                <w:rFonts w:ascii="Segoe UI" w:eastAsia="Times New Roman" w:hAnsi="Segoe UI" w:cs="Segoe UI"/>
                <w:b/>
                <w:bCs/>
                <w:sz w:val="18"/>
                <w:szCs w:val="18"/>
                <w:lang w:eastAsia="pt-BR"/>
              </w:rPr>
            </w:pPr>
            <w:r w:rsidRPr="00CE6538">
              <w:rPr>
                <w:rFonts w:ascii="Segoe UI" w:eastAsia="Times New Roman" w:hAnsi="Segoe UI" w:cs="Segoe UI"/>
                <w:b/>
                <w:bCs/>
                <w:sz w:val="18"/>
                <w:szCs w:val="18"/>
                <w:lang w:eastAsia="pt-BR"/>
              </w:rPr>
              <w:t xml:space="preserve"> ANGRAS 3:  </w:t>
            </w:r>
          </w:p>
        </w:tc>
        <w:tc>
          <w:tcPr>
            <w:tcW w:w="92" w:type="pct"/>
            <w:tcBorders>
              <w:top w:val="nil"/>
              <w:left w:val="nil"/>
              <w:bottom w:val="nil"/>
              <w:right w:val="nil"/>
            </w:tcBorders>
            <w:shd w:val="clear" w:color="auto" w:fill="auto"/>
            <w:noWrap/>
            <w:vAlign w:val="bottom"/>
            <w:hideMark/>
          </w:tcPr>
          <w:p w14:paraId="12441EEA" w14:textId="77777777" w:rsidR="00CE6538" w:rsidRPr="00CE6538" w:rsidRDefault="00CE6538" w:rsidP="00CE6538">
            <w:pPr>
              <w:spacing w:after="0" w:line="240" w:lineRule="auto"/>
              <w:rPr>
                <w:rFonts w:ascii="Segoe UI" w:eastAsia="Times New Roman" w:hAnsi="Segoe UI" w:cs="Segoe UI"/>
                <w:b/>
                <w:bCs/>
                <w:sz w:val="18"/>
                <w:szCs w:val="18"/>
                <w:lang w:eastAsia="pt-BR"/>
              </w:rPr>
            </w:pPr>
          </w:p>
        </w:tc>
        <w:tc>
          <w:tcPr>
            <w:tcW w:w="627" w:type="pct"/>
            <w:tcBorders>
              <w:top w:val="nil"/>
              <w:left w:val="nil"/>
              <w:bottom w:val="nil"/>
              <w:right w:val="nil"/>
            </w:tcBorders>
            <w:shd w:val="clear" w:color="auto" w:fill="auto"/>
            <w:noWrap/>
            <w:vAlign w:val="bottom"/>
            <w:hideMark/>
          </w:tcPr>
          <w:p w14:paraId="1863AF81"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882" w:type="pct"/>
            <w:tcBorders>
              <w:top w:val="nil"/>
              <w:left w:val="nil"/>
              <w:bottom w:val="nil"/>
              <w:right w:val="nil"/>
            </w:tcBorders>
            <w:shd w:val="clear" w:color="auto" w:fill="auto"/>
            <w:noWrap/>
            <w:vAlign w:val="bottom"/>
            <w:hideMark/>
          </w:tcPr>
          <w:p w14:paraId="43509CEA"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c>
          <w:tcPr>
            <w:tcW w:w="833" w:type="pct"/>
            <w:tcBorders>
              <w:top w:val="nil"/>
              <w:left w:val="nil"/>
              <w:bottom w:val="nil"/>
              <w:right w:val="nil"/>
            </w:tcBorders>
            <w:shd w:val="clear" w:color="auto" w:fill="auto"/>
            <w:noWrap/>
            <w:vAlign w:val="bottom"/>
            <w:hideMark/>
          </w:tcPr>
          <w:p w14:paraId="06A08791"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r>
      <w:tr w:rsidR="00CE6538" w:rsidRPr="00CE6538" w14:paraId="49853448" w14:textId="77777777" w:rsidTr="00CE6538">
        <w:trPr>
          <w:trHeight w:val="285"/>
        </w:trPr>
        <w:tc>
          <w:tcPr>
            <w:tcW w:w="2566" w:type="pct"/>
            <w:tcBorders>
              <w:top w:val="nil"/>
              <w:left w:val="nil"/>
              <w:bottom w:val="nil"/>
              <w:right w:val="nil"/>
            </w:tcBorders>
            <w:shd w:val="clear" w:color="auto" w:fill="auto"/>
            <w:noWrap/>
            <w:vAlign w:val="center"/>
            <w:hideMark/>
          </w:tcPr>
          <w:p w14:paraId="0213D090" w14:textId="77777777" w:rsidR="00CE6538" w:rsidRPr="00CE6538" w:rsidRDefault="00CE6538" w:rsidP="00CE6538">
            <w:pPr>
              <w:spacing w:after="0" w:line="240" w:lineRule="auto"/>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ELETROBRAS - RGR- ECF 2878</w:t>
            </w:r>
          </w:p>
        </w:tc>
        <w:tc>
          <w:tcPr>
            <w:tcW w:w="92" w:type="pct"/>
            <w:tcBorders>
              <w:top w:val="nil"/>
              <w:left w:val="nil"/>
              <w:bottom w:val="nil"/>
              <w:right w:val="nil"/>
            </w:tcBorders>
            <w:shd w:val="clear" w:color="auto" w:fill="auto"/>
            <w:noWrap/>
            <w:vAlign w:val="center"/>
            <w:hideMark/>
          </w:tcPr>
          <w:p w14:paraId="4D34CC79"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center"/>
            <w:hideMark/>
          </w:tcPr>
          <w:p w14:paraId="5DCFBDFD" w14:textId="77777777" w:rsidR="00CE6538" w:rsidRPr="00CE6538" w:rsidRDefault="00CE6538" w:rsidP="00CE6538">
            <w:pPr>
              <w:spacing w:after="0" w:line="240" w:lineRule="auto"/>
              <w:jc w:val="center"/>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5,00%</w:t>
            </w:r>
          </w:p>
        </w:tc>
        <w:tc>
          <w:tcPr>
            <w:tcW w:w="882" w:type="pct"/>
            <w:tcBorders>
              <w:top w:val="nil"/>
              <w:left w:val="nil"/>
              <w:bottom w:val="nil"/>
              <w:right w:val="nil"/>
            </w:tcBorders>
            <w:shd w:val="clear" w:color="auto" w:fill="auto"/>
            <w:noWrap/>
            <w:vAlign w:val="center"/>
            <w:hideMark/>
          </w:tcPr>
          <w:p w14:paraId="05B86C4E" w14:textId="411A605E"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34.254</w:t>
            </w:r>
          </w:p>
        </w:tc>
        <w:tc>
          <w:tcPr>
            <w:tcW w:w="833" w:type="pct"/>
            <w:tcBorders>
              <w:top w:val="nil"/>
              <w:left w:val="nil"/>
              <w:bottom w:val="nil"/>
              <w:right w:val="nil"/>
            </w:tcBorders>
            <w:shd w:val="clear" w:color="auto" w:fill="auto"/>
            <w:noWrap/>
            <w:vAlign w:val="center"/>
            <w:hideMark/>
          </w:tcPr>
          <w:p w14:paraId="0F1F9433" w14:textId="256BD405"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418.450</w:t>
            </w:r>
          </w:p>
        </w:tc>
      </w:tr>
      <w:tr w:rsidR="00CE6538" w:rsidRPr="00CE6538" w14:paraId="1ED6A393" w14:textId="77777777" w:rsidTr="00CE6538">
        <w:trPr>
          <w:trHeight w:val="285"/>
        </w:trPr>
        <w:tc>
          <w:tcPr>
            <w:tcW w:w="2566" w:type="pct"/>
            <w:tcBorders>
              <w:top w:val="nil"/>
              <w:left w:val="nil"/>
              <w:bottom w:val="nil"/>
              <w:right w:val="nil"/>
            </w:tcBorders>
            <w:shd w:val="clear" w:color="auto" w:fill="auto"/>
            <w:vAlign w:val="bottom"/>
            <w:hideMark/>
          </w:tcPr>
          <w:p w14:paraId="16337A23" w14:textId="0517A3E0" w:rsidR="00CE6538" w:rsidRPr="00CE6538" w:rsidRDefault="00CE6538" w:rsidP="00CE6538">
            <w:pPr>
              <w:spacing w:after="0" w:line="240" w:lineRule="auto"/>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BNDES - Nº 10.2.2032.1 - Subcréditos A e B</w:t>
            </w:r>
          </w:p>
        </w:tc>
        <w:tc>
          <w:tcPr>
            <w:tcW w:w="92" w:type="pct"/>
            <w:tcBorders>
              <w:top w:val="nil"/>
              <w:left w:val="nil"/>
              <w:bottom w:val="nil"/>
              <w:right w:val="nil"/>
            </w:tcBorders>
            <w:shd w:val="clear" w:color="auto" w:fill="auto"/>
            <w:vAlign w:val="bottom"/>
            <w:hideMark/>
          </w:tcPr>
          <w:p w14:paraId="4FE14B3C"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center"/>
            <w:hideMark/>
          </w:tcPr>
          <w:p w14:paraId="30752612" w14:textId="77777777" w:rsidR="00CE6538" w:rsidRPr="00CE6538" w:rsidRDefault="00CE6538" w:rsidP="00CE6538">
            <w:pPr>
              <w:spacing w:after="0" w:line="240" w:lineRule="auto"/>
              <w:jc w:val="center"/>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7,73%</w:t>
            </w:r>
          </w:p>
        </w:tc>
        <w:tc>
          <w:tcPr>
            <w:tcW w:w="882" w:type="pct"/>
            <w:tcBorders>
              <w:top w:val="nil"/>
              <w:left w:val="nil"/>
              <w:bottom w:val="nil"/>
              <w:right w:val="nil"/>
            </w:tcBorders>
            <w:shd w:val="clear" w:color="auto" w:fill="auto"/>
            <w:noWrap/>
            <w:vAlign w:val="center"/>
            <w:hideMark/>
          </w:tcPr>
          <w:p w14:paraId="19424B9F" w14:textId="04401F39"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154.981</w:t>
            </w:r>
          </w:p>
        </w:tc>
        <w:tc>
          <w:tcPr>
            <w:tcW w:w="833" w:type="pct"/>
            <w:tcBorders>
              <w:top w:val="nil"/>
              <w:left w:val="nil"/>
              <w:bottom w:val="nil"/>
              <w:right w:val="nil"/>
            </w:tcBorders>
            <w:shd w:val="clear" w:color="auto" w:fill="auto"/>
            <w:noWrap/>
            <w:vAlign w:val="center"/>
            <w:hideMark/>
          </w:tcPr>
          <w:p w14:paraId="1F5BC664" w14:textId="44772A36"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3.100.495</w:t>
            </w:r>
          </w:p>
        </w:tc>
      </w:tr>
      <w:tr w:rsidR="00CE6538" w:rsidRPr="00CE6538" w14:paraId="18410497" w14:textId="77777777" w:rsidTr="00CE6538">
        <w:trPr>
          <w:trHeight w:val="285"/>
        </w:trPr>
        <w:tc>
          <w:tcPr>
            <w:tcW w:w="2566" w:type="pct"/>
            <w:tcBorders>
              <w:top w:val="nil"/>
              <w:left w:val="nil"/>
              <w:bottom w:val="nil"/>
              <w:right w:val="nil"/>
            </w:tcBorders>
            <w:shd w:val="clear" w:color="auto" w:fill="auto"/>
            <w:noWrap/>
            <w:vAlign w:val="center"/>
            <w:hideMark/>
          </w:tcPr>
          <w:p w14:paraId="2B4E0F8D" w14:textId="77777777" w:rsidR="00CE6538" w:rsidRPr="00CE6538" w:rsidRDefault="00CE6538" w:rsidP="00CE6538">
            <w:pPr>
              <w:spacing w:after="0" w:line="240" w:lineRule="auto"/>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CEF - N° 0410.351-27/13</w:t>
            </w:r>
          </w:p>
        </w:tc>
        <w:tc>
          <w:tcPr>
            <w:tcW w:w="92" w:type="pct"/>
            <w:tcBorders>
              <w:top w:val="nil"/>
              <w:left w:val="nil"/>
              <w:bottom w:val="nil"/>
              <w:right w:val="nil"/>
            </w:tcBorders>
            <w:shd w:val="clear" w:color="auto" w:fill="auto"/>
            <w:noWrap/>
            <w:vAlign w:val="center"/>
            <w:hideMark/>
          </w:tcPr>
          <w:p w14:paraId="6CB76332"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center"/>
            <w:hideMark/>
          </w:tcPr>
          <w:p w14:paraId="1629CD5E" w14:textId="77777777" w:rsidR="00CE6538" w:rsidRPr="00CE6538" w:rsidRDefault="00CE6538" w:rsidP="00CE6538">
            <w:pPr>
              <w:spacing w:after="0" w:line="240" w:lineRule="auto"/>
              <w:jc w:val="center"/>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6,50%</w:t>
            </w:r>
          </w:p>
        </w:tc>
        <w:tc>
          <w:tcPr>
            <w:tcW w:w="882" w:type="pct"/>
            <w:tcBorders>
              <w:top w:val="nil"/>
              <w:left w:val="nil"/>
              <w:bottom w:val="nil"/>
              <w:right w:val="nil"/>
            </w:tcBorders>
            <w:shd w:val="clear" w:color="auto" w:fill="auto"/>
            <w:noWrap/>
            <w:vAlign w:val="center"/>
            <w:hideMark/>
          </w:tcPr>
          <w:p w14:paraId="5CB85461" w14:textId="098DF0F6"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125.045</w:t>
            </w:r>
          </w:p>
        </w:tc>
        <w:tc>
          <w:tcPr>
            <w:tcW w:w="833" w:type="pct"/>
            <w:tcBorders>
              <w:top w:val="nil"/>
              <w:left w:val="nil"/>
              <w:bottom w:val="nil"/>
              <w:right w:val="nil"/>
            </w:tcBorders>
            <w:shd w:val="clear" w:color="auto" w:fill="auto"/>
            <w:noWrap/>
            <w:vAlign w:val="center"/>
            <w:hideMark/>
          </w:tcPr>
          <w:p w14:paraId="268A0726" w14:textId="5CE8D425"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2.782.808</w:t>
            </w:r>
          </w:p>
        </w:tc>
      </w:tr>
      <w:tr w:rsidR="00CE6538" w:rsidRPr="00CE6538" w14:paraId="5F91DD20" w14:textId="77777777" w:rsidTr="00CE6538">
        <w:trPr>
          <w:trHeight w:val="300"/>
        </w:trPr>
        <w:tc>
          <w:tcPr>
            <w:tcW w:w="2566" w:type="pct"/>
            <w:tcBorders>
              <w:top w:val="nil"/>
              <w:left w:val="nil"/>
              <w:bottom w:val="nil"/>
              <w:right w:val="nil"/>
            </w:tcBorders>
            <w:shd w:val="clear" w:color="auto" w:fill="auto"/>
            <w:noWrap/>
            <w:vAlign w:val="center"/>
            <w:hideMark/>
          </w:tcPr>
          <w:p w14:paraId="1159C8C9"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92" w:type="pct"/>
            <w:tcBorders>
              <w:top w:val="nil"/>
              <w:left w:val="nil"/>
              <w:bottom w:val="nil"/>
              <w:right w:val="nil"/>
            </w:tcBorders>
            <w:shd w:val="clear" w:color="auto" w:fill="auto"/>
            <w:noWrap/>
            <w:vAlign w:val="center"/>
            <w:hideMark/>
          </w:tcPr>
          <w:p w14:paraId="3C7875C6"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627" w:type="pct"/>
            <w:tcBorders>
              <w:top w:val="nil"/>
              <w:left w:val="nil"/>
              <w:bottom w:val="nil"/>
              <w:right w:val="nil"/>
            </w:tcBorders>
            <w:shd w:val="clear" w:color="auto" w:fill="auto"/>
            <w:noWrap/>
            <w:vAlign w:val="bottom"/>
            <w:hideMark/>
          </w:tcPr>
          <w:p w14:paraId="7F496E79" w14:textId="77777777" w:rsidR="00CE6538" w:rsidRPr="00CE6538" w:rsidRDefault="00CE6538" w:rsidP="00CE6538">
            <w:pPr>
              <w:spacing w:after="0" w:line="240" w:lineRule="auto"/>
              <w:rPr>
                <w:rFonts w:ascii="Segoe UI" w:eastAsia="Times New Roman" w:hAnsi="Segoe UI" w:cs="Segoe UI"/>
                <w:sz w:val="18"/>
                <w:szCs w:val="18"/>
                <w:lang w:eastAsia="pt-BR"/>
              </w:rPr>
            </w:pPr>
          </w:p>
        </w:tc>
        <w:tc>
          <w:tcPr>
            <w:tcW w:w="882" w:type="pct"/>
            <w:tcBorders>
              <w:top w:val="single" w:sz="4" w:space="0" w:color="1B80C4"/>
              <w:left w:val="nil"/>
              <w:bottom w:val="double" w:sz="6" w:space="0" w:color="1B80C4"/>
              <w:right w:val="nil"/>
            </w:tcBorders>
            <w:shd w:val="clear" w:color="auto" w:fill="auto"/>
            <w:noWrap/>
            <w:vAlign w:val="center"/>
            <w:hideMark/>
          </w:tcPr>
          <w:p w14:paraId="3F201B75" w14:textId="16FA15FB"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r w:rsidRPr="00CE6538">
              <w:rPr>
                <w:rFonts w:ascii="Segoe UI" w:eastAsia="Times New Roman" w:hAnsi="Segoe UI" w:cs="Segoe UI"/>
                <w:b/>
                <w:bCs/>
                <w:color w:val="000000"/>
                <w:sz w:val="18"/>
                <w:szCs w:val="18"/>
                <w:lang w:eastAsia="pt-BR"/>
              </w:rPr>
              <w:t>414.435</w:t>
            </w:r>
          </w:p>
        </w:tc>
        <w:tc>
          <w:tcPr>
            <w:tcW w:w="833" w:type="pct"/>
            <w:tcBorders>
              <w:top w:val="single" w:sz="4" w:space="0" w:color="1B80C4"/>
              <w:left w:val="nil"/>
              <w:bottom w:val="double" w:sz="6" w:space="0" w:color="1B80C4"/>
              <w:right w:val="nil"/>
            </w:tcBorders>
            <w:shd w:val="clear" w:color="auto" w:fill="auto"/>
            <w:noWrap/>
            <w:vAlign w:val="center"/>
            <w:hideMark/>
          </w:tcPr>
          <w:p w14:paraId="4DCA28F3" w14:textId="1AA42E35"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r w:rsidRPr="00CE6538">
              <w:rPr>
                <w:rFonts w:ascii="Segoe UI" w:eastAsia="Times New Roman" w:hAnsi="Segoe UI" w:cs="Segoe UI"/>
                <w:b/>
                <w:bCs/>
                <w:color w:val="000000"/>
                <w:sz w:val="18"/>
                <w:szCs w:val="18"/>
                <w:lang w:eastAsia="pt-BR"/>
              </w:rPr>
              <w:t>6.718.18</w:t>
            </w:r>
            <w:r w:rsidR="00054DC0">
              <w:rPr>
                <w:rFonts w:ascii="Segoe UI" w:eastAsia="Times New Roman" w:hAnsi="Segoe UI" w:cs="Segoe UI"/>
                <w:b/>
                <w:bCs/>
                <w:color w:val="000000"/>
                <w:sz w:val="18"/>
                <w:szCs w:val="18"/>
                <w:lang w:eastAsia="pt-BR"/>
              </w:rPr>
              <w:t>4</w:t>
            </w:r>
          </w:p>
        </w:tc>
      </w:tr>
    </w:tbl>
    <w:p w14:paraId="129D6BFB" w14:textId="77777777" w:rsidR="00451096" w:rsidRPr="00CE6538" w:rsidRDefault="00451096" w:rsidP="00C144BB">
      <w:pPr>
        <w:pStyle w:val="PargrafodaLista"/>
        <w:spacing w:after="160"/>
        <w:ind w:left="0"/>
        <w:rPr>
          <w:rFonts w:ascii="Segoe UI" w:hAnsi="Segoe UI" w:cs="Segoe UI"/>
          <w:b/>
          <w:bCs/>
          <w:sz w:val="18"/>
          <w:szCs w:val="18"/>
        </w:rPr>
      </w:pPr>
    </w:p>
    <w:p w14:paraId="14908CD4" w14:textId="263E48C6" w:rsidR="00E406F0" w:rsidRPr="000757BC" w:rsidRDefault="00E406F0" w:rsidP="00F63F20">
      <w:pPr>
        <w:pStyle w:val="PargrafodaLista"/>
        <w:spacing w:before="240" w:after="120" w:line="259" w:lineRule="auto"/>
        <w:ind w:left="0"/>
        <w:rPr>
          <w:rFonts w:ascii="Segoe UI" w:hAnsi="Segoe UI" w:cs="Segoe UI"/>
          <w:b/>
          <w:bCs/>
          <w:color w:val="0070C0"/>
          <w:szCs w:val="22"/>
        </w:rPr>
      </w:pPr>
      <w:r w:rsidRPr="000757BC">
        <w:rPr>
          <w:rFonts w:ascii="Segoe UI" w:hAnsi="Segoe UI" w:cs="Segoe UI"/>
          <w:b/>
          <w:bCs/>
          <w:color w:val="0070C0"/>
          <w:szCs w:val="22"/>
        </w:rPr>
        <w:t xml:space="preserve">Aplicações nas </w:t>
      </w:r>
      <w:r w:rsidR="007C0256">
        <w:rPr>
          <w:rFonts w:ascii="Segoe UI" w:hAnsi="Segoe UI" w:cs="Segoe UI"/>
          <w:b/>
          <w:bCs/>
          <w:color w:val="0070C0"/>
          <w:szCs w:val="22"/>
        </w:rPr>
        <w:t>u</w:t>
      </w:r>
      <w:r w:rsidRPr="000757BC">
        <w:rPr>
          <w:rFonts w:ascii="Segoe UI" w:hAnsi="Segoe UI" w:cs="Segoe UI"/>
          <w:b/>
          <w:bCs/>
          <w:color w:val="0070C0"/>
          <w:szCs w:val="22"/>
        </w:rPr>
        <w:t>sinas Angra 1 e 2</w:t>
      </w:r>
    </w:p>
    <w:p w14:paraId="08776FFE" w14:textId="10C9EF90"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Trata-se de financiamentos captados com a Eletrobras para diversas etapas de melhoramentos da </w:t>
      </w:r>
      <w:r w:rsidR="00486102">
        <w:rPr>
          <w:rFonts w:ascii="Segoe UI" w:hAnsi="Segoe UI" w:cs="Segoe UI"/>
        </w:rPr>
        <w:t>u</w:t>
      </w:r>
      <w:r w:rsidRPr="000757BC">
        <w:rPr>
          <w:rFonts w:ascii="Segoe UI" w:hAnsi="Segoe UI" w:cs="Segoe UI"/>
        </w:rPr>
        <w:t xml:space="preserve">sina Angra 1, para a troca dos geradores de vapor, a troca da tampa do vaso de pressão do reator e para o capital de giro da </w:t>
      </w:r>
      <w:r w:rsidR="000F063E" w:rsidRPr="000757BC">
        <w:rPr>
          <w:rFonts w:ascii="Segoe UI" w:hAnsi="Segoe UI" w:cs="Segoe UI"/>
        </w:rPr>
        <w:t>Eletronuclear</w:t>
      </w:r>
      <w:r w:rsidRPr="000757BC">
        <w:rPr>
          <w:rFonts w:ascii="Segoe UI" w:hAnsi="Segoe UI" w:cs="Segoe UI"/>
        </w:rPr>
        <w:t xml:space="preserve">. </w:t>
      </w:r>
    </w:p>
    <w:p w14:paraId="691027FB" w14:textId="52949DD3"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Em garantia dos compromissos assumidos com a Eletrobras, a </w:t>
      </w:r>
      <w:r w:rsidR="004A4B03">
        <w:rPr>
          <w:rFonts w:ascii="Segoe UI" w:hAnsi="Segoe UI" w:cs="Segoe UI"/>
        </w:rPr>
        <w:t xml:space="preserve">Eletronuclear </w:t>
      </w:r>
      <w:r w:rsidRPr="000757BC">
        <w:rPr>
          <w:rFonts w:ascii="Segoe UI" w:hAnsi="Segoe UI" w:cs="Segoe UI"/>
        </w:rPr>
        <w:t xml:space="preserve">vinculou sua receita própria, oriunda das </w:t>
      </w:r>
      <w:r w:rsidR="00486102">
        <w:rPr>
          <w:rFonts w:ascii="Segoe UI" w:hAnsi="Segoe UI" w:cs="Segoe UI"/>
        </w:rPr>
        <w:t>u</w:t>
      </w:r>
      <w:r w:rsidRPr="000757BC">
        <w:rPr>
          <w:rFonts w:ascii="Segoe UI" w:hAnsi="Segoe UI" w:cs="Segoe UI"/>
        </w:rPr>
        <w:t>sinas Angra 1 e 2, aos débitos previstos nos financiamentos. Tal vinculação está suportada por procurações outorgadas por instrumento público para que, em caso de inadimplência, possa receber diretamente os valores em atraso.</w:t>
      </w:r>
    </w:p>
    <w:p w14:paraId="5D4FFD1C" w14:textId="654B3464" w:rsidR="007926C0" w:rsidRPr="009A56E9" w:rsidRDefault="00E406F0" w:rsidP="00F63F20">
      <w:pPr>
        <w:spacing w:before="240" w:after="120"/>
        <w:jc w:val="both"/>
        <w:rPr>
          <w:rFonts w:ascii="Segoe UI" w:hAnsi="Segoe UI" w:cs="Segoe UI"/>
          <w:color w:val="000000" w:themeColor="text1"/>
          <w:sz w:val="20"/>
          <w:szCs w:val="20"/>
        </w:rPr>
      </w:pPr>
      <w:r w:rsidRPr="000757BC">
        <w:rPr>
          <w:rFonts w:ascii="Segoe UI" w:hAnsi="Segoe UI" w:cs="Segoe UI"/>
        </w:rPr>
        <w:t xml:space="preserve">A </w:t>
      </w:r>
      <w:r w:rsidR="004A4B03">
        <w:rPr>
          <w:rFonts w:ascii="Segoe UI" w:hAnsi="Segoe UI" w:cs="Segoe UI"/>
        </w:rPr>
        <w:t xml:space="preserve">Eletronuclear </w:t>
      </w:r>
      <w:r w:rsidRPr="000757BC">
        <w:rPr>
          <w:rFonts w:ascii="Segoe UI" w:hAnsi="Segoe UI" w:cs="Segoe UI"/>
        </w:rPr>
        <w:t xml:space="preserve">firmou, em 08 de junho de 2022, o </w:t>
      </w:r>
      <w:r w:rsidRPr="000757BC">
        <w:rPr>
          <w:rFonts w:ascii="Segoe UI" w:hAnsi="Segoe UI" w:cs="Segoe UI"/>
          <w:i/>
          <w:iCs/>
        </w:rPr>
        <w:t>“Credit Agreement”,</w:t>
      </w:r>
      <w:r w:rsidRPr="000757BC">
        <w:rPr>
          <w:rFonts w:ascii="Segoe UI" w:hAnsi="Segoe UI" w:cs="Segoe UI"/>
        </w:rPr>
        <w:t xml:space="preserve"> no valor de US</w:t>
      </w:r>
      <w:r w:rsidR="00486102">
        <w:rPr>
          <w:rFonts w:ascii="Segoe UI" w:hAnsi="Segoe UI" w:cs="Segoe UI"/>
        </w:rPr>
        <w:t>$</w:t>
      </w:r>
      <w:r w:rsidRPr="000757BC">
        <w:rPr>
          <w:rFonts w:ascii="Segoe UI" w:hAnsi="Segoe UI" w:cs="Segoe UI"/>
        </w:rPr>
        <w:t xml:space="preserve"> 22,2 milhões com o Banco Santander S.A., com garantia do </w:t>
      </w:r>
      <w:r w:rsidRPr="000757BC">
        <w:rPr>
          <w:rFonts w:ascii="Segoe UI" w:hAnsi="Segoe UI" w:cs="Segoe UI"/>
          <w:i/>
          <w:iCs/>
        </w:rPr>
        <w:t>US Exim Bank</w:t>
      </w:r>
      <w:r w:rsidRPr="000757BC">
        <w:rPr>
          <w:rFonts w:ascii="Segoe UI" w:hAnsi="Segoe UI" w:cs="Segoe UI"/>
        </w:rPr>
        <w:t xml:space="preserve"> e contragarantia Eletrobras, para financiar o </w:t>
      </w:r>
      <w:r w:rsidRPr="000757BC">
        <w:rPr>
          <w:rFonts w:ascii="Segoe UI" w:hAnsi="Segoe UI" w:cs="Segoe UI"/>
          <w:i/>
        </w:rPr>
        <w:t>Engineering Multiplier Program</w:t>
      </w:r>
      <w:r w:rsidRPr="000757BC">
        <w:rPr>
          <w:rFonts w:ascii="Segoe UI" w:hAnsi="Segoe UI" w:cs="Segoe UI"/>
        </w:rPr>
        <w:t xml:space="preserve"> – </w:t>
      </w:r>
      <w:r w:rsidR="00486102">
        <w:rPr>
          <w:rFonts w:ascii="Segoe UI" w:hAnsi="Segoe UI" w:cs="Segoe UI"/>
        </w:rPr>
        <w:t>(“</w:t>
      </w:r>
      <w:r w:rsidRPr="000757BC">
        <w:rPr>
          <w:rFonts w:ascii="Segoe UI" w:hAnsi="Segoe UI" w:cs="Segoe UI"/>
        </w:rPr>
        <w:t>EMP</w:t>
      </w:r>
      <w:r w:rsidR="00486102">
        <w:rPr>
          <w:rFonts w:ascii="Segoe UI" w:hAnsi="Segoe UI" w:cs="Segoe UI"/>
        </w:rPr>
        <w:t>”)</w:t>
      </w:r>
      <w:r w:rsidRPr="000757BC">
        <w:rPr>
          <w:rFonts w:ascii="Segoe UI" w:hAnsi="Segoe UI" w:cs="Segoe UI"/>
        </w:rPr>
        <w:t xml:space="preserve"> que abrangem estudos de viabilidade e serviços de pré engenharia a serem executados pela </w:t>
      </w:r>
      <w:r w:rsidRPr="000757BC">
        <w:rPr>
          <w:rFonts w:ascii="Segoe UI" w:hAnsi="Segoe UI" w:cs="Segoe UI"/>
          <w:i/>
          <w:iCs/>
        </w:rPr>
        <w:t>Westinghouse</w:t>
      </w:r>
      <w:r w:rsidRPr="000757BC">
        <w:rPr>
          <w:rFonts w:ascii="Segoe UI" w:hAnsi="Segoe UI" w:cs="Segoe UI"/>
        </w:rPr>
        <w:t xml:space="preserve"> no âmbito do Programa de Extensão de </w:t>
      </w:r>
      <w:r w:rsidR="00486102">
        <w:rPr>
          <w:rFonts w:ascii="Segoe UI" w:hAnsi="Segoe UI" w:cs="Segoe UI"/>
        </w:rPr>
        <w:t>v</w:t>
      </w:r>
      <w:r w:rsidRPr="000757BC">
        <w:rPr>
          <w:rFonts w:ascii="Segoe UI" w:hAnsi="Segoe UI" w:cs="Segoe UI"/>
        </w:rPr>
        <w:t xml:space="preserve">ida </w:t>
      </w:r>
      <w:r w:rsidR="00486102">
        <w:rPr>
          <w:rFonts w:ascii="Segoe UI" w:hAnsi="Segoe UI" w:cs="Segoe UI"/>
        </w:rPr>
        <w:t>ú</w:t>
      </w:r>
      <w:r w:rsidRPr="000757BC">
        <w:rPr>
          <w:rFonts w:ascii="Segoe UI" w:hAnsi="Segoe UI" w:cs="Segoe UI"/>
        </w:rPr>
        <w:t xml:space="preserve">til de Angra 1 </w:t>
      </w:r>
      <w:r w:rsidR="00486102" w:rsidRPr="000757BC">
        <w:rPr>
          <w:rFonts w:ascii="Segoe UI" w:hAnsi="Segoe UI" w:cs="Segoe UI"/>
          <w:i/>
        </w:rPr>
        <w:t>Long Term Operation</w:t>
      </w:r>
      <w:r w:rsidR="00486102">
        <w:rPr>
          <w:rFonts w:ascii="Segoe UI" w:hAnsi="Segoe UI" w:cs="Segoe UI"/>
          <w:i/>
        </w:rPr>
        <w:t xml:space="preserve"> -</w:t>
      </w:r>
      <w:r w:rsidR="00486102">
        <w:rPr>
          <w:rFonts w:ascii="Segoe UI" w:hAnsi="Segoe UI" w:cs="Segoe UI"/>
        </w:rPr>
        <w:t xml:space="preserve"> (“</w:t>
      </w:r>
      <w:r w:rsidRPr="000757BC">
        <w:rPr>
          <w:rFonts w:ascii="Segoe UI" w:hAnsi="Segoe UI" w:cs="Segoe UI"/>
        </w:rPr>
        <w:t>LTO</w:t>
      </w:r>
      <w:r w:rsidR="00486102">
        <w:rPr>
          <w:rFonts w:ascii="Segoe UI" w:hAnsi="Segoe UI" w:cs="Segoe UI"/>
        </w:rPr>
        <w:t>”)</w:t>
      </w:r>
      <w:r w:rsidRPr="000757BC">
        <w:rPr>
          <w:rFonts w:ascii="Segoe UI" w:hAnsi="Segoe UI" w:cs="Segoe UI"/>
        </w:rPr>
        <w:t xml:space="preserve"> para viabilizar a continuidade operacional da usina por mais 20 anos, considerando que em dezembro de 2024 a atual licença de operação concedida pela CNEN vai se expirar. A solicitação de renovação já foi encaminhada ao órgão regulador em outubro de 2019.</w:t>
      </w:r>
      <w:r w:rsidR="007926C0">
        <w:rPr>
          <w:rFonts w:ascii="Segoe UI" w:hAnsi="Segoe UI" w:cs="Segoe UI"/>
        </w:rPr>
        <w:t xml:space="preserve"> </w:t>
      </w:r>
      <w:r w:rsidR="007926C0" w:rsidRPr="00515246">
        <w:rPr>
          <w:rFonts w:ascii="Segoe UI" w:hAnsi="Segoe UI" w:cs="Segoe UI"/>
          <w:color w:val="000000" w:themeColor="text1"/>
        </w:rPr>
        <w:t xml:space="preserve">A primeira liberação de recurso do </w:t>
      </w:r>
      <w:r w:rsidR="007926C0" w:rsidRPr="00515246">
        <w:rPr>
          <w:rFonts w:ascii="Segoe UI" w:hAnsi="Segoe UI" w:cs="Segoe UI"/>
          <w:i/>
          <w:iCs/>
          <w:color w:val="000000" w:themeColor="text1"/>
        </w:rPr>
        <w:t xml:space="preserve">“Credit Agreement” </w:t>
      </w:r>
      <w:r w:rsidR="007926C0" w:rsidRPr="00515246">
        <w:rPr>
          <w:rFonts w:ascii="Segoe UI" w:hAnsi="Segoe UI" w:cs="Segoe UI"/>
          <w:iCs/>
          <w:color w:val="000000" w:themeColor="text1"/>
        </w:rPr>
        <w:t>ocorreu em 09 de setembro de 2022, no valor de US</w:t>
      </w:r>
      <w:r w:rsidR="00486102">
        <w:rPr>
          <w:rFonts w:ascii="Segoe UI" w:hAnsi="Segoe UI" w:cs="Segoe UI"/>
          <w:iCs/>
          <w:color w:val="000000" w:themeColor="text1"/>
        </w:rPr>
        <w:t>$</w:t>
      </w:r>
      <w:r w:rsidR="007926C0" w:rsidRPr="00515246">
        <w:rPr>
          <w:rFonts w:ascii="Segoe UI" w:hAnsi="Segoe UI" w:cs="Segoe UI"/>
          <w:iCs/>
          <w:color w:val="000000" w:themeColor="text1"/>
        </w:rPr>
        <w:t xml:space="preserve"> 14,1 milhões. A segunda liberação de recurso ocorreu em 15 de dezembro de 2022, no montante de US</w:t>
      </w:r>
      <w:r w:rsidR="00486102">
        <w:rPr>
          <w:rFonts w:ascii="Segoe UI" w:hAnsi="Segoe UI" w:cs="Segoe UI"/>
          <w:iCs/>
          <w:color w:val="000000" w:themeColor="text1"/>
        </w:rPr>
        <w:t>$</w:t>
      </w:r>
      <w:r w:rsidR="007926C0" w:rsidRPr="00515246">
        <w:rPr>
          <w:rFonts w:ascii="Segoe UI" w:hAnsi="Segoe UI" w:cs="Segoe UI"/>
          <w:iCs/>
          <w:color w:val="000000" w:themeColor="text1"/>
        </w:rPr>
        <w:t xml:space="preserve"> 5,45 milhões</w:t>
      </w:r>
      <w:r w:rsidR="007926C0" w:rsidRPr="00B74D9A">
        <w:rPr>
          <w:rFonts w:ascii="Segoe UI" w:hAnsi="Segoe UI" w:cs="Segoe UI"/>
          <w:iCs/>
          <w:color w:val="000000" w:themeColor="text1"/>
          <w:sz w:val="20"/>
          <w:szCs w:val="20"/>
        </w:rPr>
        <w:t>.</w:t>
      </w:r>
    </w:p>
    <w:p w14:paraId="67772A2E" w14:textId="77777777" w:rsidR="00D51702" w:rsidRDefault="00D51702">
      <w:pPr>
        <w:rPr>
          <w:rFonts w:ascii="Segoe UI" w:eastAsia="Times New Roman" w:hAnsi="Segoe UI" w:cs="Segoe UI"/>
          <w:b/>
          <w:bCs/>
          <w:color w:val="0070C0"/>
          <w:lang w:eastAsia="pt-BR"/>
        </w:rPr>
      </w:pPr>
      <w:r>
        <w:rPr>
          <w:rFonts w:ascii="Segoe UI" w:hAnsi="Segoe UI" w:cs="Segoe UI"/>
          <w:b/>
          <w:bCs/>
          <w:color w:val="0070C0"/>
        </w:rPr>
        <w:br w:type="page"/>
      </w:r>
    </w:p>
    <w:p w14:paraId="00C54C7B" w14:textId="0EB8ED60" w:rsidR="00E406F0" w:rsidRPr="000757BC" w:rsidRDefault="00E406F0" w:rsidP="00F63F20">
      <w:pPr>
        <w:pStyle w:val="PargrafodaLista"/>
        <w:spacing w:before="240" w:after="120" w:line="259" w:lineRule="auto"/>
        <w:ind w:left="0"/>
        <w:rPr>
          <w:rFonts w:ascii="Segoe UI" w:hAnsi="Segoe UI" w:cs="Segoe UI"/>
          <w:b/>
          <w:bCs/>
          <w:color w:val="0070C0"/>
          <w:szCs w:val="22"/>
        </w:rPr>
      </w:pPr>
      <w:r w:rsidRPr="000757BC">
        <w:rPr>
          <w:rFonts w:ascii="Segoe UI" w:hAnsi="Segoe UI" w:cs="Segoe UI"/>
          <w:b/>
          <w:bCs/>
          <w:color w:val="0070C0"/>
          <w:szCs w:val="22"/>
        </w:rPr>
        <w:lastRenderedPageBreak/>
        <w:t xml:space="preserve">Aplicações na </w:t>
      </w:r>
      <w:r w:rsidR="005004DE">
        <w:rPr>
          <w:rFonts w:ascii="Segoe UI" w:hAnsi="Segoe UI" w:cs="Segoe UI"/>
          <w:b/>
          <w:bCs/>
          <w:color w:val="0070C0"/>
          <w:szCs w:val="22"/>
        </w:rPr>
        <w:t>u</w:t>
      </w:r>
      <w:r w:rsidRPr="000757BC">
        <w:rPr>
          <w:rFonts w:ascii="Segoe UI" w:hAnsi="Segoe UI" w:cs="Segoe UI"/>
          <w:b/>
          <w:bCs/>
          <w:color w:val="0070C0"/>
          <w:szCs w:val="22"/>
        </w:rPr>
        <w:t>sina Angra 3</w:t>
      </w:r>
    </w:p>
    <w:p w14:paraId="2C13BBFD" w14:textId="0348B837"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Trata-se de financiamentos captados com a Eletrobras com abertura de recursos da RGR, com o BNDES e com a Caixa Econômica Federal – </w:t>
      </w:r>
      <w:r w:rsidR="00486102">
        <w:rPr>
          <w:rFonts w:ascii="Segoe UI" w:hAnsi="Segoe UI" w:cs="Segoe UI"/>
        </w:rPr>
        <w:t>(“</w:t>
      </w:r>
      <w:r w:rsidRPr="000757BC">
        <w:rPr>
          <w:rFonts w:ascii="Segoe UI" w:hAnsi="Segoe UI" w:cs="Segoe UI"/>
        </w:rPr>
        <w:t>CEF</w:t>
      </w:r>
      <w:r w:rsidR="00486102">
        <w:rPr>
          <w:rFonts w:ascii="Segoe UI" w:hAnsi="Segoe UI" w:cs="Segoe UI"/>
        </w:rPr>
        <w:t>”)</w:t>
      </w:r>
      <w:r w:rsidRPr="000757BC">
        <w:rPr>
          <w:rFonts w:ascii="Segoe UI" w:hAnsi="Segoe UI" w:cs="Segoe UI"/>
        </w:rPr>
        <w:t xml:space="preserve"> destinados à implantação da </w:t>
      </w:r>
      <w:r w:rsidR="00486102">
        <w:rPr>
          <w:rFonts w:ascii="Segoe UI" w:hAnsi="Segoe UI" w:cs="Segoe UI"/>
        </w:rPr>
        <w:t>u</w:t>
      </w:r>
      <w:r w:rsidRPr="000757BC">
        <w:rPr>
          <w:rFonts w:ascii="Segoe UI" w:hAnsi="Segoe UI" w:cs="Segoe UI"/>
        </w:rPr>
        <w:t>sina Angra 3.</w:t>
      </w:r>
    </w:p>
    <w:p w14:paraId="0C1FA052" w14:textId="16BB9E59"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Em garantia dos compromissos assumidos com o contrato do BNDES citado, a </w:t>
      </w:r>
      <w:r w:rsidR="004A4B03">
        <w:rPr>
          <w:rFonts w:ascii="Segoe UI" w:hAnsi="Segoe UI" w:cs="Segoe UI"/>
        </w:rPr>
        <w:t xml:space="preserve">Eletronuclear </w:t>
      </w:r>
      <w:r w:rsidRPr="000757BC">
        <w:rPr>
          <w:rFonts w:ascii="Segoe UI" w:hAnsi="Segoe UI" w:cs="Segoe UI"/>
        </w:rPr>
        <w:t xml:space="preserve">constituiu uma cessão fiduciária em favor do BNDES, em caráter irrevogável e irretratável, até o final da liquidação de todas as obrigações deste contrato, decorrentes da venda de energia produzida pela </w:t>
      </w:r>
      <w:r w:rsidR="00486102">
        <w:rPr>
          <w:rFonts w:ascii="Segoe UI" w:hAnsi="Segoe UI" w:cs="Segoe UI"/>
        </w:rPr>
        <w:t>u</w:t>
      </w:r>
      <w:r w:rsidRPr="000757BC">
        <w:rPr>
          <w:rFonts w:ascii="Segoe UI" w:hAnsi="Segoe UI" w:cs="Segoe UI"/>
        </w:rPr>
        <w:t xml:space="preserve">sina Angra 3.   </w:t>
      </w:r>
    </w:p>
    <w:p w14:paraId="34562CBD" w14:textId="442001C7"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Originalmente, o Contrato nº 10.2.2032.1 previa o início das amortizações do principal da dívida em 30 de julho de 2016. Em virtude de renegociações realizadas entre BNDES e </w:t>
      </w:r>
      <w:r w:rsidR="00546002">
        <w:rPr>
          <w:rFonts w:ascii="Segoe UI" w:hAnsi="Segoe UI" w:cs="Segoe UI"/>
        </w:rPr>
        <w:t>controlada</w:t>
      </w:r>
      <w:r w:rsidR="00DA30CF" w:rsidRPr="000757BC">
        <w:rPr>
          <w:rFonts w:ascii="Segoe UI" w:hAnsi="Segoe UI" w:cs="Segoe UI"/>
        </w:rPr>
        <w:t xml:space="preserve"> Eletronuclear</w:t>
      </w:r>
      <w:r w:rsidRPr="000757BC">
        <w:rPr>
          <w:rFonts w:ascii="Segoe UI" w:hAnsi="Segoe UI" w:cs="Segoe UI"/>
        </w:rPr>
        <w:t xml:space="preserve">, foram realizados dois aditamentos contratuais que prorrogaram a data de início de amortização. Por conta destas renegociações, a </w:t>
      </w:r>
      <w:r w:rsidR="004A4B03">
        <w:rPr>
          <w:rFonts w:ascii="Segoe UI" w:hAnsi="Segoe UI" w:cs="Segoe UI"/>
        </w:rPr>
        <w:t xml:space="preserve">Eletronuclear </w:t>
      </w:r>
      <w:r w:rsidRPr="000757BC">
        <w:rPr>
          <w:rFonts w:ascii="Segoe UI" w:hAnsi="Segoe UI" w:cs="Segoe UI"/>
        </w:rPr>
        <w:t>foi obrigada a pagar uma Comissão de Renegociação por cada uma destes aditamentos, no valor de 0,5% do saldo devedor. O montante em débito, acrescido de IOF, foi incorporado ao saldo devedor do contrato original, na forma dos Subcréditos C e D, com prazo de pagamento de 54 parcelas, após um prazo de carência de 6 meses. O Subcrédito C começou a ser amortizado em 15 de fevereiro de 2017, enquanto o Subcrédito D teve sua amortização iniciada em 16 de novembro de 2017.</w:t>
      </w:r>
    </w:p>
    <w:p w14:paraId="68FF20AB" w14:textId="2965ECA4"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Em 16 de outubro de 2017, a </w:t>
      </w:r>
      <w:r w:rsidR="004A4B03">
        <w:rPr>
          <w:rFonts w:ascii="Segoe UI" w:hAnsi="Segoe UI" w:cs="Segoe UI"/>
        </w:rPr>
        <w:t xml:space="preserve">Eletronuclear </w:t>
      </w:r>
      <w:r w:rsidRPr="000757BC">
        <w:rPr>
          <w:rFonts w:ascii="Segoe UI" w:hAnsi="Segoe UI" w:cs="Segoe UI"/>
        </w:rPr>
        <w:t xml:space="preserve">iniciou a amortização do principal e passou a realizar o pagamento de 100% dos encargos dos Subcréditos A e B relativos ao contrato nº 10.2.2032.1, celebrado com o BNDES para investimentos no empreendimento de Angra 3. </w:t>
      </w:r>
    </w:p>
    <w:p w14:paraId="1E9525B0" w14:textId="0D8740E4"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Em 06 de julho de 2018, a </w:t>
      </w:r>
      <w:r w:rsidR="004A4B03">
        <w:rPr>
          <w:rFonts w:ascii="Segoe UI" w:hAnsi="Segoe UI" w:cs="Segoe UI"/>
        </w:rPr>
        <w:t xml:space="preserve">Eletronuclear </w:t>
      </w:r>
      <w:r w:rsidRPr="000757BC">
        <w:rPr>
          <w:rFonts w:ascii="Segoe UI" w:hAnsi="Segoe UI" w:cs="Segoe UI"/>
        </w:rPr>
        <w:t xml:space="preserve">iniciou a amortização do </w:t>
      </w:r>
      <w:r w:rsidR="00486102">
        <w:rPr>
          <w:rFonts w:ascii="Segoe UI" w:hAnsi="Segoe UI" w:cs="Segoe UI"/>
        </w:rPr>
        <w:t>c</w:t>
      </w:r>
      <w:r w:rsidRPr="000757BC">
        <w:rPr>
          <w:rFonts w:ascii="Segoe UI" w:hAnsi="Segoe UI" w:cs="Segoe UI"/>
        </w:rPr>
        <w:t>ontrato nº 0410.351-27/2013 da CEF com o pagamento da primeira prestação no valor de R$ 24.741.</w:t>
      </w:r>
    </w:p>
    <w:p w14:paraId="5AD39FC3" w14:textId="6F70941E"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Em 18 de abril de 2022, houve o pagamento da última prestação e liquidação final do Subcrédito D referente ao </w:t>
      </w:r>
      <w:r w:rsidR="00486102">
        <w:rPr>
          <w:rFonts w:ascii="Segoe UI" w:hAnsi="Segoe UI" w:cs="Segoe UI"/>
        </w:rPr>
        <w:t>c</w:t>
      </w:r>
      <w:r w:rsidRPr="000757BC">
        <w:rPr>
          <w:rFonts w:ascii="Segoe UI" w:hAnsi="Segoe UI" w:cs="Segoe UI"/>
        </w:rPr>
        <w:t xml:space="preserve">ontrato de </w:t>
      </w:r>
      <w:r w:rsidR="00486102">
        <w:rPr>
          <w:rFonts w:ascii="Segoe UI" w:hAnsi="Segoe UI" w:cs="Segoe UI"/>
        </w:rPr>
        <w:t>f</w:t>
      </w:r>
      <w:r w:rsidRPr="000757BC">
        <w:rPr>
          <w:rFonts w:ascii="Segoe UI" w:hAnsi="Segoe UI" w:cs="Segoe UI"/>
        </w:rPr>
        <w:t xml:space="preserve">inanciamento nº 10.2.2031.1 firmado pela </w:t>
      </w:r>
      <w:r w:rsidR="004A4B03">
        <w:rPr>
          <w:rFonts w:ascii="Segoe UI" w:hAnsi="Segoe UI" w:cs="Segoe UI"/>
        </w:rPr>
        <w:t xml:space="preserve">Eletronuclear </w:t>
      </w:r>
      <w:r w:rsidRPr="000757BC">
        <w:rPr>
          <w:rFonts w:ascii="Segoe UI" w:hAnsi="Segoe UI" w:cs="Segoe UI"/>
        </w:rPr>
        <w:t xml:space="preserve">com </w:t>
      </w:r>
      <w:r w:rsidR="00123F95" w:rsidRPr="000757BC">
        <w:rPr>
          <w:rFonts w:ascii="Segoe UI" w:hAnsi="Segoe UI" w:cs="Segoe UI"/>
        </w:rPr>
        <w:t xml:space="preserve">o </w:t>
      </w:r>
      <w:r w:rsidRPr="000757BC">
        <w:rPr>
          <w:rFonts w:ascii="Segoe UI" w:hAnsi="Segoe UI" w:cs="Segoe UI"/>
        </w:rPr>
        <w:t>BNDES tendo a Eletrobras como interveniente.</w:t>
      </w:r>
    </w:p>
    <w:p w14:paraId="03A4D8FB" w14:textId="5C59935D" w:rsidR="00E406F0" w:rsidRPr="000757BC" w:rsidRDefault="00E406F0" w:rsidP="00F63F20">
      <w:pPr>
        <w:spacing w:before="240" w:after="120"/>
        <w:jc w:val="both"/>
        <w:rPr>
          <w:rFonts w:ascii="Segoe UI" w:hAnsi="Segoe UI" w:cs="Segoe UI"/>
        </w:rPr>
      </w:pPr>
      <w:r w:rsidRPr="000757BC">
        <w:rPr>
          <w:rFonts w:ascii="Segoe UI" w:hAnsi="Segoe UI" w:cs="Segoe UI"/>
        </w:rPr>
        <w:t xml:space="preserve">Em 10 de Maio de 2022, a </w:t>
      </w:r>
      <w:r w:rsidR="004A4B03">
        <w:rPr>
          <w:rFonts w:ascii="Segoe UI" w:hAnsi="Segoe UI" w:cs="Segoe UI"/>
        </w:rPr>
        <w:t xml:space="preserve">Eletronuclear </w:t>
      </w:r>
      <w:r w:rsidRPr="000757BC">
        <w:rPr>
          <w:rFonts w:ascii="Segoe UI" w:hAnsi="Segoe UI" w:cs="Segoe UI"/>
        </w:rPr>
        <w:t>recebeu comunicação formal do BNDES, por meio da carta 042/2022 - BNDES AE/DEENE1, autorizando a prorrogação até a data de 15</w:t>
      </w:r>
      <w:r w:rsidR="005004DE">
        <w:rPr>
          <w:rFonts w:ascii="Segoe UI" w:hAnsi="Segoe UI" w:cs="Segoe UI"/>
        </w:rPr>
        <w:t xml:space="preserve"> de junho </w:t>
      </w:r>
      <w:r w:rsidRPr="000757BC">
        <w:rPr>
          <w:rFonts w:ascii="Segoe UI" w:hAnsi="Segoe UI" w:cs="Segoe UI"/>
        </w:rPr>
        <w:t xml:space="preserve">2024 do prazo para o cumprimento pela </w:t>
      </w:r>
      <w:r w:rsidR="004A4B03">
        <w:rPr>
          <w:rFonts w:ascii="Segoe UI" w:hAnsi="Segoe UI" w:cs="Segoe UI"/>
        </w:rPr>
        <w:t xml:space="preserve">Eletronuclear </w:t>
      </w:r>
      <w:r w:rsidRPr="000757BC">
        <w:rPr>
          <w:rFonts w:ascii="Segoe UI" w:hAnsi="Segoe UI" w:cs="Segoe UI"/>
        </w:rPr>
        <w:t xml:space="preserve">da obrigação do preenchimento da </w:t>
      </w:r>
      <w:r w:rsidR="00486102">
        <w:rPr>
          <w:rFonts w:ascii="Segoe UI" w:hAnsi="Segoe UI" w:cs="Segoe UI"/>
        </w:rPr>
        <w:t>c</w:t>
      </w:r>
      <w:r w:rsidRPr="000757BC">
        <w:rPr>
          <w:rFonts w:ascii="Segoe UI" w:hAnsi="Segoe UI" w:cs="Segoe UI"/>
        </w:rPr>
        <w:t xml:space="preserve">onta </w:t>
      </w:r>
      <w:r w:rsidR="00486102">
        <w:rPr>
          <w:rFonts w:ascii="Segoe UI" w:hAnsi="Segoe UI" w:cs="Segoe UI"/>
        </w:rPr>
        <w:t>r</w:t>
      </w:r>
      <w:r w:rsidRPr="000757BC">
        <w:rPr>
          <w:rFonts w:ascii="Segoe UI" w:hAnsi="Segoe UI" w:cs="Segoe UI"/>
        </w:rPr>
        <w:t xml:space="preserve">eserva com base no pedido encaminhado pela </w:t>
      </w:r>
      <w:r w:rsidR="004A4B03">
        <w:rPr>
          <w:rFonts w:ascii="Segoe UI" w:hAnsi="Segoe UI" w:cs="Segoe UI"/>
        </w:rPr>
        <w:t xml:space="preserve">Eletronuclear </w:t>
      </w:r>
      <w:r w:rsidRPr="000757BC">
        <w:rPr>
          <w:rFonts w:ascii="Segoe UI" w:hAnsi="Segoe UI" w:cs="Segoe UI"/>
        </w:rPr>
        <w:t>em 25 de março de 2022. Também houve autorização de prorrogação até 01</w:t>
      </w:r>
      <w:r w:rsidR="005004DE">
        <w:rPr>
          <w:rFonts w:ascii="Segoe UI" w:hAnsi="Segoe UI" w:cs="Segoe UI"/>
        </w:rPr>
        <w:t xml:space="preserve"> de outubro de </w:t>
      </w:r>
      <w:r w:rsidRPr="000757BC">
        <w:rPr>
          <w:rFonts w:ascii="Segoe UI" w:hAnsi="Segoe UI" w:cs="Segoe UI"/>
        </w:rPr>
        <w:t xml:space="preserve">2026 para a apresentação da Autorização para a Utilização de Material Nuclear </w:t>
      </w:r>
      <w:r w:rsidR="00486102">
        <w:rPr>
          <w:rFonts w:ascii="Segoe UI" w:hAnsi="Segoe UI" w:cs="Segoe UI"/>
        </w:rPr>
        <w:t>–</w:t>
      </w:r>
      <w:r w:rsidRPr="000757BC">
        <w:rPr>
          <w:rFonts w:ascii="Segoe UI" w:hAnsi="Segoe UI" w:cs="Segoe UI"/>
        </w:rPr>
        <w:t xml:space="preserve"> </w:t>
      </w:r>
      <w:r w:rsidR="00486102">
        <w:rPr>
          <w:rFonts w:ascii="Segoe UI" w:hAnsi="Segoe UI" w:cs="Segoe UI"/>
        </w:rPr>
        <w:t>(“</w:t>
      </w:r>
      <w:r w:rsidRPr="000757BC">
        <w:rPr>
          <w:rFonts w:ascii="Segoe UI" w:hAnsi="Segoe UI" w:cs="Segoe UI"/>
        </w:rPr>
        <w:t>AUMAN</w:t>
      </w:r>
      <w:r w:rsidR="00486102">
        <w:rPr>
          <w:rFonts w:ascii="Segoe UI" w:hAnsi="Segoe UI" w:cs="Segoe UI"/>
        </w:rPr>
        <w:t>”)</w:t>
      </w:r>
      <w:r w:rsidRPr="000757BC">
        <w:rPr>
          <w:rFonts w:ascii="Segoe UI" w:hAnsi="Segoe UI" w:cs="Segoe UI"/>
        </w:rPr>
        <w:t xml:space="preserve"> e até 01</w:t>
      </w:r>
      <w:r w:rsidR="005004DE">
        <w:rPr>
          <w:rFonts w:ascii="Segoe UI" w:hAnsi="Segoe UI" w:cs="Segoe UI"/>
        </w:rPr>
        <w:t xml:space="preserve"> de março </w:t>
      </w:r>
      <w:r w:rsidRPr="000757BC">
        <w:rPr>
          <w:rFonts w:ascii="Segoe UI" w:hAnsi="Segoe UI" w:cs="Segoe UI"/>
        </w:rPr>
        <w:t xml:space="preserve">2026, para a celebração do Contrato de Uso do Sistema de Transmissão </w:t>
      </w:r>
      <w:r w:rsidR="00486102">
        <w:rPr>
          <w:rFonts w:ascii="Segoe UI" w:hAnsi="Segoe UI" w:cs="Segoe UI"/>
        </w:rPr>
        <w:t>–</w:t>
      </w:r>
      <w:r w:rsidRPr="000757BC">
        <w:rPr>
          <w:rFonts w:ascii="Segoe UI" w:hAnsi="Segoe UI" w:cs="Segoe UI"/>
        </w:rPr>
        <w:t xml:space="preserve"> </w:t>
      </w:r>
      <w:r w:rsidR="00486102">
        <w:rPr>
          <w:rFonts w:ascii="Segoe UI" w:hAnsi="Segoe UI" w:cs="Segoe UI"/>
        </w:rPr>
        <w:t>(“</w:t>
      </w:r>
      <w:r w:rsidRPr="000757BC">
        <w:rPr>
          <w:rFonts w:ascii="Segoe UI" w:hAnsi="Segoe UI" w:cs="Segoe UI"/>
        </w:rPr>
        <w:t>CUST</w:t>
      </w:r>
      <w:r w:rsidR="00486102">
        <w:rPr>
          <w:rFonts w:ascii="Segoe UI" w:hAnsi="Segoe UI" w:cs="Segoe UI"/>
        </w:rPr>
        <w:t>”)</w:t>
      </w:r>
      <w:r w:rsidRPr="000757BC">
        <w:rPr>
          <w:rFonts w:ascii="Segoe UI" w:hAnsi="Segoe UI" w:cs="Segoe UI"/>
        </w:rPr>
        <w:t xml:space="preserve"> e do Contrato de Conexão </w:t>
      </w:r>
      <w:r w:rsidR="00486102">
        <w:rPr>
          <w:rFonts w:ascii="Segoe UI" w:hAnsi="Segoe UI" w:cs="Segoe UI"/>
        </w:rPr>
        <w:t>–</w:t>
      </w:r>
      <w:r w:rsidRPr="000757BC">
        <w:rPr>
          <w:rFonts w:ascii="Segoe UI" w:hAnsi="Segoe UI" w:cs="Segoe UI"/>
        </w:rPr>
        <w:t xml:space="preserve"> </w:t>
      </w:r>
      <w:r w:rsidR="00486102">
        <w:rPr>
          <w:rFonts w:ascii="Segoe UI" w:hAnsi="Segoe UI" w:cs="Segoe UI"/>
        </w:rPr>
        <w:t>(“</w:t>
      </w:r>
      <w:r w:rsidRPr="000757BC">
        <w:rPr>
          <w:rFonts w:ascii="Segoe UI" w:hAnsi="Segoe UI" w:cs="Segoe UI"/>
        </w:rPr>
        <w:t>CCT</w:t>
      </w:r>
      <w:r w:rsidR="00486102">
        <w:rPr>
          <w:rFonts w:ascii="Segoe UI" w:hAnsi="Segoe UI" w:cs="Segoe UI"/>
        </w:rPr>
        <w:t>”)</w:t>
      </w:r>
      <w:r w:rsidRPr="000757BC">
        <w:rPr>
          <w:rFonts w:ascii="Segoe UI" w:hAnsi="Segoe UI" w:cs="Segoe UI"/>
        </w:rPr>
        <w:t xml:space="preserve">, com o Operador Nacional do Sistema Elétrico </w:t>
      </w:r>
      <w:r w:rsidR="00486102">
        <w:rPr>
          <w:rFonts w:ascii="Segoe UI" w:hAnsi="Segoe UI" w:cs="Segoe UI"/>
        </w:rPr>
        <w:t>–</w:t>
      </w:r>
      <w:r w:rsidRPr="000757BC">
        <w:rPr>
          <w:rFonts w:ascii="Segoe UI" w:hAnsi="Segoe UI" w:cs="Segoe UI"/>
        </w:rPr>
        <w:t xml:space="preserve"> </w:t>
      </w:r>
      <w:r w:rsidR="00486102">
        <w:rPr>
          <w:rFonts w:ascii="Segoe UI" w:hAnsi="Segoe UI" w:cs="Segoe UI"/>
        </w:rPr>
        <w:t>(“ONS”)</w:t>
      </w:r>
      <w:r w:rsidRPr="000757BC">
        <w:rPr>
          <w:rFonts w:ascii="Segoe UI" w:hAnsi="Segoe UI" w:cs="Segoe UI"/>
        </w:rPr>
        <w:t xml:space="preserve"> e Furnas Centrais Elétricas S.A., respectivamente</w:t>
      </w:r>
      <w:r w:rsidR="00123F95" w:rsidRPr="000757BC">
        <w:rPr>
          <w:rFonts w:ascii="Segoe UI" w:hAnsi="Segoe UI" w:cs="Segoe UI"/>
        </w:rPr>
        <w:t>.</w:t>
      </w:r>
    </w:p>
    <w:p w14:paraId="6F42DE44" w14:textId="77777777" w:rsidR="00D51702" w:rsidRDefault="00D51702">
      <w:pPr>
        <w:rPr>
          <w:rFonts w:ascii="Segoe UI" w:eastAsia="Times New Roman" w:hAnsi="Segoe UI" w:cs="Segoe UI"/>
          <w:b/>
          <w:bCs/>
          <w:color w:val="0070C0"/>
          <w:lang w:eastAsia="pt-BR"/>
        </w:rPr>
      </w:pPr>
      <w:r>
        <w:rPr>
          <w:rFonts w:ascii="Segoe UI" w:hAnsi="Segoe UI" w:cs="Segoe UI"/>
          <w:b/>
          <w:bCs/>
          <w:color w:val="0070C0"/>
        </w:rPr>
        <w:br w:type="page"/>
      </w:r>
    </w:p>
    <w:p w14:paraId="6624C031" w14:textId="619A15CA" w:rsidR="00E406F0" w:rsidRPr="000757BC" w:rsidRDefault="00E406F0" w:rsidP="00F63F20">
      <w:pPr>
        <w:pStyle w:val="PargrafodaLista"/>
        <w:spacing w:before="240" w:after="120" w:line="259" w:lineRule="auto"/>
        <w:ind w:left="0"/>
        <w:rPr>
          <w:rFonts w:ascii="Segoe UI" w:hAnsi="Segoe UI" w:cs="Segoe UI"/>
          <w:b/>
          <w:bCs/>
          <w:color w:val="0070C0"/>
          <w:szCs w:val="22"/>
        </w:rPr>
      </w:pPr>
      <w:r w:rsidRPr="000757BC">
        <w:rPr>
          <w:rFonts w:ascii="Segoe UI" w:hAnsi="Segoe UI" w:cs="Segoe UI"/>
          <w:b/>
          <w:bCs/>
          <w:color w:val="0070C0"/>
          <w:szCs w:val="22"/>
        </w:rPr>
        <w:lastRenderedPageBreak/>
        <w:t xml:space="preserve">Confissão de </w:t>
      </w:r>
      <w:r w:rsidR="00FF727C">
        <w:rPr>
          <w:rFonts w:ascii="Segoe UI" w:hAnsi="Segoe UI" w:cs="Segoe UI"/>
          <w:b/>
          <w:bCs/>
          <w:color w:val="0070C0"/>
          <w:szCs w:val="22"/>
        </w:rPr>
        <w:t>d</w:t>
      </w:r>
      <w:r w:rsidRPr="000757BC">
        <w:rPr>
          <w:rFonts w:ascii="Segoe UI" w:hAnsi="Segoe UI" w:cs="Segoe UI"/>
          <w:b/>
          <w:bCs/>
          <w:color w:val="0070C0"/>
          <w:szCs w:val="22"/>
        </w:rPr>
        <w:t>ívida</w:t>
      </w:r>
    </w:p>
    <w:p w14:paraId="2AEDFBAF" w14:textId="7511419C" w:rsidR="00E406F0" w:rsidRPr="000757BC" w:rsidRDefault="00E406F0" w:rsidP="00F63F20">
      <w:pPr>
        <w:tabs>
          <w:tab w:val="num" w:pos="360"/>
        </w:tabs>
        <w:spacing w:before="240" w:after="120"/>
        <w:jc w:val="both"/>
        <w:rPr>
          <w:rFonts w:ascii="Segoe UI" w:hAnsi="Segoe UI" w:cs="Segoe UI"/>
        </w:rPr>
      </w:pPr>
      <w:r w:rsidRPr="000757BC">
        <w:rPr>
          <w:rFonts w:ascii="Segoe UI" w:hAnsi="Segoe UI" w:cs="Segoe UI"/>
        </w:rPr>
        <w:t xml:space="preserve">Em 30 de outubro de 2019, foi celebrado pela </w:t>
      </w:r>
      <w:r w:rsidR="004A4B03">
        <w:rPr>
          <w:rFonts w:ascii="Segoe UI" w:hAnsi="Segoe UI" w:cs="Segoe UI"/>
        </w:rPr>
        <w:t xml:space="preserve">Eletronuclear </w:t>
      </w:r>
      <w:r w:rsidRPr="000757BC">
        <w:rPr>
          <w:rFonts w:ascii="Segoe UI" w:hAnsi="Segoe UI" w:cs="Segoe UI"/>
        </w:rPr>
        <w:t xml:space="preserve">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w:t>
      </w:r>
      <w:r w:rsidR="000F389E">
        <w:rPr>
          <w:rFonts w:ascii="Segoe UI" w:hAnsi="Segoe UI" w:cs="Segoe UI"/>
        </w:rPr>
        <w:t xml:space="preserve">                    </w:t>
      </w:r>
      <w:r w:rsidRPr="000757BC">
        <w:rPr>
          <w:rFonts w:ascii="Segoe UI" w:hAnsi="Segoe UI" w:cs="Segoe UI"/>
        </w:rPr>
        <w:t>R$</w:t>
      </w:r>
      <w:r w:rsidR="000F389E">
        <w:rPr>
          <w:rFonts w:ascii="Segoe UI" w:hAnsi="Segoe UI" w:cs="Segoe UI"/>
        </w:rPr>
        <w:t xml:space="preserve"> </w:t>
      </w:r>
      <w:r w:rsidRPr="000757BC">
        <w:rPr>
          <w:rFonts w:ascii="Segoe UI" w:hAnsi="Segoe UI" w:cs="Segoe UI"/>
        </w:rPr>
        <w:t>122.560, atualizado à data de 31 de dezembro de 2012. Este montante devido pela</w:t>
      </w:r>
      <w:r w:rsidR="00DA30CF" w:rsidRPr="000757BC">
        <w:rPr>
          <w:rFonts w:ascii="Segoe UI" w:hAnsi="Segoe UI" w:cs="Segoe UI"/>
        </w:rPr>
        <w:t xml:space="preserve"> Eletronuclear</w:t>
      </w:r>
      <w:r w:rsidRPr="000757BC">
        <w:rPr>
          <w:rFonts w:ascii="Segoe UI" w:hAnsi="Segoe UI" w:cs="Segoe UI"/>
        </w:rPr>
        <w:t>, atualizado em 31 de dezembro 2018, totalizava R$ 246.142.</w:t>
      </w:r>
    </w:p>
    <w:p w14:paraId="06DD20ED" w14:textId="703C6D95" w:rsidR="00E406F0" w:rsidRPr="000757BC" w:rsidRDefault="00E406F0" w:rsidP="00F63F20">
      <w:pPr>
        <w:tabs>
          <w:tab w:val="num" w:pos="360"/>
        </w:tabs>
        <w:spacing w:before="240" w:after="120"/>
        <w:jc w:val="both"/>
        <w:rPr>
          <w:rFonts w:ascii="Segoe UI" w:hAnsi="Segoe UI" w:cs="Segoe UI"/>
        </w:rPr>
      </w:pPr>
      <w:r w:rsidRPr="000757BC">
        <w:rPr>
          <w:rFonts w:ascii="Segoe UI" w:hAnsi="Segoe UI" w:cs="Segoe UI"/>
        </w:rPr>
        <w:t xml:space="preserve">Desta forma, conforme as condições firmadas pelas duas partes no Instrumento firmado, a </w:t>
      </w:r>
      <w:r w:rsidR="004A4B03">
        <w:rPr>
          <w:rFonts w:ascii="Segoe UI" w:hAnsi="Segoe UI" w:cs="Segoe UI"/>
        </w:rPr>
        <w:t xml:space="preserve">Eletronuclear </w:t>
      </w:r>
      <w:r w:rsidRPr="000757BC">
        <w:rPr>
          <w:rFonts w:ascii="Segoe UI" w:hAnsi="Segoe UI" w:cs="Segoe UI"/>
        </w:rPr>
        <w:t xml:space="preserve">obriga-se a pagar o saldo atualizado IPCA, da dívida reconhecida em 96 (noventa e seis) parcelas iguais e sucessivas, pelo Sistema de Amortização Constante – </w:t>
      </w:r>
      <w:r w:rsidR="000F389E">
        <w:rPr>
          <w:rFonts w:ascii="Segoe UI" w:hAnsi="Segoe UI" w:cs="Segoe UI"/>
        </w:rPr>
        <w:t>(“</w:t>
      </w:r>
      <w:r w:rsidRPr="000757BC">
        <w:rPr>
          <w:rFonts w:ascii="Segoe UI" w:hAnsi="Segoe UI" w:cs="Segoe UI"/>
        </w:rPr>
        <w:t>SAC</w:t>
      </w:r>
      <w:r w:rsidR="000F389E">
        <w:rPr>
          <w:rFonts w:ascii="Segoe UI" w:hAnsi="Segoe UI" w:cs="Segoe UI"/>
        </w:rPr>
        <w:t>”)</w:t>
      </w:r>
      <w:r w:rsidRPr="000757BC">
        <w:rPr>
          <w:rFonts w:ascii="Segoe UI" w:hAnsi="Segoe UI" w:cs="Segoe UI"/>
        </w:rPr>
        <w:t xml:space="preserve">, contados a partir da expiração dos 24 (vinte e quatro) meses de carência do principal, que possui início a partir do mês subsequente à assinatura do referido Instrumento de Confissão de Dívida. </w:t>
      </w:r>
    </w:p>
    <w:p w14:paraId="6C44C7FC" w14:textId="77777777" w:rsidR="00E406F0" w:rsidRPr="000757BC" w:rsidRDefault="00E406F0" w:rsidP="00F63F20">
      <w:pPr>
        <w:tabs>
          <w:tab w:val="num" w:pos="360"/>
        </w:tabs>
        <w:spacing w:before="240" w:after="120"/>
        <w:jc w:val="both"/>
        <w:rPr>
          <w:rFonts w:ascii="Segoe UI" w:hAnsi="Segoe UI" w:cs="Segoe UI"/>
        </w:rPr>
      </w:pPr>
      <w:r w:rsidRPr="000757BC">
        <w:rPr>
          <w:rFonts w:ascii="Segoe UI" w:hAnsi="Segoe UI" w:cs="Segoe UI"/>
        </w:rPr>
        <w:t xml:space="preserve">A partir da assinatura do referido contrato, sobre o saldo devedor atualizado mensalmente pelo IPCA, incidem taxa de juros nominal de 7,83% a.a. e uma taxa de administração de 0,5% a.a., ambos calculados </w:t>
      </w:r>
      <w:r w:rsidRPr="000757BC">
        <w:rPr>
          <w:rFonts w:ascii="Segoe UI" w:hAnsi="Segoe UI" w:cs="Segoe UI"/>
          <w:i/>
        </w:rPr>
        <w:t>pro rata temporis</w:t>
      </w:r>
      <w:r w:rsidRPr="000757BC">
        <w:rPr>
          <w:rFonts w:ascii="Segoe UI" w:hAnsi="Segoe UI" w:cs="Segoe UI"/>
        </w:rPr>
        <w:t>.</w:t>
      </w:r>
    </w:p>
    <w:p w14:paraId="25B90EFA" w14:textId="21BEF571" w:rsidR="00C144BB" w:rsidRPr="000757BC" w:rsidRDefault="00E406F0" w:rsidP="00F63F20">
      <w:pPr>
        <w:tabs>
          <w:tab w:val="num" w:pos="360"/>
        </w:tabs>
        <w:spacing w:before="240" w:after="120"/>
        <w:jc w:val="both"/>
        <w:rPr>
          <w:rFonts w:ascii="Segoe UI" w:hAnsi="Segoe UI" w:cs="Segoe UI"/>
        </w:rPr>
      </w:pPr>
      <w:r w:rsidRPr="000757BC">
        <w:rPr>
          <w:rFonts w:ascii="Segoe UI" w:hAnsi="Segoe UI" w:cs="Segoe UI"/>
        </w:rPr>
        <w:t>Em novembro de 2021, teve início a amortização do principal do Instrumento Particular de Confissão de Dívida firmado com Furnas.</w:t>
      </w:r>
      <w:r w:rsidR="00B643D9">
        <w:rPr>
          <w:rFonts w:ascii="Segoe UI" w:hAnsi="Segoe UI" w:cs="Segoe UI"/>
        </w:rPr>
        <w:t xml:space="preserve"> </w:t>
      </w:r>
      <w:r w:rsidR="00B643D9" w:rsidRPr="004A6934">
        <w:rPr>
          <w:rFonts w:ascii="Segoe UI" w:hAnsi="Segoe UI" w:cs="Segoe UI"/>
        </w:rPr>
        <w:t xml:space="preserve">O saldo da dívida em 31 de dezembro de 2022 totaliza o montante de R$ 278.831.  </w:t>
      </w:r>
    </w:p>
    <w:p w14:paraId="201DDF0A" w14:textId="026EB291" w:rsidR="00E406F0" w:rsidRPr="000757BC" w:rsidRDefault="00E406F0" w:rsidP="00F63F20">
      <w:pPr>
        <w:spacing w:before="240" w:after="120"/>
        <w:rPr>
          <w:rFonts w:ascii="Segoe UI" w:hAnsi="Segoe UI" w:cs="Segoe UI"/>
          <w:b/>
          <w:bCs/>
          <w:color w:val="0070C0"/>
        </w:rPr>
      </w:pPr>
      <w:r w:rsidRPr="000757BC">
        <w:rPr>
          <w:rFonts w:ascii="Segoe UI" w:hAnsi="Segoe UI" w:cs="Segoe UI"/>
          <w:b/>
          <w:bCs/>
          <w:color w:val="0070C0"/>
        </w:rPr>
        <w:t>1</w:t>
      </w:r>
      <w:r w:rsidR="002A4E82">
        <w:rPr>
          <w:rFonts w:ascii="Segoe UI" w:hAnsi="Segoe UI" w:cs="Segoe UI"/>
          <w:b/>
          <w:bCs/>
          <w:color w:val="0070C0"/>
        </w:rPr>
        <w:t>6</w:t>
      </w:r>
      <w:r w:rsidRPr="000757BC">
        <w:rPr>
          <w:rFonts w:ascii="Segoe UI" w:hAnsi="Segoe UI" w:cs="Segoe UI"/>
          <w:b/>
          <w:bCs/>
          <w:color w:val="0070C0"/>
        </w:rPr>
        <w:t xml:space="preserve">.1 </w:t>
      </w:r>
      <w:r w:rsidR="001B5717" w:rsidRPr="000757BC">
        <w:rPr>
          <w:rFonts w:ascii="Segoe UI" w:hAnsi="Segoe UI" w:cs="Segoe UI"/>
          <w:b/>
          <w:bCs/>
          <w:color w:val="0070C0"/>
        </w:rPr>
        <w:t>–</w:t>
      </w:r>
      <w:r w:rsidRPr="000757BC">
        <w:rPr>
          <w:rFonts w:ascii="Segoe UI" w:hAnsi="Segoe UI" w:cs="Segoe UI"/>
          <w:b/>
          <w:bCs/>
          <w:color w:val="0070C0"/>
        </w:rPr>
        <w:t xml:space="preserve"> </w:t>
      </w:r>
      <w:r w:rsidR="001B5717" w:rsidRPr="000757BC">
        <w:rPr>
          <w:rFonts w:ascii="Segoe UI" w:hAnsi="Segoe UI" w:cs="Segoe UI"/>
          <w:b/>
          <w:bCs/>
          <w:color w:val="0070C0"/>
        </w:rPr>
        <w:t>Cronograma de pagamentos</w:t>
      </w:r>
    </w:p>
    <w:p w14:paraId="350249BE" w14:textId="27AD3712" w:rsidR="00E406F0" w:rsidRPr="000757BC" w:rsidRDefault="00E406F0" w:rsidP="00F63F20">
      <w:pPr>
        <w:widowControl w:val="0"/>
        <w:autoSpaceDE w:val="0"/>
        <w:autoSpaceDN w:val="0"/>
        <w:spacing w:before="240" w:after="120"/>
        <w:jc w:val="both"/>
        <w:rPr>
          <w:rFonts w:ascii="Segoe UI" w:hAnsi="Segoe UI" w:cs="Segoe UI"/>
        </w:rPr>
      </w:pPr>
      <w:r w:rsidRPr="000757BC">
        <w:rPr>
          <w:rFonts w:ascii="Segoe UI" w:hAnsi="Segoe UI" w:cs="Segoe UI"/>
        </w:rPr>
        <w:t>A</w:t>
      </w:r>
      <w:r w:rsidR="005004DE">
        <w:rPr>
          <w:rFonts w:ascii="Segoe UI" w:hAnsi="Segoe UI" w:cs="Segoe UI"/>
        </w:rPr>
        <w:t>s</w:t>
      </w:r>
      <w:r w:rsidRPr="000757BC">
        <w:rPr>
          <w:rFonts w:ascii="Segoe UI" w:hAnsi="Segoe UI" w:cs="Segoe UI"/>
        </w:rPr>
        <w:t xml:space="preserve"> parcela</w:t>
      </w:r>
      <w:r w:rsidR="005004DE">
        <w:rPr>
          <w:rFonts w:ascii="Segoe UI" w:hAnsi="Segoe UI" w:cs="Segoe UI"/>
        </w:rPr>
        <w:t>s</w:t>
      </w:r>
      <w:r w:rsidRPr="000757BC">
        <w:rPr>
          <w:rFonts w:ascii="Segoe UI" w:hAnsi="Segoe UI" w:cs="Segoe UI"/>
        </w:rPr>
        <w:t xml:space="preserve"> dos empréstimos e financiamentos tem seu vencimento assim programado:</w:t>
      </w:r>
    </w:p>
    <w:tbl>
      <w:tblPr>
        <w:tblW w:w="5000" w:type="pct"/>
        <w:tblLayout w:type="fixed"/>
        <w:tblCellMar>
          <w:left w:w="70" w:type="dxa"/>
          <w:right w:w="70" w:type="dxa"/>
        </w:tblCellMar>
        <w:tblLook w:val="04A0" w:firstRow="1" w:lastRow="0" w:firstColumn="1" w:lastColumn="0" w:noHBand="0" w:noVBand="1"/>
      </w:tblPr>
      <w:tblGrid>
        <w:gridCol w:w="1335"/>
        <w:gridCol w:w="1026"/>
        <w:gridCol w:w="1328"/>
        <w:gridCol w:w="1185"/>
        <w:gridCol w:w="1185"/>
        <w:gridCol w:w="1033"/>
        <w:gridCol w:w="1320"/>
        <w:gridCol w:w="1085"/>
      </w:tblGrid>
      <w:tr w:rsidR="00FE1E31" w:rsidRPr="0096565F" w14:paraId="10019C9F" w14:textId="77777777" w:rsidTr="00A61F46">
        <w:trPr>
          <w:trHeight w:val="202"/>
        </w:trPr>
        <w:tc>
          <w:tcPr>
            <w:tcW w:w="703" w:type="pct"/>
            <w:tcBorders>
              <w:top w:val="nil"/>
              <w:left w:val="nil"/>
              <w:bottom w:val="nil"/>
              <w:right w:val="nil"/>
            </w:tcBorders>
            <w:shd w:val="clear" w:color="000000" w:fill="1B80C4"/>
            <w:noWrap/>
            <w:vAlign w:val="bottom"/>
            <w:hideMark/>
          </w:tcPr>
          <w:p w14:paraId="63E4C74F" w14:textId="77777777" w:rsidR="0096565F" w:rsidRPr="0096565F" w:rsidRDefault="0096565F" w:rsidP="0096565F">
            <w:pPr>
              <w:spacing w:after="0" w:line="240" w:lineRule="auto"/>
              <w:rPr>
                <w:rFonts w:ascii="Segoe UI" w:eastAsia="Times New Roman" w:hAnsi="Segoe UI" w:cs="Segoe UI"/>
                <w:color w:val="FFFFFF"/>
                <w:sz w:val="20"/>
                <w:szCs w:val="20"/>
                <w:lang w:eastAsia="pt-BR"/>
              </w:rPr>
            </w:pPr>
            <w:r w:rsidRPr="0096565F">
              <w:rPr>
                <w:rFonts w:ascii="Segoe UI" w:eastAsia="Times New Roman" w:hAnsi="Segoe UI" w:cs="Segoe UI"/>
                <w:color w:val="FFFFFF"/>
                <w:sz w:val="20"/>
                <w:szCs w:val="20"/>
                <w:lang w:eastAsia="pt-BR"/>
              </w:rPr>
              <w:t> </w:t>
            </w:r>
          </w:p>
        </w:tc>
        <w:tc>
          <w:tcPr>
            <w:tcW w:w="540" w:type="pct"/>
            <w:tcBorders>
              <w:top w:val="nil"/>
              <w:left w:val="nil"/>
              <w:right w:val="nil"/>
            </w:tcBorders>
            <w:shd w:val="clear" w:color="000000" w:fill="1B80C4"/>
            <w:noWrap/>
            <w:vAlign w:val="bottom"/>
            <w:hideMark/>
          </w:tcPr>
          <w:p w14:paraId="5ABF189C" w14:textId="35EF0A0F" w:rsidR="0096565F" w:rsidRPr="0096565F" w:rsidRDefault="0096565F" w:rsidP="00A60B80">
            <w:pPr>
              <w:spacing w:after="0" w:line="240" w:lineRule="auto"/>
              <w:jc w:val="right"/>
              <w:rPr>
                <w:rFonts w:ascii="Segoe UI" w:eastAsia="Times New Roman" w:hAnsi="Segoe UI" w:cs="Segoe UI"/>
                <w:b/>
                <w:bCs/>
                <w:color w:val="FFFFFF"/>
                <w:sz w:val="18"/>
                <w:szCs w:val="18"/>
                <w:lang w:eastAsia="pt-BR"/>
              </w:rPr>
            </w:pPr>
            <w:r w:rsidRPr="0096565F">
              <w:rPr>
                <w:rFonts w:ascii="Segoe UI" w:eastAsia="Times New Roman" w:hAnsi="Segoe UI" w:cs="Segoe UI"/>
                <w:b/>
                <w:bCs/>
                <w:color w:val="FFFFFF"/>
                <w:sz w:val="18"/>
                <w:szCs w:val="18"/>
                <w:lang w:eastAsia="pt-BR"/>
              </w:rPr>
              <w:t xml:space="preserve">2023 </w:t>
            </w:r>
          </w:p>
        </w:tc>
        <w:tc>
          <w:tcPr>
            <w:tcW w:w="699" w:type="pct"/>
            <w:tcBorders>
              <w:top w:val="nil"/>
              <w:left w:val="nil"/>
              <w:right w:val="nil"/>
            </w:tcBorders>
            <w:shd w:val="clear" w:color="000000" w:fill="1B80C4"/>
            <w:noWrap/>
            <w:vAlign w:val="bottom"/>
            <w:hideMark/>
          </w:tcPr>
          <w:p w14:paraId="162B6BCE" w14:textId="2E61BF7C" w:rsidR="0096565F" w:rsidRPr="0096565F" w:rsidRDefault="0096565F" w:rsidP="00A60B80">
            <w:pPr>
              <w:spacing w:after="0" w:line="240" w:lineRule="auto"/>
              <w:jc w:val="right"/>
              <w:rPr>
                <w:rFonts w:ascii="Segoe UI" w:eastAsia="Times New Roman" w:hAnsi="Segoe UI" w:cs="Segoe UI"/>
                <w:b/>
                <w:bCs/>
                <w:color w:val="FFFFFF"/>
                <w:sz w:val="18"/>
                <w:szCs w:val="18"/>
                <w:lang w:eastAsia="pt-BR"/>
              </w:rPr>
            </w:pPr>
            <w:r w:rsidRPr="0096565F">
              <w:rPr>
                <w:rFonts w:ascii="Segoe UI" w:eastAsia="Times New Roman" w:hAnsi="Segoe UI" w:cs="Segoe UI"/>
                <w:b/>
                <w:bCs/>
                <w:color w:val="FFFFFF"/>
                <w:sz w:val="18"/>
                <w:szCs w:val="18"/>
                <w:lang w:eastAsia="pt-BR"/>
              </w:rPr>
              <w:t xml:space="preserve">2024 </w:t>
            </w:r>
          </w:p>
        </w:tc>
        <w:tc>
          <w:tcPr>
            <w:tcW w:w="624" w:type="pct"/>
            <w:tcBorders>
              <w:top w:val="nil"/>
              <w:left w:val="nil"/>
              <w:right w:val="nil"/>
            </w:tcBorders>
            <w:shd w:val="clear" w:color="000000" w:fill="1B80C4"/>
            <w:noWrap/>
            <w:vAlign w:val="bottom"/>
            <w:hideMark/>
          </w:tcPr>
          <w:p w14:paraId="3F7D7B67" w14:textId="76FBD04F" w:rsidR="0096565F" w:rsidRPr="0096565F" w:rsidRDefault="0096565F" w:rsidP="00A60B80">
            <w:pPr>
              <w:spacing w:after="0" w:line="240" w:lineRule="auto"/>
              <w:jc w:val="right"/>
              <w:rPr>
                <w:rFonts w:ascii="Segoe UI" w:eastAsia="Times New Roman" w:hAnsi="Segoe UI" w:cs="Segoe UI"/>
                <w:b/>
                <w:bCs/>
                <w:color w:val="FFFFFF"/>
                <w:sz w:val="18"/>
                <w:szCs w:val="18"/>
                <w:lang w:eastAsia="pt-BR"/>
              </w:rPr>
            </w:pPr>
            <w:r w:rsidRPr="0096565F">
              <w:rPr>
                <w:rFonts w:ascii="Segoe UI" w:eastAsia="Times New Roman" w:hAnsi="Segoe UI" w:cs="Segoe UI"/>
                <w:b/>
                <w:bCs/>
                <w:color w:val="FFFFFF"/>
                <w:sz w:val="18"/>
                <w:szCs w:val="18"/>
                <w:lang w:eastAsia="pt-BR"/>
              </w:rPr>
              <w:t xml:space="preserve">2025 </w:t>
            </w:r>
          </w:p>
        </w:tc>
        <w:tc>
          <w:tcPr>
            <w:tcW w:w="624" w:type="pct"/>
            <w:tcBorders>
              <w:top w:val="nil"/>
              <w:left w:val="nil"/>
              <w:right w:val="nil"/>
            </w:tcBorders>
            <w:shd w:val="clear" w:color="000000" w:fill="1B80C4"/>
            <w:noWrap/>
            <w:vAlign w:val="bottom"/>
            <w:hideMark/>
          </w:tcPr>
          <w:p w14:paraId="6A4B44DA" w14:textId="357365DA" w:rsidR="0096565F" w:rsidRPr="0096565F" w:rsidRDefault="0096565F" w:rsidP="00A60B80">
            <w:pPr>
              <w:spacing w:after="0" w:line="240" w:lineRule="auto"/>
              <w:jc w:val="right"/>
              <w:rPr>
                <w:rFonts w:ascii="Segoe UI" w:eastAsia="Times New Roman" w:hAnsi="Segoe UI" w:cs="Segoe UI"/>
                <w:b/>
                <w:bCs/>
                <w:color w:val="FFFFFF"/>
                <w:sz w:val="18"/>
                <w:szCs w:val="18"/>
                <w:lang w:eastAsia="pt-BR"/>
              </w:rPr>
            </w:pPr>
            <w:r w:rsidRPr="0096565F">
              <w:rPr>
                <w:rFonts w:ascii="Segoe UI" w:eastAsia="Times New Roman" w:hAnsi="Segoe UI" w:cs="Segoe UI"/>
                <w:b/>
                <w:bCs/>
                <w:color w:val="FFFFFF"/>
                <w:sz w:val="18"/>
                <w:szCs w:val="18"/>
                <w:lang w:eastAsia="pt-BR"/>
              </w:rPr>
              <w:t xml:space="preserve">2026 </w:t>
            </w:r>
          </w:p>
        </w:tc>
        <w:tc>
          <w:tcPr>
            <w:tcW w:w="544" w:type="pct"/>
            <w:tcBorders>
              <w:top w:val="nil"/>
              <w:left w:val="nil"/>
              <w:right w:val="nil"/>
            </w:tcBorders>
            <w:shd w:val="clear" w:color="000000" w:fill="1B80C4"/>
            <w:noWrap/>
            <w:vAlign w:val="bottom"/>
            <w:hideMark/>
          </w:tcPr>
          <w:p w14:paraId="028FF2AE" w14:textId="27173F7A" w:rsidR="0096565F" w:rsidRPr="0096565F" w:rsidRDefault="0096565F" w:rsidP="001C5FBA">
            <w:pPr>
              <w:spacing w:after="0" w:line="240" w:lineRule="auto"/>
              <w:jc w:val="right"/>
              <w:rPr>
                <w:rFonts w:ascii="Segoe UI" w:eastAsia="Times New Roman" w:hAnsi="Segoe UI" w:cs="Segoe UI"/>
                <w:b/>
                <w:bCs/>
                <w:color w:val="FFFFFF"/>
                <w:sz w:val="18"/>
                <w:szCs w:val="18"/>
                <w:lang w:eastAsia="pt-BR"/>
              </w:rPr>
            </w:pPr>
            <w:r w:rsidRPr="0096565F">
              <w:rPr>
                <w:rFonts w:ascii="Segoe UI" w:eastAsia="Times New Roman" w:hAnsi="Segoe UI" w:cs="Segoe UI"/>
                <w:b/>
                <w:bCs/>
                <w:color w:val="FFFFFF"/>
                <w:sz w:val="18"/>
                <w:szCs w:val="18"/>
                <w:lang w:eastAsia="pt-BR"/>
              </w:rPr>
              <w:t xml:space="preserve">      2027 </w:t>
            </w:r>
          </w:p>
        </w:tc>
        <w:tc>
          <w:tcPr>
            <w:tcW w:w="695" w:type="pct"/>
            <w:tcBorders>
              <w:top w:val="nil"/>
              <w:left w:val="nil"/>
              <w:right w:val="nil"/>
            </w:tcBorders>
            <w:shd w:val="clear" w:color="000000" w:fill="1B80C4"/>
            <w:noWrap/>
            <w:vAlign w:val="bottom"/>
            <w:hideMark/>
          </w:tcPr>
          <w:p w14:paraId="128F07C0" w14:textId="77777777" w:rsidR="0096565F" w:rsidRPr="0096565F" w:rsidRDefault="0096565F" w:rsidP="001C5FBA">
            <w:pPr>
              <w:spacing w:after="0" w:line="240" w:lineRule="auto"/>
              <w:jc w:val="right"/>
              <w:rPr>
                <w:rFonts w:ascii="Segoe UI" w:eastAsia="Times New Roman" w:hAnsi="Segoe UI" w:cs="Segoe UI"/>
                <w:b/>
                <w:bCs/>
                <w:color w:val="FFFFFF"/>
                <w:sz w:val="18"/>
                <w:szCs w:val="18"/>
                <w:lang w:eastAsia="pt-BR"/>
              </w:rPr>
            </w:pPr>
            <w:r w:rsidRPr="0096565F">
              <w:rPr>
                <w:rFonts w:ascii="Segoe UI" w:eastAsia="Times New Roman" w:hAnsi="Segoe UI" w:cs="Segoe UI"/>
                <w:b/>
                <w:bCs/>
                <w:color w:val="FFFFFF"/>
                <w:sz w:val="18"/>
                <w:szCs w:val="18"/>
                <w:lang w:eastAsia="pt-BR"/>
              </w:rPr>
              <w:t xml:space="preserve"> Após 2027 </w:t>
            </w:r>
          </w:p>
        </w:tc>
        <w:tc>
          <w:tcPr>
            <w:tcW w:w="571" w:type="pct"/>
            <w:tcBorders>
              <w:top w:val="nil"/>
              <w:left w:val="nil"/>
              <w:right w:val="nil"/>
            </w:tcBorders>
            <w:shd w:val="clear" w:color="000000" w:fill="1B80C4"/>
            <w:noWrap/>
            <w:vAlign w:val="bottom"/>
            <w:hideMark/>
          </w:tcPr>
          <w:p w14:paraId="052C4FE4" w14:textId="77777777" w:rsidR="0096565F" w:rsidRPr="0096565F" w:rsidRDefault="0096565F" w:rsidP="001C5FBA">
            <w:pPr>
              <w:spacing w:after="0" w:line="240" w:lineRule="auto"/>
              <w:jc w:val="right"/>
              <w:rPr>
                <w:rFonts w:ascii="Segoe UI" w:eastAsia="Times New Roman" w:hAnsi="Segoe UI" w:cs="Segoe UI"/>
                <w:b/>
                <w:bCs/>
                <w:color w:val="FFFFFF"/>
                <w:sz w:val="18"/>
                <w:szCs w:val="18"/>
                <w:lang w:eastAsia="pt-BR"/>
              </w:rPr>
            </w:pPr>
            <w:r w:rsidRPr="0096565F">
              <w:rPr>
                <w:rFonts w:ascii="Segoe UI" w:eastAsia="Times New Roman" w:hAnsi="Segoe UI" w:cs="Segoe UI"/>
                <w:b/>
                <w:bCs/>
                <w:color w:val="FFFFFF"/>
                <w:sz w:val="18"/>
                <w:szCs w:val="18"/>
                <w:lang w:eastAsia="pt-BR"/>
              </w:rPr>
              <w:t xml:space="preserve"> Total </w:t>
            </w:r>
          </w:p>
        </w:tc>
      </w:tr>
      <w:tr w:rsidR="0096565F" w:rsidRPr="0096565F" w14:paraId="53AD4A2C" w14:textId="77777777" w:rsidTr="00515246">
        <w:trPr>
          <w:trHeight w:val="203"/>
        </w:trPr>
        <w:tc>
          <w:tcPr>
            <w:tcW w:w="703" w:type="pct"/>
            <w:tcBorders>
              <w:top w:val="nil"/>
              <w:left w:val="nil"/>
              <w:bottom w:val="nil"/>
              <w:right w:val="nil"/>
            </w:tcBorders>
            <w:shd w:val="clear" w:color="auto" w:fill="auto"/>
            <w:noWrap/>
            <w:vAlign w:val="bottom"/>
            <w:hideMark/>
          </w:tcPr>
          <w:p w14:paraId="28E23B7B" w14:textId="77777777" w:rsidR="0096565F" w:rsidRPr="00515246" w:rsidRDefault="0096565F" w:rsidP="0096565F">
            <w:pPr>
              <w:spacing w:after="0" w:line="240" w:lineRule="auto"/>
              <w:rPr>
                <w:rFonts w:ascii="Segoe UI" w:eastAsia="Times New Roman" w:hAnsi="Segoe UI" w:cs="Segoe UI"/>
                <w:color w:val="000000"/>
                <w:sz w:val="18"/>
                <w:szCs w:val="18"/>
                <w:lang w:eastAsia="pt-BR"/>
              </w:rPr>
            </w:pPr>
            <w:r w:rsidRPr="00515246">
              <w:rPr>
                <w:rFonts w:ascii="Segoe UI" w:eastAsia="Times New Roman" w:hAnsi="Segoe UI" w:cs="Segoe UI"/>
                <w:color w:val="000000"/>
                <w:sz w:val="18"/>
                <w:szCs w:val="18"/>
                <w:lang w:eastAsia="pt-BR"/>
              </w:rPr>
              <w:t>Empréstimos</w:t>
            </w:r>
          </w:p>
        </w:tc>
        <w:tc>
          <w:tcPr>
            <w:tcW w:w="540" w:type="pct"/>
            <w:tcBorders>
              <w:top w:val="nil"/>
              <w:left w:val="nil"/>
              <w:bottom w:val="nil"/>
              <w:right w:val="nil"/>
            </w:tcBorders>
            <w:shd w:val="clear" w:color="auto" w:fill="auto"/>
            <w:noWrap/>
            <w:vAlign w:val="bottom"/>
            <w:hideMark/>
          </w:tcPr>
          <w:p w14:paraId="0A10AE9C" w14:textId="5864A0F4" w:rsidR="0096565F" w:rsidRPr="00515246" w:rsidRDefault="0096565F" w:rsidP="001C5FBA">
            <w:pPr>
              <w:spacing w:after="0" w:line="240" w:lineRule="auto"/>
              <w:jc w:val="right"/>
              <w:rPr>
                <w:rFonts w:ascii="Segoe UI" w:eastAsia="Times New Roman" w:hAnsi="Segoe UI" w:cs="Segoe UI"/>
                <w:sz w:val="18"/>
                <w:szCs w:val="18"/>
                <w:lang w:eastAsia="pt-BR"/>
              </w:rPr>
            </w:pPr>
            <w:r w:rsidRPr="00515246">
              <w:rPr>
                <w:rFonts w:ascii="Segoe UI" w:eastAsia="Times New Roman" w:hAnsi="Segoe UI" w:cs="Segoe UI"/>
                <w:sz w:val="18"/>
                <w:szCs w:val="18"/>
                <w:lang w:eastAsia="pt-BR"/>
              </w:rPr>
              <w:t>414.435</w:t>
            </w:r>
          </w:p>
        </w:tc>
        <w:tc>
          <w:tcPr>
            <w:tcW w:w="699" w:type="pct"/>
            <w:tcBorders>
              <w:top w:val="nil"/>
              <w:left w:val="nil"/>
              <w:bottom w:val="nil"/>
              <w:right w:val="nil"/>
            </w:tcBorders>
            <w:shd w:val="clear" w:color="auto" w:fill="auto"/>
            <w:noWrap/>
            <w:vAlign w:val="bottom"/>
            <w:hideMark/>
          </w:tcPr>
          <w:p w14:paraId="5CB15A18" w14:textId="784DCBBF" w:rsidR="0096565F" w:rsidRPr="00515246" w:rsidRDefault="0096565F" w:rsidP="001C5FBA">
            <w:pPr>
              <w:spacing w:after="0" w:line="240" w:lineRule="auto"/>
              <w:jc w:val="right"/>
              <w:rPr>
                <w:rFonts w:ascii="Segoe UI" w:eastAsia="Times New Roman" w:hAnsi="Segoe UI" w:cs="Segoe UI"/>
                <w:sz w:val="18"/>
                <w:szCs w:val="18"/>
                <w:lang w:eastAsia="pt-BR"/>
              </w:rPr>
            </w:pPr>
            <w:r w:rsidRPr="00515246">
              <w:rPr>
                <w:rFonts w:ascii="Segoe UI" w:eastAsia="Times New Roman" w:hAnsi="Segoe UI" w:cs="Segoe UI"/>
                <w:sz w:val="18"/>
                <w:szCs w:val="18"/>
                <w:lang w:eastAsia="pt-BR"/>
              </w:rPr>
              <w:t xml:space="preserve">400.353 </w:t>
            </w:r>
          </w:p>
        </w:tc>
        <w:tc>
          <w:tcPr>
            <w:tcW w:w="624" w:type="pct"/>
            <w:tcBorders>
              <w:top w:val="nil"/>
              <w:left w:val="nil"/>
              <w:bottom w:val="nil"/>
              <w:right w:val="nil"/>
            </w:tcBorders>
            <w:shd w:val="clear" w:color="auto" w:fill="auto"/>
            <w:noWrap/>
            <w:vAlign w:val="bottom"/>
            <w:hideMark/>
          </w:tcPr>
          <w:p w14:paraId="40CCF030" w14:textId="68F6F7DC" w:rsidR="0096565F" w:rsidRPr="00515246" w:rsidRDefault="0096565F" w:rsidP="001C5FBA">
            <w:pPr>
              <w:spacing w:after="0" w:line="240" w:lineRule="auto"/>
              <w:jc w:val="right"/>
              <w:rPr>
                <w:rFonts w:ascii="Segoe UI" w:eastAsia="Times New Roman" w:hAnsi="Segoe UI" w:cs="Segoe UI"/>
                <w:color w:val="000000"/>
                <w:sz w:val="18"/>
                <w:szCs w:val="18"/>
                <w:lang w:eastAsia="pt-BR"/>
              </w:rPr>
            </w:pPr>
            <w:r w:rsidRPr="00515246">
              <w:rPr>
                <w:rFonts w:ascii="Segoe UI" w:eastAsia="Times New Roman" w:hAnsi="Segoe UI" w:cs="Segoe UI"/>
                <w:color w:val="000000"/>
                <w:sz w:val="18"/>
                <w:szCs w:val="18"/>
                <w:lang w:eastAsia="pt-BR"/>
              </w:rPr>
              <w:t>419.151</w:t>
            </w:r>
          </w:p>
        </w:tc>
        <w:tc>
          <w:tcPr>
            <w:tcW w:w="624" w:type="pct"/>
            <w:tcBorders>
              <w:top w:val="nil"/>
              <w:left w:val="nil"/>
              <w:bottom w:val="nil"/>
              <w:right w:val="nil"/>
            </w:tcBorders>
            <w:shd w:val="clear" w:color="auto" w:fill="auto"/>
            <w:noWrap/>
            <w:vAlign w:val="bottom"/>
            <w:hideMark/>
          </w:tcPr>
          <w:p w14:paraId="268A81F4" w14:textId="672BBAF7" w:rsidR="0096565F" w:rsidRPr="00515246" w:rsidRDefault="0096565F" w:rsidP="001C5FBA">
            <w:pPr>
              <w:spacing w:after="0" w:line="240" w:lineRule="auto"/>
              <w:jc w:val="right"/>
              <w:rPr>
                <w:rFonts w:ascii="Segoe UI" w:eastAsia="Times New Roman" w:hAnsi="Segoe UI" w:cs="Segoe UI"/>
                <w:color w:val="000000"/>
                <w:sz w:val="18"/>
                <w:szCs w:val="18"/>
                <w:lang w:eastAsia="pt-BR"/>
              </w:rPr>
            </w:pPr>
            <w:r w:rsidRPr="00515246">
              <w:rPr>
                <w:rFonts w:ascii="Segoe UI" w:eastAsia="Times New Roman" w:hAnsi="Segoe UI" w:cs="Segoe UI"/>
                <w:color w:val="000000"/>
                <w:sz w:val="18"/>
                <w:szCs w:val="18"/>
                <w:lang w:eastAsia="pt-BR"/>
              </w:rPr>
              <w:t>434.400</w:t>
            </w:r>
          </w:p>
        </w:tc>
        <w:tc>
          <w:tcPr>
            <w:tcW w:w="544" w:type="pct"/>
            <w:tcBorders>
              <w:top w:val="nil"/>
              <w:left w:val="nil"/>
              <w:bottom w:val="nil"/>
              <w:right w:val="nil"/>
            </w:tcBorders>
            <w:shd w:val="clear" w:color="auto" w:fill="auto"/>
            <w:noWrap/>
            <w:vAlign w:val="bottom"/>
            <w:hideMark/>
          </w:tcPr>
          <w:p w14:paraId="11CE6DC2" w14:textId="77B7928C" w:rsidR="0096565F" w:rsidRPr="00515246" w:rsidRDefault="0096565F" w:rsidP="001C5FBA">
            <w:pPr>
              <w:spacing w:after="0" w:line="240" w:lineRule="auto"/>
              <w:jc w:val="right"/>
              <w:rPr>
                <w:rFonts w:ascii="Segoe UI" w:eastAsia="Times New Roman" w:hAnsi="Segoe UI" w:cs="Segoe UI"/>
                <w:color w:val="000000"/>
                <w:sz w:val="18"/>
                <w:szCs w:val="18"/>
                <w:lang w:eastAsia="pt-BR"/>
              </w:rPr>
            </w:pPr>
            <w:r w:rsidRPr="00515246">
              <w:rPr>
                <w:rFonts w:ascii="Segoe UI" w:eastAsia="Times New Roman" w:hAnsi="Segoe UI" w:cs="Segoe UI"/>
                <w:color w:val="000000"/>
                <w:sz w:val="18"/>
                <w:szCs w:val="18"/>
                <w:lang w:eastAsia="pt-BR"/>
              </w:rPr>
              <w:t>433.501</w:t>
            </w:r>
          </w:p>
        </w:tc>
        <w:tc>
          <w:tcPr>
            <w:tcW w:w="695" w:type="pct"/>
            <w:tcBorders>
              <w:top w:val="nil"/>
              <w:left w:val="nil"/>
              <w:bottom w:val="nil"/>
              <w:right w:val="nil"/>
            </w:tcBorders>
            <w:shd w:val="clear" w:color="auto" w:fill="auto"/>
            <w:noWrap/>
            <w:vAlign w:val="bottom"/>
            <w:hideMark/>
          </w:tcPr>
          <w:p w14:paraId="64646311" w14:textId="0F393E9B" w:rsidR="0096565F" w:rsidRPr="00515246" w:rsidRDefault="0096565F" w:rsidP="001C5FBA">
            <w:pPr>
              <w:spacing w:after="0" w:line="240" w:lineRule="auto"/>
              <w:jc w:val="right"/>
              <w:rPr>
                <w:rFonts w:ascii="Segoe UI" w:eastAsia="Times New Roman" w:hAnsi="Segoe UI" w:cs="Segoe UI"/>
                <w:color w:val="000000"/>
                <w:sz w:val="18"/>
                <w:szCs w:val="18"/>
                <w:lang w:eastAsia="pt-BR"/>
              </w:rPr>
            </w:pPr>
            <w:r w:rsidRPr="00515246">
              <w:rPr>
                <w:rFonts w:ascii="Segoe UI" w:eastAsia="Times New Roman" w:hAnsi="Segoe UI" w:cs="Segoe UI"/>
                <w:color w:val="000000"/>
                <w:sz w:val="18"/>
                <w:szCs w:val="18"/>
                <w:lang w:eastAsia="pt-BR"/>
              </w:rPr>
              <w:t>5.030.77</w:t>
            </w:r>
            <w:r w:rsidR="00A74236">
              <w:rPr>
                <w:rFonts w:ascii="Segoe UI" w:eastAsia="Times New Roman" w:hAnsi="Segoe UI" w:cs="Segoe UI"/>
                <w:color w:val="000000"/>
                <w:sz w:val="18"/>
                <w:szCs w:val="18"/>
                <w:lang w:eastAsia="pt-BR"/>
              </w:rPr>
              <w:t>9</w:t>
            </w:r>
          </w:p>
        </w:tc>
        <w:tc>
          <w:tcPr>
            <w:tcW w:w="571" w:type="pct"/>
            <w:tcBorders>
              <w:top w:val="nil"/>
              <w:left w:val="nil"/>
              <w:bottom w:val="nil"/>
              <w:right w:val="nil"/>
            </w:tcBorders>
            <w:shd w:val="clear" w:color="auto" w:fill="auto"/>
            <w:noWrap/>
            <w:vAlign w:val="bottom"/>
            <w:hideMark/>
          </w:tcPr>
          <w:p w14:paraId="05FCF0C4" w14:textId="43B0A81E" w:rsidR="0096565F" w:rsidRPr="00515246" w:rsidRDefault="0096565F" w:rsidP="001C5FBA">
            <w:pPr>
              <w:spacing w:after="0" w:line="240" w:lineRule="auto"/>
              <w:jc w:val="right"/>
              <w:rPr>
                <w:rFonts w:ascii="Segoe UI" w:eastAsia="Times New Roman" w:hAnsi="Segoe UI" w:cs="Segoe UI"/>
                <w:sz w:val="18"/>
                <w:szCs w:val="18"/>
                <w:lang w:eastAsia="pt-BR"/>
              </w:rPr>
            </w:pPr>
            <w:r w:rsidRPr="00515246">
              <w:rPr>
                <w:rFonts w:ascii="Segoe UI" w:eastAsia="Times New Roman" w:hAnsi="Segoe UI" w:cs="Segoe UI"/>
                <w:sz w:val="18"/>
                <w:szCs w:val="18"/>
                <w:lang w:eastAsia="pt-BR"/>
              </w:rPr>
              <w:t>7.132.61</w:t>
            </w:r>
            <w:r w:rsidR="00A74236">
              <w:rPr>
                <w:rFonts w:ascii="Segoe UI" w:eastAsia="Times New Roman" w:hAnsi="Segoe UI" w:cs="Segoe UI"/>
                <w:sz w:val="18"/>
                <w:szCs w:val="18"/>
                <w:lang w:eastAsia="pt-BR"/>
              </w:rPr>
              <w:t>9</w:t>
            </w:r>
          </w:p>
        </w:tc>
      </w:tr>
    </w:tbl>
    <w:p w14:paraId="745C4EBA" w14:textId="77777777" w:rsidR="00E406F0" w:rsidRPr="000757BC" w:rsidRDefault="00E406F0" w:rsidP="00CB3C02">
      <w:pPr>
        <w:rPr>
          <w:rFonts w:ascii="Segoe UI" w:hAnsi="Segoe UI" w:cs="Segoe UI"/>
          <w:noProof/>
          <w:lang w:eastAsia="pt-BR"/>
        </w:rPr>
      </w:pPr>
    </w:p>
    <w:p w14:paraId="14453B9F" w14:textId="02480CD7" w:rsidR="00E406F0" w:rsidRPr="000757BC" w:rsidRDefault="00E406F0" w:rsidP="00F63F20">
      <w:pPr>
        <w:spacing w:before="240" w:after="120"/>
        <w:rPr>
          <w:rFonts w:ascii="Segoe UI" w:hAnsi="Segoe UI" w:cs="Segoe UI"/>
          <w:b/>
          <w:bCs/>
          <w:color w:val="0070C0"/>
        </w:rPr>
      </w:pPr>
      <w:r w:rsidRPr="000757BC">
        <w:rPr>
          <w:rFonts w:ascii="Segoe UI" w:hAnsi="Segoe UI" w:cs="Segoe UI"/>
          <w:b/>
          <w:bCs/>
          <w:color w:val="0070C0"/>
        </w:rPr>
        <w:t>1</w:t>
      </w:r>
      <w:r w:rsidR="002A4E82">
        <w:rPr>
          <w:rFonts w:ascii="Segoe UI" w:hAnsi="Segoe UI" w:cs="Segoe UI"/>
          <w:b/>
          <w:bCs/>
          <w:color w:val="0070C0"/>
        </w:rPr>
        <w:t>6</w:t>
      </w:r>
      <w:r w:rsidRPr="000757BC">
        <w:rPr>
          <w:rFonts w:ascii="Segoe UI" w:hAnsi="Segoe UI" w:cs="Segoe UI"/>
          <w:b/>
          <w:bCs/>
          <w:color w:val="0070C0"/>
        </w:rPr>
        <w:t xml:space="preserve">.2 – Obrigações </w:t>
      </w:r>
      <w:r w:rsidR="008B3599">
        <w:rPr>
          <w:rFonts w:ascii="Segoe UI" w:hAnsi="Segoe UI" w:cs="Segoe UI"/>
          <w:b/>
          <w:bCs/>
          <w:color w:val="0070C0"/>
        </w:rPr>
        <w:t>a</w:t>
      </w:r>
      <w:r w:rsidRPr="000757BC">
        <w:rPr>
          <w:rFonts w:ascii="Segoe UI" w:hAnsi="Segoe UI" w:cs="Segoe UI"/>
          <w:b/>
          <w:bCs/>
          <w:color w:val="0070C0"/>
        </w:rPr>
        <w:t xml:space="preserve">ssumidas – </w:t>
      </w:r>
      <w:r w:rsidRPr="000757BC">
        <w:rPr>
          <w:rFonts w:ascii="Segoe UI" w:hAnsi="Segoe UI" w:cs="Segoe UI"/>
          <w:b/>
          <w:bCs/>
          <w:i/>
          <w:iCs/>
          <w:color w:val="0070C0"/>
        </w:rPr>
        <w:t>Covenants</w:t>
      </w:r>
      <w:r w:rsidRPr="000757BC">
        <w:rPr>
          <w:rFonts w:ascii="Segoe UI" w:hAnsi="Segoe UI" w:cs="Segoe UI"/>
          <w:b/>
          <w:bCs/>
          <w:color w:val="0070C0"/>
        </w:rPr>
        <w:t xml:space="preserve"> </w:t>
      </w:r>
    </w:p>
    <w:p w14:paraId="3F0CF497" w14:textId="08D55ADA" w:rsidR="00E406F0" w:rsidRPr="000757BC" w:rsidRDefault="00856EE7" w:rsidP="00F63F20">
      <w:pPr>
        <w:spacing w:before="240" w:after="120"/>
        <w:jc w:val="both"/>
        <w:rPr>
          <w:rFonts w:ascii="Segoe UI" w:hAnsi="Segoe UI" w:cs="Segoe UI"/>
          <w:bdr w:val="nil"/>
        </w:rPr>
      </w:pPr>
      <w:r w:rsidRPr="00856EE7">
        <w:rPr>
          <w:rFonts w:ascii="Segoe UI" w:hAnsi="Segoe UI" w:cs="Segoe UI"/>
          <w:bdr w:val="nil"/>
        </w:rPr>
        <w:t>A E</w:t>
      </w:r>
      <w:r>
        <w:rPr>
          <w:rFonts w:ascii="Segoe UI" w:hAnsi="Segoe UI" w:cs="Segoe UI"/>
          <w:bdr w:val="nil"/>
        </w:rPr>
        <w:t>letronuclear</w:t>
      </w:r>
      <w:r w:rsidRPr="00856EE7">
        <w:rPr>
          <w:rFonts w:ascii="Segoe UI" w:hAnsi="Segoe UI" w:cs="Segoe UI"/>
          <w:bdr w:val="nil"/>
        </w:rPr>
        <w:t xml:space="preserve"> possui cláusulas de </w:t>
      </w:r>
      <w:r w:rsidRPr="002C19C5">
        <w:rPr>
          <w:rFonts w:ascii="Segoe UI" w:hAnsi="Segoe UI" w:cs="Segoe UI"/>
          <w:i/>
          <w:bdr w:val="nil"/>
        </w:rPr>
        <w:t>covenants</w:t>
      </w:r>
      <w:r w:rsidRPr="00856EE7">
        <w:rPr>
          <w:rFonts w:ascii="Segoe UI" w:hAnsi="Segoe UI" w:cs="Segoe UI"/>
          <w:bdr w:val="nil"/>
        </w:rPr>
        <w:t xml:space="preserve"> em alguns de seus contratos de empréstimos, financiamentos e debêntures. Os principais </w:t>
      </w:r>
      <w:r w:rsidRPr="002C19C5">
        <w:rPr>
          <w:rFonts w:ascii="Segoe UI" w:hAnsi="Segoe UI" w:cs="Segoe UI"/>
          <w:i/>
          <w:bdr w:val="nil"/>
        </w:rPr>
        <w:t>covenants</w:t>
      </w:r>
      <w:r w:rsidRPr="00856EE7">
        <w:rPr>
          <w:rFonts w:ascii="Segoe UI" w:hAnsi="Segoe UI" w:cs="Segoe UI"/>
          <w:bdr w:val="nil"/>
        </w:rPr>
        <w:t xml:space="preserve"> são referentes a: apresentar demonstrações financeiras e auditadas; apresentar trimestralmente Relatório Gerencial sobre a evolução física e financeira d</w:t>
      </w:r>
      <w:r w:rsidRPr="002C19C5">
        <w:rPr>
          <w:rFonts w:ascii="Segoe UI" w:hAnsi="Segoe UI" w:cs="Segoe UI"/>
          <w:bdr w:val="nil"/>
        </w:rPr>
        <w:t>o Projeto</w:t>
      </w:r>
      <w:r w:rsidR="002C19C5" w:rsidRPr="002C19C5">
        <w:rPr>
          <w:rFonts w:ascii="Segoe UI" w:hAnsi="Segoe UI" w:cs="Segoe UI"/>
          <w:bdr w:val="nil"/>
        </w:rPr>
        <w:t xml:space="preserve"> de Angra 3</w:t>
      </w:r>
      <w:r w:rsidRPr="002C19C5">
        <w:rPr>
          <w:rFonts w:ascii="Segoe UI" w:hAnsi="Segoe UI" w:cs="Segoe UI"/>
          <w:bdr w:val="nil"/>
        </w:rPr>
        <w:t>;</w:t>
      </w:r>
      <w:r w:rsidRPr="00856EE7">
        <w:rPr>
          <w:rFonts w:ascii="Segoe UI" w:hAnsi="Segoe UI" w:cs="Segoe UI"/>
          <w:bdr w:val="nil"/>
        </w:rPr>
        <w:t xml:space="preserve"> cumprir as "Disposições Aplicáveis aos Contratos do BNDES"; permitir ampla inspeção das obras do </w:t>
      </w:r>
      <w:r w:rsidRPr="002C19C5">
        <w:rPr>
          <w:rFonts w:ascii="Segoe UI" w:hAnsi="Segoe UI" w:cs="Segoe UI"/>
          <w:bdr w:val="nil"/>
        </w:rPr>
        <w:t>projeto</w:t>
      </w:r>
      <w:r w:rsidRPr="00856EE7">
        <w:rPr>
          <w:rFonts w:ascii="Segoe UI" w:hAnsi="Segoe UI" w:cs="Segoe UI"/>
          <w:bdr w:val="nil"/>
        </w:rPr>
        <w:t xml:space="preserve"> </w:t>
      </w:r>
      <w:r w:rsidR="002C19C5">
        <w:rPr>
          <w:rFonts w:ascii="Segoe UI" w:hAnsi="Segoe UI" w:cs="Segoe UI"/>
          <w:bdr w:val="nil"/>
        </w:rPr>
        <w:t xml:space="preserve">de Angra 3 </w:t>
      </w:r>
      <w:r w:rsidRPr="00856EE7">
        <w:rPr>
          <w:rFonts w:ascii="Segoe UI" w:hAnsi="Segoe UI" w:cs="Segoe UI"/>
          <w:bdr w:val="nil"/>
        </w:rPr>
        <w:t>por parte de representantes do BNDES; enviar quadrimestralmente à STN posição dos créditos empenhados no Contrato de Contragarantia junto à União; no caso de FURNAS, emissão de Nota Promissória no ato da assinatura e a cada dois anos, ao final do exercício, com posição em 31 de dezembro</w:t>
      </w:r>
      <w:r w:rsidR="00E406F0" w:rsidRPr="000757BC">
        <w:rPr>
          <w:rFonts w:ascii="Segoe UI" w:hAnsi="Segoe UI" w:cs="Segoe UI"/>
          <w:bdr w:val="nil"/>
        </w:rPr>
        <w:t>.</w:t>
      </w:r>
    </w:p>
    <w:p w14:paraId="36F39BC1" w14:textId="01573939" w:rsidR="003A0922" w:rsidRPr="00F63F20" w:rsidRDefault="003A0922" w:rsidP="00F63F20">
      <w:pPr>
        <w:widowControl w:val="0"/>
        <w:autoSpaceDE w:val="0"/>
        <w:autoSpaceDN w:val="0"/>
        <w:spacing w:before="240" w:after="120"/>
        <w:rPr>
          <w:rFonts w:ascii="Segoe UI" w:hAnsi="Segoe UI" w:cs="Segoe UI"/>
          <w:bdr w:val="nil"/>
        </w:rPr>
      </w:pPr>
      <w:r w:rsidRPr="00F63F20">
        <w:rPr>
          <w:rFonts w:ascii="Segoe UI" w:hAnsi="Segoe UI" w:cs="Segoe UI"/>
          <w:bdr w:val="nil"/>
        </w:rPr>
        <w:t xml:space="preserve">A Companhia </w:t>
      </w:r>
      <w:r w:rsidR="00534AB8">
        <w:rPr>
          <w:rFonts w:ascii="Segoe UI" w:hAnsi="Segoe UI" w:cs="Segoe UI"/>
          <w:bdr w:val="nil"/>
        </w:rPr>
        <w:t xml:space="preserve">cumpriu todos os </w:t>
      </w:r>
      <w:r w:rsidR="00534AB8" w:rsidRPr="00534AB8">
        <w:rPr>
          <w:rFonts w:ascii="Segoe UI" w:hAnsi="Segoe UI" w:cs="Segoe UI"/>
          <w:i/>
          <w:iCs/>
          <w:bdr w:val="nil"/>
        </w:rPr>
        <w:t>covenants</w:t>
      </w:r>
      <w:r w:rsidR="00534AB8">
        <w:rPr>
          <w:rFonts w:ascii="Segoe UI" w:hAnsi="Segoe UI" w:cs="Segoe UI"/>
          <w:bdr w:val="nil"/>
        </w:rPr>
        <w:t xml:space="preserve"> n</w:t>
      </w:r>
      <w:r w:rsidR="005004DE">
        <w:rPr>
          <w:rFonts w:ascii="Segoe UI" w:hAnsi="Segoe UI" w:cs="Segoe UI"/>
          <w:bdr w:val="nil"/>
        </w:rPr>
        <w:t>o exercício de</w:t>
      </w:r>
      <w:r w:rsidRPr="00F63F20">
        <w:rPr>
          <w:rFonts w:ascii="Segoe UI" w:hAnsi="Segoe UI" w:cs="Segoe UI"/>
          <w:bdr w:val="nil"/>
        </w:rPr>
        <w:t xml:space="preserve"> 2022.</w:t>
      </w:r>
    </w:p>
    <w:p w14:paraId="3CFA6CDC" w14:textId="77777777" w:rsidR="00D51702" w:rsidRDefault="00D51702">
      <w:pPr>
        <w:rPr>
          <w:rFonts w:ascii="Segoe UI" w:hAnsi="Segoe UI" w:cs="Segoe UI"/>
          <w:b/>
          <w:color w:val="0070C0"/>
        </w:rPr>
      </w:pPr>
      <w:r>
        <w:rPr>
          <w:rFonts w:ascii="Segoe UI" w:hAnsi="Segoe UI" w:cs="Segoe UI"/>
          <w:b/>
          <w:color w:val="0070C0"/>
        </w:rPr>
        <w:br w:type="page"/>
      </w:r>
    </w:p>
    <w:p w14:paraId="6B66DC54" w14:textId="7355C884" w:rsidR="00157D13" w:rsidRDefault="00581D1F" w:rsidP="00180C54">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lastRenderedPageBreak/>
        <w:t>1</w:t>
      </w:r>
      <w:r w:rsidR="002A4E82">
        <w:rPr>
          <w:rFonts w:ascii="Segoe UI" w:hAnsi="Segoe UI" w:cs="Segoe UI"/>
          <w:b/>
          <w:color w:val="0070C0"/>
        </w:rPr>
        <w:t>7</w:t>
      </w:r>
      <w:r w:rsidR="00F4139F" w:rsidRPr="000757BC">
        <w:rPr>
          <w:rFonts w:ascii="Segoe UI" w:hAnsi="Segoe UI" w:cs="Segoe UI"/>
          <w:b/>
          <w:color w:val="0070C0"/>
        </w:rPr>
        <w:t xml:space="preserve"> </w:t>
      </w:r>
      <w:r w:rsidR="002B1787" w:rsidRPr="000757BC">
        <w:rPr>
          <w:rFonts w:ascii="Segoe UI" w:hAnsi="Segoe UI" w:cs="Segoe UI"/>
          <w:b/>
          <w:color w:val="0070C0"/>
        </w:rPr>
        <w:t>– TRIBUTOS A RECOLHER</w:t>
      </w:r>
    </w:p>
    <w:tbl>
      <w:tblPr>
        <w:tblW w:w="5000" w:type="pct"/>
        <w:tblCellMar>
          <w:left w:w="70" w:type="dxa"/>
          <w:right w:w="70" w:type="dxa"/>
        </w:tblCellMar>
        <w:tblLook w:val="04A0" w:firstRow="1" w:lastRow="0" w:firstColumn="1" w:lastColumn="0" w:noHBand="0" w:noVBand="1"/>
      </w:tblPr>
      <w:tblGrid>
        <w:gridCol w:w="5022"/>
        <w:gridCol w:w="2091"/>
        <w:gridCol w:w="293"/>
        <w:gridCol w:w="2091"/>
      </w:tblGrid>
      <w:tr w:rsidR="00CE6538" w:rsidRPr="00CE6538" w14:paraId="6CEE4C24" w14:textId="77777777" w:rsidTr="00CE6538">
        <w:trPr>
          <w:trHeight w:val="240"/>
        </w:trPr>
        <w:tc>
          <w:tcPr>
            <w:tcW w:w="2644" w:type="pct"/>
            <w:tcBorders>
              <w:top w:val="nil"/>
              <w:left w:val="nil"/>
              <w:bottom w:val="nil"/>
              <w:right w:val="nil"/>
            </w:tcBorders>
            <w:shd w:val="clear" w:color="auto" w:fill="auto"/>
            <w:noWrap/>
            <w:vAlign w:val="bottom"/>
            <w:hideMark/>
          </w:tcPr>
          <w:p w14:paraId="45626A95" w14:textId="77777777" w:rsidR="00CE6538" w:rsidRPr="00CE6538" w:rsidRDefault="00CE6538" w:rsidP="00CE6538">
            <w:pPr>
              <w:spacing w:after="0" w:line="240" w:lineRule="auto"/>
              <w:rPr>
                <w:rFonts w:ascii="Times New Roman" w:eastAsia="Times New Roman" w:hAnsi="Times New Roman" w:cs="Times New Roman"/>
                <w:sz w:val="24"/>
                <w:szCs w:val="24"/>
                <w:lang w:eastAsia="pt-BR"/>
              </w:rPr>
            </w:pPr>
          </w:p>
        </w:tc>
        <w:tc>
          <w:tcPr>
            <w:tcW w:w="1101" w:type="pct"/>
            <w:tcBorders>
              <w:top w:val="nil"/>
              <w:left w:val="nil"/>
              <w:bottom w:val="nil"/>
              <w:right w:val="nil"/>
            </w:tcBorders>
            <w:shd w:val="clear" w:color="000000" w:fill="1B80C4"/>
            <w:noWrap/>
            <w:vAlign w:val="bottom"/>
            <w:hideMark/>
          </w:tcPr>
          <w:p w14:paraId="6B9FB62F"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xml:space="preserve"> Controladora </w:t>
            </w:r>
          </w:p>
        </w:tc>
        <w:tc>
          <w:tcPr>
            <w:tcW w:w="154" w:type="pct"/>
            <w:tcBorders>
              <w:top w:val="nil"/>
              <w:left w:val="nil"/>
              <w:bottom w:val="nil"/>
              <w:right w:val="nil"/>
            </w:tcBorders>
            <w:shd w:val="clear" w:color="000000" w:fill="1B80C4"/>
            <w:noWrap/>
            <w:vAlign w:val="center"/>
            <w:hideMark/>
          </w:tcPr>
          <w:p w14:paraId="691D2408"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w:t>
            </w:r>
          </w:p>
        </w:tc>
        <w:tc>
          <w:tcPr>
            <w:tcW w:w="1101" w:type="pct"/>
            <w:tcBorders>
              <w:top w:val="nil"/>
              <w:left w:val="nil"/>
              <w:bottom w:val="nil"/>
              <w:right w:val="nil"/>
            </w:tcBorders>
            <w:shd w:val="clear" w:color="000000" w:fill="1B80C4"/>
            <w:noWrap/>
            <w:vAlign w:val="bottom"/>
            <w:hideMark/>
          </w:tcPr>
          <w:p w14:paraId="1DFC2398"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xml:space="preserve"> Consolidado </w:t>
            </w:r>
          </w:p>
        </w:tc>
      </w:tr>
      <w:tr w:rsidR="00CE6538" w:rsidRPr="00CE6538" w14:paraId="73A940F8" w14:textId="77777777" w:rsidTr="00CE6538">
        <w:trPr>
          <w:trHeight w:val="240"/>
        </w:trPr>
        <w:tc>
          <w:tcPr>
            <w:tcW w:w="2644" w:type="pct"/>
            <w:tcBorders>
              <w:top w:val="nil"/>
              <w:left w:val="nil"/>
              <w:bottom w:val="nil"/>
              <w:right w:val="nil"/>
            </w:tcBorders>
            <w:shd w:val="clear" w:color="auto" w:fill="auto"/>
            <w:noWrap/>
            <w:vAlign w:val="bottom"/>
            <w:hideMark/>
          </w:tcPr>
          <w:p w14:paraId="0CEBFDB0"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p>
        </w:tc>
        <w:tc>
          <w:tcPr>
            <w:tcW w:w="1101" w:type="pct"/>
            <w:tcBorders>
              <w:top w:val="single" w:sz="4" w:space="0" w:color="FFFFFF"/>
              <w:left w:val="nil"/>
              <w:bottom w:val="single" w:sz="4" w:space="0" w:color="FFFFFF"/>
              <w:right w:val="nil"/>
            </w:tcBorders>
            <w:shd w:val="clear" w:color="000000" w:fill="1B80C4"/>
            <w:noWrap/>
            <w:vAlign w:val="center"/>
            <w:hideMark/>
          </w:tcPr>
          <w:p w14:paraId="546FFF1C"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31/12/2022</w:t>
            </w:r>
          </w:p>
        </w:tc>
        <w:tc>
          <w:tcPr>
            <w:tcW w:w="154" w:type="pct"/>
            <w:tcBorders>
              <w:top w:val="single" w:sz="4" w:space="0" w:color="FFFFFF"/>
              <w:left w:val="nil"/>
              <w:bottom w:val="single" w:sz="4" w:space="0" w:color="FFFFFF"/>
              <w:right w:val="nil"/>
            </w:tcBorders>
            <w:shd w:val="clear" w:color="000000" w:fill="1B80C4"/>
            <w:noWrap/>
            <w:vAlign w:val="center"/>
            <w:hideMark/>
          </w:tcPr>
          <w:p w14:paraId="679ABB86"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w:t>
            </w:r>
          </w:p>
        </w:tc>
        <w:tc>
          <w:tcPr>
            <w:tcW w:w="1101" w:type="pct"/>
            <w:tcBorders>
              <w:top w:val="single" w:sz="4" w:space="0" w:color="FFFFFF"/>
              <w:left w:val="nil"/>
              <w:bottom w:val="single" w:sz="4" w:space="0" w:color="FFFFFF"/>
              <w:right w:val="nil"/>
            </w:tcBorders>
            <w:shd w:val="clear" w:color="000000" w:fill="1B80C4"/>
            <w:noWrap/>
            <w:vAlign w:val="center"/>
            <w:hideMark/>
          </w:tcPr>
          <w:p w14:paraId="3618E22A"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31/12/2022</w:t>
            </w:r>
          </w:p>
        </w:tc>
      </w:tr>
      <w:tr w:rsidR="00CE6538" w:rsidRPr="00CE6538" w14:paraId="0CAE53C2" w14:textId="77777777" w:rsidTr="00CE6538">
        <w:trPr>
          <w:trHeight w:val="240"/>
        </w:trPr>
        <w:tc>
          <w:tcPr>
            <w:tcW w:w="2644" w:type="pct"/>
            <w:tcBorders>
              <w:top w:val="nil"/>
              <w:left w:val="nil"/>
              <w:bottom w:val="nil"/>
              <w:right w:val="nil"/>
            </w:tcBorders>
            <w:shd w:val="clear" w:color="auto" w:fill="auto"/>
            <w:noWrap/>
            <w:vAlign w:val="center"/>
            <w:hideMark/>
          </w:tcPr>
          <w:p w14:paraId="3F2E5085" w14:textId="77777777" w:rsidR="00CE6538" w:rsidRPr="00CE6538" w:rsidRDefault="00CE6538" w:rsidP="00CE6538">
            <w:pPr>
              <w:spacing w:after="0" w:line="240" w:lineRule="auto"/>
              <w:ind w:firstLineChars="100" w:firstLine="180"/>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COSIRF </w:t>
            </w:r>
          </w:p>
        </w:tc>
        <w:tc>
          <w:tcPr>
            <w:tcW w:w="1101" w:type="pct"/>
            <w:tcBorders>
              <w:top w:val="nil"/>
              <w:left w:val="nil"/>
              <w:bottom w:val="nil"/>
              <w:right w:val="nil"/>
            </w:tcBorders>
            <w:shd w:val="clear" w:color="auto" w:fill="auto"/>
            <w:noWrap/>
            <w:vAlign w:val="center"/>
            <w:hideMark/>
          </w:tcPr>
          <w:p w14:paraId="6ED3E3D7"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73 </w:t>
            </w:r>
          </w:p>
        </w:tc>
        <w:tc>
          <w:tcPr>
            <w:tcW w:w="154" w:type="pct"/>
            <w:tcBorders>
              <w:top w:val="nil"/>
              <w:left w:val="nil"/>
              <w:bottom w:val="nil"/>
              <w:right w:val="nil"/>
            </w:tcBorders>
            <w:shd w:val="clear" w:color="auto" w:fill="auto"/>
            <w:noWrap/>
            <w:vAlign w:val="bottom"/>
            <w:hideMark/>
          </w:tcPr>
          <w:p w14:paraId="51D8B407"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017F5361"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26.573 </w:t>
            </w:r>
          </w:p>
        </w:tc>
      </w:tr>
      <w:tr w:rsidR="00CE6538" w:rsidRPr="00CE6538" w14:paraId="66988569" w14:textId="77777777" w:rsidTr="00CE6538">
        <w:trPr>
          <w:trHeight w:val="240"/>
        </w:trPr>
        <w:tc>
          <w:tcPr>
            <w:tcW w:w="2644" w:type="pct"/>
            <w:tcBorders>
              <w:top w:val="nil"/>
              <w:left w:val="nil"/>
              <w:bottom w:val="nil"/>
              <w:right w:val="nil"/>
            </w:tcBorders>
            <w:shd w:val="clear" w:color="auto" w:fill="auto"/>
            <w:noWrap/>
            <w:vAlign w:val="center"/>
            <w:hideMark/>
          </w:tcPr>
          <w:p w14:paraId="16CFF0B4" w14:textId="77777777" w:rsidR="00CE6538" w:rsidRPr="00CE6538" w:rsidRDefault="00CE6538" w:rsidP="00CE6538">
            <w:pPr>
              <w:spacing w:after="0" w:line="240" w:lineRule="auto"/>
              <w:ind w:firstLineChars="100" w:firstLine="180"/>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IRPJ e CSLL a pagar </w:t>
            </w:r>
          </w:p>
        </w:tc>
        <w:tc>
          <w:tcPr>
            <w:tcW w:w="1101" w:type="pct"/>
            <w:tcBorders>
              <w:top w:val="nil"/>
              <w:left w:val="nil"/>
              <w:bottom w:val="nil"/>
              <w:right w:val="nil"/>
            </w:tcBorders>
            <w:shd w:val="clear" w:color="auto" w:fill="auto"/>
            <w:noWrap/>
            <w:vAlign w:val="center"/>
            <w:hideMark/>
          </w:tcPr>
          <w:p w14:paraId="4251E359"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603 </w:t>
            </w:r>
          </w:p>
        </w:tc>
        <w:tc>
          <w:tcPr>
            <w:tcW w:w="154" w:type="pct"/>
            <w:tcBorders>
              <w:top w:val="nil"/>
              <w:left w:val="nil"/>
              <w:bottom w:val="nil"/>
              <w:right w:val="nil"/>
            </w:tcBorders>
            <w:shd w:val="clear" w:color="auto" w:fill="auto"/>
            <w:noWrap/>
            <w:vAlign w:val="bottom"/>
            <w:hideMark/>
          </w:tcPr>
          <w:p w14:paraId="5A8BA722"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3A97A4C2"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89.464 </w:t>
            </w:r>
          </w:p>
        </w:tc>
      </w:tr>
      <w:tr w:rsidR="00CE6538" w:rsidRPr="00CE6538" w14:paraId="59FE01A1" w14:textId="77777777" w:rsidTr="00CE6538">
        <w:trPr>
          <w:trHeight w:val="240"/>
        </w:trPr>
        <w:tc>
          <w:tcPr>
            <w:tcW w:w="2644" w:type="pct"/>
            <w:tcBorders>
              <w:top w:val="nil"/>
              <w:left w:val="nil"/>
              <w:bottom w:val="nil"/>
              <w:right w:val="nil"/>
            </w:tcBorders>
            <w:shd w:val="clear" w:color="auto" w:fill="auto"/>
            <w:noWrap/>
            <w:vAlign w:val="center"/>
            <w:hideMark/>
          </w:tcPr>
          <w:p w14:paraId="0442EC4F" w14:textId="77777777" w:rsidR="00CE6538" w:rsidRPr="00CE6538" w:rsidRDefault="00CE6538" w:rsidP="00CE6538">
            <w:pPr>
              <w:spacing w:after="0" w:line="240" w:lineRule="auto"/>
              <w:ind w:firstLineChars="100" w:firstLine="180"/>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INSS </w:t>
            </w:r>
          </w:p>
        </w:tc>
        <w:tc>
          <w:tcPr>
            <w:tcW w:w="1101" w:type="pct"/>
            <w:tcBorders>
              <w:top w:val="nil"/>
              <w:left w:val="nil"/>
              <w:bottom w:val="nil"/>
              <w:right w:val="nil"/>
            </w:tcBorders>
            <w:shd w:val="clear" w:color="auto" w:fill="auto"/>
            <w:noWrap/>
            <w:vAlign w:val="center"/>
            <w:hideMark/>
          </w:tcPr>
          <w:p w14:paraId="16703A0A"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   </w:t>
            </w:r>
          </w:p>
        </w:tc>
        <w:tc>
          <w:tcPr>
            <w:tcW w:w="154" w:type="pct"/>
            <w:tcBorders>
              <w:top w:val="nil"/>
              <w:left w:val="nil"/>
              <w:bottom w:val="nil"/>
              <w:right w:val="nil"/>
            </w:tcBorders>
            <w:shd w:val="clear" w:color="auto" w:fill="auto"/>
            <w:noWrap/>
            <w:vAlign w:val="bottom"/>
            <w:hideMark/>
          </w:tcPr>
          <w:p w14:paraId="6A6F52F8"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4BCEDCEB"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5.679 </w:t>
            </w:r>
          </w:p>
        </w:tc>
      </w:tr>
      <w:tr w:rsidR="00CE6538" w:rsidRPr="00CE6538" w14:paraId="35703FB1" w14:textId="77777777" w:rsidTr="00CE6538">
        <w:trPr>
          <w:trHeight w:val="240"/>
        </w:trPr>
        <w:tc>
          <w:tcPr>
            <w:tcW w:w="2644" w:type="pct"/>
            <w:tcBorders>
              <w:top w:val="nil"/>
              <w:left w:val="nil"/>
              <w:bottom w:val="nil"/>
              <w:right w:val="nil"/>
            </w:tcBorders>
            <w:shd w:val="clear" w:color="auto" w:fill="auto"/>
            <w:noWrap/>
            <w:vAlign w:val="center"/>
            <w:hideMark/>
          </w:tcPr>
          <w:p w14:paraId="00916AAA" w14:textId="77777777" w:rsidR="00CE6538" w:rsidRPr="00CE6538" w:rsidRDefault="00CE6538" w:rsidP="00CE6538">
            <w:pPr>
              <w:spacing w:after="0" w:line="240" w:lineRule="auto"/>
              <w:ind w:firstLineChars="100" w:firstLine="180"/>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IRRF a pagar </w:t>
            </w:r>
          </w:p>
        </w:tc>
        <w:tc>
          <w:tcPr>
            <w:tcW w:w="1101" w:type="pct"/>
            <w:tcBorders>
              <w:top w:val="nil"/>
              <w:left w:val="nil"/>
              <w:bottom w:val="nil"/>
              <w:right w:val="nil"/>
            </w:tcBorders>
            <w:shd w:val="clear" w:color="auto" w:fill="auto"/>
            <w:noWrap/>
            <w:vAlign w:val="center"/>
            <w:hideMark/>
          </w:tcPr>
          <w:p w14:paraId="65B5A1D2"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301 </w:t>
            </w:r>
          </w:p>
        </w:tc>
        <w:tc>
          <w:tcPr>
            <w:tcW w:w="154" w:type="pct"/>
            <w:tcBorders>
              <w:top w:val="nil"/>
              <w:left w:val="nil"/>
              <w:bottom w:val="nil"/>
              <w:right w:val="nil"/>
            </w:tcBorders>
            <w:shd w:val="clear" w:color="auto" w:fill="auto"/>
            <w:noWrap/>
            <w:vAlign w:val="bottom"/>
            <w:hideMark/>
          </w:tcPr>
          <w:p w14:paraId="040DD9A0"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22627005"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7.502 </w:t>
            </w:r>
          </w:p>
        </w:tc>
      </w:tr>
      <w:tr w:rsidR="00CE6538" w:rsidRPr="00CE6538" w14:paraId="6776C321" w14:textId="77777777" w:rsidTr="00CE6538">
        <w:trPr>
          <w:trHeight w:val="240"/>
        </w:trPr>
        <w:tc>
          <w:tcPr>
            <w:tcW w:w="2644" w:type="pct"/>
            <w:tcBorders>
              <w:top w:val="nil"/>
              <w:left w:val="nil"/>
              <w:bottom w:val="nil"/>
              <w:right w:val="nil"/>
            </w:tcBorders>
            <w:shd w:val="clear" w:color="auto" w:fill="auto"/>
            <w:noWrap/>
            <w:vAlign w:val="center"/>
            <w:hideMark/>
          </w:tcPr>
          <w:p w14:paraId="2E4834E8" w14:textId="77777777" w:rsidR="00CE6538" w:rsidRPr="00CE6538" w:rsidRDefault="00CE6538" w:rsidP="00CE6538">
            <w:pPr>
              <w:spacing w:after="0" w:line="240" w:lineRule="auto"/>
              <w:ind w:firstLineChars="100" w:firstLine="180"/>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PIS/PASEP e COFINS </w:t>
            </w:r>
          </w:p>
        </w:tc>
        <w:tc>
          <w:tcPr>
            <w:tcW w:w="1101" w:type="pct"/>
            <w:tcBorders>
              <w:top w:val="nil"/>
              <w:left w:val="nil"/>
              <w:bottom w:val="nil"/>
              <w:right w:val="nil"/>
            </w:tcBorders>
            <w:shd w:val="clear" w:color="auto" w:fill="auto"/>
            <w:noWrap/>
            <w:vAlign w:val="center"/>
            <w:hideMark/>
          </w:tcPr>
          <w:p w14:paraId="23226653"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35.518 </w:t>
            </w:r>
          </w:p>
        </w:tc>
        <w:tc>
          <w:tcPr>
            <w:tcW w:w="154" w:type="pct"/>
            <w:tcBorders>
              <w:top w:val="nil"/>
              <w:left w:val="nil"/>
              <w:bottom w:val="nil"/>
              <w:right w:val="nil"/>
            </w:tcBorders>
            <w:shd w:val="clear" w:color="auto" w:fill="auto"/>
            <w:noWrap/>
            <w:vAlign w:val="bottom"/>
            <w:hideMark/>
          </w:tcPr>
          <w:p w14:paraId="79BC40E9"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461324C7"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127.283 </w:t>
            </w:r>
          </w:p>
        </w:tc>
      </w:tr>
      <w:tr w:rsidR="00CE6538" w:rsidRPr="00CE6538" w14:paraId="647B40BD" w14:textId="77777777" w:rsidTr="00CE6538">
        <w:trPr>
          <w:trHeight w:val="240"/>
        </w:trPr>
        <w:tc>
          <w:tcPr>
            <w:tcW w:w="2644" w:type="pct"/>
            <w:tcBorders>
              <w:top w:val="nil"/>
              <w:left w:val="nil"/>
              <w:bottom w:val="nil"/>
              <w:right w:val="nil"/>
            </w:tcBorders>
            <w:shd w:val="clear" w:color="auto" w:fill="auto"/>
            <w:noWrap/>
            <w:vAlign w:val="center"/>
            <w:hideMark/>
          </w:tcPr>
          <w:p w14:paraId="5228A4D9" w14:textId="77777777" w:rsidR="00CE6538" w:rsidRPr="00CE6538" w:rsidRDefault="00CE6538" w:rsidP="00CE6538">
            <w:pPr>
              <w:spacing w:after="0" w:line="240" w:lineRule="auto"/>
              <w:ind w:firstLineChars="100" w:firstLine="180"/>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Outros </w:t>
            </w:r>
          </w:p>
        </w:tc>
        <w:tc>
          <w:tcPr>
            <w:tcW w:w="1101" w:type="pct"/>
            <w:tcBorders>
              <w:top w:val="nil"/>
              <w:left w:val="nil"/>
              <w:bottom w:val="nil"/>
              <w:right w:val="nil"/>
            </w:tcBorders>
            <w:shd w:val="clear" w:color="auto" w:fill="auto"/>
            <w:noWrap/>
            <w:vAlign w:val="center"/>
            <w:hideMark/>
          </w:tcPr>
          <w:p w14:paraId="7C490D31"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1 </w:t>
            </w:r>
          </w:p>
        </w:tc>
        <w:tc>
          <w:tcPr>
            <w:tcW w:w="154" w:type="pct"/>
            <w:tcBorders>
              <w:top w:val="nil"/>
              <w:left w:val="nil"/>
              <w:bottom w:val="nil"/>
              <w:right w:val="nil"/>
            </w:tcBorders>
            <w:shd w:val="clear" w:color="auto" w:fill="auto"/>
            <w:noWrap/>
            <w:vAlign w:val="bottom"/>
            <w:hideMark/>
          </w:tcPr>
          <w:p w14:paraId="198C1461"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1101" w:type="pct"/>
            <w:tcBorders>
              <w:top w:val="nil"/>
              <w:left w:val="nil"/>
              <w:bottom w:val="nil"/>
              <w:right w:val="nil"/>
            </w:tcBorders>
            <w:shd w:val="clear" w:color="auto" w:fill="auto"/>
            <w:noWrap/>
            <w:vAlign w:val="center"/>
            <w:hideMark/>
          </w:tcPr>
          <w:p w14:paraId="2DF67F38"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12.455 </w:t>
            </w:r>
          </w:p>
        </w:tc>
      </w:tr>
      <w:tr w:rsidR="00CE6538" w:rsidRPr="00CE6538" w14:paraId="06EE4708" w14:textId="77777777" w:rsidTr="00CE6538">
        <w:trPr>
          <w:trHeight w:val="255"/>
        </w:trPr>
        <w:tc>
          <w:tcPr>
            <w:tcW w:w="2644" w:type="pct"/>
            <w:tcBorders>
              <w:top w:val="nil"/>
              <w:left w:val="nil"/>
              <w:bottom w:val="nil"/>
              <w:right w:val="nil"/>
            </w:tcBorders>
            <w:shd w:val="clear" w:color="auto" w:fill="auto"/>
            <w:noWrap/>
            <w:vAlign w:val="center"/>
            <w:hideMark/>
          </w:tcPr>
          <w:p w14:paraId="676F71BE"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c>
          <w:tcPr>
            <w:tcW w:w="1101" w:type="pct"/>
            <w:tcBorders>
              <w:top w:val="single" w:sz="4" w:space="0" w:color="1B80C4"/>
              <w:left w:val="nil"/>
              <w:bottom w:val="double" w:sz="6" w:space="0" w:color="1B80C4"/>
              <w:right w:val="nil"/>
            </w:tcBorders>
            <w:shd w:val="clear" w:color="auto" w:fill="auto"/>
            <w:noWrap/>
            <w:vAlign w:val="center"/>
            <w:hideMark/>
          </w:tcPr>
          <w:p w14:paraId="396B731F" w14:textId="77777777"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r w:rsidRPr="00CE6538">
              <w:rPr>
                <w:rFonts w:ascii="Segoe UI" w:eastAsia="Times New Roman" w:hAnsi="Segoe UI" w:cs="Segoe UI"/>
                <w:b/>
                <w:bCs/>
                <w:color w:val="000000"/>
                <w:sz w:val="18"/>
                <w:szCs w:val="18"/>
                <w:lang w:eastAsia="pt-BR"/>
              </w:rPr>
              <w:t xml:space="preserve">              36.496 </w:t>
            </w:r>
          </w:p>
        </w:tc>
        <w:tc>
          <w:tcPr>
            <w:tcW w:w="154" w:type="pct"/>
            <w:tcBorders>
              <w:top w:val="nil"/>
              <w:left w:val="nil"/>
              <w:bottom w:val="nil"/>
              <w:right w:val="nil"/>
            </w:tcBorders>
            <w:shd w:val="clear" w:color="auto" w:fill="auto"/>
            <w:noWrap/>
            <w:vAlign w:val="bottom"/>
            <w:hideMark/>
          </w:tcPr>
          <w:p w14:paraId="6A2C31B8" w14:textId="77777777"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p>
        </w:tc>
        <w:tc>
          <w:tcPr>
            <w:tcW w:w="1101" w:type="pct"/>
            <w:tcBorders>
              <w:top w:val="single" w:sz="4" w:space="0" w:color="1B80C4"/>
              <w:left w:val="nil"/>
              <w:bottom w:val="double" w:sz="6" w:space="0" w:color="1B80C4"/>
              <w:right w:val="nil"/>
            </w:tcBorders>
            <w:shd w:val="clear" w:color="auto" w:fill="auto"/>
            <w:noWrap/>
            <w:vAlign w:val="center"/>
            <w:hideMark/>
          </w:tcPr>
          <w:p w14:paraId="3C7C484B" w14:textId="77777777"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r w:rsidRPr="00CE6538">
              <w:rPr>
                <w:rFonts w:ascii="Segoe UI" w:eastAsia="Times New Roman" w:hAnsi="Segoe UI" w:cs="Segoe UI"/>
                <w:b/>
                <w:bCs/>
                <w:color w:val="000000"/>
                <w:sz w:val="18"/>
                <w:szCs w:val="18"/>
                <w:lang w:eastAsia="pt-BR"/>
              </w:rPr>
              <w:t xml:space="preserve">            268.956 </w:t>
            </w:r>
          </w:p>
        </w:tc>
      </w:tr>
    </w:tbl>
    <w:p w14:paraId="68B64EAA" w14:textId="77777777" w:rsidR="007E0D8E" w:rsidRPr="000757BC" w:rsidRDefault="007E0D8E" w:rsidP="007E0D8E">
      <w:pPr>
        <w:rPr>
          <w:rFonts w:ascii="Segoe UI" w:hAnsi="Segoe UI" w:cs="Segoe UI"/>
          <w:noProof/>
          <w:sz w:val="10"/>
          <w:szCs w:val="10"/>
          <w:lang w:eastAsia="pt-BR"/>
        </w:rPr>
      </w:pPr>
    </w:p>
    <w:p w14:paraId="2BC62956" w14:textId="2014649C" w:rsidR="002B1787" w:rsidRDefault="00581D1F" w:rsidP="00CF5F07">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2A4E82">
        <w:rPr>
          <w:rFonts w:ascii="Segoe UI" w:hAnsi="Segoe UI" w:cs="Segoe UI"/>
          <w:b/>
          <w:color w:val="0070C0"/>
        </w:rPr>
        <w:t>8</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w:t>
      </w:r>
      <w:r w:rsidR="00F8046D">
        <w:rPr>
          <w:rFonts w:ascii="Segoe UI" w:hAnsi="Segoe UI" w:cs="Segoe UI"/>
          <w:b/>
          <w:color w:val="0070C0"/>
        </w:rPr>
        <w:t xml:space="preserve">FOLHA DE PAGAMENTO E </w:t>
      </w:r>
      <w:r w:rsidR="002B1787" w:rsidRPr="000757BC">
        <w:rPr>
          <w:rFonts w:ascii="Segoe UI" w:hAnsi="Segoe UI" w:cs="Segoe UI"/>
          <w:b/>
          <w:color w:val="0070C0"/>
        </w:rPr>
        <w:t>OBRIGAÇÕES ESTIMADAS</w:t>
      </w:r>
    </w:p>
    <w:p w14:paraId="4B07DBB1" w14:textId="77777777" w:rsidR="00157D13" w:rsidRPr="000757BC" w:rsidRDefault="00157D13" w:rsidP="008A191E"/>
    <w:tbl>
      <w:tblPr>
        <w:tblW w:w="9335" w:type="dxa"/>
        <w:tblCellMar>
          <w:left w:w="70" w:type="dxa"/>
          <w:right w:w="70" w:type="dxa"/>
        </w:tblCellMar>
        <w:tblLook w:val="04A0" w:firstRow="1" w:lastRow="0" w:firstColumn="1" w:lastColumn="0" w:noHBand="0" w:noVBand="1"/>
      </w:tblPr>
      <w:tblGrid>
        <w:gridCol w:w="5103"/>
        <w:gridCol w:w="1843"/>
        <w:gridCol w:w="241"/>
        <w:gridCol w:w="2148"/>
      </w:tblGrid>
      <w:tr w:rsidR="00403A85" w:rsidRPr="00CE6538" w14:paraId="540D5BCA" w14:textId="77777777" w:rsidTr="00E0149C">
        <w:trPr>
          <w:trHeight w:val="238"/>
        </w:trPr>
        <w:tc>
          <w:tcPr>
            <w:tcW w:w="5103" w:type="dxa"/>
            <w:tcBorders>
              <w:top w:val="nil"/>
              <w:left w:val="nil"/>
              <w:bottom w:val="nil"/>
              <w:right w:val="nil"/>
            </w:tcBorders>
            <w:shd w:val="clear" w:color="auto" w:fill="auto"/>
            <w:noWrap/>
            <w:vAlign w:val="bottom"/>
            <w:hideMark/>
          </w:tcPr>
          <w:p w14:paraId="791D4B3C" w14:textId="77777777" w:rsidR="00CE6538" w:rsidRPr="00CE6538" w:rsidRDefault="00CE6538" w:rsidP="00CE6538">
            <w:pPr>
              <w:spacing w:after="0" w:line="240" w:lineRule="auto"/>
              <w:rPr>
                <w:rFonts w:ascii="Times New Roman" w:eastAsia="Times New Roman" w:hAnsi="Times New Roman" w:cs="Times New Roman"/>
                <w:sz w:val="24"/>
                <w:szCs w:val="24"/>
                <w:lang w:eastAsia="pt-BR"/>
              </w:rPr>
            </w:pPr>
          </w:p>
        </w:tc>
        <w:tc>
          <w:tcPr>
            <w:tcW w:w="1843" w:type="dxa"/>
            <w:tcBorders>
              <w:top w:val="nil"/>
              <w:left w:val="nil"/>
              <w:bottom w:val="nil"/>
              <w:right w:val="nil"/>
            </w:tcBorders>
            <w:shd w:val="clear" w:color="000000" w:fill="1B80C4"/>
            <w:noWrap/>
            <w:vAlign w:val="bottom"/>
            <w:hideMark/>
          </w:tcPr>
          <w:p w14:paraId="73DC2518"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xml:space="preserve"> Controladora </w:t>
            </w:r>
          </w:p>
        </w:tc>
        <w:tc>
          <w:tcPr>
            <w:tcW w:w="241" w:type="dxa"/>
            <w:tcBorders>
              <w:top w:val="nil"/>
              <w:left w:val="nil"/>
              <w:bottom w:val="nil"/>
              <w:right w:val="nil"/>
            </w:tcBorders>
            <w:shd w:val="clear" w:color="000000" w:fill="1B80C4"/>
            <w:noWrap/>
            <w:vAlign w:val="center"/>
            <w:hideMark/>
          </w:tcPr>
          <w:p w14:paraId="5F8803ED"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w:t>
            </w:r>
          </w:p>
        </w:tc>
        <w:tc>
          <w:tcPr>
            <w:tcW w:w="2148" w:type="dxa"/>
            <w:tcBorders>
              <w:top w:val="nil"/>
              <w:left w:val="nil"/>
              <w:bottom w:val="nil"/>
              <w:right w:val="nil"/>
            </w:tcBorders>
            <w:shd w:val="clear" w:color="000000" w:fill="1B80C4"/>
            <w:noWrap/>
            <w:vAlign w:val="bottom"/>
            <w:hideMark/>
          </w:tcPr>
          <w:p w14:paraId="000B7ED5"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xml:space="preserve"> Consolidado </w:t>
            </w:r>
          </w:p>
        </w:tc>
      </w:tr>
      <w:tr w:rsidR="00403A85" w:rsidRPr="00CE6538" w14:paraId="4B988CF9" w14:textId="77777777" w:rsidTr="00E0149C">
        <w:trPr>
          <w:trHeight w:val="238"/>
        </w:trPr>
        <w:tc>
          <w:tcPr>
            <w:tcW w:w="5103" w:type="dxa"/>
            <w:tcBorders>
              <w:top w:val="nil"/>
              <w:left w:val="nil"/>
              <w:bottom w:val="nil"/>
              <w:right w:val="nil"/>
            </w:tcBorders>
            <w:shd w:val="clear" w:color="auto" w:fill="auto"/>
            <w:noWrap/>
            <w:vAlign w:val="bottom"/>
            <w:hideMark/>
          </w:tcPr>
          <w:p w14:paraId="1F8726E2"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p>
        </w:tc>
        <w:tc>
          <w:tcPr>
            <w:tcW w:w="1843" w:type="dxa"/>
            <w:tcBorders>
              <w:top w:val="single" w:sz="4" w:space="0" w:color="FFFFFF"/>
              <w:left w:val="nil"/>
              <w:bottom w:val="single" w:sz="4" w:space="0" w:color="FFFFFF"/>
              <w:right w:val="nil"/>
            </w:tcBorders>
            <w:shd w:val="clear" w:color="000000" w:fill="1B80C4"/>
            <w:noWrap/>
            <w:vAlign w:val="center"/>
            <w:hideMark/>
          </w:tcPr>
          <w:p w14:paraId="1EEB6CB1"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31/12/2022</w:t>
            </w:r>
          </w:p>
        </w:tc>
        <w:tc>
          <w:tcPr>
            <w:tcW w:w="241" w:type="dxa"/>
            <w:tcBorders>
              <w:top w:val="single" w:sz="4" w:space="0" w:color="FFFFFF"/>
              <w:left w:val="nil"/>
              <w:bottom w:val="single" w:sz="4" w:space="0" w:color="FFFFFF"/>
              <w:right w:val="nil"/>
            </w:tcBorders>
            <w:shd w:val="clear" w:color="000000" w:fill="1B80C4"/>
            <w:noWrap/>
            <w:vAlign w:val="center"/>
            <w:hideMark/>
          </w:tcPr>
          <w:p w14:paraId="48B58BCE"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 </w:t>
            </w:r>
          </w:p>
        </w:tc>
        <w:tc>
          <w:tcPr>
            <w:tcW w:w="2148" w:type="dxa"/>
            <w:tcBorders>
              <w:top w:val="single" w:sz="4" w:space="0" w:color="FFFFFF"/>
              <w:left w:val="nil"/>
              <w:bottom w:val="single" w:sz="4" w:space="0" w:color="FFFFFF"/>
              <w:right w:val="nil"/>
            </w:tcBorders>
            <w:shd w:val="clear" w:color="000000" w:fill="1B80C4"/>
            <w:noWrap/>
            <w:vAlign w:val="center"/>
            <w:hideMark/>
          </w:tcPr>
          <w:p w14:paraId="77C13EF1" w14:textId="77777777" w:rsidR="00CE6538" w:rsidRPr="00CE6538" w:rsidRDefault="00CE6538" w:rsidP="00CE6538">
            <w:pPr>
              <w:spacing w:after="0" w:line="240" w:lineRule="auto"/>
              <w:jc w:val="center"/>
              <w:rPr>
                <w:rFonts w:ascii="Segoe UI" w:eastAsia="Times New Roman" w:hAnsi="Segoe UI" w:cs="Segoe UI"/>
                <w:b/>
                <w:bCs/>
                <w:color w:val="FFFFFF"/>
                <w:sz w:val="18"/>
                <w:szCs w:val="18"/>
                <w:lang w:eastAsia="pt-BR"/>
              </w:rPr>
            </w:pPr>
            <w:r w:rsidRPr="00CE6538">
              <w:rPr>
                <w:rFonts w:ascii="Segoe UI" w:eastAsia="Times New Roman" w:hAnsi="Segoe UI" w:cs="Segoe UI"/>
                <w:b/>
                <w:bCs/>
                <w:color w:val="FFFFFF"/>
                <w:sz w:val="18"/>
                <w:szCs w:val="18"/>
                <w:lang w:eastAsia="pt-BR"/>
              </w:rPr>
              <w:t>31/12/2022</w:t>
            </w:r>
          </w:p>
        </w:tc>
      </w:tr>
      <w:tr w:rsidR="00CE6538" w:rsidRPr="00CE6538" w14:paraId="4D4CAE7E" w14:textId="77777777" w:rsidTr="00E0149C">
        <w:trPr>
          <w:trHeight w:val="238"/>
        </w:trPr>
        <w:tc>
          <w:tcPr>
            <w:tcW w:w="5103" w:type="dxa"/>
            <w:tcBorders>
              <w:top w:val="nil"/>
              <w:left w:val="nil"/>
              <w:bottom w:val="nil"/>
              <w:right w:val="nil"/>
            </w:tcBorders>
            <w:shd w:val="clear" w:color="auto" w:fill="auto"/>
            <w:noWrap/>
            <w:vAlign w:val="center"/>
            <w:hideMark/>
          </w:tcPr>
          <w:p w14:paraId="36651C2D" w14:textId="77777777" w:rsidR="00CE6538" w:rsidRPr="00CE6538" w:rsidRDefault="00CE6538" w:rsidP="00CE6538">
            <w:pPr>
              <w:spacing w:after="0" w:line="240" w:lineRule="auto"/>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Provisão e gratificação de férias </w:t>
            </w:r>
          </w:p>
        </w:tc>
        <w:tc>
          <w:tcPr>
            <w:tcW w:w="1843" w:type="dxa"/>
            <w:tcBorders>
              <w:top w:val="nil"/>
              <w:left w:val="nil"/>
              <w:bottom w:val="nil"/>
              <w:right w:val="nil"/>
            </w:tcBorders>
            <w:shd w:val="clear" w:color="auto" w:fill="auto"/>
            <w:noWrap/>
            <w:vAlign w:val="center"/>
            <w:hideMark/>
          </w:tcPr>
          <w:p w14:paraId="5FF6BD84"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911 </w:t>
            </w:r>
          </w:p>
        </w:tc>
        <w:tc>
          <w:tcPr>
            <w:tcW w:w="241" w:type="dxa"/>
            <w:tcBorders>
              <w:top w:val="nil"/>
              <w:left w:val="nil"/>
              <w:bottom w:val="nil"/>
              <w:right w:val="nil"/>
            </w:tcBorders>
            <w:shd w:val="clear" w:color="auto" w:fill="auto"/>
            <w:noWrap/>
            <w:vAlign w:val="bottom"/>
            <w:hideMark/>
          </w:tcPr>
          <w:p w14:paraId="17D1629F"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2148" w:type="dxa"/>
            <w:tcBorders>
              <w:top w:val="nil"/>
              <w:left w:val="nil"/>
              <w:bottom w:val="nil"/>
              <w:right w:val="nil"/>
            </w:tcBorders>
            <w:shd w:val="clear" w:color="auto" w:fill="auto"/>
            <w:noWrap/>
            <w:vAlign w:val="center"/>
            <w:hideMark/>
          </w:tcPr>
          <w:p w14:paraId="56C1364B"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86.155 </w:t>
            </w:r>
          </w:p>
        </w:tc>
      </w:tr>
      <w:tr w:rsidR="00CE6538" w:rsidRPr="00CE6538" w14:paraId="0A28C2AF" w14:textId="77777777" w:rsidTr="00E0149C">
        <w:trPr>
          <w:trHeight w:val="238"/>
        </w:trPr>
        <w:tc>
          <w:tcPr>
            <w:tcW w:w="5103" w:type="dxa"/>
            <w:tcBorders>
              <w:top w:val="nil"/>
              <w:left w:val="nil"/>
              <w:bottom w:val="nil"/>
              <w:right w:val="nil"/>
            </w:tcBorders>
            <w:shd w:val="clear" w:color="auto" w:fill="auto"/>
            <w:noWrap/>
            <w:vAlign w:val="center"/>
            <w:hideMark/>
          </w:tcPr>
          <w:p w14:paraId="11CEEA0C" w14:textId="77777777" w:rsidR="00CE6538" w:rsidRPr="00CE6538" w:rsidRDefault="00CE6538" w:rsidP="00CE6538">
            <w:pPr>
              <w:spacing w:after="0" w:line="240" w:lineRule="auto"/>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Encargos sociais sobre provisão de férias </w:t>
            </w:r>
          </w:p>
        </w:tc>
        <w:tc>
          <w:tcPr>
            <w:tcW w:w="1843" w:type="dxa"/>
            <w:tcBorders>
              <w:top w:val="nil"/>
              <w:left w:val="nil"/>
              <w:bottom w:val="nil"/>
              <w:right w:val="nil"/>
            </w:tcBorders>
            <w:shd w:val="clear" w:color="auto" w:fill="auto"/>
            <w:noWrap/>
            <w:vAlign w:val="center"/>
            <w:hideMark/>
          </w:tcPr>
          <w:p w14:paraId="49F592C5"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272 </w:t>
            </w:r>
          </w:p>
        </w:tc>
        <w:tc>
          <w:tcPr>
            <w:tcW w:w="241" w:type="dxa"/>
            <w:tcBorders>
              <w:top w:val="nil"/>
              <w:left w:val="nil"/>
              <w:bottom w:val="nil"/>
              <w:right w:val="nil"/>
            </w:tcBorders>
            <w:shd w:val="clear" w:color="auto" w:fill="auto"/>
            <w:noWrap/>
            <w:vAlign w:val="bottom"/>
            <w:hideMark/>
          </w:tcPr>
          <w:p w14:paraId="6D0C632F"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2148" w:type="dxa"/>
            <w:tcBorders>
              <w:top w:val="nil"/>
              <w:left w:val="nil"/>
              <w:bottom w:val="nil"/>
              <w:right w:val="nil"/>
            </w:tcBorders>
            <w:shd w:val="clear" w:color="auto" w:fill="auto"/>
            <w:noWrap/>
            <w:vAlign w:val="center"/>
            <w:hideMark/>
          </w:tcPr>
          <w:p w14:paraId="0F45F731"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27.971 </w:t>
            </w:r>
          </w:p>
        </w:tc>
      </w:tr>
      <w:tr w:rsidR="00CE6538" w:rsidRPr="00CE6538" w14:paraId="6ECD1D39" w14:textId="77777777" w:rsidTr="00E0149C">
        <w:trPr>
          <w:trHeight w:val="238"/>
        </w:trPr>
        <w:tc>
          <w:tcPr>
            <w:tcW w:w="5103" w:type="dxa"/>
            <w:tcBorders>
              <w:top w:val="nil"/>
              <w:left w:val="nil"/>
              <w:bottom w:val="nil"/>
              <w:right w:val="nil"/>
            </w:tcBorders>
            <w:shd w:val="clear" w:color="auto" w:fill="auto"/>
            <w:noWrap/>
            <w:vAlign w:val="center"/>
            <w:hideMark/>
          </w:tcPr>
          <w:p w14:paraId="58C169AC" w14:textId="77777777" w:rsidR="00CE6538" w:rsidRPr="00CE6538" w:rsidRDefault="00CE6538" w:rsidP="00CE6538">
            <w:pPr>
              <w:spacing w:after="0" w:line="240" w:lineRule="auto"/>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Provisão 13º salário </w:t>
            </w:r>
          </w:p>
        </w:tc>
        <w:tc>
          <w:tcPr>
            <w:tcW w:w="1843" w:type="dxa"/>
            <w:tcBorders>
              <w:top w:val="nil"/>
              <w:left w:val="nil"/>
              <w:bottom w:val="nil"/>
              <w:right w:val="nil"/>
            </w:tcBorders>
            <w:shd w:val="clear" w:color="auto" w:fill="auto"/>
            <w:noWrap/>
            <w:vAlign w:val="center"/>
            <w:hideMark/>
          </w:tcPr>
          <w:p w14:paraId="0EFFCADF"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   </w:t>
            </w:r>
          </w:p>
        </w:tc>
        <w:tc>
          <w:tcPr>
            <w:tcW w:w="241" w:type="dxa"/>
            <w:tcBorders>
              <w:top w:val="nil"/>
              <w:left w:val="nil"/>
              <w:bottom w:val="nil"/>
              <w:right w:val="nil"/>
            </w:tcBorders>
            <w:shd w:val="clear" w:color="auto" w:fill="auto"/>
            <w:noWrap/>
            <w:vAlign w:val="bottom"/>
            <w:hideMark/>
          </w:tcPr>
          <w:p w14:paraId="06168942"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2148" w:type="dxa"/>
            <w:tcBorders>
              <w:top w:val="nil"/>
              <w:left w:val="nil"/>
              <w:bottom w:val="nil"/>
              <w:right w:val="nil"/>
            </w:tcBorders>
            <w:shd w:val="clear" w:color="auto" w:fill="auto"/>
            <w:noWrap/>
            <w:vAlign w:val="center"/>
            <w:hideMark/>
          </w:tcPr>
          <w:p w14:paraId="299C5DF4"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7.839 </w:t>
            </w:r>
          </w:p>
        </w:tc>
      </w:tr>
      <w:tr w:rsidR="00CE6538" w:rsidRPr="00CE6538" w14:paraId="6065A2DD" w14:textId="77777777" w:rsidTr="00E0149C">
        <w:trPr>
          <w:trHeight w:val="238"/>
        </w:trPr>
        <w:tc>
          <w:tcPr>
            <w:tcW w:w="5103" w:type="dxa"/>
            <w:tcBorders>
              <w:top w:val="nil"/>
              <w:left w:val="nil"/>
              <w:bottom w:val="nil"/>
              <w:right w:val="nil"/>
            </w:tcBorders>
            <w:shd w:val="clear" w:color="auto" w:fill="auto"/>
            <w:noWrap/>
            <w:vAlign w:val="center"/>
            <w:hideMark/>
          </w:tcPr>
          <w:p w14:paraId="4DE70DC4" w14:textId="77777777" w:rsidR="00CE6538" w:rsidRPr="00CE6538" w:rsidRDefault="00CE6538" w:rsidP="00CE6538">
            <w:pPr>
              <w:spacing w:after="0" w:line="240" w:lineRule="auto"/>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Encargos sociais sobre provisão 13º salário </w:t>
            </w:r>
          </w:p>
        </w:tc>
        <w:tc>
          <w:tcPr>
            <w:tcW w:w="1843" w:type="dxa"/>
            <w:tcBorders>
              <w:top w:val="nil"/>
              <w:left w:val="nil"/>
              <w:bottom w:val="nil"/>
              <w:right w:val="nil"/>
            </w:tcBorders>
            <w:shd w:val="clear" w:color="auto" w:fill="auto"/>
            <w:noWrap/>
            <w:vAlign w:val="center"/>
            <w:hideMark/>
          </w:tcPr>
          <w:p w14:paraId="3407EDFF"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   </w:t>
            </w:r>
          </w:p>
        </w:tc>
        <w:tc>
          <w:tcPr>
            <w:tcW w:w="241" w:type="dxa"/>
            <w:tcBorders>
              <w:top w:val="nil"/>
              <w:left w:val="nil"/>
              <w:bottom w:val="nil"/>
              <w:right w:val="nil"/>
            </w:tcBorders>
            <w:shd w:val="clear" w:color="auto" w:fill="auto"/>
            <w:noWrap/>
            <w:vAlign w:val="bottom"/>
            <w:hideMark/>
          </w:tcPr>
          <w:p w14:paraId="2F4228A7"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2148" w:type="dxa"/>
            <w:tcBorders>
              <w:top w:val="nil"/>
              <w:left w:val="nil"/>
              <w:bottom w:val="nil"/>
              <w:right w:val="nil"/>
            </w:tcBorders>
            <w:shd w:val="clear" w:color="auto" w:fill="auto"/>
            <w:noWrap/>
            <w:vAlign w:val="center"/>
            <w:hideMark/>
          </w:tcPr>
          <w:p w14:paraId="181E606B"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6.588 </w:t>
            </w:r>
          </w:p>
        </w:tc>
      </w:tr>
      <w:tr w:rsidR="00CE6538" w:rsidRPr="00CE6538" w14:paraId="327DCC43" w14:textId="77777777" w:rsidTr="00E0149C">
        <w:trPr>
          <w:trHeight w:val="238"/>
        </w:trPr>
        <w:tc>
          <w:tcPr>
            <w:tcW w:w="5103" w:type="dxa"/>
            <w:tcBorders>
              <w:top w:val="nil"/>
              <w:left w:val="nil"/>
              <w:bottom w:val="nil"/>
              <w:right w:val="nil"/>
            </w:tcBorders>
            <w:shd w:val="clear" w:color="auto" w:fill="auto"/>
            <w:noWrap/>
            <w:vAlign w:val="bottom"/>
            <w:hideMark/>
          </w:tcPr>
          <w:p w14:paraId="3625E8C1" w14:textId="77777777" w:rsidR="00CE6538" w:rsidRPr="00CE6538" w:rsidRDefault="00CE6538" w:rsidP="00CE6538">
            <w:pPr>
              <w:spacing w:after="0" w:line="240" w:lineRule="auto"/>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Encargos e Impostos retidos   </w:t>
            </w:r>
          </w:p>
        </w:tc>
        <w:tc>
          <w:tcPr>
            <w:tcW w:w="1843" w:type="dxa"/>
            <w:tcBorders>
              <w:top w:val="nil"/>
              <w:left w:val="nil"/>
              <w:bottom w:val="nil"/>
              <w:right w:val="nil"/>
            </w:tcBorders>
            <w:shd w:val="clear" w:color="auto" w:fill="auto"/>
            <w:noWrap/>
            <w:vAlign w:val="center"/>
            <w:hideMark/>
          </w:tcPr>
          <w:p w14:paraId="675F003D"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551 </w:t>
            </w:r>
          </w:p>
        </w:tc>
        <w:tc>
          <w:tcPr>
            <w:tcW w:w="241" w:type="dxa"/>
            <w:tcBorders>
              <w:top w:val="nil"/>
              <w:left w:val="nil"/>
              <w:bottom w:val="nil"/>
              <w:right w:val="nil"/>
            </w:tcBorders>
            <w:shd w:val="clear" w:color="auto" w:fill="auto"/>
            <w:noWrap/>
            <w:vAlign w:val="bottom"/>
            <w:hideMark/>
          </w:tcPr>
          <w:p w14:paraId="429912FB"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2148" w:type="dxa"/>
            <w:tcBorders>
              <w:top w:val="nil"/>
              <w:left w:val="nil"/>
              <w:bottom w:val="nil"/>
              <w:right w:val="nil"/>
            </w:tcBorders>
            <w:shd w:val="clear" w:color="auto" w:fill="auto"/>
            <w:noWrap/>
            <w:vAlign w:val="center"/>
            <w:hideMark/>
          </w:tcPr>
          <w:p w14:paraId="0579F377"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551 </w:t>
            </w:r>
          </w:p>
        </w:tc>
      </w:tr>
      <w:tr w:rsidR="00CE6538" w:rsidRPr="00CE6538" w14:paraId="200425E1" w14:textId="77777777" w:rsidTr="00E0149C">
        <w:trPr>
          <w:trHeight w:val="238"/>
        </w:trPr>
        <w:tc>
          <w:tcPr>
            <w:tcW w:w="5103" w:type="dxa"/>
            <w:tcBorders>
              <w:top w:val="nil"/>
              <w:left w:val="nil"/>
              <w:bottom w:val="nil"/>
              <w:right w:val="nil"/>
            </w:tcBorders>
            <w:shd w:val="clear" w:color="auto" w:fill="auto"/>
            <w:noWrap/>
            <w:vAlign w:val="center"/>
            <w:hideMark/>
          </w:tcPr>
          <w:p w14:paraId="1F11EA61" w14:textId="77777777" w:rsidR="00CE6538" w:rsidRPr="00CE6538" w:rsidRDefault="00CE6538" w:rsidP="00CE6538">
            <w:pPr>
              <w:spacing w:after="0" w:line="240" w:lineRule="auto"/>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Outros </w:t>
            </w:r>
          </w:p>
        </w:tc>
        <w:tc>
          <w:tcPr>
            <w:tcW w:w="1843" w:type="dxa"/>
            <w:tcBorders>
              <w:top w:val="nil"/>
              <w:left w:val="nil"/>
              <w:bottom w:val="nil"/>
              <w:right w:val="nil"/>
            </w:tcBorders>
            <w:shd w:val="clear" w:color="auto" w:fill="auto"/>
            <w:noWrap/>
            <w:vAlign w:val="center"/>
            <w:hideMark/>
          </w:tcPr>
          <w:p w14:paraId="0D593C05"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r w:rsidRPr="00CE6538">
              <w:rPr>
                <w:rFonts w:ascii="Segoe UI" w:eastAsia="Times New Roman" w:hAnsi="Segoe UI" w:cs="Segoe UI"/>
                <w:color w:val="000000"/>
                <w:sz w:val="18"/>
                <w:szCs w:val="18"/>
                <w:lang w:eastAsia="pt-BR"/>
              </w:rPr>
              <w:t xml:space="preserve">                       55 </w:t>
            </w:r>
          </w:p>
        </w:tc>
        <w:tc>
          <w:tcPr>
            <w:tcW w:w="241" w:type="dxa"/>
            <w:tcBorders>
              <w:top w:val="nil"/>
              <w:left w:val="nil"/>
              <w:bottom w:val="nil"/>
              <w:right w:val="nil"/>
            </w:tcBorders>
            <w:shd w:val="clear" w:color="auto" w:fill="auto"/>
            <w:noWrap/>
            <w:vAlign w:val="bottom"/>
            <w:hideMark/>
          </w:tcPr>
          <w:p w14:paraId="336048CF" w14:textId="77777777" w:rsidR="00CE6538" w:rsidRPr="00CE6538" w:rsidRDefault="00CE6538" w:rsidP="00CE6538">
            <w:pPr>
              <w:spacing w:after="0" w:line="240" w:lineRule="auto"/>
              <w:jc w:val="right"/>
              <w:rPr>
                <w:rFonts w:ascii="Segoe UI" w:eastAsia="Times New Roman" w:hAnsi="Segoe UI" w:cs="Segoe UI"/>
                <w:color w:val="000000"/>
                <w:sz w:val="18"/>
                <w:szCs w:val="18"/>
                <w:lang w:eastAsia="pt-BR"/>
              </w:rPr>
            </w:pPr>
          </w:p>
        </w:tc>
        <w:tc>
          <w:tcPr>
            <w:tcW w:w="2148" w:type="dxa"/>
            <w:tcBorders>
              <w:top w:val="nil"/>
              <w:left w:val="nil"/>
              <w:bottom w:val="nil"/>
              <w:right w:val="nil"/>
            </w:tcBorders>
            <w:shd w:val="clear" w:color="auto" w:fill="auto"/>
            <w:noWrap/>
            <w:vAlign w:val="center"/>
            <w:hideMark/>
          </w:tcPr>
          <w:p w14:paraId="0FD6017F"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r w:rsidRPr="00CE6538">
              <w:rPr>
                <w:rFonts w:ascii="Segoe UI" w:eastAsia="Times New Roman" w:hAnsi="Segoe UI" w:cs="Segoe UI"/>
                <w:sz w:val="18"/>
                <w:szCs w:val="18"/>
                <w:lang w:eastAsia="pt-BR"/>
              </w:rPr>
              <w:t xml:space="preserve">              146.274 </w:t>
            </w:r>
          </w:p>
        </w:tc>
      </w:tr>
      <w:tr w:rsidR="00403A85" w:rsidRPr="00CE6538" w14:paraId="29A44CCB" w14:textId="77777777" w:rsidTr="00E0149C">
        <w:trPr>
          <w:trHeight w:val="253"/>
        </w:trPr>
        <w:tc>
          <w:tcPr>
            <w:tcW w:w="5103" w:type="dxa"/>
            <w:tcBorders>
              <w:top w:val="nil"/>
              <w:left w:val="nil"/>
              <w:bottom w:val="nil"/>
              <w:right w:val="nil"/>
            </w:tcBorders>
            <w:shd w:val="clear" w:color="auto" w:fill="auto"/>
            <w:noWrap/>
            <w:vAlign w:val="center"/>
            <w:hideMark/>
          </w:tcPr>
          <w:p w14:paraId="5A2DD9D1" w14:textId="77777777" w:rsidR="00CE6538" w:rsidRPr="00CE6538" w:rsidRDefault="00CE6538" w:rsidP="00CE6538">
            <w:pPr>
              <w:spacing w:after="0" w:line="240" w:lineRule="auto"/>
              <w:jc w:val="right"/>
              <w:rPr>
                <w:rFonts w:ascii="Segoe UI" w:eastAsia="Times New Roman" w:hAnsi="Segoe UI" w:cs="Segoe UI"/>
                <w:sz w:val="18"/>
                <w:szCs w:val="18"/>
                <w:lang w:eastAsia="pt-BR"/>
              </w:rPr>
            </w:pPr>
          </w:p>
        </w:tc>
        <w:tc>
          <w:tcPr>
            <w:tcW w:w="1843" w:type="dxa"/>
            <w:tcBorders>
              <w:top w:val="single" w:sz="4" w:space="0" w:color="1B80C4"/>
              <w:left w:val="nil"/>
              <w:bottom w:val="double" w:sz="6" w:space="0" w:color="1B80C4"/>
              <w:right w:val="nil"/>
            </w:tcBorders>
            <w:shd w:val="clear" w:color="auto" w:fill="auto"/>
            <w:noWrap/>
            <w:vAlign w:val="center"/>
            <w:hideMark/>
          </w:tcPr>
          <w:p w14:paraId="2C09FFCB" w14:textId="77777777"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r w:rsidRPr="00CE6538">
              <w:rPr>
                <w:rFonts w:ascii="Segoe UI" w:eastAsia="Times New Roman" w:hAnsi="Segoe UI" w:cs="Segoe UI"/>
                <w:b/>
                <w:bCs/>
                <w:color w:val="000000"/>
                <w:sz w:val="18"/>
                <w:szCs w:val="18"/>
                <w:lang w:eastAsia="pt-BR"/>
              </w:rPr>
              <w:t xml:space="preserve">                1.789 </w:t>
            </w:r>
          </w:p>
        </w:tc>
        <w:tc>
          <w:tcPr>
            <w:tcW w:w="241" w:type="dxa"/>
            <w:tcBorders>
              <w:top w:val="nil"/>
              <w:left w:val="nil"/>
              <w:bottom w:val="nil"/>
              <w:right w:val="nil"/>
            </w:tcBorders>
            <w:shd w:val="clear" w:color="auto" w:fill="auto"/>
            <w:noWrap/>
            <w:vAlign w:val="bottom"/>
            <w:hideMark/>
          </w:tcPr>
          <w:p w14:paraId="16A6D28F" w14:textId="77777777"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p>
        </w:tc>
        <w:tc>
          <w:tcPr>
            <w:tcW w:w="2148" w:type="dxa"/>
            <w:tcBorders>
              <w:top w:val="single" w:sz="4" w:space="0" w:color="1B80C4"/>
              <w:left w:val="nil"/>
              <w:bottom w:val="double" w:sz="6" w:space="0" w:color="1B80C4"/>
              <w:right w:val="nil"/>
            </w:tcBorders>
            <w:shd w:val="clear" w:color="auto" w:fill="auto"/>
            <w:noWrap/>
            <w:vAlign w:val="center"/>
            <w:hideMark/>
          </w:tcPr>
          <w:p w14:paraId="18E87A30" w14:textId="77777777" w:rsidR="00CE6538" w:rsidRPr="00CE6538" w:rsidRDefault="00CE6538" w:rsidP="00CE6538">
            <w:pPr>
              <w:spacing w:after="0" w:line="240" w:lineRule="auto"/>
              <w:jc w:val="right"/>
              <w:rPr>
                <w:rFonts w:ascii="Segoe UI" w:eastAsia="Times New Roman" w:hAnsi="Segoe UI" w:cs="Segoe UI"/>
                <w:b/>
                <w:bCs/>
                <w:color w:val="000000"/>
                <w:sz w:val="18"/>
                <w:szCs w:val="18"/>
                <w:lang w:eastAsia="pt-BR"/>
              </w:rPr>
            </w:pPr>
            <w:r w:rsidRPr="00CE6538">
              <w:rPr>
                <w:rFonts w:ascii="Segoe UI" w:eastAsia="Times New Roman" w:hAnsi="Segoe UI" w:cs="Segoe UI"/>
                <w:b/>
                <w:bCs/>
                <w:color w:val="000000"/>
                <w:sz w:val="18"/>
                <w:szCs w:val="18"/>
                <w:lang w:eastAsia="pt-BR"/>
              </w:rPr>
              <w:t xml:space="preserve">            275.378 </w:t>
            </w:r>
          </w:p>
        </w:tc>
      </w:tr>
    </w:tbl>
    <w:p w14:paraId="155716AA" w14:textId="77777777" w:rsidR="00A404A4" w:rsidRPr="000757BC" w:rsidRDefault="00A404A4" w:rsidP="00C87EB5">
      <w:pPr>
        <w:rPr>
          <w:rFonts w:ascii="Segoe UI" w:hAnsi="Segoe UI" w:cs="Segoe UI"/>
          <w:b/>
        </w:rPr>
      </w:pPr>
    </w:p>
    <w:p w14:paraId="39E86586" w14:textId="1812FEFB" w:rsidR="009B5AFB" w:rsidRPr="000757BC" w:rsidRDefault="002A4E82" w:rsidP="00D775C7">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19</w:t>
      </w:r>
      <w:r w:rsidR="00F4139F" w:rsidRPr="000757BC">
        <w:rPr>
          <w:rFonts w:ascii="Segoe UI" w:hAnsi="Segoe UI" w:cs="Segoe UI"/>
          <w:b/>
          <w:color w:val="0070C0"/>
        </w:rPr>
        <w:t xml:space="preserve"> </w:t>
      </w:r>
      <w:r w:rsidR="009B5AFB" w:rsidRPr="000757BC">
        <w:rPr>
          <w:rFonts w:ascii="Segoe UI" w:hAnsi="Segoe UI" w:cs="Segoe UI"/>
          <w:b/>
          <w:color w:val="0070C0"/>
        </w:rPr>
        <w:t>– CONTAS A PAGAR POR AQUISIÇÃO DE INVESTIMENTOS</w:t>
      </w:r>
    </w:p>
    <w:p w14:paraId="238B86F2" w14:textId="04EF2072" w:rsidR="009B5AFB" w:rsidRPr="000757BC" w:rsidRDefault="009B5AFB" w:rsidP="00F63F20">
      <w:pPr>
        <w:widowControl w:val="0"/>
        <w:spacing w:before="240" w:after="120"/>
        <w:ind w:right="17"/>
        <w:jc w:val="both"/>
        <w:rPr>
          <w:rFonts w:ascii="Segoe UI" w:hAnsi="Segoe UI" w:cs="Segoe UI"/>
        </w:rPr>
      </w:pPr>
      <w:r w:rsidRPr="000757BC">
        <w:rPr>
          <w:rFonts w:ascii="Segoe UI" w:hAnsi="Segoe UI" w:cs="Segoe UI"/>
        </w:rPr>
        <w:t xml:space="preserve">O saldo de contas a pagar por aquisição de investimento </w:t>
      </w:r>
      <w:r w:rsidR="000F389E">
        <w:rPr>
          <w:rFonts w:ascii="Segoe UI" w:hAnsi="Segoe UI" w:cs="Segoe UI"/>
        </w:rPr>
        <w:t>é oriundo</w:t>
      </w:r>
      <w:r w:rsidRPr="000757BC">
        <w:rPr>
          <w:rFonts w:ascii="Segoe UI" w:hAnsi="Segoe UI" w:cs="Segoe UI"/>
        </w:rPr>
        <w:t xml:space="preserve"> </w:t>
      </w:r>
      <w:r w:rsidR="000F389E">
        <w:rPr>
          <w:rFonts w:ascii="Segoe UI" w:hAnsi="Segoe UI" w:cs="Segoe UI"/>
        </w:rPr>
        <w:t>d</w:t>
      </w:r>
      <w:r w:rsidRPr="000757BC">
        <w:rPr>
          <w:rFonts w:ascii="Segoe UI" w:hAnsi="Segoe UI" w:cs="Segoe UI"/>
        </w:rPr>
        <w:t xml:space="preserve">o Contrato de Transferência de Participação Societária de Itaipu </w:t>
      </w:r>
      <w:r w:rsidR="00040C8F">
        <w:rPr>
          <w:rFonts w:ascii="Segoe UI" w:hAnsi="Segoe UI" w:cs="Segoe UI"/>
        </w:rPr>
        <w:t>no qual</w:t>
      </w:r>
      <w:r w:rsidRPr="000757BC">
        <w:rPr>
          <w:rFonts w:ascii="Segoe UI" w:hAnsi="Segoe UI" w:cs="Segoe UI"/>
        </w:rPr>
        <w:t xml:space="preserve"> a Eletrobras </w:t>
      </w:r>
      <w:r w:rsidR="000F389E">
        <w:rPr>
          <w:rFonts w:ascii="Segoe UI" w:hAnsi="Segoe UI" w:cs="Segoe UI"/>
        </w:rPr>
        <w:t>alienou</w:t>
      </w:r>
      <w:r w:rsidRPr="000757BC">
        <w:rPr>
          <w:rFonts w:ascii="Segoe UI" w:hAnsi="Segoe UI" w:cs="Segoe UI"/>
        </w:rPr>
        <w:t xml:space="preserve"> a totalidade de sua participação societária no capital social d</w:t>
      </w:r>
      <w:r w:rsidR="00123F95" w:rsidRPr="000757BC">
        <w:rPr>
          <w:rFonts w:ascii="Segoe UI" w:hAnsi="Segoe UI" w:cs="Segoe UI"/>
        </w:rPr>
        <w:t>e</w:t>
      </w:r>
      <w:r w:rsidRPr="000757BC">
        <w:rPr>
          <w:rFonts w:ascii="Segoe UI" w:hAnsi="Segoe UI" w:cs="Segoe UI"/>
        </w:rPr>
        <w:t xml:space="preserve"> Itaipu </w:t>
      </w:r>
      <w:r w:rsidR="00040C8F">
        <w:rPr>
          <w:rFonts w:ascii="Segoe UI" w:hAnsi="Segoe UI" w:cs="Segoe UI"/>
        </w:rPr>
        <w:t>à</w:t>
      </w:r>
      <w:r w:rsidRPr="000757BC">
        <w:rPr>
          <w:rFonts w:ascii="Segoe UI" w:hAnsi="Segoe UI" w:cs="Segoe UI"/>
        </w:rPr>
        <w:t xml:space="preserve"> ENBPar. Esse valor será pago em 240 parcelas mensais, a primeira com vencimento em </w:t>
      </w:r>
      <w:r w:rsidR="00DB2D0B" w:rsidRPr="000757BC">
        <w:rPr>
          <w:rFonts w:ascii="Segoe UI" w:hAnsi="Segoe UI" w:cs="Segoe UI"/>
        </w:rPr>
        <w:t>17 de julho de 2022</w:t>
      </w:r>
      <w:r w:rsidR="00522814" w:rsidRPr="000757BC">
        <w:rPr>
          <w:rFonts w:ascii="Segoe UI" w:hAnsi="Segoe UI" w:cs="Segoe UI"/>
        </w:rPr>
        <w:t>, indexado pelo dólar americano e atualizado a taxa de 0,39% ao mês</w:t>
      </w:r>
      <w:r w:rsidR="00DB2D0B" w:rsidRPr="000757BC">
        <w:rPr>
          <w:rFonts w:ascii="Segoe UI" w:hAnsi="Segoe UI" w:cs="Segoe UI"/>
        </w:rPr>
        <w:t>.</w:t>
      </w:r>
    </w:p>
    <w:p w14:paraId="3AC4AD68" w14:textId="07EE8A5F" w:rsidR="00116729" w:rsidRPr="000757BC" w:rsidRDefault="00534AB8" w:rsidP="00F63F20">
      <w:pPr>
        <w:autoSpaceDE w:val="0"/>
        <w:autoSpaceDN w:val="0"/>
        <w:adjustRightInd w:val="0"/>
        <w:spacing w:before="240" w:after="120"/>
        <w:jc w:val="both"/>
        <w:rPr>
          <w:rFonts w:ascii="Segoe UI" w:hAnsi="Segoe UI" w:cs="Segoe UI"/>
          <w:noProof/>
          <w:lang w:eastAsia="pt-BR"/>
        </w:rPr>
      </w:pPr>
      <w:r>
        <w:rPr>
          <w:rFonts w:ascii="Segoe UI" w:hAnsi="Segoe UI" w:cs="Segoe UI"/>
        </w:rPr>
        <w:t>Segue a</w:t>
      </w:r>
      <w:r w:rsidR="009B5AFB" w:rsidRPr="000757BC">
        <w:rPr>
          <w:rFonts w:ascii="Segoe UI" w:hAnsi="Segoe UI" w:cs="Segoe UI"/>
        </w:rPr>
        <w:t xml:space="preserve"> posição do saldo em </w:t>
      </w:r>
      <w:r w:rsidR="0051501D" w:rsidRPr="000757BC">
        <w:rPr>
          <w:rFonts w:ascii="Segoe UI" w:hAnsi="Segoe UI" w:cs="Segoe UI"/>
        </w:rPr>
        <w:t>31 de dezembro de 2022</w:t>
      </w:r>
      <w:r w:rsidR="009B5AFB" w:rsidRPr="000757BC">
        <w:rPr>
          <w:rFonts w:ascii="Segoe UI" w:hAnsi="Segoe UI" w:cs="Segoe UI"/>
        </w:rPr>
        <w:t>:</w:t>
      </w:r>
    </w:p>
    <w:tbl>
      <w:tblPr>
        <w:tblW w:w="5000" w:type="pct"/>
        <w:tblCellMar>
          <w:left w:w="70" w:type="dxa"/>
          <w:right w:w="70" w:type="dxa"/>
        </w:tblCellMar>
        <w:tblLook w:val="04A0" w:firstRow="1" w:lastRow="0" w:firstColumn="1" w:lastColumn="0" w:noHBand="0" w:noVBand="1"/>
      </w:tblPr>
      <w:tblGrid>
        <w:gridCol w:w="3761"/>
        <w:gridCol w:w="3094"/>
        <w:gridCol w:w="416"/>
        <w:gridCol w:w="2226"/>
      </w:tblGrid>
      <w:tr w:rsidR="00864E94" w:rsidRPr="00864E94" w14:paraId="67EE629E" w14:textId="77777777" w:rsidTr="00864E94">
        <w:trPr>
          <w:trHeight w:val="23"/>
        </w:trPr>
        <w:tc>
          <w:tcPr>
            <w:tcW w:w="1980" w:type="pct"/>
            <w:tcBorders>
              <w:top w:val="nil"/>
              <w:left w:val="nil"/>
              <w:bottom w:val="nil"/>
              <w:right w:val="nil"/>
            </w:tcBorders>
            <w:shd w:val="clear" w:color="auto" w:fill="auto"/>
            <w:noWrap/>
            <w:vAlign w:val="bottom"/>
            <w:hideMark/>
          </w:tcPr>
          <w:p w14:paraId="7D3A96FC" w14:textId="77777777" w:rsidR="00864E94" w:rsidRPr="00864E94" w:rsidRDefault="00864E94" w:rsidP="00864E94">
            <w:pPr>
              <w:spacing w:after="0" w:line="240" w:lineRule="auto"/>
              <w:rPr>
                <w:rFonts w:ascii="Times New Roman" w:eastAsia="Times New Roman" w:hAnsi="Times New Roman" w:cs="Times New Roman"/>
                <w:sz w:val="24"/>
                <w:szCs w:val="24"/>
                <w:lang w:eastAsia="pt-BR"/>
              </w:rPr>
            </w:pPr>
          </w:p>
        </w:tc>
        <w:tc>
          <w:tcPr>
            <w:tcW w:w="1629" w:type="pct"/>
            <w:tcBorders>
              <w:top w:val="nil"/>
              <w:left w:val="nil"/>
              <w:bottom w:val="nil"/>
              <w:right w:val="nil"/>
            </w:tcBorders>
            <w:shd w:val="clear" w:color="000000" w:fill="1B80C4"/>
            <w:noWrap/>
            <w:vAlign w:val="bottom"/>
            <w:hideMark/>
          </w:tcPr>
          <w:p w14:paraId="4BBF33E3" w14:textId="77777777" w:rsidR="00864E94" w:rsidRPr="00864E94" w:rsidRDefault="00864E94"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 xml:space="preserve"> Controladora </w:t>
            </w:r>
          </w:p>
        </w:tc>
        <w:tc>
          <w:tcPr>
            <w:tcW w:w="219" w:type="pct"/>
            <w:tcBorders>
              <w:top w:val="nil"/>
              <w:left w:val="nil"/>
              <w:bottom w:val="nil"/>
              <w:right w:val="nil"/>
            </w:tcBorders>
            <w:shd w:val="clear" w:color="000000" w:fill="1B80C4"/>
            <w:noWrap/>
            <w:vAlign w:val="center"/>
            <w:hideMark/>
          </w:tcPr>
          <w:p w14:paraId="01366C80" w14:textId="77777777" w:rsidR="00864E94" w:rsidRPr="00864E94" w:rsidRDefault="00864E94"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 </w:t>
            </w:r>
          </w:p>
        </w:tc>
        <w:tc>
          <w:tcPr>
            <w:tcW w:w="1172" w:type="pct"/>
            <w:tcBorders>
              <w:top w:val="nil"/>
              <w:left w:val="nil"/>
              <w:bottom w:val="nil"/>
              <w:right w:val="nil"/>
            </w:tcBorders>
            <w:shd w:val="clear" w:color="000000" w:fill="1B80C4"/>
            <w:noWrap/>
            <w:vAlign w:val="bottom"/>
            <w:hideMark/>
          </w:tcPr>
          <w:p w14:paraId="1FED2698" w14:textId="77777777" w:rsidR="00864E94" w:rsidRPr="00864E94" w:rsidRDefault="00864E94"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 xml:space="preserve"> Consolidado </w:t>
            </w:r>
          </w:p>
        </w:tc>
      </w:tr>
      <w:tr w:rsidR="00864E94" w:rsidRPr="00864E94" w14:paraId="3F556276" w14:textId="77777777" w:rsidTr="00864E94">
        <w:trPr>
          <w:trHeight w:val="23"/>
        </w:trPr>
        <w:tc>
          <w:tcPr>
            <w:tcW w:w="1980" w:type="pct"/>
            <w:tcBorders>
              <w:top w:val="nil"/>
              <w:left w:val="nil"/>
              <w:bottom w:val="nil"/>
              <w:right w:val="nil"/>
            </w:tcBorders>
            <w:shd w:val="clear" w:color="auto" w:fill="auto"/>
            <w:noWrap/>
            <w:vAlign w:val="bottom"/>
            <w:hideMark/>
          </w:tcPr>
          <w:p w14:paraId="3F4A4517" w14:textId="77777777" w:rsidR="00864E94" w:rsidRPr="00864E94" w:rsidRDefault="00864E94" w:rsidP="00864E94">
            <w:pPr>
              <w:spacing w:after="0" w:line="240" w:lineRule="auto"/>
              <w:jc w:val="center"/>
              <w:rPr>
                <w:rFonts w:ascii="Segoe UI" w:eastAsia="Times New Roman" w:hAnsi="Segoe UI" w:cs="Segoe UI"/>
                <w:b/>
                <w:bCs/>
                <w:color w:val="FFFFFF"/>
                <w:sz w:val="18"/>
                <w:szCs w:val="18"/>
                <w:lang w:eastAsia="pt-BR"/>
              </w:rPr>
            </w:pPr>
          </w:p>
        </w:tc>
        <w:tc>
          <w:tcPr>
            <w:tcW w:w="1629" w:type="pct"/>
            <w:tcBorders>
              <w:top w:val="single" w:sz="4" w:space="0" w:color="FFFFFF"/>
              <w:left w:val="nil"/>
              <w:bottom w:val="single" w:sz="4" w:space="0" w:color="FFFFFF"/>
              <w:right w:val="nil"/>
            </w:tcBorders>
            <w:shd w:val="clear" w:color="000000" w:fill="1B80C4"/>
            <w:noWrap/>
            <w:vAlign w:val="center"/>
            <w:hideMark/>
          </w:tcPr>
          <w:p w14:paraId="1F4964EA" w14:textId="77777777" w:rsidR="00864E94" w:rsidRPr="00864E94" w:rsidRDefault="00864E94"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31/12/2022</w:t>
            </w:r>
          </w:p>
        </w:tc>
        <w:tc>
          <w:tcPr>
            <w:tcW w:w="219" w:type="pct"/>
            <w:tcBorders>
              <w:top w:val="single" w:sz="4" w:space="0" w:color="FFFFFF"/>
              <w:left w:val="nil"/>
              <w:bottom w:val="single" w:sz="4" w:space="0" w:color="FFFFFF"/>
              <w:right w:val="nil"/>
            </w:tcBorders>
            <w:shd w:val="clear" w:color="000000" w:fill="1B80C4"/>
            <w:noWrap/>
            <w:vAlign w:val="center"/>
            <w:hideMark/>
          </w:tcPr>
          <w:p w14:paraId="5DB12B84" w14:textId="77777777" w:rsidR="00864E94" w:rsidRPr="00864E94" w:rsidRDefault="00864E94"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 </w:t>
            </w:r>
          </w:p>
        </w:tc>
        <w:tc>
          <w:tcPr>
            <w:tcW w:w="1172" w:type="pct"/>
            <w:tcBorders>
              <w:top w:val="single" w:sz="4" w:space="0" w:color="FFFFFF"/>
              <w:left w:val="nil"/>
              <w:bottom w:val="single" w:sz="4" w:space="0" w:color="FFFFFF"/>
              <w:right w:val="nil"/>
            </w:tcBorders>
            <w:shd w:val="clear" w:color="000000" w:fill="1B80C4"/>
            <w:noWrap/>
            <w:vAlign w:val="center"/>
            <w:hideMark/>
          </w:tcPr>
          <w:p w14:paraId="70DF3DDE" w14:textId="77777777" w:rsidR="00864E94" w:rsidRPr="00864E94" w:rsidRDefault="00864E94"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31/12/2022</w:t>
            </w:r>
          </w:p>
        </w:tc>
      </w:tr>
      <w:tr w:rsidR="00864E94" w:rsidRPr="00864E94" w14:paraId="4A33DD6A" w14:textId="77777777" w:rsidTr="00864E94">
        <w:trPr>
          <w:trHeight w:val="23"/>
        </w:trPr>
        <w:tc>
          <w:tcPr>
            <w:tcW w:w="1980" w:type="pct"/>
            <w:tcBorders>
              <w:top w:val="nil"/>
              <w:left w:val="nil"/>
              <w:bottom w:val="nil"/>
              <w:right w:val="nil"/>
            </w:tcBorders>
            <w:shd w:val="clear" w:color="auto" w:fill="auto"/>
            <w:noWrap/>
            <w:vAlign w:val="center"/>
            <w:hideMark/>
          </w:tcPr>
          <w:p w14:paraId="49AF2999" w14:textId="3912F3A0" w:rsidR="00864E94" w:rsidRPr="00864E94" w:rsidRDefault="00E3374A" w:rsidP="00864E94">
            <w:pPr>
              <w:spacing w:after="0" w:line="240" w:lineRule="auto"/>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C</w:t>
            </w:r>
            <w:r w:rsidR="00864E94" w:rsidRPr="00864E94">
              <w:rPr>
                <w:rFonts w:ascii="Segoe UI" w:eastAsia="Times New Roman" w:hAnsi="Segoe UI" w:cs="Segoe UI"/>
                <w:b/>
                <w:bCs/>
                <w:color w:val="000000"/>
                <w:sz w:val="18"/>
                <w:szCs w:val="18"/>
                <w:lang w:eastAsia="pt-BR"/>
              </w:rPr>
              <w:t xml:space="preserve">irculante </w:t>
            </w:r>
          </w:p>
        </w:tc>
        <w:tc>
          <w:tcPr>
            <w:tcW w:w="1629" w:type="pct"/>
            <w:tcBorders>
              <w:top w:val="nil"/>
              <w:left w:val="nil"/>
              <w:bottom w:val="nil"/>
              <w:right w:val="nil"/>
            </w:tcBorders>
            <w:shd w:val="clear" w:color="auto" w:fill="auto"/>
            <w:noWrap/>
            <w:vAlign w:val="center"/>
            <w:hideMark/>
          </w:tcPr>
          <w:p w14:paraId="5FDBBF87" w14:textId="77777777" w:rsidR="00864E94" w:rsidRPr="00864E94" w:rsidRDefault="00864E94" w:rsidP="00864E94">
            <w:pPr>
              <w:spacing w:after="0" w:line="240" w:lineRule="auto"/>
              <w:rPr>
                <w:rFonts w:ascii="Segoe UI" w:eastAsia="Times New Roman" w:hAnsi="Segoe UI" w:cs="Segoe UI"/>
                <w:b/>
                <w:bCs/>
                <w:color w:val="000000"/>
                <w:sz w:val="18"/>
                <w:szCs w:val="18"/>
                <w:lang w:eastAsia="pt-BR"/>
              </w:rPr>
            </w:pPr>
          </w:p>
        </w:tc>
        <w:tc>
          <w:tcPr>
            <w:tcW w:w="219" w:type="pct"/>
            <w:tcBorders>
              <w:top w:val="nil"/>
              <w:left w:val="nil"/>
              <w:bottom w:val="nil"/>
              <w:right w:val="nil"/>
            </w:tcBorders>
            <w:shd w:val="clear" w:color="auto" w:fill="auto"/>
            <w:noWrap/>
            <w:vAlign w:val="bottom"/>
            <w:hideMark/>
          </w:tcPr>
          <w:p w14:paraId="0C4F7BEE" w14:textId="77777777" w:rsidR="00864E94" w:rsidRPr="00864E94" w:rsidRDefault="00864E94" w:rsidP="00864E94">
            <w:pPr>
              <w:spacing w:after="0" w:line="240" w:lineRule="auto"/>
              <w:jc w:val="right"/>
              <w:rPr>
                <w:rFonts w:ascii="Times New Roman" w:eastAsia="Times New Roman" w:hAnsi="Times New Roman" w:cs="Times New Roman"/>
                <w:sz w:val="20"/>
                <w:szCs w:val="20"/>
                <w:lang w:eastAsia="pt-BR"/>
              </w:rPr>
            </w:pPr>
          </w:p>
        </w:tc>
        <w:tc>
          <w:tcPr>
            <w:tcW w:w="1172" w:type="pct"/>
            <w:tcBorders>
              <w:top w:val="nil"/>
              <w:left w:val="nil"/>
              <w:bottom w:val="nil"/>
              <w:right w:val="nil"/>
            </w:tcBorders>
            <w:shd w:val="clear" w:color="auto" w:fill="auto"/>
            <w:noWrap/>
            <w:vAlign w:val="center"/>
            <w:hideMark/>
          </w:tcPr>
          <w:p w14:paraId="605223CA" w14:textId="77777777" w:rsidR="00864E94" w:rsidRPr="00864E94" w:rsidRDefault="00864E94" w:rsidP="00864E94">
            <w:pPr>
              <w:spacing w:after="0" w:line="240" w:lineRule="auto"/>
              <w:rPr>
                <w:rFonts w:ascii="Times New Roman" w:eastAsia="Times New Roman" w:hAnsi="Times New Roman" w:cs="Times New Roman"/>
                <w:sz w:val="20"/>
                <w:szCs w:val="20"/>
                <w:lang w:eastAsia="pt-BR"/>
              </w:rPr>
            </w:pPr>
          </w:p>
        </w:tc>
      </w:tr>
      <w:tr w:rsidR="00864E94" w:rsidRPr="00864E94" w14:paraId="5AC23ACB" w14:textId="77777777" w:rsidTr="00864E94">
        <w:trPr>
          <w:trHeight w:val="23"/>
        </w:trPr>
        <w:tc>
          <w:tcPr>
            <w:tcW w:w="1980" w:type="pct"/>
            <w:tcBorders>
              <w:top w:val="nil"/>
              <w:left w:val="nil"/>
              <w:bottom w:val="nil"/>
              <w:right w:val="nil"/>
            </w:tcBorders>
            <w:shd w:val="clear" w:color="auto" w:fill="auto"/>
            <w:noWrap/>
            <w:vAlign w:val="center"/>
            <w:hideMark/>
          </w:tcPr>
          <w:p w14:paraId="42C20DF7" w14:textId="77777777" w:rsidR="00864E94" w:rsidRPr="00864E94" w:rsidRDefault="00864E94"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Aquisição de investimento </w:t>
            </w:r>
          </w:p>
        </w:tc>
        <w:tc>
          <w:tcPr>
            <w:tcW w:w="1629" w:type="pct"/>
            <w:tcBorders>
              <w:top w:val="nil"/>
              <w:left w:val="nil"/>
              <w:bottom w:val="nil"/>
              <w:right w:val="nil"/>
            </w:tcBorders>
            <w:shd w:val="clear" w:color="auto" w:fill="auto"/>
            <w:noWrap/>
            <w:vAlign w:val="center"/>
            <w:hideMark/>
          </w:tcPr>
          <w:p w14:paraId="299E8A22" w14:textId="03F5AFE9" w:rsidR="00864E94" w:rsidRPr="00864E94" w:rsidRDefault="00864E94"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sz w:val="18"/>
                <w:szCs w:val="18"/>
                <w:lang w:eastAsia="pt-BR"/>
              </w:rPr>
              <w:t xml:space="preserve">                         65.993 </w:t>
            </w:r>
          </w:p>
        </w:tc>
        <w:tc>
          <w:tcPr>
            <w:tcW w:w="219" w:type="pct"/>
            <w:tcBorders>
              <w:top w:val="nil"/>
              <w:left w:val="nil"/>
              <w:bottom w:val="nil"/>
              <w:right w:val="nil"/>
            </w:tcBorders>
            <w:shd w:val="clear" w:color="auto" w:fill="auto"/>
            <w:noWrap/>
            <w:vAlign w:val="bottom"/>
            <w:hideMark/>
          </w:tcPr>
          <w:p w14:paraId="4226062E" w14:textId="77777777" w:rsidR="00864E94" w:rsidRPr="00864E94" w:rsidRDefault="00864E94" w:rsidP="00864E94">
            <w:pPr>
              <w:spacing w:after="0" w:line="240" w:lineRule="auto"/>
              <w:jc w:val="right"/>
              <w:rPr>
                <w:rFonts w:ascii="Segoe UI" w:eastAsia="Times New Roman" w:hAnsi="Segoe UI" w:cs="Segoe UI"/>
                <w:color w:val="000000"/>
                <w:sz w:val="18"/>
                <w:szCs w:val="18"/>
                <w:lang w:eastAsia="pt-BR"/>
              </w:rPr>
            </w:pPr>
          </w:p>
        </w:tc>
        <w:tc>
          <w:tcPr>
            <w:tcW w:w="1172" w:type="pct"/>
            <w:tcBorders>
              <w:top w:val="nil"/>
              <w:left w:val="nil"/>
              <w:bottom w:val="nil"/>
              <w:right w:val="nil"/>
            </w:tcBorders>
            <w:shd w:val="clear" w:color="auto" w:fill="auto"/>
            <w:noWrap/>
            <w:vAlign w:val="center"/>
            <w:hideMark/>
          </w:tcPr>
          <w:p w14:paraId="47C7E5A8" w14:textId="77777777" w:rsidR="00864E94" w:rsidRPr="00864E94" w:rsidRDefault="00864E94"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 xml:space="preserve">                         65.993 </w:t>
            </w:r>
          </w:p>
        </w:tc>
      </w:tr>
      <w:tr w:rsidR="00864E94" w:rsidRPr="00864E94" w14:paraId="2457A3CF" w14:textId="77777777" w:rsidTr="00864E94">
        <w:trPr>
          <w:trHeight w:val="23"/>
        </w:trPr>
        <w:tc>
          <w:tcPr>
            <w:tcW w:w="1980" w:type="pct"/>
            <w:tcBorders>
              <w:top w:val="nil"/>
              <w:left w:val="nil"/>
              <w:bottom w:val="nil"/>
              <w:right w:val="nil"/>
            </w:tcBorders>
            <w:shd w:val="clear" w:color="auto" w:fill="auto"/>
            <w:noWrap/>
            <w:vAlign w:val="center"/>
            <w:hideMark/>
          </w:tcPr>
          <w:p w14:paraId="685652A3" w14:textId="77777777" w:rsidR="00864E94" w:rsidRPr="00864E94" w:rsidRDefault="00864E94" w:rsidP="00864E94">
            <w:pPr>
              <w:spacing w:after="0" w:line="240" w:lineRule="auto"/>
              <w:jc w:val="right"/>
              <w:rPr>
                <w:rFonts w:ascii="Segoe UI" w:eastAsia="Times New Roman" w:hAnsi="Segoe UI" w:cs="Segoe UI"/>
                <w:sz w:val="18"/>
                <w:szCs w:val="18"/>
                <w:lang w:eastAsia="pt-BR"/>
              </w:rPr>
            </w:pPr>
          </w:p>
        </w:tc>
        <w:tc>
          <w:tcPr>
            <w:tcW w:w="1629" w:type="pct"/>
            <w:tcBorders>
              <w:top w:val="nil"/>
              <w:left w:val="nil"/>
              <w:bottom w:val="nil"/>
              <w:right w:val="nil"/>
            </w:tcBorders>
            <w:shd w:val="clear" w:color="auto" w:fill="auto"/>
            <w:noWrap/>
            <w:vAlign w:val="center"/>
            <w:hideMark/>
          </w:tcPr>
          <w:p w14:paraId="52AD2FB3" w14:textId="77777777" w:rsidR="00864E94" w:rsidRPr="00864E94" w:rsidRDefault="00864E94" w:rsidP="00864E94">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shd w:val="clear" w:color="auto" w:fill="auto"/>
            <w:noWrap/>
            <w:vAlign w:val="bottom"/>
            <w:hideMark/>
          </w:tcPr>
          <w:p w14:paraId="590BC2DD" w14:textId="77777777" w:rsidR="00864E94" w:rsidRPr="00864E94" w:rsidRDefault="00864E94" w:rsidP="00864E94">
            <w:pPr>
              <w:spacing w:after="0" w:line="240" w:lineRule="auto"/>
              <w:jc w:val="right"/>
              <w:rPr>
                <w:rFonts w:ascii="Times New Roman" w:eastAsia="Times New Roman" w:hAnsi="Times New Roman" w:cs="Times New Roman"/>
                <w:sz w:val="20"/>
                <w:szCs w:val="20"/>
                <w:lang w:eastAsia="pt-BR"/>
              </w:rPr>
            </w:pPr>
          </w:p>
        </w:tc>
        <w:tc>
          <w:tcPr>
            <w:tcW w:w="1172" w:type="pct"/>
            <w:tcBorders>
              <w:top w:val="nil"/>
              <w:left w:val="nil"/>
              <w:bottom w:val="nil"/>
              <w:right w:val="nil"/>
            </w:tcBorders>
            <w:shd w:val="clear" w:color="auto" w:fill="auto"/>
            <w:noWrap/>
            <w:vAlign w:val="center"/>
            <w:hideMark/>
          </w:tcPr>
          <w:p w14:paraId="333F7426" w14:textId="77777777" w:rsidR="00864E94" w:rsidRPr="00864E94" w:rsidRDefault="00864E94" w:rsidP="00864E94">
            <w:pPr>
              <w:spacing w:after="0" w:line="240" w:lineRule="auto"/>
              <w:rPr>
                <w:rFonts w:ascii="Times New Roman" w:eastAsia="Times New Roman" w:hAnsi="Times New Roman" w:cs="Times New Roman"/>
                <w:sz w:val="20"/>
                <w:szCs w:val="20"/>
                <w:lang w:eastAsia="pt-BR"/>
              </w:rPr>
            </w:pPr>
          </w:p>
        </w:tc>
      </w:tr>
      <w:tr w:rsidR="00864E94" w:rsidRPr="00864E94" w14:paraId="7F8F718A" w14:textId="77777777" w:rsidTr="00864E94">
        <w:trPr>
          <w:trHeight w:val="23"/>
        </w:trPr>
        <w:tc>
          <w:tcPr>
            <w:tcW w:w="1980" w:type="pct"/>
            <w:tcBorders>
              <w:top w:val="nil"/>
              <w:left w:val="nil"/>
              <w:bottom w:val="nil"/>
              <w:right w:val="nil"/>
            </w:tcBorders>
            <w:shd w:val="clear" w:color="auto" w:fill="auto"/>
            <w:noWrap/>
            <w:vAlign w:val="center"/>
            <w:hideMark/>
          </w:tcPr>
          <w:p w14:paraId="5133F30C" w14:textId="271925C1" w:rsidR="00864E94" w:rsidRPr="00864E94" w:rsidRDefault="00E3374A" w:rsidP="00864E94">
            <w:pPr>
              <w:spacing w:after="0" w:line="240" w:lineRule="auto"/>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N</w:t>
            </w:r>
            <w:r w:rsidR="00864E94" w:rsidRPr="00864E94">
              <w:rPr>
                <w:rFonts w:ascii="Segoe UI" w:eastAsia="Times New Roman" w:hAnsi="Segoe UI" w:cs="Segoe UI"/>
                <w:b/>
                <w:bCs/>
                <w:color w:val="000000"/>
                <w:sz w:val="18"/>
                <w:szCs w:val="18"/>
                <w:lang w:eastAsia="pt-BR"/>
              </w:rPr>
              <w:t xml:space="preserve">ão circulante </w:t>
            </w:r>
          </w:p>
        </w:tc>
        <w:tc>
          <w:tcPr>
            <w:tcW w:w="1629" w:type="pct"/>
            <w:tcBorders>
              <w:top w:val="nil"/>
              <w:left w:val="nil"/>
              <w:bottom w:val="nil"/>
              <w:right w:val="nil"/>
            </w:tcBorders>
            <w:shd w:val="clear" w:color="auto" w:fill="auto"/>
            <w:noWrap/>
            <w:vAlign w:val="center"/>
            <w:hideMark/>
          </w:tcPr>
          <w:p w14:paraId="50FFEBB3" w14:textId="77777777" w:rsidR="00864E94" w:rsidRPr="00864E94" w:rsidRDefault="00864E94" w:rsidP="00864E94">
            <w:pPr>
              <w:spacing w:after="0" w:line="240" w:lineRule="auto"/>
              <w:rPr>
                <w:rFonts w:ascii="Segoe UI" w:eastAsia="Times New Roman" w:hAnsi="Segoe UI" w:cs="Segoe UI"/>
                <w:b/>
                <w:bCs/>
                <w:color w:val="000000"/>
                <w:sz w:val="18"/>
                <w:szCs w:val="18"/>
                <w:lang w:eastAsia="pt-BR"/>
              </w:rPr>
            </w:pPr>
          </w:p>
        </w:tc>
        <w:tc>
          <w:tcPr>
            <w:tcW w:w="219" w:type="pct"/>
            <w:tcBorders>
              <w:top w:val="nil"/>
              <w:left w:val="nil"/>
              <w:bottom w:val="nil"/>
              <w:right w:val="nil"/>
            </w:tcBorders>
            <w:shd w:val="clear" w:color="auto" w:fill="auto"/>
            <w:noWrap/>
            <w:vAlign w:val="bottom"/>
            <w:hideMark/>
          </w:tcPr>
          <w:p w14:paraId="050211CA" w14:textId="77777777" w:rsidR="00864E94" w:rsidRPr="00864E94" w:rsidRDefault="00864E94" w:rsidP="00864E94">
            <w:pPr>
              <w:spacing w:after="0" w:line="240" w:lineRule="auto"/>
              <w:jc w:val="right"/>
              <w:rPr>
                <w:rFonts w:ascii="Times New Roman" w:eastAsia="Times New Roman" w:hAnsi="Times New Roman" w:cs="Times New Roman"/>
                <w:sz w:val="20"/>
                <w:szCs w:val="20"/>
                <w:lang w:eastAsia="pt-BR"/>
              </w:rPr>
            </w:pPr>
          </w:p>
        </w:tc>
        <w:tc>
          <w:tcPr>
            <w:tcW w:w="1172" w:type="pct"/>
            <w:tcBorders>
              <w:top w:val="nil"/>
              <w:left w:val="nil"/>
              <w:bottom w:val="nil"/>
              <w:right w:val="nil"/>
            </w:tcBorders>
            <w:shd w:val="clear" w:color="auto" w:fill="auto"/>
            <w:noWrap/>
            <w:vAlign w:val="center"/>
            <w:hideMark/>
          </w:tcPr>
          <w:p w14:paraId="3B712B1B" w14:textId="77777777" w:rsidR="00864E94" w:rsidRPr="00864E94" w:rsidRDefault="00864E94" w:rsidP="00864E94">
            <w:pPr>
              <w:spacing w:after="0" w:line="240" w:lineRule="auto"/>
              <w:rPr>
                <w:rFonts w:ascii="Times New Roman" w:eastAsia="Times New Roman" w:hAnsi="Times New Roman" w:cs="Times New Roman"/>
                <w:sz w:val="20"/>
                <w:szCs w:val="20"/>
                <w:lang w:eastAsia="pt-BR"/>
              </w:rPr>
            </w:pPr>
          </w:p>
        </w:tc>
      </w:tr>
      <w:tr w:rsidR="00864E94" w:rsidRPr="00864E94" w14:paraId="0EE755BF" w14:textId="77777777" w:rsidTr="00864E94">
        <w:trPr>
          <w:trHeight w:val="23"/>
        </w:trPr>
        <w:tc>
          <w:tcPr>
            <w:tcW w:w="1980" w:type="pct"/>
            <w:tcBorders>
              <w:top w:val="nil"/>
              <w:left w:val="nil"/>
              <w:bottom w:val="nil"/>
              <w:right w:val="nil"/>
            </w:tcBorders>
            <w:shd w:val="clear" w:color="auto" w:fill="auto"/>
            <w:noWrap/>
            <w:vAlign w:val="center"/>
            <w:hideMark/>
          </w:tcPr>
          <w:p w14:paraId="3D03A6F5" w14:textId="77777777" w:rsidR="00864E94" w:rsidRPr="00864E94" w:rsidRDefault="00864E94"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Aquisição de investimento </w:t>
            </w:r>
          </w:p>
        </w:tc>
        <w:tc>
          <w:tcPr>
            <w:tcW w:w="1629" w:type="pct"/>
            <w:tcBorders>
              <w:top w:val="nil"/>
              <w:left w:val="nil"/>
              <w:bottom w:val="nil"/>
              <w:right w:val="nil"/>
            </w:tcBorders>
            <w:shd w:val="clear" w:color="auto" w:fill="auto"/>
            <w:noWrap/>
            <w:vAlign w:val="center"/>
            <w:hideMark/>
          </w:tcPr>
          <w:p w14:paraId="5028C72A" w14:textId="1C9A9C0C" w:rsidR="00864E94" w:rsidRPr="00864E94" w:rsidRDefault="00864E94"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 xml:space="preserve">                    </w:t>
            </w:r>
            <w:r w:rsidR="00BE7E4C" w:rsidRPr="00864E94">
              <w:rPr>
                <w:rFonts w:ascii="Segoe UI" w:eastAsia="Times New Roman" w:hAnsi="Segoe UI" w:cs="Segoe UI"/>
                <w:sz w:val="18"/>
                <w:szCs w:val="18"/>
                <w:lang w:eastAsia="pt-BR"/>
              </w:rPr>
              <w:t>1.226.377</w:t>
            </w:r>
            <w:r w:rsidRPr="00864E94">
              <w:rPr>
                <w:rFonts w:ascii="Segoe UI" w:eastAsia="Times New Roman" w:hAnsi="Segoe UI" w:cs="Segoe UI"/>
                <w:sz w:val="18"/>
                <w:szCs w:val="18"/>
                <w:lang w:eastAsia="pt-BR"/>
              </w:rPr>
              <w:t xml:space="preserve"> </w:t>
            </w:r>
          </w:p>
        </w:tc>
        <w:tc>
          <w:tcPr>
            <w:tcW w:w="219" w:type="pct"/>
            <w:tcBorders>
              <w:top w:val="nil"/>
              <w:left w:val="nil"/>
              <w:bottom w:val="nil"/>
              <w:right w:val="nil"/>
            </w:tcBorders>
            <w:shd w:val="clear" w:color="auto" w:fill="auto"/>
            <w:noWrap/>
            <w:vAlign w:val="bottom"/>
            <w:hideMark/>
          </w:tcPr>
          <w:p w14:paraId="476D7F02" w14:textId="77777777" w:rsidR="00864E94" w:rsidRPr="00864E94" w:rsidRDefault="00864E94" w:rsidP="00864E94">
            <w:pPr>
              <w:spacing w:after="0" w:line="240" w:lineRule="auto"/>
              <w:jc w:val="right"/>
              <w:rPr>
                <w:rFonts w:ascii="Segoe UI" w:eastAsia="Times New Roman" w:hAnsi="Segoe UI" w:cs="Segoe UI"/>
                <w:sz w:val="18"/>
                <w:szCs w:val="18"/>
                <w:lang w:eastAsia="pt-BR"/>
              </w:rPr>
            </w:pPr>
          </w:p>
        </w:tc>
        <w:tc>
          <w:tcPr>
            <w:tcW w:w="1172" w:type="pct"/>
            <w:tcBorders>
              <w:top w:val="nil"/>
              <w:left w:val="nil"/>
              <w:bottom w:val="nil"/>
              <w:right w:val="nil"/>
            </w:tcBorders>
            <w:shd w:val="clear" w:color="auto" w:fill="auto"/>
            <w:noWrap/>
            <w:vAlign w:val="center"/>
            <w:hideMark/>
          </w:tcPr>
          <w:p w14:paraId="4EAE4704" w14:textId="77777777" w:rsidR="00864E94" w:rsidRPr="00864E94" w:rsidRDefault="00864E94"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 xml:space="preserve">                    1.226.377 </w:t>
            </w:r>
          </w:p>
        </w:tc>
      </w:tr>
      <w:tr w:rsidR="00864E94" w:rsidRPr="00864E94" w14:paraId="62318227" w14:textId="77777777" w:rsidTr="00864E94">
        <w:trPr>
          <w:trHeight w:val="23"/>
        </w:trPr>
        <w:tc>
          <w:tcPr>
            <w:tcW w:w="1980" w:type="pct"/>
            <w:tcBorders>
              <w:top w:val="nil"/>
              <w:left w:val="nil"/>
              <w:bottom w:val="nil"/>
              <w:right w:val="nil"/>
            </w:tcBorders>
            <w:shd w:val="clear" w:color="auto" w:fill="auto"/>
            <w:noWrap/>
            <w:vAlign w:val="center"/>
            <w:hideMark/>
          </w:tcPr>
          <w:p w14:paraId="5BD14C70" w14:textId="77777777" w:rsidR="00864E94" w:rsidRPr="00864E94" w:rsidRDefault="00864E94" w:rsidP="00864E94">
            <w:pPr>
              <w:spacing w:after="0" w:line="240" w:lineRule="auto"/>
              <w:jc w:val="right"/>
              <w:rPr>
                <w:rFonts w:ascii="Segoe UI" w:eastAsia="Times New Roman" w:hAnsi="Segoe UI" w:cs="Segoe UI"/>
                <w:sz w:val="18"/>
                <w:szCs w:val="18"/>
                <w:lang w:eastAsia="pt-BR"/>
              </w:rPr>
            </w:pPr>
          </w:p>
        </w:tc>
        <w:tc>
          <w:tcPr>
            <w:tcW w:w="1629" w:type="pct"/>
            <w:tcBorders>
              <w:top w:val="single" w:sz="4" w:space="0" w:color="1B80C4"/>
              <w:left w:val="nil"/>
              <w:bottom w:val="double" w:sz="6" w:space="0" w:color="1B80C4"/>
              <w:right w:val="nil"/>
            </w:tcBorders>
            <w:shd w:val="clear" w:color="auto" w:fill="auto"/>
            <w:noWrap/>
            <w:vAlign w:val="center"/>
            <w:hideMark/>
          </w:tcPr>
          <w:p w14:paraId="076E4C8B" w14:textId="175C8594" w:rsidR="00864E94" w:rsidRPr="00864E94" w:rsidRDefault="00864E94"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 xml:space="preserve">                  </w:t>
            </w:r>
            <w:r w:rsidR="00BE7E4C" w:rsidRPr="00864E94">
              <w:rPr>
                <w:rFonts w:ascii="Segoe UI" w:eastAsia="Times New Roman" w:hAnsi="Segoe UI" w:cs="Segoe UI"/>
                <w:b/>
                <w:bCs/>
                <w:color w:val="000000"/>
                <w:sz w:val="18"/>
                <w:szCs w:val="18"/>
                <w:lang w:eastAsia="pt-BR"/>
              </w:rPr>
              <w:t>1.292.370</w:t>
            </w:r>
            <w:r w:rsidRPr="00864E94">
              <w:rPr>
                <w:rFonts w:ascii="Segoe UI" w:eastAsia="Times New Roman" w:hAnsi="Segoe UI" w:cs="Segoe UI"/>
                <w:b/>
                <w:bCs/>
                <w:color w:val="000000"/>
                <w:sz w:val="18"/>
                <w:szCs w:val="18"/>
                <w:lang w:eastAsia="pt-BR"/>
              </w:rPr>
              <w:t xml:space="preserve"> </w:t>
            </w:r>
          </w:p>
        </w:tc>
        <w:tc>
          <w:tcPr>
            <w:tcW w:w="219" w:type="pct"/>
            <w:tcBorders>
              <w:top w:val="nil"/>
              <w:left w:val="nil"/>
              <w:bottom w:val="nil"/>
              <w:right w:val="nil"/>
            </w:tcBorders>
            <w:shd w:val="clear" w:color="auto" w:fill="auto"/>
            <w:noWrap/>
            <w:vAlign w:val="bottom"/>
            <w:hideMark/>
          </w:tcPr>
          <w:p w14:paraId="2D7B1A88" w14:textId="77777777" w:rsidR="00864E94" w:rsidRPr="00864E94" w:rsidRDefault="00864E94" w:rsidP="00864E94">
            <w:pPr>
              <w:spacing w:after="0" w:line="240" w:lineRule="auto"/>
              <w:jc w:val="right"/>
              <w:rPr>
                <w:rFonts w:ascii="Segoe UI" w:eastAsia="Times New Roman" w:hAnsi="Segoe UI" w:cs="Segoe UI"/>
                <w:b/>
                <w:bCs/>
                <w:color w:val="000000"/>
                <w:sz w:val="18"/>
                <w:szCs w:val="18"/>
                <w:lang w:eastAsia="pt-BR"/>
              </w:rPr>
            </w:pPr>
          </w:p>
        </w:tc>
        <w:tc>
          <w:tcPr>
            <w:tcW w:w="1172" w:type="pct"/>
            <w:tcBorders>
              <w:top w:val="single" w:sz="4" w:space="0" w:color="1B80C4"/>
              <w:left w:val="nil"/>
              <w:bottom w:val="double" w:sz="6" w:space="0" w:color="1B80C4"/>
              <w:right w:val="nil"/>
            </w:tcBorders>
            <w:shd w:val="clear" w:color="auto" w:fill="auto"/>
            <w:noWrap/>
            <w:vAlign w:val="center"/>
            <w:hideMark/>
          </w:tcPr>
          <w:p w14:paraId="66B5A96C" w14:textId="77777777" w:rsidR="00864E94" w:rsidRPr="00864E94" w:rsidRDefault="00864E94"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 xml:space="preserve">                  1.292.370 </w:t>
            </w:r>
          </w:p>
        </w:tc>
      </w:tr>
    </w:tbl>
    <w:p w14:paraId="4C6D64F8" w14:textId="77777777" w:rsidR="00864E94" w:rsidRPr="000757BC" w:rsidRDefault="00864E94" w:rsidP="00720E7B">
      <w:pPr>
        <w:rPr>
          <w:rFonts w:ascii="Segoe UI" w:hAnsi="Segoe UI" w:cs="Segoe UI"/>
          <w:noProof/>
          <w:sz w:val="10"/>
          <w:szCs w:val="10"/>
          <w:lang w:eastAsia="pt-BR"/>
        </w:rPr>
      </w:pPr>
    </w:p>
    <w:p w14:paraId="1D04D0F7" w14:textId="77777777" w:rsidR="00D51702" w:rsidRDefault="00D51702">
      <w:pPr>
        <w:rPr>
          <w:rFonts w:ascii="Segoe UI" w:hAnsi="Segoe UI" w:cs="Segoe UI"/>
          <w:b/>
          <w:color w:val="0070C0"/>
        </w:rPr>
      </w:pPr>
      <w:r>
        <w:rPr>
          <w:rFonts w:ascii="Segoe UI" w:hAnsi="Segoe UI" w:cs="Segoe UI"/>
          <w:b/>
          <w:color w:val="0070C0"/>
        </w:rPr>
        <w:br w:type="page"/>
      </w:r>
    </w:p>
    <w:p w14:paraId="29BC4BC8" w14:textId="6E2F05F7" w:rsidR="002B1787" w:rsidRPr="000757BC" w:rsidRDefault="00925AEE" w:rsidP="00F63F20">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Pr>
          <w:rFonts w:ascii="Segoe UI" w:hAnsi="Segoe UI" w:cs="Segoe UI"/>
          <w:b/>
          <w:color w:val="0070C0"/>
        </w:rPr>
        <w:lastRenderedPageBreak/>
        <w:t>2</w:t>
      </w:r>
      <w:r w:rsidR="002A4E82">
        <w:rPr>
          <w:rFonts w:ascii="Segoe UI" w:hAnsi="Segoe UI" w:cs="Segoe UI"/>
          <w:b/>
          <w:color w:val="0070C0"/>
        </w:rPr>
        <w:t>0</w:t>
      </w:r>
      <w:r w:rsidRPr="000757BC">
        <w:rPr>
          <w:rFonts w:ascii="Segoe UI" w:hAnsi="Segoe UI" w:cs="Segoe UI"/>
          <w:b/>
          <w:color w:val="0070C0"/>
        </w:rPr>
        <w:t xml:space="preserve"> </w:t>
      </w:r>
      <w:r w:rsidR="002B1787" w:rsidRPr="000757BC">
        <w:rPr>
          <w:rFonts w:ascii="Segoe UI" w:hAnsi="Segoe UI" w:cs="Segoe UI"/>
          <w:b/>
          <w:color w:val="0070C0"/>
        </w:rPr>
        <w:t xml:space="preserve">– PROVISÃO PARA LITÍGIOS E PASSIVOS CONTINGENTES </w:t>
      </w:r>
    </w:p>
    <w:p w14:paraId="34700077" w14:textId="4C791151" w:rsidR="00F43CBC" w:rsidRPr="000757BC" w:rsidRDefault="00093E15" w:rsidP="00F63F20">
      <w:pPr>
        <w:spacing w:before="240" w:after="120"/>
        <w:jc w:val="both"/>
        <w:rPr>
          <w:rFonts w:ascii="Segoe UI" w:hAnsi="Segoe UI" w:cs="Segoe UI"/>
          <w:bdr w:val="nil"/>
        </w:rPr>
      </w:pPr>
      <w:r w:rsidRPr="000757BC">
        <w:rPr>
          <w:rFonts w:ascii="Segoe UI" w:hAnsi="Segoe UI" w:cs="Segoe UI"/>
          <w:bdr w:val="nil"/>
        </w:rPr>
        <w:t xml:space="preserve">As provisões para as perdas decorrentes dos riscos classificados como prováveis são </w:t>
      </w:r>
      <w:r w:rsidR="00E3374A">
        <w:rPr>
          <w:rFonts w:ascii="Segoe UI" w:hAnsi="Segoe UI" w:cs="Segoe UI"/>
          <w:bdr w:val="nil"/>
        </w:rPr>
        <w:t>registradas</w:t>
      </w:r>
      <w:r w:rsidRPr="000757BC">
        <w:rPr>
          <w:rFonts w:ascii="Segoe UI" w:hAnsi="Segoe UI" w:cs="Segoe UI"/>
          <w:bdr w:val="nil"/>
        </w:rPr>
        <w:t xml:space="preserve"> contabilmente</w:t>
      </w:r>
      <w:r w:rsidR="00765964" w:rsidRPr="000757BC">
        <w:rPr>
          <w:rFonts w:ascii="Segoe UI" w:hAnsi="Segoe UI" w:cs="Segoe UI"/>
          <w:bdr w:val="nil"/>
        </w:rPr>
        <w:t>.</w:t>
      </w:r>
    </w:p>
    <w:tbl>
      <w:tblPr>
        <w:tblW w:w="5000" w:type="pct"/>
        <w:tblCellMar>
          <w:left w:w="70" w:type="dxa"/>
          <w:right w:w="70" w:type="dxa"/>
        </w:tblCellMar>
        <w:tblLook w:val="04A0" w:firstRow="1" w:lastRow="0" w:firstColumn="1" w:lastColumn="0" w:noHBand="0" w:noVBand="1"/>
      </w:tblPr>
      <w:tblGrid>
        <w:gridCol w:w="6730"/>
        <w:gridCol w:w="2767"/>
      </w:tblGrid>
      <w:tr w:rsidR="00261EF5" w:rsidRPr="00864E94" w14:paraId="4C90011E" w14:textId="77777777" w:rsidTr="00261EF5">
        <w:trPr>
          <w:trHeight w:val="258"/>
        </w:trPr>
        <w:tc>
          <w:tcPr>
            <w:tcW w:w="3543" w:type="pct"/>
            <w:tcBorders>
              <w:top w:val="nil"/>
              <w:left w:val="nil"/>
              <w:bottom w:val="nil"/>
              <w:right w:val="nil"/>
            </w:tcBorders>
            <w:shd w:val="clear" w:color="auto" w:fill="auto"/>
            <w:noWrap/>
            <w:vAlign w:val="bottom"/>
            <w:hideMark/>
          </w:tcPr>
          <w:p w14:paraId="223211CC" w14:textId="77777777" w:rsidR="00261EF5" w:rsidRPr="00864E94" w:rsidRDefault="00261EF5" w:rsidP="00864E94">
            <w:pPr>
              <w:spacing w:after="0" w:line="240" w:lineRule="auto"/>
              <w:rPr>
                <w:rFonts w:ascii="Times New Roman" w:eastAsia="Times New Roman" w:hAnsi="Times New Roman" w:cs="Times New Roman"/>
                <w:sz w:val="24"/>
                <w:szCs w:val="24"/>
                <w:lang w:eastAsia="pt-BR"/>
              </w:rPr>
            </w:pPr>
          </w:p>
        </w:tc>
        <w:tc>
          <w:tcPr>
            <w:tcW w:w="1457" w:type="pct"/>
            <w:tcBorders>
              <w:top w:val="nil"/>
              <w:left w:val="nil"/>
              <w:bottom w:val="nil"/>
              <w:right w:val="nil"/>
            </w:tcBorders>
            <w:shd w:val="clear" w:color="000000" w:fill="1B80C4"/>
            <w:noWrap/>
            <w:vAlign w:val="bottom"/>
            <w:hideMark/>
          </w:tcPr>
          <w:p w14:paraId="472E0C05" w14:textId="77777777" w:rsidR="00261EF5" w:rsidRPr="00864E94" w:rsidRDefault="00261EF5"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 xml:space="preserve"> Consolidado </w:t>
            </w:r>
          </w:p>
        </w:tc>
      </w:tr>
      <w:tr w:rsidR="00261EF5" w:rsidRPr="00864E94" w14:paraId="5C57BE38" w14:textId="77777777" w:rsidTr="00261EF5">
        <w:trPr>
          <w:trHeight w:val="258"/>
        </w:trPr>
        <w:tc>
          <w:tcPr>
            <w:tcW w:w="3543" w:type="pct"/>
            <w:tcBorders>
              <w:top w:val="nil"/>
              <w:left w:val="nil"/>
              <w:bottom w:val="nil"/>
              <w:right w:val="nil"/>
            </w:tcBorders>
            <w:shd w:val="clear" w:color="auto" w:fill="auto"/>
            <w:noWrap/>
            <w:vAlign w:val="bottom"/>
            <w:hideMark/>
          </w:tcPr>
          <w:p w14:paraId="4B87CBEA" w14:textId="77777777" w:rsidR="00261EF5" w:rsidRPr="00864E94" w:rsidRDefault="00261EF5" w:rsidP="00864E94">
            <w:pPr>
              <w:spacing w:after="0" w:line="240" w:lineRule="auto"/>
              <w:jc w:val="center"/>
              <w:rPr>
                <w:rFonts w:ascii="Segoe UI" w:eastAsia="Times New Roman" w:hAnsi="Segoe UI" w:cs="Segoe UI"/>
                <w:b/>
                <w:bCs/>
                <w:color w:val="FFFFFF"/>
                <w:sz w:val="18"/>
                <w:szCs w:val="18"/>
                <w:lang w:eastAsia="pt-BR"/>
              </w:rPr>
            </w:pPr>
          </w:p>
        </w:tc>
        <w:tc>
          <w:tcPr>
            <w:tcW w:w="1457" w:type="pct"/>
            <w:tcBorders>
              <w:top w:val="single" w:sz="4" w:space="0" w:color="FFFFFF"/>
              <w:left w:val="nil"/>
              <w:bottom w:val="single" w:sz="4" w:space="0" w:color="FFFFFF"/>
              <w:right w:val="nil"/>
            </w:tcBorders>
            <w:shd w:val="clear" w:color="000000" w:fill="1B80C4"/>
            <w:noWrap/>
            <w:vAlign w:val="center"/>
            <w:hideMark/>
          </w:tcPr>
          <w:p w14:paraId="4CD32C4F" w14:textId="77777777" w:rsidR="00261EF5" w:rsidRPr="00864E94" w:rsidRDefault="00261EF5"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31/12/2022</w:t>
            </w:r>
          </w:p>
        </w:tc>
      </w:tr>
      <w:tr w:rsidR="00261EF5" w:rsidRPr="00864E94" w14:paraId="30A61AE4" w14:textId="77777777" w:rsidTr="00261EF5">
        <w:trPr>
          <w:trHeight w:val="23"/>
        </w:trPr>
        <w:tc>
          <w:tcPr>
            <w:tcW w:w="3543" w:type="pct"/>
            <w:tcBorders>
              <w:top w:val="nil"/>
              <w:left w:val="nil"/>
              <w:bottom w:val="nil"/>
              <w:right w:val="nil"/>
            </w:tcBorders>
            <w:shd w:val="clear" w:color="auto" w:fill="auto"/>
            <w:noWrap/>
            <w:vAlign w:val="center"/>
            <w:hideMark/>
          </w:tcPr>
          <w:p w14:paraId="7F66262C" w14:textId="327147FB" w:rsidR="00261EF5" w:rsidRPr="00864E94" w:rsidRDefault="00261EF5"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Provisão para contingências </w:t>
            </w:r>
            <w:r>
              <w:rPr>
                <w:rFonts w:ascii="Segoe UI" w:eastAsia="Times New Roman" w:hAnsi="Segoe UI" w:cs="Segoe UI"/>
                <w:color w:val="000000"/>
                <w:sz w:val="18"/>
                <w:szCs w:val="18"/>
                <w:lang w:eastAsia="pt-BR"/>
              </w:rPr>
              <w:t>c</w:t>
            </w:r>
            <w:r w:rsidRPr="00864E94">
              <w:rPr>
                <w:rFonts w:ascii="Segoe UI" w:eastAsia="Times New Roman" w:hAnsi="Segoe UI" w:cs="Segoe UI"/>
                <w:color w:val="000000"/>
                <w:sz w:val="18"/>
                <w:szCs w:val="18"/>
                <w:lang w:eastAsia="pt-BR"/>
              </w:rPr>
              <w:t xml:space="preserve">íveis </w:t>
            </w:r>
          </w:p>
        </w:tc>
        <w:tc>
          <w:tcPr>
            <w:tcW w:w="1457" w:type="pct"/>
            <w:tcBorders>
              <w:top w:val="nil"/>
              <w:left w:val="nil"/>
              <w:bottom w:val="nil"/>
              <w:right w:val="nil"/>
            </w:tcBorders>
            <w:shd w:val="clear" w:color="auto" w:fill="auto"/>
            <w:noWrap/>
            <w:vAlign w:val="center"/>
            <w:hideMark/>
          </w:tcPr>
          <w:p w14:paraId="6D6E0441" w14:textId="77777777" w:rsidR="00261EF5" w:rsidRPr="00864E94" w:rsidRDefault="00261EF5"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 xml:space="preserve">                         29.348 </w:t>
            </w:r>
          </w:p>
        </w:tc>
      </w:tr>
      <w:tr w:rsidR="00261EF5" w:rsidRPr="00864E94" w14:paraId="5D406DA4" w14:textId="77777777" w:rsidTr="00261EF5">
        <w:trPr>
          <w:trHeight w:val="258"/>
        </w:trPr>
        <w:tc>
          <w:tcPr>
            <w:tcW w:w="3543" w:type="pct"/>
            <w:tcBorders>
              <w:top w:val="nil"/>
              <w:left w:val="nil"/>
              <w:bottom w:val="nil"/>
              <w:right w:val="nil"/>
            </w:tcBorders>
            <w:shd w:val="clear" w:color="auto" w:fill="auto"/>
            <w:noWrap/>
            <w:vAlign w:val="center"/>
            <w:hideMark/>
          </w:tcPr>
          <w:p w14:paraId="6F62583E" w14:textId="2C18B801" w:rsidR="00261EF5" w:rsidRPr="00864E94" w:rsidRDefault="00261EF5"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Provisão para contingências </w:t>
            </w:r>
            <w:r>
              <w:rPr>
                <w:rFonts w:ascii="Segoe UI" w:eastAsia="Times New Roman" w:hAnsi="Segoe UI" w:cs="Segoe UI"/>
                <w:color w:val="000000"/>
                <w:sz w:val="18"/>
                <w:szCs w:val="18"/>
                <w:lang w:eastAsia="pt-BR"/>
              </w:rPr>
              <w:t>a</w:t>
            </w:r>
            <w:r w:rsidRPr="00864E94">
              <w:rPr>
                <w:rFonts w:ascii="Segoe UI" w:eastAsia="Times New Roman" w:hAnsi="Segoe UI" w:cs="Segoe UI"/>
                <w:color w:val="000000"/>
                <w:sz w:val="18"/>
                <w:szCs w:val="18"/>
                <w:lang w:eastAsia="pt-BR"/>
              </w:rPr>
              <w:t xml:space="preserve">mbientais </w:t>
            </w:r>
          </w:p>
        </w:tc>
        <w:tc>
          <w:tcPr>
            <w:tcW w:w="1457" w:type="pct"/>
            <w:tcBorders>
              <w:top w:val="nil"/>
              <w:left w:val="nil"/>
              <w:bottom w:val="nil"/>
              <w:right w:val="nil"/>
            </w:tcBorders>
            <w:shd w:val="clear" w:color="auto" w:fill="auto"/>
            <w:noWrap/>
            <w:vAlign w:val="center"/>
            <w:hideMark/>
          </w:tcPr>
          <w:p w14:paraId="07B8F29F" w14:textId="77777777" w:rsidR="00261EF5" w:rsidRPr="00864E94" w:rsidRDefault="00261EF5"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 xml:space="preserve">                         23.229 </w:t>
            </w:r>
          </w:p>
        </w:tc>
      </w:tr>
      <w:tr w:rsidR="00261EF5" w:rsidRPr="00864E94" w14:paraId="66770AF7" w14:textId="77777777" w:rsidTr="00261EF5">
        <w:trPr>
          <w:trHeight w:val="258"/>
        </w:trPr>
        <w:tc>
          <w:tcPr>
            <w:tcW w:w="3543" w:type="pct"/>
            <w:tcBorders>
              <w:top w:val="nil"/>
              <w:left w:val="nil"/>
              <w:bottom w:val="nil"/>
              <w:right w:val="nil"/>
            </w:tcBorders>
            <w:shd w:val="clear" w:color="auto" w:fill="auto"/>
            <w:noWrap/>
            <w:vAlign w:val="center"/>
            <w:hideMark/>
          </w:tcPr>
          <w:p w14:paraId="0BBB090B" w14:textId="0233C9E8" w:rsidR="00261EF5" w:rsidRPr="00864E94" w:rsidRDefault="00261EF5"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Provisão para contingências </w:t>
            </w:r>
            <w:r>
              <w:rPr>
                <w:rFonts w:ascii="Segoe UI" w:eastAsia="Times New Roman" w:hAnsi="Segoe UI" w:cs="Segoe UI"/>
                <w:color w:val="000000"/>
                <w:sz w:val="18"/>
                <w:szCs w:val="18"/>
                <w:lang w:eastAsia="pt-BR"/>
              </w:rPr>
              <w:t>t</w:t>
            </w:r>
            <w:r w:rsidRPr="00864E94">
              <w:rPr>
                <w:rFonts w:ascii="Segoe UI" w:eastAsia="Times New Roman" w:hAnsi="Segoe UI" w:cs="Segoe UI"/>
                <w:color w:val="000000"/>
                <w:sz w:val="18"/>
                <w:szCs w:val="18"/>
                <w:lang w:eastAsia="pt-BR"/>
              </w:rPr>
              <w:t xml:space="preserve">rabalhista </w:t>
            </w:r>
          </w:p>
        </w:tc>
        <w:tc>
          <w:tcPr>
            <w:tcW w:w="1457" w:type="pct"/>
            <w:tcBorders>
              <w:top w:val="nil"/>
              <w:left w:val="nil"/>
              <w:bottom w:val="nil"/>
              <w:right w:val="nil"/>
            </w:tcBorders>
            <w:shd w:val="clear" w:color="auto" w:fill="auto"/>
            <w:noWrap/>
            <w:vAlign w:val="center"/>
            <w:hideMark/>
          </w:tcPr>
          <w:p w14:paraId="6F77EAC9" w14:textId="77777777" w:rsidR="00261EF5" w:rsidRPr="00864E94" w:rsidRDefault="00261EF5"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 xml:space="preserve">                       280.740 </w:t>
            </w:r>
          </w:p>
        </w:tc>
      </w:tr>
      <w:tr w:rsidR="00261EF5" w:rsidRPr="00864E94" w14:paraId="2EF4763B" w14:textId="77777777" w:rsidTr="00261EF5">
        <w:trPr>
          <w:trHeight w:val="258"/>
        </w:trPr>
        <w:tc>
          <w:tcPr>
            <w:tcW w:w="3543" w:type="pct"/>
            <w:tcBorders>
              <w:top w:val="nil"/>
              <w:left w:val="nil"/>
              <w:bottom w:val="nil"/>
              <w:right w:val="nil"/>
            </w:tcBorders>
            <w:shd w:val="clear" w:color="auto" w:fill="auto"/>
            <w:noWrap/>
            <w:vAlign w:val="center"/>
            <w:hideMark/>
          </w:tcPr>
          <w:p w14:paraId="7FEC9FEF" w14:textId="72796329" w:rsidR="00261EF5" w:rsidRPr="00864E94" w:rsidRDefault="00261EF5"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Provisão para contingências </w:t>
            </w:r>
            <w:r>
              <w:rPr>
                <w:rFonts w:ascii="Segoe UI" w:eastAsia="Times New Roman" w:hAnsi="Segoe UI" w:cs="Segoe UI"/>
                <w:color w:val="000000"/>
                <w:sz w:val="18"/>
                <w:szCs w:val="18"/>
                <w:lang w:eastAsia="pt-BR"/>
              </w:rPr>
              <w:t>f</w:t>
            </w:r>
            <w:r w:rsidRPr="00864E94">
              <w:rPr>
                <w:rFonts w:ascii="Segoe UI" w:eastAsia="Times New Roman" w:hAnsi="Segoe UI" w:cs="Segoe UI"/>
                <w:color w:val="000000"/>
                <w:sz w:val="18"/>
                <w:szCs w:val="18"/>
                <w:lang w:eastAsia="pt-BR"/>
              </w:rPr>
              <w:t xml:space="preserve">iscais </w:t>
            </w:r>
          </w:p>
        </w:tc>
        <w:tc>
          <w:tcPr>
            <w:tcW w:w="1457" w:type="pct"/>
            <w:tcBorders>
              <w:top w:val="nil"/>
              <w:left w:val="nil"/>
              <w:bottom w:val="nil"/>
              <w:right w:val="nil"/>
            </w:tcBorders>
            <w:shd w:val="clear" w:color="auto" w:fill="auto"/>
            <w:noWrap/>
            <w:vAlign w:val="center"/>
            <w:hideMark/>
          </w:tcPr>
          <w:p w14:paraId="2798E0CA" w14:textId="77777777" w:rsidR="00261EF5" w:rsidRPr="00864E94" w:rsidRDefault="00261EF5"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13.194 </w:t>
            </w:r>
          </w:p>
        </w:tc>
      </w:tr>
      <w:tr w:rsidR="00261EF5" w:rsidRPr="00864E94" w14:paraId="5338A5E4" w14:textId="77777777" w:rsidTr="00261EF5">
        <w:trPr>
          <w:trHeight w:val="275"/>
        </w:trPr>
        <w:tc>
          <w:tcPr>
            <w:tcW w:w="3543" w:type="pct"/>
            <w:tcBorders>
              <w:top w:val="nil"/>
              <w:left w:val="nil"/>
              <w:bottom w:val="nil"/>
              <w:right w:val="nil"/>
            </w:tcBorders>
            <w:shd w:val="clear" w:color="auto" w:fill="auto"/>
            <w:noWrap/>
            <w:vAlign w:val="center"/>
            <w:hideMark/>
          </w:tcPr>
          <w:p w14:paraId="73688EE5" w14:textId="77777777" w:rsidR="00261EF5" w:rsidRPr="00864E94" w:rsidRDefault="00261EF5" w:rsidP="00864E94">
            <w:pPr>
              <w:spacing w:after="0" w:line="240" w:lineRule="auto"/>
              <w:jc w:val="right"/>
              <w:rPr>
                <w:rFonts w:ascii="Segoe UI" w:eastAsia="Times New Roman" w:hAnsi="Segoe UI" w:cs="Segoe UI"/>
                <w:color w:val="000000"/>
                <w:sz w:val="18"/>
                <w:szCs w:val="18"/>
                <w:lang w:eastAsia="pt-BR"/>
              </w:rPr>
            </w:pPr>
          </w:p>
        </w:tc>
        <w:tc>
          <w:tcPr>
            <w:tcW w:w="1457" w:type="pct"/>
            <w:tcBorders>
              <w:top w:val="single" w:sz="4" w:space="0" w:color="1B80C4"/>
              <w:left w:val="nil"/>
              <w:bottom w:val="double" w:sz="6" w:space="0" w:color="1B80C4"/>
              <w:right w:val="nil"/>
            </w:tcBorders>
            <w:shd w:val="clear" w:color="auto" w:fill="auto"/>
            <w:noWrap/>
            <w:vAlign w:val="center"/>
            <w:hideMark/>
          </w:tcPr>
          <w:p w14:paraId="155E06D4" w14:textId="77777777" w:rsidR="00261EF5" w:rsidRPr="00864E94" w:rsidRDefault="00261EF5"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 xml:space="preserve">                     346.511 </w:t>
            </w:r>
          </w:p>
        </w:tc>
      </w:tr>
    </w:tbl>
    <w:p w14:paraId="6ECA960B" w14:textId="77777777" w:rsidR="00607E81" w:rsidRPr="000757BC" w:rsidRDefault="00607E81" w:rsidP="005C0622">
      <w:pPr>
        <w:jc w:val="both"/>
        <w:rPr>
          <w:rFonts w:ascii="Segoe UI" w:hAnsi="Segoe UI" w:cs="Segoe UI"/>
          <w:bdr w:val="nil"/>
        </w:rPr>
      </w:pPr>
    </w:p>
    <w:p w14:paraId="7FC3D0A9" w14:textId="610B3AEA" w:rsidR="00DE1EA6" w:rsidRPr="000757BC" w:rsidRDefault="00F56A5C" w:rsidP="00F63F20">
      <w:pPr>
        <w:spacing w:before="240" w:after="120"/>
        <w:rPr>
          <w:rFonts w:ascii="Segoe UI" w:hAnsi="Segoe UI" w:cs="Segoe UI"/>
          <w:b/>
          <w:bCs/>
          <w:color w:val="0070C0"/>
        </w:rPr>
      </w:pPr>
      <w:r w:rsidRPr="000757BC">
        <w:rPr>
          <w:rFonts w:ascii="Segoe UI" w:hAnsi="Segoe UI" w:cs="Segoe UI"/>
          <w:b/>
          <w:bCs/>
          <w:color w:val="0070C0"/>
        </w:rPr>
        <w:t>2</w:t>
      </w:r>
      <w:r w:rsidR="002A4E82">
        <w:rPr>
          <w:rFonts w:ascii="Segoe UI" w:hAnsi="Segoe UI" w:cs="Segoe UI"/>
          <w:b/>
          <w:bCs/>
          <w:color w:val="0070C0"/>
        </w:rPr>
        <w:t>0</w:t>
      </w:r>
      <w:r w:rsidR="00557243" w:rsidRPr="000757BC">
        <w:rPr>
          <w:rFonts w:ascii="Segoe UI" w:hAnsi="Segoe UI" w:cs="Segoe UI"/>
          <w:b/>
          <w:bCs/>
          <w:color w:val="0070C0"/>
        </w:rPr>
        <w:t>.</w:t>
      </w:r>
      <w:r w:rsidR="00974F89">
        <w:rPr>
          <w:rFonts w:ascii="Segoe UI" w:hAnsi="Segoe UI" w:cs="Segoe UI"/>
          <w:b/>
          <w:bCs/>
          <w:color w:val="0070C0"/>
        </w:rPr>
        <w:t>1</w:t>
      </w:r>
      <w:r w:rsidR="00557243" w:rsidRPr="000757BC">
        <w:rPr>
          <w:rFonts w:ascii="Segoe UI" w:hAnsi="Segoe UI" w:cs="Segoe UI"/>
          <w:b/>
          <w:bCs/>
          <w:color w:val="0070C0"/>
        </w:rPr>
        <w:t xml:space="preserve"> – </w:t>
      </w:r>
      <w:r w:rsidR="00B741F8">
        <w:rPr>
          <w:rFonts w:ascii="Segoe UI" w:hAnsi="Segoe UI" w:cs="Segoe UI"/>
          <w:b/>
          <w:bCs/>
          <w:color w:val="0070C0"/>
        </w:rPr>
        <w:t>D</w:t>
      </w:r>
      <w:r w:rsidR="00557243" w:rsidRPr="000757BC">
        <w:rPr>
          <w:rFonts w:ascii="Segoe UI" w:hAnsi="Segoe UI" w:cs="Segoe UI"/>
          <w:b/>
          <w:bCs/>
          <w:color w:val="0070C0"/>
        </w:rPr>
        <w:t xml:space="preserve">epósitos </w:t>
      </w:r>
      <w:r w:rsidR="00F902FB">
        <w:rPr>
          <w:rFonts w:ascii="Segoe UI" w:hAnsi="Segoe UI" w:cs="Segoe UI"/>
          <w:b/>
          <w:bCs/>
          <w:color w:val="0070C0"/>
        </w:rPr>
        <w:t>v</w:t>
      </w:r>
      <w:r w:rsidR="00557243" w:rsidRPr="000757BC">
        <w:rPr>
          <w:rFonts w:ascii="Segoe UI" w:hAnsi="Segoe UI" w:cs="Segoe UI"/>
          <w:b/>
          <w:bCs/>
          <w:color w:val="0070C0"/>
        </w:rPr>
        <w:t xml:space="preserve">inculados a </w:t>
      </w:r>
      <w:r w:rsidR="000F389E">
        <w:rPr>
          <w:rFonts w:ascii="Segoe UI" w:hAnsi="Segoe UI" w:cs="Segoe UI"/>
          <w:b/>
          <w:bCs/>
          <w:color w:val="0070C0"/>
        </w:rPr>
        <w:t>contingências</w:t>
      </w:r>
      <w:r w:rsidR="00557243" w:rsidRPr="000757BC">
        <w:rPr>
          <w:rFonts w:ascii="Segoe UI" w:hAnsi="Segoe UI" w:cs="Segoe UI"/>
          <w:b/>
          <w:bCs/>
          <w:color w:val="0070C0"/>
        </w:rPr>
        <w:t xml:space="preserve"> </w:t>
      </w:r>
    </w:p>
    <w:p w14:paraId="0234DFC0" w14:textId="06E01521" w:rsidR="00EB31D4" w:rsidRPr="000757BC" w:rsidRDefault="00557243" w:rsidP="00F63F20">
      <w:pPr>
        <w:spacing w:before="240" w:after="120"/>
        <w:jc w:val="both"/>
        <w:rPr>
          <w:rFonts w:ascii="Segoe UI" w:hAnsi="Segoe UI" w:cs="Segoe UI"/>
          <w:noProof/>
          <w:bdr w:val="nil"/>
          <w:lang w:eastAsia="pt-BR"/>
        </w:rPr>
      </w:pPr>
      <w:r w:rsidRPr="000757BC">
        <w:rPr>
          <w:rFonts w:ascii="Segoe UI" w:hAnsi="Segoe UI" w:cs="Segoe UI"/>
          <w:bdr w:val="nil"/>
        </w:rPr>
        <w:t>A rubrica de depósitos vinculados refere-se a valores vinculados a processos judiciais e administrativos</w:t>
      </w:r>
      <w:r w:rsidR="000F389E">
        <w:rPr>
          <w:rFonts w:ascii="Segoe UI" w:hAnsi="Segoe UI" w:cs="Segoe UI"/>
          <w:bdr w:val="nil"/>
        </w:rPr>
        <w:t xml:space="preserve">, </w:t>
      </w:r>
      <w:r w:rsidRPr="000757BC">
        <w:rPr>
          <w:rFonts w:ascii="Segoe UI" w:hAnsi="Segoe UI" w:cs="Segoe UI"/>
          <w:bdr w:val="nil"/>
        </w:rPr>
        <w:t>conforme relacionados a seguir:</w:t>
      </w:r>
    </w:p>
    <w:tbl>
      <w:tblPr>
        <w:tblW w:w="5000" w:type="pct"/>
        <w:tblCellMar>
          <w:left w:w="70" w:type="dxa"/>
          <w:right w:w="70" w:type="dxa"/>
        </w:tblCellMar>
        <w:tblLook w:val="04A0" w:firstRow="1" w:lastRow="0" w:firstColumn="1" w:lastColumn="0" w:noHBand="0" w:noVBand="1"/>
      </w:tblPr>
      <w:tblGrid>
        <w:gridCol w:w="6737"/>
        <w:gridCol w:w="2760"/>
      </w:tblGrid>
      <w:tr w:rsidR="00E86334" w:rsidRPr="00E86334" w14:paraId="12755F8B" w14:textId="77777777" w:rsidTr="00E86334">
        <w:trPr>
          <w:trHeight w:val="240"/>
        </w:trPr>
        <w:tc>
          <w:tcPr>
            <w:tcW w:w="3547" w:type="pct"/>
            <w:tcBorders>
              <w:top w:val="nil"/>
              <w:left w:val="nil"/>
              <w:bottom w:val="nil"/>
              <w:right w:val="nil"/>
            </w:tcBorders>
            <w:shd w:val="clear" w:color="auto" w:fill="auto"/>
            <w:noWrap/>
            <w:vAlign w:val="bottom"/>
            <w:hideMark/>
          </w:tcPr>
          <w:p w14:paraId="4CF6B0A5" w14:textId="77777777" w:rsidR="00E86334" w:rsidRPr="00E86334" w:rsidRDefault="00E86334" w:rsidP="00E86334">
            <w:pPr>
              <w:spacing w:after="0" w:line="240" w:lineRule="auto"/>
              <w:rPr>
                <w:rFonts w:ascii="Times New Roman" w:eastAsia="Times New Roman" w:hAnsi="Times New Roman" w:cs="Times New Roman"/>
                <w:sz w:val="24"/>
                <w:szCs w:val="24"/>
                <w:lang w:eastAsia="pt-BR"/>
              </w:rPr>
            </w:pPr>
          </w:p>
        </w:tc>
        <w:tc>
          <w:tcPr>
            <w:tcW w:w="1453" w:type="pct"/>
            <w:tcBorders>
              <w:top w:val="nil"/>
              <w:left w:val="nil"/>
              <w:bottom w:val="nil"/>
              <w:right w:val="nil"/>
            </w:tcBorders>
            <w:shd w:val="clear" w:color="000000" w:fill="1B80C4"/>
            <w:noWrap/>
            <w:vAlign w:val="bottom"/>
            <w:hideMark/>
          </w:tcPr>
          <w:p w14:paraId="08146BB9" w14:textId="77777777" w:rsidR="00E86334" w:rsidRPr="00E86334" w:rsidRDefault="00E86334" w:rsidP="00E86334">
            <w:pPr>
              <w:spacing w:after="0" w:line="240" w:lineRule="auto"/>
              <w:jc w:val="center"/>
              <w:rPr>
                <w:rFonts w:ascii="Segoe UI" w:eastAsia="Times New Roman" w:hAnsi="Segoe UI" w:cs="Segoe UI"/>
                <w:b/>
                <w:bCs/>
                <w:color w:val="FFFFFF"/>
                <w:sz w:val="18"/>
                <w:szCs w:val="18"/>
                <w:lang w:eastAsia="pt-BR"/>
              </w:rPr>
            </w:pPr>
            <w:r w:rsidRPr="00E86334">
              <w:rPr>
                <w:rFonts w:ascii="Segoe UI" w:eastAsia="Times New Roman" w:hAnsi="Segoe UI" w:cs="Segoe UI"/>
                <w:b/>
                <w:bCs/>
                <w:color w:val="FFFFFF"/>
                <w:sz w:val="18"/>
                <w:szCs w:val="18"/>
                <w:lang w:eastAsia="pt-BR"/>
              </w:rPr>
              <w:t xml:space="preserve"> Consolidado </w:t>
            </w:r>
          </w:p>
        </w:tc>
      </w:tr>
      <w:tr w:rsidR="00E86334" w:rsidRPr="00E86334" w14:paraId="6957AC17" w14:textId="77777777" w:rsidTr="00E86334">
        <w:trPr>
          <w:trHeight w:val="240"/>
        </w:trPr>
        <w:tc>
          <w:tcPr>
            <w:tcW w:w="3547" w:type="pct"/>
            <w:tcBorders>
              <w:top w:val="nil"/>
              <w:left w:val="nil"/>
              <w:bottom w:val="nil"/>
              <w:right w:val="nil"/>
            </w:tcBorders>
            <w:shd w:val="clear" w:color="auto" w:fill="auto"/>
            <w:noWrap/>
            <w:vAlign w:val="bottom"/>
            <w:hideMark/>
          </w:tcPr>
          <w:p w14:paraId="3BDF07FA" w14:textId="77777777" w:rsidR="00E86334" w:rsidRPr="00E86334" w:rsidRDefault="00E86334" w:rsidP="00E86334">
            <w:pPr>
              <w:spacing w:after="0" w:line="240" w:lineRule="auto"/>
              <w:jc w:val="center"/>
              <w:rPr>
                <w:rFonts w:ascii="Segoe UI" w:eastAsia="Times New Roman" w:hAnsi="Segoe UI" w:cs="Segoe UI"/>
                <w:b/>
                <w:bCs/>
                <w:color w:val="FFFFFF"/>
                <w:sz w:val="18"/>
                <w:szCs w:val="18"/>
                <w:lang w:eastAsia="pt-BR"/>
              </w:rPr>
            </w:pPr>
          </w:p>
        </w:tc>
        <w:tc>
          <w:tcPr>
            <w:tcW w:w="1453" w:type="pct"/>
            <w:tcBorders>
              <w:top w:val="single" w:sz="4" w:space="0" w:color="FFFFFF"/>
              <w:left w:val="nil"/>
              <w:bottom w:val="single" w:sz="4" w:space="0" w:color="FFFFFF"/>
              <w:right w:val="nil"/>
            </w:tcBorders>
            <w:shd w:val="clear" w:color="000000" w:fill="1B80C4"/>
            <w:noWrap/>
            <w:vAlign w:val="center"/>
            <w:hideMark/>
          </w:tcPr>
          <w:p w14:paraId="7569726D" w14:textId="77777777" w:rsidR="00E86334" w:rsidRPr="00E86334" w:rsidRDefault="00E86334" w:rsidP="00E86334">
            <w:pPr>
              <w:spacing w:after="0" w:line="240" w:lineRule="auto"/>
              <w:jc w:val="center"/>
              <w:rPr>
                <w:rFonts w:ascii="Segoe UI" w:eastAsia="Times New Roman" w:hAnsi="Segoe UI" w:cs="Segoe UI"/>
                <w:b/>
                <w:bCs/>
                <w:color w:val="FFFFFF"/>
                <w:sz w:val="18"/>
                <w:szCs w:val="18"/>
                <w:lang w:eastAsia="pt-BR"/>
              </w:rPr>
            </w:pPr>
            <w:r w:rsidRPr="00E86334">
              <w:rPr>
                <w:rFonts w:ascii="Segoe UI" w:eastAsia="Times New Roman" w:hAnsi="Segoe UI" w:cs="Segoe UI"/>
                <w:b/>
                <w:bCs/>
                <w:color w:val="FFFFFF"/>
                <w:sz w:val="18"/>
                <w:szCs w:val="18"/>
                <w:lang w:eastAsia="pt-BR"/>
              </w:rPr>
              <w:t>31/12/2022</w:t>
            </w:r>
          </w:p>
        </w:tc>
      </w:tr>
      <w:tr w:rsidR="00E86334" w:rsidRPr="00E86334" w14:paraId="5DBA5565" w14:textId="77777777" w:rsidTr="00E86334">
        <w:trPr>
          <w:trHeight w:val="240"/>
        </w:trPr>
        <w:tc>
          <w:tcPr>
            <w:tcW w:w="3547" w:type="pct"/>
            <w:tcBorders>
              <w:top w:val="nil"/>
              <w:left w:val="nil"/>
              <w:bottom w:val="nil"/>
              <w:right w:val="nil"/>
            </w:tcBorders>
            <w:shd w:val="clear" w:color="auto" w:fill="auto"/>
            <w:noWrap/>
            <w:vAlign w:val="center"/>
            <w:hideMark/>
          </w:tcPr>
          <w:p w14:paraId="6371EF28"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Depósitos judiciais trabalhistas </w:t>
            </w:r>
          </w:p>
        </w:tc>
        <w:tc>
          <w:tcPr>
            <w:tcW w:w="1453" w:type="pct"/>
            <w:tcBorders>
              <w:top w:val="nil"/>
              <w:left w:val="nil"/>
              <w:bottom w:val="nil"/>
              <w:right w:val="nil"/>
            </w:tcBorders>
            <w:shd w:val="clear" w:color="auto" w:fill="auto"/>
            <w:noWrap/>
            <w:vAlign w:val="center"/>
            <w:hideMark/>
          </w:tcPr>
          <w:p w14:paraId="38061E04" w14:textId="77777777" w:rsidR="00E86334" w:rsidRPr="00E86334" w:rsidRDefault="00E86334" w:rsidP="00E86334">
            <w:pPr>
              <w:spacing w:after="0" w:line="240" w:lineRule="auto"/>
              <w:jc w:val="right"/>
              <w:rPr>
                <w:rFonts w:ascii="Segoe UI" w:eastAsia="Times New Roman" w:hAnsi="Segoe UI" w:cs="Segoe UI"/>
                <w:sz w:val="18"/>
                <w:szCs w:val="18"/>
                <w:lang w:eastAsia="pt-BR"/>
              </w:rPr>
            </w:pPr>
            <w:r w:rsidRPr="00E86334">
              <w:rPr>
                <w:rFonts w:ascii="Segoe UI" w:eastAsia="Times New Roman" w:hAnsi="Segoe UI" w:cs="Segoe UI"/>
                <w:sz w:val="18"/>
                <w:szCs w:val="18"/>
                <w:lang w:eastAsia="pt-BR"/>
              </w:rPr>
              <w:t xml:space="preserve">                         56.383 </w:t>
            </w:r>
          </w:p>
        </w:tc>
      </w:tr>
      <w:tr w:rsidR="00E86334" w:rsidRPr="00E86334" w14:paraId="03A81C4F" w14:textId="77777777" w:rsidTr="00E86334">
        <w:trPr>
          <w:trHeight w:val="240"/>
        </w:trPr>
        <w:tc>
          <w:tcPr>
            <w:tcW w:w="3547" w:type="pct"/>
            <w:tcBorders>
              <w:top w:val="nil"/>
              <w:left w:val="nil"/>
              <w:bottom w:val="nil"/>
              <w:right w:val="nil"/>
            </w:tcBorders>
            <w:shd w:val="clear" w:color="auto" w:fill="auto"/>
            <w:noWrap/>
            <w:vAlign w:val="center"/>
            <w:hideMark/>
          </w:tcPr>
          <w:p w14:paraId="506AEAA4"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Depósitos judiciais cíveis </w:t>
            </w:r>
          </w:p>
        </w:tc>
        <w:tc>
          <w:tcPr>
            <w:tcW w:w="1453" w:type="pct"/>
            <w:tcBorders>
              <w:top w:val="nil"/>
              <w:left w:val="nil"/>
              <w:bottom w:val="nil"/>
              <w:right w:val="nil"/>
            </w:tcBorders>
            <w:shd w:val="clear" w:color="auto" w:fill="auto"/>
            <w:noWrap/>
            <w:vAlign w:val="center"/>
            <w:hideMark/>
          </w:tcPr>
          <w:p w14:paraId="1D98A2BE" w14:textId="77777777" w:rsidR="00E86334" w:rsidRPr="00E86334" w:rsidRDefault="00E86334" w:rsidP="00E86334">
            <w:pPr>
              <w:spacing w:after="0" w:line="240" w:lineRule="auto"/>
              <w:jc w:val="right"/>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1.501 </w:t>
            </w:r>
          </w:p>
        </w:tc>
      </w:tr>
      <w:tr w:rsidR="00E86334" w:rsidRPr="00E86334" w14:paraId="5BF0E726" w14:textId="77777777" w:rsidTr="00E86334">
        <w:trPr>
          <w:trHeight w:val="240"/>
        </w:trPr>
        <w:tc>
          <w:tcPr>
            <w:tcW w:w="3547" w:type="pct"/>
            <w:tcBorders>
              <w:top w:val="nil"/>
              <w:left w:val="nil"/>
              <w:bottom w:val="nil"/>
              <w:right w:val="nil"/>
            </w:tcBorders>
            <w:shd w:val="clear" w:color="auto" w:fill="auto"/>
            <w:noWrap/>
            <w:vAlign w:val="center"/>
            <w:hideMark/>
          </w:tcPr>
          <w:p w14:paraId="6352A889"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Depósitos judiciais tributários </w:t>
            </w:r>
          </w:p>
        </w:tc>
        <w:tc>
          <w:tcPr>
            <w:tcW w:w="1453" w:type="pct"/>
            <w:tcBorders>
              <w:top w:val="nil"/>
              <w:left w:val="nil"/>
              <w:bottom w:val="nil"/>
              <w:right w:val="nil"/>
            </w:tcBorders>
            <w:shd w:val="clear" w:color="auto" w:fill="auto"/>
            <w:noWrap/>
            <w:vAlign w:val="center"/>
            <w:hideMark/>
          </w:tcPr>
          <w:p w14:paraId="4FF3EDA6" w14:textId="77777777" w:rsidR="00E86334" w:rsidRPr="00E86334" w:rsidRDefault="00E86334" w:rsidP="00E86334">
            <w:pPr>
              <w:spacing w:after="0" w:line="240" w:lineRule="auto"/>
              <w:jc w:val="right"/>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24.461 </w:t>
            </w:r>
          </w:p>
        </w:tc>
      </w:tr>
      <w:tr w:rsidR="00E86334" w:rsidRPr="00E86334" w14:paraId="412C626E" w14:textId="77777777" w:rsidTr="00E86334">
        <w:trPr>
          <w:trHeight w:val="240"/>
        </w:trPr>
        <w:tc>
          <w:tcPr>
            <w:tcW w:w="3547" w:type="pct"/>
            <w:tcBorders>
              <w:top w:val="nil"/>
              <w:left w:val="nil"/>
              <w:bottom w:val="nil"/>
              <w:right w:val="nil"/>
            </w:tcBorders>
            <w:shd w:val="clear" w:color="auto" w:fill="auto"/>
            <w:noWrap/>
            <w:vAlign w:val="center"/>
            <w:hideMark/>
          </w:tcPr>
          <w:p w14:paraId="43E08195"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Depósitos judiciais ambiental </w:t>
            </w:r>
          </w:p>
        </w:tc>
        <w:tc>
          <w:tcPr>
            <w:tcW w:w="1453" w:type="pct"/>
            <w:tcBorders>
              <w:top w:val="nil"/>
              <w:left w:val="nil"/>
              <w:bottom w:val="nil"/>
              <w:right w:val="nil"/>
            </w:tcBorders>
            <w:shd w:val="clear" w:color="auto" w:fill="auto"/>
            <w:noWrap/>
            <w:vAlign w:val="center"/>
            <w:hideMark/>
          </w:tcPr>
          <w:p w14:paraId="6DC5326D" w14:textId="77777777" w:rsidR="00E86334" w:rsidRPr="00E86334" w:rsidRDefault="00E86334" w:rsidP="00E86334">
            <w:pPr>
              <w:spacing w:after="0" w:line="240" w:lineRule="auto"/>
              <w:jc w:val="right"/>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7.723 </w:t>
            </w:r>
          </w:p>
        </w:tc>
      </w:tr>
      <w:tr w:rsidR="00E86334" w:rsidRPr="00E86334" w14:paraId="75C935D5" w14:textId="77777777" w:rsidTr="00E86334">
        <w:trPr>
          <w:trHeight w:val="255"/>
        </w:trPr>
        <w:tc>
          <w:tcPr>
            <w:tcW w:w="3547" w:type="pct"/>
            <w:tcBorders>
              <w:top w:val="nil"/>
              <w:left w:val="nil"/>
              <w:bottom w:val="nil"/>
              <w:right w:val="nil"/>
            </w:tcBorders>
            <w:shd w:val="clear" w:color="auto" w:fill="auto"/>
            <w:noWrap/>
            <w:vAlign w:val="bottom"/>
            <w:hideMark/>
          </w:tcPr>
          <w:p w14:paraId="5EC8DFEA" w14:textId="77777777" w:rsidR="00E86334" w:rsidRPr="00E86334" w:rsidRDefault="00E86334" w:rsidP="00E86334">
            <w:pPr>
              <w:spacing w:after="0" w:line="240" w:lineRule="auto"/>
              <w:jc w:val="right"/>
              <w:rPr>
                <w:rFonts w:ascii="Segoe UI" w:eastAsia="Times New Roman" w:hAnsi="Segoe UI" w:cs="Segoe UI"/>
                <w:color w:val="000000"/>
                <w:sz w:val="18"/>
                <w:szCs w:val="18"/>
                <w:lang w:eastAsia="pt-BR"/>
              </w:rPr>
            </w:pPr>
          </w:p>
        </w:tc>
        <w:tc>
          <w:tcPr>
            <w:tcW w:w="1453" w:type="pct"/>
            <w:tcBorders>
              <w:top w:val="single" w:sz="4" w:space="0" w:color="1B80C4"/>
              <w:left w:val="nil"/>
              <w:bottom w:val="double" w:sz="6" w:space="0" w:color="1B80C4"/>
              <w:right w:val="nil"/>
            </w:tcBorders>
            <w:shd w:val="clear" w:color="auto" w:fill="auto"/>
            <w:noWrap/>
            <w:vAlign w:val="center"/>
            <w:hideMark/>
          </w:tcPr>
          <w:p w14:paraId="3236A79E" w14:textId="77777777" w:rsidR="00E86334" w:rsidRPr="00E86334" w:rsidRDefault="00E86334" w:rsidP="00E86334">
            <w:pPr>
              <w:spacing w:after="0" w:line="240" w:lineRule="auto"/>
              <w:jc w:val="right"/>
              <w:rPr>
                <w:rFonts w:ascii="Segoe UI" w:eastAsia="Times New Roman" w:hAnsi="Segoe UI" w:cs="Segoe UI"/>
                <w:b/>
                <w:bCs/>
                <w:color w:val="000000"/>
                <w:sz w:val="18"/>
                <w:szCs w:val="18"/>
                <w:lang w:eastAsia="pt-BR"/>
              </w:rPr>
            </w:pPr>
            <w:r w:rsidRPr="00E86334">
              <w:rPr>
                <w:rFonts w:ascii="Segoe UI" w:eastAsia="Times New Roman" w:hAnsi="Segoe UI" w:cs="Segoe UI"/>
                <w:b/>
                <w:bCs/>
                <w:color w:val="000000"/>
                <w:sz w:val="18"/>
                <w:szCs w:val="18"/>
                <w:lang w:eastAsia="pt-BR"/>
              </w:rPr>
              <w:t xml:space="preserve">                        90.068 </w:t>
            </w:r>
          </w:p>
        </w:tc>
      </w:tr>
    </w:tbl>
    <w:p w14:paraId="2BAFC245" w14:textId="77777777" w:rsidR="00E86334" w:rsidRDefault="00E86334" w:rsidP="00157D13">
      <w:pPr>
        <w:rPr>
          <w:rFonts w:ascii="Segoe UI" w:hAnsi="Segoe UI" w:cs="Segoe UI"/>
          <w:b/>
          <w:bCs/>
          <w:color w:val="0070C0"/>
        </w:rPr>
      </w:pPr>
    </w:p>
    <w:p w14:paraId="1B5FF022" w14:textId="10BCA3A4" w:rsidR="00EC09C0" w:rsidRPr="000757BC" w:rsidRDefault="00CE0514" w:rsidP="00157D13">
      <w:pPr>
        <w:rPr>
          <w:rFonts w:ascii="Segoe UI" w:hAnsi="Segoe UI" w:cs="Segoe UI"/>
          <w:b/>
          <w:bCs/>
          <w:color w:val="0070C0"/>
        </w:rPr>
      </w:pPr>
      <w:r w:rsidRPr="000757BC">
        <w:rPr>
          <w:rFonts w:ascii="Segoe UI" w:hAnsi="Segoe UI" w:cs="Segoe UI"/>
          <w:b/>
          <w:bCs/>
          <w:color w:val="0070C0"/>
        </w:rPr>
        <w:t>2</w:t>
      </w:r>
      <w:r w:rsidR="002A4E82">
        <w:rPr>
          <w:rFonts w:ascii="Segoe UI" w:hAnsi="Segoe UI" w:cs="Segoe UI"/>
          <w:b/>
          <w:bCs/>
          <w:color w:val="0070C0"/>
        </w:rPr>
        <w:t>0</w:t>
      </w:r>
      <w:r w:rsidR="00EC09C0" w:rsidRPr="000757BC">
        <w:rPr>
          <w:rFonts w:ascii="Segoe UI" w:hAnsi="Segoe UI" w:cs="Segoe UI"/>
          <w:b/>
          <w:bCs/>
          <w:color w:val="0070C0"/>
        </w:rPr>
        <w:t>.</w:t>
      </w:r>
      <w:r w:rsidR="00974F89">
        <w:rPr>
          <w:rFonts w:ascii="Segoe UI" w:hAnsi="Segoe UI" w:cs="Segoe UI"/>
          <w:b/>
          <w:bCs/>
          <w:color w:val="0070C0"/>
        </w:rPr>
        <w:t>2</w:t>
      </w:r>
      <w:r w:rsidR="00EC09C0" w:rsidRPr="000757BC">
        <w:rPr>
          <w:rFonts w:ascii="Segoe UI" w:hAnsi="Segoe UI" w:cs="Segoe UI"/>
          <w:b/>
          <w:bCs/>
          <w:color w:val="0070C0"/>
        </w:rPr>
        <w:t xml:space="preserve"> – Passivos </w:t>
      </w:r>
      <w:r w:rsidR="00AC0EAE">
        <w:rPr>
          <w:rFonts w:ascii="Segoe UI" w:hAnsi="Segoe UI" w:cs="Segoe UI"/>
          <w:b/>
          <w:bCs/>
          <w:color w:val="0070C0"/>
        </w:rPr>
        <w:t>c</w:t>
      </w:r>
      <w:r w:rsidR="00EC09C0" w:rsidRPr="000757BC">
        <w:rPr>
          <w:rFonts w:ascii="Segoe UI" w:hAnsi="Segoe UI" w:cs="Segoe UI"/>
          <w:b/>
          <w:bCs/>
          <w:color w:val="0070C0"/>
        </w:rPr>
        <w:t>ontingentes</w:t>
      </w:r>
    </w:p>
    <w:p w14:paraId="4A8C1BBF" w14:textId="10AB9FDE" w:rsidR="00AD5C2E" w:rsidRPr="000757BC" w:rsidRDefault="00EC09C0" w:rsidP="00E3374A">
      <w:pPr>
        <w:spacing w:before="240" w:after="120"/>
        <w:jc w:val="both"/>
        <w:rPr>
          <w:rFonts w:ascii="Segoe UI" w:hAnsi="Segoe UI" w:cs="Segoe UI"/>
          <w:shd w:val="clear" w:color="auto" w:fill="FFFFFF"/>
        </w:rPr>
      </w:pPr>
      <w:r w:rsidRPr="000757BC">
        <w:rPr>
          <w:rFonts w:ascii="Segoe UI" w:hAnsi="Segoe UI" w:cs="Segoe UI"/>
          <w:shd w:val="clear" w:color="auto" w:fill="FFFFFF"/>
        </w:rPr>
        <w:t xml:space="preserve">Adicionalmente, a </w:t>
      </w:r>
      <w:r w:rsidR="006156E3">
        <w:rPr>
          <w:rFonts w:ascii="Segoe UI" w:hAnsi="Segoe UI" w:cs="Segoe UI"/>
          <w:shd w:val="clear" w:color="auto" w:fill="FFFFFF"/>
        </w:rPr>
        <w:t xml:space="preserve">Eletronuclear e INB </w:t>
      </w:r>
      <w:r w:rsidR="009C5B55" w:rsidRPr="000757BC">
        <w:rPr>
          <w:rFonts w:ascii="Segoe UI" w:hAnsi="Segoe UI" w:cs="Segoe UI"/>
          <w:shd w:val="clear" w:color="auto" w:fill="FFFFFF"/>
        </w:rPr>
        <w:t xml:space="preserve">possuem </w:t>
      </w:r>
      <w:r w:rsidRPr="000757BC">
        <w:rPr>
          <w:rFonts w:ascii="Segoe UI" w:hAnsi="Segoe UI" w:cs="Segoe UI"/>
          <w:shd w:val="clear" w:color="auto" w:fill="FFFFFF"/>
        </w:rPr>
        <w:t>processos avaliados com perda possível nos seguintes montantes:</w:t>
      </w:r>
    </w:p>
    <w:tbl>
      <w:tblPr>
        <w:tblW w:w="5000" w:type="pct"/>
        <w:tblCellMar>
          <w:left w:w="70" w:type="dxa"/>
          <w:right w:w="70" w:type="dxa"/>
        </w:tblCellMar>
        <w:tblLook w:val="04A0" w:firstRow="1" w:lastRow="0" w:firstColumn="1" w:lastColumn="0" w:noHBand="0" w:noVBand="1"/>
      </w:tblPr>
      <w:tblGrid>
        <w:gridCol w:w="6735"/>
        <w:gridCol w:w="2762"/>
      </w:tblGrid>
      <w:tr w:rsidR="00E86334" w:rsidRPr="00E86334" w14:paraId="7B0D6737" w14:textId="77777777" w:rsidTr="00E86334">
        <w:trPr>
          <w:trHeight w:val="240"/>
        </w:trPr>
        <w:tc>
          <w:tcPr>
            <w:tcW w:w="3546" w:type="pct"/>
            <w:tcBorders>
              <w:top w:val="nil"/>
              <w:left w:val="nil"/>
              <w:bottom w:val="nil"/>
              <w:right w:val="nil"/>
            </w:tcBorders>
            <w:shd w:val="clear" w:color="auto" w:fill="auto"/>
            <w:noWrap/>
            <w:vAlign w:val="bottom"/>
            <w:hideMark/>
          </w:tcPr>
          <w:p w14:paraId="5C2A0274" w14:textId="77777777" w:rsidR="00E86334" w:rsidRPr="00E86334" w:rsidRDefault="00E86334" w:rsidP="00E86334">
            <w:pPr>
              <w:spacing w:after="0" w:line="240" w:lineRule="auto"/>
              <w:rPr>
                <w:rFonts w:ascii="Times New Roman" w:eastAsia="Times New Roman" w:hAnsi="Times New Roman" w:cs="Times New Roman"/>
                <w:sz w:val="24"/>
                <w:szCs w:val="24"/>
                <w:lang w:eastAsia="pt-BR"/>
              </w:rPr>
            </w:pPr>
          </w:p>
        </w:tc>
        <w:tc>
          <w:tcPr>
            <w:tcW w:w="1454" w:type="pct"/>
            <w:tcBorders>
              <w:top w:val="nil"/>
              <w:left w:val="nil"/>
              <w:bottom w:val="nil"/>
              <w:right w:val="nil"/>
            </w:tcBorders>
            <w:shd w:val="clear" w:color="000000" w:fill="1B80C4"/>
            <w:noWrap/>
            <w:vAlign w:val="bottom"/>
            <w:hideMark/>
          </w:tcPr>
          <w:p w14:paraId="7DA9ED9C" w14:textId="77777777" w:rsidR="00E86334" w:rsidRPr="00E86334" w:rsidRDefault="00E86334" w:rsidP="00E86334">
            <w:pPr>
              <w:spacing w:after="0" w:line="240" w:lineRule="auto"/>
              <w:jc w:val="center"/>
              <w:rPr>
                <w:rFonts w:ascii="Segoe UI" w:eastAsia="Times New Roman" w:hAnsi="Segoe UI" w:cs="Segoe UI"/>
                <w:b/>
                <w:bCs/>
                <w:color w:val="FFFFFF"/>
                <w:sz w:val="18"/>
                <w:szCs w:val="18"/>
                <w:lang w:eastAsia="pt-BR"/>
              </w:rPr>
            </w:pPr>
            <w:r w:rsidRPr="00E86334">
              <w:rPr>
                <w:rFonts w:ascii="Segoe UI" w:eastAsia="Times New Roman" w:hAnsi="Segoe UI" w:cs="Segoe UI"/>
                <w:b/>
                <w:bCs/>
                <w:color w:val="FFFFFF"/>
                <w:sz w:val="18"/>
                <w:szCs w:val="18"/>
                <w:lang w:eastAsia="pt-BR"/>
              </w:rPr>
              <w:t xml:space="preserve"> Consolidado </w:t>
            </w:r>
          </w:p>
        </w:tc>
      </w:tr>
      <w:tr w:rsidR="00E86334" w:rsidRPr="00E86334" w14:paraId="09B2F45D" w14:textId="77777777" w:rsidTr="00E86334">
        <w:trPr>
          <w:trHeight w:val="240"/>
        </w:trPr>
        <w:tc>
          <w:tcPr>
            <w:tcW w:w="3546" w:type="pct"/>
            <w:tcBorders>
              <w:top w:val="nil"/>
              <w:left w:val="nil"/>
              <w:bottom w:val="nil"/>
              <w:right w:val="nil"/>
            </w:tcBorders>
            <w:shd w:val="clear" w:color="auto" w:fill="auto"/>
            <w:noWrap/>
            <w:vAlign w:val="bottom"/>
            <w:hideMark/>
          </w:tcPr>
          <w:p w14:paraId="4C3D9866" w14:textId="77777777" w:rsidR="00E86334" w:rsidRPr="00E86334" w:rsidRDefault="00E86334" w:rsidP="00E86334">
            <w:pPr>
              <w:spacing w:after="0" w:line="240" w:lineRule="auto"/>
              <w:jc w:val="center"/>
              <w:rPr>
                <w:rFonts w:ascii="Segoe UI" w:eastAsia="Times New Roman" w:hAnsi="Segoe UI" w:cs="Segoe UI"/>
                <w:b/>
                <w:bCs/>
                <w:color w:val="FFFFFF"/>
                <w:sz w:val="18"/>
                <w:szCs w:val="18"/>
                <w:lang w:eastAsia="pt-BR"/>
              </w:rPr>
            </w:pPr>
          </w:p>
        </w:tc>
        <w:tc>
          <w:tcPr>
            <w:tcW w:w="1454" w:type="pct"/>
            <w:tcBorders>
              <w:top w:val="single" w:sz="4" w:space="0" w:color="FFFFFF"/>
              <w:left w:val="nil"/>
              <w:bottom w:val="single" w:sz="4" w:space="0" w:color="FFFFFF"/>
              <w:right w:val="nil"/>
            </w:tcBorders>
            <w:shd w:val="clear" w:color="000000" w:fill="1B80C4"/>
            <w:noWrap/>
            <w:vAlign w:val="center"/>
            <w:hideMark/>
          </w:tcPr>
          <w:p w14:paraId="30CB7E24" w14:textId="77777777" w:rsidR="00E86334" w:rsidRPr="00E86334" w:rsidRDefault="00E86334" w:rsidP="00E86334">
            <w:pPr>
              <w:spacing w:after="0" w:line="240" w:lineRule="auto"/>
              <w:jc w:val="center"/>
              <w:rPr>
                <w:rFonts w:ascii="Segoe UI" w:eastAsia="Times New Roman" w:hAnsi="Segoe UI" w:cs="Segoe UI"/>
                <w:b/>
                <w:bCs/>
                <w:color w:val="FFFFFF"/>
                <w:sz w:val="18"/>
                <w:szCs w:val="18"/>
                <w:lang w:eastAsia="pt-BR"/>
              </w:rPr>
            </w:pPr>
            <w:r w:rsidRPr="00E86334">
              <w:rPr>
                <w:rFonts w:ascii="Segoe UI" w:eastAsia="Times New Roman" w:hAnsi="Segoe UI" w:cs="Segoe UI"/>
                <w:b/>
                <w:bCs/>
                <w:color w:val="FFFFFF"/>
                <w:sz w:val="18"/>
                <w:szCs w:val="18"/>
                <w:lang w:eastAsia="pt-BR"/>
              </w:rPr>
              <w:t>31/12/2022</w:t>
            </w:r>
          </w:p>
        </w:tc>
      </w:tr>
      <w:tr w:rsidR="00E86334" w:rsidRPr="00E86334" w14:paraId="5226543D" w14:textId="77777777" w:rsidTr="00E86334">
        <w:trPr>
          <w:trHeight w:val="240"/>
        </w:trPr>
        <w:tc>
          <w:tcPr>
            <w:tcW w:w="3546" w:type="pct"/>
            <w:tcBorders>
              <w:top w:val="nil"/>
              <w:left w:val="nil"/>
              <w:bottom w:val="nil"/>
              <w:right w:val="nil"/>
            </w:tcBorders>
            <w:shd w:val="clear" w:color="auto" w:fill="auto"/>
            <w:noWrap/>
            <w:vAlign w:val="center"/>
            <w:hideMark/>
          </w:tcPr>
          <w:p w14:paraId="315539A0"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Cíveis </w:t>
            </w:r>
          </w:p>
        </w:tc>
        <w:tc>
          <w:tcPr>
            <w:tcW w:w="1454" w:type="pct"/>
            <w:tcBorders>
              <w:top w:val="nil"/>
              <w:left w:val="nil"/>
              <w:bottom w:val="nil"/>
              <w:right w:val="nil"/>
            </w:tcBorders>
            <w:shd w:val="clear" w:color="auto" w:fill="auto"/>
            <w:noWrap/>
            <w:vAlign w:val="center"/>
            <w:hideMark/>
          </w:tcPr>
          <w:p w14:paraId="747BF301" w14:textId="77777777" w:rsidR="00E86334" w:rsidRPr="00E86334" w:rsidRDefault="00E86334" w:rsidP="00E86334">
            <w:pPr>
              <w:spacing w:after="0" w:line="240" w:lineRule="auto"/>
              <w:jc w:val="right"/>
              <w:rPr>
                <w:rFonts w:ascii="Segoe UI" w:eastAsia="Times New Roman" w:hAnsi="Segoe UI" w:cs="Segoe UI"/>
                <w:sz w:val="18"/>
                <w:szCs w:val="18"/>
                <w:lang w:eastAsia="pt-BR"/>
              </w:rPr>
            </w:pPr>
            <w:r w:rsidRPr="00E86334">
              <w:rPr>
                <w:rFonts w:ascii="Segoe UI" w:eastAsia="Times New Roman" w:hAnsi="Segoe UI" w:cs="Segoe UI"/>
                <w:sz w:val="18"/>
                <w:szCs w:val="18"/>
                <w:lang w:eastAsia="pt-BR"/>
              </w:rPr>
              <w:t xml:space="preserve">                       273.939 </w:t>
            </w:r>
          </w:p>
        </w:tc>
      </w:tr>
      <w:tr w:rsidR="00E86334" w:rsidRPr="00E86334" w14:paraId="5C90613C" w14:textId="77777777" w:rsidTr="00E86334">
        <w:trPr>
          <w:trHeight w:val="240"/>
        </w:trPr>
        <w:tc>
          <w:tcPr>
            <w:tcW w:w="3546" w:type="pct"/>
            <w:tcBorders>
              <w:top w:val="nil"/>
              <w:left w:val="nil"/>
              <w:bottom w:val="nil"/>
              <w:right w:val="nil"/>
            </w:tcBorders>
            <w:shd w:val="clear" w:color="auto" w:fill="auto"/>
            <w:noWrap/>
            <w:vAlign w:val="center"/>
            <w:hideMark/>
          </w:tcPr>
          <w:p w14:paraId="237A9123"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Ambientais </w:t>
            </w:r>
          </w:p>
        </w:tc>
        <w:tc>
          <w:tcPr>
            <w:tcW w:w="1454" w:type="pct"/>
            <w:tcBorders>
              <w:top w:val="nil"/>
              <w:left w:val="nil"/>
              <w:bottom w:val="nil"/>
              <w:right w:val="nil"/>
            </w:tcBorders>
            <w:shd w:val="clear" w:color="auto" w:fill="auto"/>
            <w:noWrap/>
            <w:vAlign w:val="center"/>
            <w:hideMark/>
          </w:tcPr>
          <w:p w14:paraId="7D590E8E" w14:textId="77777777" w:rsidR="00E86334" w:rsidRPr="00E86334" w:rsidRDefault="00E86334" w:rsidP="00E86334">
            <w:pPr>
              <w:spacing w:after="0" w:line="240" w:lineRule="auto"/>
              <w:jc w:val="right"/>
              <w:rPr>
                <w:rFonts w:ascii="Segoe UI" w:eastAsia="Times New Roman" w:hAnsi="Segoe UI" w:cs="Segoe UI"/>
                <w:sz w:val="18"/>
                <w:szCs w:val="18"/>
                <w:lang w:eastAsia="pt-BR"/>
              </w:rPr>
            </w:pPr>
            <w:r w:rsidRPr="00E86334">
              <w:rPr>
                <w:rFonts w:ascii="Segoe UI" w:eastAsia="Times New Roman" w:hAnsi="Segoe UI" w:cs="Segoe UI"/>
                <w:sz w:val="18"/>
                <w:szCs w:val="18"/>
                <w:lang w:eastAsia="pt-BR"/>
              </w:rPr>
              <w:t xml:space="preserve">                       289.123 </w:t>
            </w:r>
          </w:p>
        </w:tc>
      </w:tr>
      <w:tr w:rsidR="00E86334" w:rsidRPr="00E86334" w14:paraId="262FFE14" w14:textId="77777777" w:rsidTr="00E86334">
        <w:trPr>
          <w:trHeight w:val="240"/>
        </w:trPr>
        <w:tc>
          <w:tcPr>
            <w:tcW w:w="3546" w:type="pct"/>
            <w:tcBorders>
              <w:top w:val="nil"/>
              <w:left w:val="nil"/>
              <w:bottom w:val="nil"/>
              <w:right w:val="nil"/>
            </w:tcBorders>
            <w:shd w:val="clear" w:color="auto" w:fill="auto"/>
            <w:noWrap/>
            <w:vAlign w:val="center"/>
            <w:hideMark/>
          </w:tcPr>
          <w:p w14:paraId="29EF1A2F"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Trabalhista </w:t>
            </w:r>
          </w:p>
        </w:tc>
        <w:tc>
          <w:tcPr>
            <w:tcW w:w="1454" w:type="pct"/>
            <w:tcBorders>
              <w:top w:val="nil"/>
              <w:left w:val="nil"/>
              <w:bottom w:val="nil"/>
              <w:right w:val="nil"/>
            </w:tcBorders>
            <w:shd w:val="clear" w:color="auto" w:fill="auto"/>
            <w:noWrap/>
            <w:vAlign w:val="center"/>
            <w:hideMark/>
          </w:tcPr>
          <w:p w14:paraId="0A6029CB" w14:textId="77777777" w:rsidR="00E86334" w:rsidRPr="00E86334" w:rsidRDefault="00E86334" w:rsidP="00E86334">
            <w:pPr>
              <w:spacing w:after="0" w:line="240" w:lineRule="auto"/>
              <w:jc w:val="right"/>
              <w:rPr>
                <w:rFonts w:ascii="Segoe UI" w:eastAsia="Times New Roman" w:hAnsi="Segoe UI" w:cs="Segoe UI"/>
                <w:sz w:val="18"/>
                <w:szCs w:val="18"/>
                <w:lang w:eastAsia="pt-BR"/>
              </w:rPr>
            </w:pPr>
            <w:r w:rsidRPr="00E86334">
              <w:rPr>
                <w:rFonts w:ascii="Segoe UI" w:eastAsia="Times New Roman" w:hAnsi="Segoe UI" w:cs="Segoe UI"/>
                <w:sz w:val="18"/>
                <w:szCs w:val="18"/>
                <w:lang w:eastAsia="pt-BR"/>
              </w:rPr>
              <w:t xml:space="preserve">                         52.919 </w:t>
            </w:r>
          </w:p>
        </w:tc>
      </w:tr>
      <w:tr w:rsidR="00E86334" w:rsidRPr="00E86334" w14:paraId="21E64B73" w14:textId="77777777" w:rsidTr="00E86334">
        <w:trPr>
          <w:trHeight w:val="240"/>
        </w:trPr>
        <w:tc>
          <w:tcPr>
            <w:tcW w:w="3546" w:type="pct"/>
            <w:tcBorders>
              <w:top w:val="nil"/>
              <w:left w:val="nil"/>
              <w:bottom w:val="nil"/>
              <w:right w:val="nil"/>
            </w:tcBorders>
            <w:shd w:val="clear" w:color="auto" w:fill="auto"/>
            <w:noWrap/>
            <w:vAlign w:val="center"/>
            <w:hideMark/>
          </w:tcPr>
          <w:p w14:paraId="1A331AFC" w14:textId="77777777" w:rsidR="00E86334" w:rsidRPr="00E86334" w:rsidRDefault="00E86334" w:rsidP="00E86334">
            <w:pPr>
              <w:spacing w:after="0" w:line="240" w:lineRule="auto"/>
              <w:rPr>
                <w:rFonts w:ascii="Segoe UI" w:eastAsia="Times New Roman" w:hAnsi="Segoe UI" w:cs="Segoe UI"/>
                <w:color w:val="000000"/>
                <w:sz w:val="18"/>
                <w:szCs w:val="18"/>
                <w:lang w:eastAsia="pt-BR"/>
              </w:rPr>
            </w:pPr>
            <w:r w:rsidRPr="00E86334">
              <w:rPr>
                <w:rFonts w:ascii="Segoe UI" w:eastAsia="Times New Roman" w:hAnsi="Segoe UI" w:cs="Segoe UI"/>
                <w:color w:val="000000"/>
                <w:sz w:val="18"/>
                <w:szCs w:val="18"/>
                <w:lang w:eastAsia="pt-BR"/>
              </w:rPr>
              <w:t xml:space="preserve"> Tributária </w:t>
            </w:r>
          </w:p>
        </w:tc>
        <w:tc>
          <w:tcPr>
            <w:tcW w:w="1454" w:type="pct"/>
            <w:tcBorders>
              <w:top w:val="nil"/>
              <w:left w:val="nil"/>
              <w:bottom w:val="nil"/>
              <w:right w:val="nil"/>
            </w:tcBorders>
            <w:shd w:val="clear" w:color="auto" w:fill="auto"/>
            <w:noWrap/>
            <w:vAlign w:val="center"/>
            <w:hideMark/>
          </w:tcPr>
          <w:p w14:paraId="7B55B3F9" w14:textId="77777777" w:rsidR="00E86334" w:rsidRPr="00E86334" w:rsidRDefault="00E86334" w:rsidP="00E86334">
            <w:pPr>
              <w:spacing w:after="0" w:line="240" w:lineRule="auto"/>
              <w:jc w:val="right"/>
              <w:rPr>
                <w:rFonts w:ascii="Segoe UI" w:eastAsia="Times New Roman" w:hAnsi="Segoe UI" w:cs="Segoe UI"/>
                <w:sz w:val="18"/>
                <w:szCs w:val="18"/>
                <w:lang w:eastAsia="pt-BR"/>
              </w:rPr>
            </w:pPr>
            <w:r w:rsidRPr="00E86334">
              <w:rPr>
                <w:rFonts w:ascii="Segoe UI" w:eastAsia="Times New Roman" w:hAnsi="Segoe UI" w:cs="Segoe UI"/>
                <w:sz w:val="18"/>
                <w:szCs w:val="18"/>
                <w:lang w:eastAsia="pt-BR"/>
              </w:rPr>
              <w:t xml:space="preserve">                           2.330 </w:t>
            </w:r>
          </w:p>
        </w:tc>
      </w:tr>
      <w:tr w:rsidR="00E86334" w:rsidRPr="00E86334" w14:paraId="4CBF7E95" w14:textId="77777777" w:rsidTr="00E86334">
        <w:trPr>
          <w:trHeight w:val="255"/>
        </w:trPr>
        <w:tc>
          <w:tcPr>
            <w:tcW w:w="3546" w:type="pct"/>
            <w:tcBorders>
              <w:top w:val="nil"/>
              <w:left w:val="nil"/>
              <w:bottom w:val="nil"/>
              <w:right w:val="nil"/>
            </w:tcBorders>
            <w:shd w:val="clear" w:color="auto" w:fill="auto"/>
            <w:noWrap/>
            <w:vAlign w:val="center"/>
            <w:hideMark/>
          </w:tcPr>
          <w:p w14:paraId="1AE93526" w14:textId="77777777" w:rsidR="00E86334" w:rsidRPr="00E86334" w:rsidRDefault="00E86334" w:rsidP="00E86334">
            <w:pPr>
              <w:spacing w:after="0" w:line="240" w:lineRule="auto"/>
              <w:jc w:val="right"/>
              <w:rPr>
                <w:rFonts w:ascii="Segoe UI" w:eastAsia="Times New Roman" w:hAnsi="Segoe UI" w:cs="Segoe UI"/>
                <w:sz w:val="18"/>
                <w:szCs w:val="18"/>
                <w:lang w:eastAsia="pt-BR"/>
              </w:rPr>
            </w:pPr>
          </w:p>
        </w:tc>
        <w:tc>
          <w:tcPr>
            <w:tcW w:w="1454" w:type="pct"/>
            <w:tcBorders>
              <w:top w:val="single" w:sz="4" w:space="0" w:color="1B80C4"/>
              <w:left w:val="nil"/>
              <w:bottom w:val="double" w:sz="6" w:space="0" w:color="1B80C4"/>
              <w:right w:val="nil"/>
            </w:tcBorders>
            <w:shd w:val="clear" w:color="auto" w:fill="auto"/>
            <w:noWrap/>
            <w:vAlign w:val="center"/>
            <w:hideMark/>
          </w:tcPr>
          <w:p w14:paraId="63DDBD99" w14:textId="77777777" w:rsidR="00E86334" w:rsidRPr="00E86334" w:rsidRDefault="00E86334" w:rsidP="00E86334">
            <w:pPr>
              <w:spacing w:after="0" w:line="240" w:lineRule="auto"/>
              <w:jc w:val="right"/>
              <w:rPr>
                <w:rFonts w:ascii="Segoe UI" w:eastAsia="Times New Roman" w:hAnsi="Segoe UI" w:cs="Segoe UI"/>
                <w:b/>
                <w:bCs/>
                <w:color w:val="000000"/>
                <w:sz w:val="18"/>
                <w:szCs w:val="18"/>
                <w:lang w:eastAsia="pt-BR"/>
              </w:rPr>
            </w:pPr>
            <w:r w:rsidRPr="00E86334">
              <w:rPr>
                <w:rFonts w:ascii="Segoe UI" w:eastAsia="Times New Roman" w:hAnsi="Segoe UI" w:cs="Segoe UI"/>
                <w:b/>
                <w:bCs/>
                <w:color w:val="000000"/>
                <w:sz w:val="18"/>
                <w:szCs w:val="18"/>
                <w:lang w:eastAsia="pt-BR"/>
              </w:rPr>
              <w:t xml:space="preserve">                     618.311 </w:t>
            </w:r>
          </w:p>
        </w:tc>
      </w:tr>
    </w:tbl>
    <w:p w14:paraId="01C9F88C" w14:textId="1C007B1C" w:rsidR="002B1787" w:rsidRPr="00515246" w:rsidRDefault="00581D1F" w:rsidP="00F63F20">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515246">
        <w:rPr>
          <w:rFonts w:ascii="Segoe UI" w:hAnsi="Segoe UI" w:cs="Segoe UI"/>
          <w:b/>
          <w:color w:val="0070C0"/>
        </w:rPr>
        <w:t>2</w:t>
      </w:r>
      <w:r w:rsidR="002A4E82">
        <w:rPr>
          <w:rFonts w:ascii="Segoe UI" w:hAnsi="Segoe UI" w:cs="Segoe UI"/>
          <w:b/>
          <w:color w:val="0070C0"/>
        </w:rPr>
        <w:t>1</w:t>
      </w:r>
      <w:r w:rsidR="00F4139F" w:rsidRPr="00515246">
        <w:rPr>
          <w:rFonts w:ascii="Segoe UI" w:hAnsi="Segoe UI" w:cs="Segoe UI"/>
          <w:b/>
          <w:color w:val="0070C0"/>
        </w:rPr>
        <w:t xml:space="preserve"> </w:t>
      </w:r>
      <w:r w:rsidR="002B1787" w:rsidRPr="00515246">
        <w:rPr>
          <w:rFonts w:ascii="Segoe UI" w:hAnsi="Segoe UI" w:cs="Segoe UI"/>
          <w:b/>
          <w:color w:val="0070C0"/>
        </w:rPr>
        <w:t>– BENEFÍCIOS PÓS-EMPREGO</w:t>
      </w:r>
    </w:p>
    <w:p w14:paraId="3C50B9E6" w14:textId="5EAEE651" w:rsidR="00BE0B15" w:rsidRPr="00515246" w:rsidRDefault="00BE0B15" w:rsidP="00F63F20">
      <w:pPr>
        <w:spacing w:before="240" w:after="120"/>
        <w:jc w:val="both"/>
        <w:rPr>
          <w:rFonts w:ascii="Segoe UI" w:hAnsi="Segoe UI" w:cs="Segoe UI"/>
        </w:rPr>
      </w:pPr>
      <w:r w:rsidRPr="00515246">
        <w:rPr>
          <w:rFonts w:ascii="Segoe UI" w:hAnsi="Segoe UI" w:cs="Segoe UI"/>
        </w:rPr>
        <w:t xml:space="preserve">A </w:t>
      </w:r>
      <w:r w:rsidR="006156E3">
        <w:rPr>
          <w:rFonts w:ascii="Segoe UI" w:hAnsi="Segoe UI" w:cs="Segoe UI"/>
        </w:rPr>
        <w:t xml:space="preserve">Eletronuclear e INB </w:t>
      </w:r>
      <w:r w:rsidRPr="00515246">
        <w:rPr>
          <w:rFonts w:ascii="Segoe UI" w:hAnsi="Segoe UI" w:cs="Segoe UI"/>
        </w:rPr>
        <w:t>patrocina</w:t>
      </w:r>
      <w:r w:rsidR="009C5B55" w:rsidRPr="00515246">
        <w:rPr>
          <w:rFonts w:ascii="Segoe UI" w:hAnsi="Segoe UI" w:cs="Segoe UI"/>
        </w:rPr>
        <w:t>m</w:t>
      </w:r>
      <w:r w:rsidRPr="00515246">
        <w:rPr>
          <w:rFonts w:ascii="Segoe UI" w:hAnsi="Segoe UI" w:cs="Segoe UI"/>
        </w:rPr>
        <w:t xml:space="preserve"> planos de previdência aos seus empregados, bem como planos de assistência médica e outros benefícios. Esses benefícios são classificados como </w:t>
      </w:r>
      <w:r w:rsidR="00594175">
        <w:rPr>
          <w:rFonts w:ascii="Segoe UI" w:hAnsi="Segoe UI" w:cs="Segoe UI"/>
        </w:rPr>
        <w:t>B</w:t>
      </w:r>
      <w:r w:rsidR="00F458C5">
        <w:rPr>
          <w:rFonts w:ascii="Segoe UI" w:hAnsi="Segoe UI" w:cs="Segoe UI"/>
        </w:rPr>
        <w:t>enefício Definido (“</w:t>
      </w:r>
      <w:r w:rsidRPr="00515246">
        <w:rPr>
          <w:rFonts w:ascii="Segoe UI" w:hAnsi="Segoe UI" w:cs="Segoe UI"/>
        </w:rPr>
        <w:t>BD</w:t>
      </w:r>
      <w:r w:rsidR="00F458C5">
        <w:rPr>
          <w:rFonts w:ascii="Segoe UI" w:hAnsi="Segoe UI" w:cs="Segoe UI"/>
        </w:rPr>
        <w:t>”)</w:t>
      </w:r>
      <w:r w:rsidRPr="00515246">
        <w:rPr>
          <w:rFonts w:ascii="Segoe UI" w:hAnsi="Segoe UI" w:cs="Segoe UI"/>
        </w:rPr>
        <w:t xml:space="preserve"> e de Contribuição Definida (</w:t>
      </w:r>
      <w:r w:rsidR="000F389E">
        <w:rPr>
          <w:rFonts w:ascii="Segoe UI" w:hAnsi="Segoe UI" w:cs="Segoe UI"/>
        </w:rPr>
        <w:t>“</w:t>
      </w:r>
      <w:r w:rsidRPr="00515246">
        <w:rPr>
          <w:rFonts w:ascii="Segoe UI" w:hAnsi="Segoe UI" w:cs="Segoe UI"/>
        </w:rPr>
        <w:t>CD</w:t>
      </w:r>
      <w:r w:rsidR="000F389E">
        <w:rPr>
          <w:rFonts w:ascii="Segoe UI" w:hAnsi="Segoe UI" w:cs="Segoe UI"/>
        </w:rPr>
        <w:t>”</w:t>
      </w:r>
      <w:r w:rsidRPr="00515246">
        <w:rPr>
          <w:rFonts w:ascii="Segoe UI" w:hAnsi="Segoe UI" w:cs="Segoe UI"/>
        </w:rPr>
        <w:t xml:space="preserve">). </w:t>
      </w:r>
    </w:p>
    <w:p w14:paraId="7FF87862" w14:textId="1849E968" w:rsidR="00BE0B15" w:rsidRPr="00515246" w:rsidRDefault="003A21F2" w:rsidP="00F63F20">
      <w:pPr>
        <w:spacing w:before="240" w:after="120"/>
        <w:jc w:val="both"/>
        <w:rPr>
          <w:rFonts w:ascii="Segoe UI" w:hAnsi="Segoe UI" w:cs="Segoe UI"/>
        </w:rPr>
      </w:pPr>
      <w:r>
        <w:rPr>
          <w:rFonts w:ascii="Segoe UI" w:hAnsi="Segoe UI" w:cs="Segoe UI"/>
        </w:rPr>
        <w:t>A</w:t>
      </w:r>
      <w:r w:rsidR="001571DC">
        <w:rPr>
          <w:rFonts w:ascii="Segoe UI" w:hAnsi="Segoe UI" w:cs="Segoe UI"/>
        </w:rPr>
        <w:t>s Controladas patroci</w:t>
      </w:r>
      <w:r w:rsidR="005B2957">
        <w:rPr>
          <w:rFonts w:ascii="Segoe UI" w:hAnsi="Segoe UI" w:cs="Segoe UI"/>
        </w:rPr>
        <w:t xml:space="preserve">nam o </w:t>
      </w:r>
      <w:r w:rsidR="005B2957" w:rsidRPr="00515246">
        <w:rPr>
          <w:rFonts w:ascii="Segoe UI" w:hAnsi="Segoe UI" w:cs="Segoe UI"/>
        </w:rPr>
        <w:t>Núcleos – Instituto de Seguridade Social</w:t>
      </w:r>
      <w:r w:rsidR="00C024EE">
        <w:rPr>
          <w:rFonts w:ascii="Segoe UI" w:hAnsi="Segoe UI" w:cs="Segoe UI"/>
        </w:rPr>
        <w:t xml:space="preserve">. </w:t>
      </w:r>
      <w:r w:rsidR="00BE0B15" w:rsidRPr="00515246">
        <w:rPr>
          <w:rFonts w:ascii="Segoe UI" w:hAnsi="Segoe UI" w:cs="Segoe UI"/>
        </w:rPr>
        <w:t>A</w:t>
      </w:r>
      <w:r w:rsidR="00765236" w:rsidRPr="00515246">
        <w:rPr>
          <w:rFonts w:ascii="Segoe UI" w:hAnsi="Segoe UI" w:cs="Segoe UI"/>
        </w:rPr>
        <w:t xml:space="preserve">dicionalmente, </w:t>
      </w:r>
      <w:r w:rsidR="007B3256">
        <w:rPr>
          <w:rFonts w:ascii="Segoe UI" w:hAnsi="Segoe UI" w:cs="Segoe UI"/>
        </w:rPr>
        <w:t>a Eletronuclear</w:t>
      </w:r>
      <w:r w:rsidR="007B3256" w:rsidRPr="00515246">
        <w:rPr>
          <w:rFonts w:ascii="Segoe UI" w:hAnsi="Segoe UI" w:cs="Segoe UI"/>
        </w:rPr>
        <w:t xml:space="preserve"> </w:t>
      </w:r>
      <w:r w:rsidR="007B3256">
        <w:rPr>
          <w:rFonts w:ascii="Segoe UI" w:hAnsi="Segoe UI" w:cs="Segoe UI"/>
        </w:rPr>
        <w:t>também</w:t>
      </w:r>
      <w:r w:rsidR="00765236" w:rsidRPr="00515246">
        <w:rPr>
          <w:rFonts w:ascii="Segoe UI" w:hAnsi="Segoe UI" w:cs="Segoe UI"/>
        </w:rPr>
        <w:t xml:space="preserve"> é </w:t>
      </w:r>
      <w:r w:rsidR="00BE0B15" w:rsidRPr="00515246">
        <w:rPr>
          <w:rFonts w:ascii="Segoe UI" w:hAnsi="Segoe UI" w:cs="Segoe UI"/>
        </w:rPr>
        <w:t>uma das patr</w:t>
      </w:r>
      <w:r w:rsidR="00765236" w:rsidRPr="00515246">
        <w:rPr>
          <w:rFonts w:ascii="Segoe UI" w:hAnsi="Segoe UI" w:cs="Segoe UI"/>
        </w:rPr>
        <w:t>o</w:t>
      </w:r>
      <w:r w:rsidR="00BE0B15" w:rsidRPr="00515246">
        <w:rPr>
          <w:rFonts w:ascii="Segoe UI" w:hAnsi="Segoe UI" w:cs="Segoe UI"/>
        </w:rPr>
        <w:t>cinadoras da R</w:t>
      </w:r>
      <w:r w:rsidR="000F389E">
        <w:rPr>
          <w:rFonts w:ascii="Segoe UI" w:hAnsi="Segoe UI" w:cs="Segoe UI"/>
        </w:rPr>
        <w:t xml:space="preserve">eal </w:t>
      </w:r>
      <w:r w:rsidR="00BE0B15" w:rsidRPr="00515246">
        <w:rPr>
          <w:rFonts w:ascii="Segoe UI" w:hAnsi="Segoe UI" w:cs="Segoe UI"/>
        </w:rPr>
        <w:t>G</w:t>
      </w:r>
      <w:r w:rsidR="000F389E">
        <w:rPr>
          <w:rFonts w:ascii="Segoe UI" w:hAnsi="Segoe UI" w:cs="Segoe UI"/>
        </w:rPr>
        <w:t>randeza</w:t>
      </w:r>
      <w:r w:rsidR="00BE0B15" w:rsidRPr="00515246">
        <w:rPr>
          <w:rFonts w:ascii="Segoe UI" w:hAnsi="Segoe UI" w:cs="Segoe UI"/>
        </w:rPr>
        <w:t xml:space="preserve"> – Fundação de Previdência e </w:t>
      </w:r>
      <w:r w:rsidR="00BE0B15" w:rsidRPr="00515246">
        <w:rPr>
          <w:rFonts w:ascii="Segoe UI" w:hAnsi="Segoe UI" w:cs="Segoe UI"/>
        </w:rPr>
        <w:lastRenderedPageBreak/>
        <w:t>Assistência Social</w:t>
      </w:r>
      <w:r w:rsidR="00460B43">
        <w:rPr>
          <w:rFonts w:ascii="Segoe UI" w:hAnsi="Segoe UI" w:cs="Segoe UI"/>
        </w:rPr>
        <w:t>.</w:t>
      </w:r>
      <w:r w:rsidR="00C024EE">
        <w:rPr>
          <w:rFonts w:ascii="Segoe UI" w:hAnsi="Segoe UI" w:cs="Segoe UI"/>
        </w:rPr>
        <w:t xml:space="preserve"> </w:t>
      </w:r>
      <w:r w:rsidR="00460B43">
        <w:rPr>
          <w:rFonts w:ascii="Segoe UI" w:hAnsi="Segoe UI" w:cs="Segoe UI"/>
        </w:rPr>
        <w:t>T</w:t>
      </w:r>
      <w:r w:rsidR="00C024EE">
        <w:rPr>
          <w:rFonts w:ascii="Segoe UI" w:hAnsi="Segoe UI" w:cs="Segoe UI"/>
        </w:rPr>
        <w:t xml:space="preserve">ais </w:t>
      </w:r>
      <w:r w:rsidR="00C024EE" w:rsidRPr="00515246">
        <w:rPr>
          <w:rFonts w:ascii="Segoe UI" w:hAnsi="Segoe UI" w:cs="Segoe UI"/>
        </w:rPr>
        <w:t>entidade</w:t>
      </w:r>
      <w:r w:rsidR="00BF0E1F">
        <w:rPr>
          <w:rFonts w:ascii="Segoe UI" w:hAnsi="Segoe UI" w:cs="Segoe UI"/>
        </w:rPr>
        <w:t>s</w:t>
      </w:r>
      <w:r w:rsidR="00C51F5C">
        <w:rPr>
          <w:rFonts w:ascii="Segoe UI" w:hAnsi="Segoe UI" w:cs="Segoe UI"/>
        </w:rPr>
        <w:t xml:space="preserve"> são</w:t>
      </w:r>
      <w:r w:rsidR="00C024EE" w:rsidRPr="00515246">
        <w:rPr>
          <w:rFonts w:ascii="Segoe UI" w:hAnsi="Segoe UI" w:cs="Segoe UI"/>
        </w:rPr>
        <w:t xml:space="preserve"> fechada</w:t>
      </w:r>
      <w:r w:rsidR="0096029D">
        <w:rPr>
          <w:rFonts w:ascii="Segoe UI" w:hAnsi="Segoe UI" w:cs="Segoe UI"/>
        </w:rPr>
        <w:t>s e</w:t>
      </w:r>
      <w:r w:rsidR="00BE0B15" w:rsidRPr="00515246">
        <w:rPr>
          <w:rFonts w:ascii="Segoe UI" w:hAnsi="Segoe UI" w:cs="Segoe UI"/>
        </w:rPr>
        <w:t xml:space="preserve"> sem fins lucrativos, que tem por finalidade complementar benefícios previdenciários de seus participantes.</w:t>
      </w:r>
    </w:p>
    <w:p w14:paraId="7A2F318C" w14:textId="20F1E44B" w:rsidR="00BE0B15" w:rsidRDefault="00BE0B15" w:rsidP="00F63F20">
      <w:pPr>
        <w:spacing w:before="240" w:after="120"/>
        <w:jc w:val="both"/>
        <w:rPr>
          <w:rFonts w:ascii="Segoe UI" w:hAnsi="Segoe UI" w:cs="Segoe UI"/>
        </w:rPr>
      </w:pPr>
      <w:r w:rsidRPr="00515246">
        <w:rPr>
          <w:rFonts w:ascii="Segoe UI" w:hAnsi="Segoe UI" w:cs="Segoe UI"/>
        </w:rPr>
        <w:t xml:space="preserve">A tabela abaixo apresenta a conciliação do valor presente das obrigações de benefício definido e do valor justo dos ativos com os valores registrados no balanço patrimonial para os benefícios previdenciários e para os demais benefícios pós-emprego. A seguir estão apresentados os resultados da </w:t>
      </w:r>
      <w:r w:rsidR="006156E3">
        <w:rPr>
          <w:rFonts w:ascii="Segoe UI" w:hAnsi="Segoe UI" w:cs="Segoe UI"/>
        </w:rPr>
        <w:t xml:space="preserve">Eletronuclear e INB </w:t>
      </w:r>
      <w:r w:rsidR="0072257F" w:rsidRPr="00515246">
        <w:rPr>
          <w:rFonts w:ascii="Segoe UI" w:hAnsi="Segoe UI" w:cs="Segoe UI"/>
        </w:rPr>
        <w:t>das o</w:t>
      </w:r>
      <w:r w:rsidRPr="00515246">
        <w:rPr>
          <w:rFonts w:ascii="Segoe UI" w:hAnsi="Segoe UI" w:cs="Segoe UI"/>
        </w:rPr>
        <w:t>brigações de benefício pós-emprego – valores reconhecidos no balanço patrimonial:</w:t>
      </w:r>
    </w:p>
    <w:tbl>
      <w:tblPr>
        <w:tblW w:w="5000" w:type="pct"/>
        <w:tblCellMar>
          <w:left w:w="70" w:type="dxa"/>
          <w:right w:w="70" w:type="dxa"/>
        </w:tblCellMar>
        <w:tblLook w:val="04A0" w:firstRow="1" w:lastRow="0" w:firstColumn="1" w:lastColumn="0" w:noHBand="0" w:noVBand="1"/>
      </w:tblPr>
      <w:tblGrid>
        <w:gridCol w:w="6726"/>
        <w:gridCol w:w="2771"/>
      </w:tblGrid>
      <w:tr w:rsidR="004C474F" w:rsidRPr="00F67550" w14:paraId="28C76179" w14:textId="77777777" w:rsidTr="004C474F">
        <w:trPr>
          <w:trHeight w:val="240"/>
        </w:trPr>
        <w:tc>
          <w:tcPr>
            <w:tcW w:w="3541" w:type="pct"/>
            <w:tcBorders>
              <w:top w:val="nil"/>
              <w:left w:val="nil"/>
              <w:bottom w:val="nil"/>
              <w:right w:val="nil"/>
            </w:tcBorders>
            <w:shd w:val="clear" w:color="auto" w:fill="auto"/>
            <w:noWrap/>
            <w:vAlign w:val="bottom"/>
            <w:hideMark/>
          </w:tcPr>
          <w:p w14:paraId="7C23889E" w14:textId="77777777" w:rsidR="004C474F" w:rsidRPr="00F67550" w:rsidRDefault="004C474F" w:rsidP="00F67550">
            <w:pPr>
              <w:spacing w:after="0" w:line="240" w:lineRule="auto"/>
              <w:rPr>
                <w:rFonts w:ascii="Times New Roman" w:eastAsia="Times New Roman" w:hAnsi="Times New Roman" w:cs="Times New Roman"/>
                <w:sz w:val="24"/>
                <w:szCs w:val="24"/>
                <w:lang w:eastAsia="pt-BR"/>
              </w:rPr>
            </w:pPr>
          </w:p>
        </w:tc>
        <w:tc>
          <w:tcPr>
            <w:tcW w:w="1459" w:type="pct"/>
            <w:tcBorders>
              <w:top w:val="nil"/>
              <w:left w:val="nil"/>
              <w:bottom w:val="nil"/>
              <w:right w:val="nil"/>
            </w:tcBorders>
            <w:shd w:val="clear" w:color="000000" w:fill="1B80C4"/>
            <w:noWrap/>
            <w:vAlign w:val="bottom"/>
            <w:hideMark/>
          </w:tcPr>
          <w:p w14:paraId="444511C4" w14:textId="77777777" w:rsidR="004C474F" w:rsidRPr="00F67550" w:rsidRDefault="004C474F" w:rsidP="00F67550">
            <w:pPr>
              <w:spacing w:after="0" w:line="240" w:lineRule="auto"/>
              <w:jc w:val="center"/>
              <w:rPr>
                <w:rFonts w:ascii="Segoe UI" w:eastAsia="Times New Roman" w:hAnsi="Segoe UI" w:cs="Segoe UI"/>
                <w:b/>
                <w:bCs/>
                <w:color w:val="FFFFFF"/>
                <w:sz w:val="18"/>
                <w:szCs w:val="18"/>
                <w:lang w:eastAsia="pt-BR"/>
              </w:rPr>
            </w:pPr>
            <w:r w:rsidRPr="00F67550">
              <w:rPr>
                <w:rFonts w:ascii="Segoe UI" w:eastAsia="Times New Roman" w:hAnsi="Segoe UI" w:cs="Segoe UI"/>
                <w:b/>
                <w:bCs/>
                <w:color w:val="FFFFFF"/>
                <w:sz w:val="18"/>
                <w:szCs w:val="18"/>
                <w:lang w:eastAsia="pt-BR"/>
              </w:rPr>
              <w:t xml:space="preserve"> Consolidado </w:t>
            </w:r>
          </w:p>
        </w:tc>
      </w:tr>
      <w:tr w:rsidR="004C474F" w:rsidRPr="00F67550" w14:paraId="73018FE4" w14:textId="77777777" w:rsidTr="004C474F">
        <w:trPr>
          <w:trHeight w:val="240"/>
        </w:trPr>
        <w:tc>
          <w:tcPr>
            <w:tcW w:w="3541" w:type="pct"/>
            <w:tcBorders>
              <w:top w:val="nil"/>
              <w:left w:val="nil"/>
              <w:bottom w:val="nil"/>
              <w:right w:val="nil"/>
            </w:tcBorders>
            <w:shd w:val="clear" w:color="auto" w:fill="auto"/>
            <w:noWrap/>
            <w:vAlign w:val="bottom"/>
            <w:hideMark/>
          </w:tcPr>
          <w:p w14:paraId="03F32D90" w14:textId="77777777" w:rsidR="004C474F" w:rsidRPr="00F67550" w:rsidRDefault="004C474F" w:rsidP="00F67550">
            <w:pPr>
              <w:spacing w:after="0" w:line="240" w:lineRule="auto"/>
              <w:jc w:val="center"/>
              <w:rPr>
                <w:rFonts w:ascii="Segoe UI" w:eastAsia="Times New Roman" w:hAnsi="Segoe UI" w:cs="Segoe UI"/>
                <w:b/>
                <w:bCs/>
                <w:color w:val="FFFFFF"/>
                <w:sz w:val="18"/>
                <w:szCs w:val="18"/>
                <w:lang w:eastAsia="pt-BR"/>
              </w:rPr>
            </w:pPr>
          </w:p>
        </w:tc>
        <w:tc>
          <w:tcPr>
            <w:tcW w:w="1459" w:type="pct"/>
            <w:tcBorders>
              <w:top w:val="single" w:sz="4" w:space="0" w:color="FFFFFF"/>
              <w:left w:val="nil"/>
              <w:bottom w:val="single" w:sz="4" w:space="0" w:color="FFFFFF"/>
              <w:right w:val="nil"/>
            </w:tcBorders>
            <w:shd w:val="clear" w:color="000000" w:fill="1B80C4"/>
            <w:noWrap/>
            <w:vAlign w:val="center"/>
            <w:hideMark/>
          </w:tcPr>
          <w:p w14:paraId="5FB9B92B" w14:textId="77777777" w:rsidR="004C474F" w:rsidRPr="00F67550" w:rsidRDefault="004C474F" w:rsidP="00F67550">
            <w:pPr>
              <w:spacing w:after="0" w:line="240" w:lineRule="auto"/>
              <w:jc w:val="center"/>
              <w:rPr>
                <w:rFonts w:ascii="Segoe UI" w:eastAsia="Times New Roman" w:hAnsi="Segoe UI" w:cs="Segoe UI"/>
                <w:b/>
                <w:bCs/>
                <w:color w:val="FFFFFF"/>
                <w:sz w:val="18"/>
                <w:szCs w:val="18"/>
                <w:lang w:eastAsia="pt-BR"/>
              </w:rPr>
            </w:pPr>
            <w:r w:rsidRPr="00F67550">
              <w:rPr>
                <w:rFonts w:ascii="Segoe UI" w:eastAsia="Times New Roman" w:hAnsi="Segoe UI" w:cs="Segoe UI"/>
                <w:b/>
                <w:bCs/>
                <w:color w:val="FFFFFF"/>
                <w:sz w:val="18"/>
                <w:szCs w:val="18"/>
                <w:lang w:eastAsia="pt-BR"/>
              </w:rPr>
              <w:t>31/12/2022</w:t>
            </w:r>
          </w:p>
        </w:tc>
      </w:tr>
      <w:tr w:rsidR="004C474F" w:rsidRPr="00F67550" w14:paraId="12255699" w14:textId="77777777" w:rsidTr="004C474F">
        <w:trPr>
          <w:trHeight w:val="240"/>
        </w:trPr>
        <w:tc>
          <w:tcPr>
            <w:tcW w:w="3541" w:type="pct"/>
            <w:tcBorders>
              <w:top w:val="nil"/>
              <w:left w:val="nil"/>
              <w:bottom w:val="nil"/>
              <w:right w:val="nil"/>
            </w:tcBorders>
            <w:shd w:val="clear" w:color="auto" w:fill="auto"/>
            <w:noWrap/>
            <w:vAlign w:val="center"/>
            <w:hideMark/>
          </w:tcPr>
          <w:p w14:paraId="6F591396" w14:textId="77777777" w:rsidR="004C474F" w:rsidRPr="00F67550" w:rsidRDefault="004C474F" w:rsidP="00F67550">
            <w:pPr>
              <w:spacing w:after="0" w:line="240" w:lineRule="auto"/>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Contrato de pactuação obrigação financeira </w:t>
            </w:r>
          </w:p>
        </w:tc>
        <w:tc>
          <w:tcPr>
            <w:tcW w:w="1459" w:type="pct"/>
            <w:tcBorders>
              <w:top w:val="nil"/>
              <w:left w:val="nil"/>
              <w:bottom w:val="nil"/>
              <w:right w:val="nil"/>
            </w:tcBorders>
            <w:shd w:val="clear" w:color="auto" w:fill="auto"/>
            <w:noWrap/>
            <w:vAlign w:val="center"/>
            <w:hideMark/>
          </w:tcPr>
          <w:p w14:paraId="26D9F1FE" w14:textId="77777777" w:rsidR="004C474F" w:rsidRPr="00F67550" w:rsidRDefault="004C474F" w:rsidP="00F67550">
            <w:pPr>
              <w:spacing w:after="0" w:line="240" w:lineRule="auto"/>
              <w:jc w:val="right"/>
              <w:rPr>
                <w:rFonts w:ascii="Segoe UI" w:eastAsia="Times New Roman" w:hAnsi="Segoe UI" w:cs="Segoe UI"/>
                <w:sz w:val="18"/>
                <w:szCs w:val="18"/>
                <w:lang w:eastAsia="pt-BR"/>
              </w:rPr>
            </w:pPr>
            <w:r w:rsidRPr="00F67550">
              <w:rPr>
                <w:rFonts w:ascii="Segoe UI" w:eastAsia="Times New Roman" w:hAnsi="Segoe UI" w:cs="Segoe UI"/>
                <w:sz w:val="18"/>
                <w:szCs w:val="18"/>
                <w:lang w:eastAsia="pt-BR"/>
              </w:rPr>
              <w:t xml:space="preserve">                           6.243 </w:t>
            </w:r>
          </w:p>
        </w:tc>
      </w:tr>
      <w:tr w:rsidR="004C474F" w:rsidRPr="00F67550" w14:paraId="42DD1975" w14:textId="77777777" w:rsidTr="004C474F">
        <w:trPr>
          <w:trHeight w:val="240"/>
        </w:trPr>
        <w:tc>
          <w:tcPr>
            <w:tcW w:w="3541" w:type="pct"/>
            <w:tcBorders>
              <w:top w:val="nil"/>
              <w:left w:val="nil"/>
              <w:bottom w:val="nil"/>
              <w:right w:val="nil"/>
            </w:tcBorders>
            <w:shd w:val="clear" w:color="auto" w:fill="auto"/>
            <w:noWrap/>
            <w:vAlign w:val="center"/>
            <w:hideMark/>
          </w:tcPr>
          <w:p w14:paraId="3D77DD56" w14:textId="77777777" w:rsidR="004C474F" w:rsidRPr="00F67550" w:rsidRDefault="004C474F" w:rsidP="00F67550">
            <w:pPr>
              <w:spacing w:after="0" w:line="240" w:lineRule="auto"/>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Provisão atuarial </w:t>
            </w:r>
          </w:p>
        </w:tc>
        <w:tc>
          <w:tcPr>
            <w:tcW w:w="1459" w:type="pct"/>
            <w:tcBorders>
              <w:top w:val="nil"/>
              <w:left w:val="nil"/>
              <w:bottom w:val="nil"/>
              <w:right w:val="nil"/>
            </w:tcBorders>
            <w:shd w:val="clear" w:color="auto" w:fill="auto"/>
            <w:noWrap/>
            <w:vAlign w:val="center"/>
            <w:hideMark/>
          </w:tcPr>
          <w:p w14:paraId="714A1A3A" w14:textId="77777777" w:rsidR="004C474F" w:rsidRPr="00F67550" w:rsidRDefault="004C474F" w:rsidP="00F67550">
            <w:pPr>
              <w:spacing w:after="0" w:line="240" w:lineRule="auto"/>
              <w:jc w:val="right"/>
              <w:rPr>
                <w:rFonts w:ascii="Segoe UI" w:eastAsia="Times New Roman" w:hAnsi="Segoe UI" w:cs="Segoe UI"/>
                <w:sz w:val="18"/>
                <w:szCs w:val="18"/>
                <w:lang w:eastAsia="pt-BR"/>
              </w:rPr>
            </w:pPr>
            <w:r w:rsidRPr="00F67550">
              <w:rPr>
                <w:rFonts w:ascii="Segoe UI" w:eastAsia="Times New Roman" w:hAnsi="Segoe UI" w:cs="Segoe UI"/>
                <w:sz w:val="18"/>
                <w:szCs w:val="18"/>
                <w:lang w:eastAsia="pt-BR"/>
              </w:rPr>
              <w:t xml:space="preserve">                       356.080 </w:t>
            </w:r>
          </w:p>
        </w:tc>
      </w:tr>
      <w:tr w:rsidR="004C474F" w:rsidRPr="00F67550" w14:paraId="5D3CC810" w14:textId="77777777" w:rsidTr="004C474F">
        <w:trPr>
          <w:trHeight w:val="255"/>
        </w:trPr>
        <w:tc>
          <w:tcPr>
            <w:tcW w:w="3541" w:type="pct"/>
            <w:tcBorders>
              <w:top w:val="nil"/>
              <w:left w:val="nil"/>
              <w:bottom w:val="nil"/>
              <w:right w:val="nil"/>
            </w:tcBorders>
            <w:shd w:val="clear" w:color="auto" w:fill="auto"/>
            <w:noWrap/>
            <w:vAlign w:val="center"/>
            <w:hideMark/>
          </w:tcPr>
          <w:p w14:paraId="3726770B" w14:textId="77777777" w:rsidR="004C474F" w:rsidRPr="00F67550" w:rsidRDefault="004C474F" w:rsidP="00F67550">
            <w:pPr>
              <w:spacing w:after="0" w:line="240" w:lineRule="auto"/>
              <w:jc w:val="right"/>
              <w:rPr>
                <w:rFonts w:ascii="Segoe UI" w:eastAsia="Times New Roman" w:hAnsi="Segoe UI" w:cs="Segoe UI"/>
                <w:sz w:val="18"/>
                <w:szCs w:val="18"/>
                <w:lang w:eastAsia="pt-BR"/>
              </w:rPr>
            </w:pPr>
          </w:p>
        </w:tc>
        <w:tc>
          <w:tcPr>
            <w:tcW w:w="1459" w:type="pct"/>
            <w:tcBorders>
              <w:top w:val="single" w:sz="4" w:space="0" w:color="1B80C4"/>
              <w:left w:val="nil"/>
              <w:bottom w:val="double" w:sz="6" w:space="0" w:color="1B80C4"/>
              <w:right w:val="nil"/>
            </w:tcBorders>
            <w:shd w:val="clear" w:color="auto" w:fill="auto"/>
            <w:noWrap/>
            <w:vAlign w:val="center"/>
            <w:hideMark/>
          </w:tcPr>
          <w:p w14:paraId="67810F81" w14:textId="77777777" w:rsidR="004C474F" w:rsidRPr="00F67550" w:rsidRDefault="004C474F" w:rsidP="00F67550">
            <w:pPr>
              <w:spacing w:after="0" w:line="240" w:lineRule="auto"/>
              <w:jc w:val="right"/>
              <w:rPr>
                <w:rFonts w:ascii="Segoe UI" w:eastAsia="Times New Roman" w:hAnsi="Segoe UI" w:cs="Segoe UI"/>
                <w:b/>
                <w:bCs/>
                <w:color w:val="000000"/>
                <w:sz w:val="18"/>
                <w:szCs w:val="18"/>
                <w:lang w:eastAsia="pt-BR"/>
              </w:rPr>
            </w:pPr>
            <w:r w:rsidRPr="00F67550">
              <w:rPr>
                <w:rFonts w:ascii="Segoe UI" w:eastAsia="Times New Roman" w:hAnsi="Segoe UI" w:cs="Segoe UI"/>
                <w:b/>
                <w:bCs/>
                <w:color w:val="000000"/>
                <w:sz w:val="18"/>
                <w:szCs w:val="18"/>
                <w:lang w:eastAsia="pt-BR"/>
              </w:rPr>
              <w:t xml:space="preserve">                     362.323 </w:t>
            </w:r>
          </w:p>
        </w:tc>
      </w:tr>
      <w:tr w:rsidR="004C474F" w:rsidRPr="00F67550" w14:paraId="0C6212A3" w14:textId="77777777" w:rsidTr="004C474F">
        <w:trPr>
          <w:trHeight w:val="255"/>
        </w:trPr>
        <w:tc>
          <w:tcPr>
            <w:tcW w:w="3541" w:type="pct"/>
            <w:tcBorders>
              <w:top w:val="nil"/>
              <w:left w:val="nil"/>
              <w:bottom w:val="nil"/>
              <w:right w:val="nil"/>
            </w:tcBorders>
            <w:shd w:val="clear" w:color="auto" w:fill="auto"/>
            <w:noWrap/>
            <w:vAlign w:val="center"/>
            <w:hideMark/>
          </w:tcPr>
          <w:p w14:paraId="7FD405D8" w14:textId="77777777" w:rsidR="004C474F" w:rsidRPr="00F67550" w:rsidRDefault="004C474F" w:rsidP="00F67550">
            <w:pPr>
              <w:spacing w:after="0" w:line="240" w:lineRule="auto"/>
              <w:jc w:val="right"/>
              <w:rPr>
                <w:rFonts w:ascii="Segoe UI" w:eastAsia="Times New Roman" w:hAnsi="Segoe UI" w:cs="Segoe UI"/>
                <w:b/>
                <w:bCs/>
                <w:color w:val="000000"/>
                <w:sz w:val="18"/>
                <w:szCs w:val="18"/>
                <w:lang w:eastAsia="pt-BR"/>
              </w:rPr>
            </w:pPr>
          </w:p>
        </w:tc>
        <w:tc>
          <w:tcPr>
            <w:tcW w:w="1459" w:type="pct"/>
            <w:tcBorders>
              <w:top w:val="nil"/>
              <w:left w:val="nil"/>
              <w:bottom w:val="nil"/>
              <w:right w:val="nil"/>
            </w:tcBorders>
            <w:shd w:val="clear" w:color="auto" w:fill="auto"/>
            <w:noWrap/>
            <w:vAlign w:val="bottom"/>
            <w:hideMark/>
          </w:tcPr>
          <w:p w14:paraId="56155B72" w14:textId="77777777" w:rsidR="004C474F" w:rsidRPr="00F67550" w:rsidRDefault="004C474F" w:rsidP="00F67550">
            <w:pPr>
              <w:spacing w:after="0" w:line="240" w:lineRule="auto"/>
              <w:rPr>
                <w:rFonts w:ascii="Times New Roman" w:eastAsia="Times New Roman" w:hAnsi="Times New Roman" w:cs="Times New Roman"/>
                <w:sz w:val="20"/>
                <w:szCs w:val="20"/>
                <w:lang w:eastAsia="pt-BR"/>
              </w:rPr>
            </w:pPr>
          </w:p>
        </w:tc>
      </w:tr>
    </w:tbl>
    <w:p w14:paraId="4EE422C7" w14:textId="68D1CB81" w:rsidR="001E536A" w:rsidRDefault="001E536A" w:rsidP="00AF4D03">
      <w:pPr>
        <w:spacing w:before="240" w:after="120"/>
        <w:jc w:val="both"/>
        <w:rPr>
          <w:rFonts w:ascii="Segoe UI" w:hAnsi="Segoe UI" w:cs="Segoe UI"/>
        </w:rPr>
      </w:pPr>
      <w:r w:rsidRPr="00856EE7">
        <w:rPr>
          <w:rFonts w:ascii="Segoe UI" w:hAnsi="Segoe UI" w:cs="Segoe UI"/>
        </w:rPr>
        <w:t xml:space="preserve">Para </w:t>
      </w:r>
      <w:r w:rsidR="003475F2" w:rsidRPr="00856EE7">
        <w:rPr>
          <w:rFonts w:ascii="Segoe UI" w:hAnsi="Segoe UI" w:cs="Segoe UI"/>
        </w:rPr>
        <w:t>a</w:t>
      </w:r>
      <w:r w:rsidRPr="00856EE7">
        <w:rPr>
          <w:rFonts w:ascii="Segoe UI" w:hAnsi="Segoe UI" w:cs="Segoe UI"/>
        </w:rPr>
        <w:t xml:space="preserve">s premissas atuariais foram utilizadas na determinação da obrigação de benefício definido e da despesa do exercício </w:t>
      </w:r>
      <w:r w:rsidR="003475F2" w:rsidRPr="00856EE7">
        <w:rPr>
          <w:rFonts w:ascii="Segoe UI" w:hAnsi="Segoe UI" w:cs="Segoe UI"/>
        </w:rPr>
        <w:t>a</w:t>
      </w:r>
      <w:r w:rsidRPr="00856EE7">
        <w:rPr>
          <w:rFonts w:ascii="Segoe UI" w:hAnsi="Segoe UI" w:cs="Segoe UI"/>
        </w:rPr>
        <w:t xml:space="preserve"> taxa global de retorno esperada corresponde à média ponderada dos retornos esperados das várias categorias de ativos do plano. O atual retorno dos ativos do plano </w:t>
      </w:r>
      <w:r w:rsidR="00C82F75" w:rsidRPr="00856EE7">
        <w:rPr>
          <w:rFonts w:ascii="Segoe UI" w:hAnsi="Segoe UI" w:cs="Segoe UI"/>
        </w:rPr>
        <w:t>Real Grandeza</w:t>
      </w:r>
      <w:r w:rsidRPr="00856EE7">
        <w:rPr>
          <w:rFonts w:ascii="Segoe UI" w:hAnsi="Segoe UI" w:cs="Segoe UI"/>
        </w:rPr>
        <w:t xml:space="preserve"> foi perda de R$ 42.631 e do plano </w:t>
      </w:r>
      <w:r w:rsidR="00C82F75" w:rsidRPr="00856EE7">
        <w:rPr>
          <w:rFonts w:ascii="Segoe UI" w:hAnsi="Segoe UI" w:cs="Segoe UI"/>
        </w:rPr>
        <w:t>Núcleos</w:t>
      </w:r>
      <w:r w:rsidRPr="00856EE7">
        <w:rPr>
          <w:rFonts w:ascii="Segoe UI" w:hAnsi="Segoe UI" w:cs="Segoe UI"/>
        </w:rPr>
        <w:t xml:space="preserve"> foi ganho de R$ 537.198 </w:t>
      </w:r>
      <w:r w:rsidR="000F5465" w:rsidRPr="00856EE7">
        <w:rPr>
          <w:rFonts w:ascii="Segoe UI" w:hAnsi="Segoe UI" w:cs="Segoe UI"/>
        </w:rPr>
        <w:t xml:space="preserve">para Eletronuclear e R$ 71.160 para INB </w:t>
      </w:r>
      <w:r w:rsidRPr="00856EE7">
        <w:rPr>
          <w:rFonts w:ascii="Segoe UI" w:hAnsi="Segoe UI" w:cs="Segoe UI"/>
        </w:rPr>
        <w:t>em 31 de dezembro</w:t>
      </w:r>
      <w:r w:rsidR="000F5465" w:rsidRPr="00856EE7">
        <w:rPr>
          <w:rFonts w:ascii="Segoe UI" w:hAnsi="Segoe UI" w:cs="Segoe UI"/>
        </w:rPr>
        <w:t>.</w:t>
      </w:r>
    </w:p>
    <w:p w14:paraId="75805E77" w14:textId="1AE76339" w:rsidR="00E70453" w:rsidRPr="00E70453" w:rsidRDefault="00534AB8" w:rsidP="00E70453">
      <w:pPr>
        <w:spacing w:before="240" w:after="120"/>
        <w:jc w:val="both"/>
        <w:rPr>
          <w:rFonts w:ascii="Segoe UI" w:hAnsi="Segoe UI" w:cs="Segoe UI"/>
          <w:b/>
          <w:color w:val="0070C0"/>
        </w:rPr>
      </w:pPr>
      <w:r>
        <w:rPr>
          <w:rFonts w:ascii="Segoe UI" w:hAnsi="Segoe UI" w:cs="Segoe UI"/>
          <w:b/>
          <w:color w:val="0070C0"/>
        </w:rPr>
        <w:t xml:space="preserve">21.1 - </w:t>
      </w:r>
      <w:r w:rsidR="00E70453" w:rsidRPr="00E70453">
        <w:rPr>
          <w:rFonts w:ascii="Segoe UI" w:hAnsi="Segoe UI" w:cs="Segoe UI"/>
          <w:b/>
          <w:color w:val="0070C0"/>
        </w:rPr>
        <w:t>Plano de Equacionamento de Déficit – PED</w:t>
      </w:r>
    </w:p>
    <w:p w14:paraId="2F9AC00B" w14:textId="28005A04" w:rsidR="00E70453" w:rsidRPr="00E70453" w:rsidRDefault="00E70453" w:rsidP="00E70453">
      <w:pPr>
        <w:spacing w:before="240" w:after="120"/>
        <w:jc w:val="both"/>
        <w:rPr>
          <w:rFonts w:ascii="Segoe UI" w:hAnsi="Segoe UI" w:cs="Segoe UI"/>
        </w:rPr>
      </w:pPr>
      <w:r w:rsidRPr="00E70453">
        <w:rPr>
          <w:rFonts w:ascii="Segoe UI" w:hAnsi="Segoe UI" w:cs="Segoe UI"/>
        </w:rPr>
        <w:t xml:space="preserve">Decorrente dos efeitos da pandemia do COVID-19 sobre as economias do Brasil e do mundo, o </w:t>
      </w:r>
      <w:r w:rsidR="00856EE7" w:rsidRPr="00E70453">
        <w:rPr>
          <w:rFonts w:ascii="Segoe UI" w:hAnsi="Segoe UI" w:cs="Segoe UI"/>
        </w:rPr>
        <w:t>Núcleos</w:t>
      </w:r>
      <w:r w:rsidRPr="00E70453">
        <w:rPr>
          <w:rFonts w:ascii="Segoe UI" w:hAnsi="Segoe UI" w:cs="Segoe UI"/>
        </w:rPr>
        <w:t xml:space="preserve"> apresentou em 31 de dezembro de 2021 um resultado deficitário no Plano Básico de Benefício </w:t>
      </w:r>
      <w:r w:rsidR="00856EE7">
        <w:rPr>
          <w:rFonts w:ascii="Segoe UI" w:hAnsi="Segoe UI" w:cs="Segoe UI"/>
        </w:rPr>
        <w:t>–</w:t>
      </w:r>
      <w:r w:rsidRPr="00E70453">
        <w:rPr>
          <w:rFonts w:ascii="Segoe UI" w:hAnsi="Segoe UI" w:cs="Segoe UI"/>
        </w:rPr>
        <w:t xml:space="preserve"> </w:t>
      </w:r>
      <w:r w:rsidR="00856EE7">
        <w:rPr>
          <w:rFonts w:ascii="Segoe UI" w:hAnsi="Segoe UI" w:cs="Segoe UI"/>
        </w:rPr>
        <w:t>(“</w:t>
      </w:r>
      <w:r w:rsidRPr="00E70453">
        <w:rPr>
          <w:rFonts w:ascii="Segoe UI" w:hAnsi="Segoe UI" w:cs="Segoe UI"/>
        </w:rPr>
        <w:t>PBB</w:t>
      </w:r>
      <w:r w:rsidR="00856EE7">
        <w:rPr>
          <w:rFonts w:ascii="Segoe UI" w:hAnsi="Segoe UI" w:cs="Segoe UI"/>
        </w:rPr>
        <w:t>”)</w:t>
      </w:r>
      <w:r w:rsidRPr="00E70453">
        <w:rPr>
          <w:rFonts w:ascii="Segoe UI" w:hAnsi="Segoe UI" w:cs="Segoe UI"/>
        </w:rPr>
        <w:t xml:space="preserve"> o qual ensejou a elaboração de um Plano de Equacionamento do Déficit – </w:t>
      </w:r>
      <w:r w:rsidR="00856EE7">
        <w:rPr>
          <w:rFonts w:ascii="Segoe UI" w:hAnsi="Segoe UI" w:cs="Segoe UI"/>
        </w:rPr>
        <w:t>(“</w:t>
      </w:r>
      <w:r w:rsidRPr="00E70453">
        <w:rPr>
          <w:rFonts w:ascii="Segoe UI" w:hAnsi="Segoe UI" w:cs="Segoe UI"/>
        </w:rPr>
        <w:t>PED</w:t>
      </w:r>
      <w:r w:rsidR="00856EE7">
        <w:rPr>
          <w:rFonts w:ascii="Segoe UI" w:hAnsi="Segoe UI" w:cs="Segoe UI"/>
        </w:rPr>
        <w:t>”)</w:t>
      </w:r>
      <w:r w:rsidRPr="00E70453">
        <w:rPr>
          <w:rFonts w:ascii="Segoe UI" w:hAnsi="Segoe UI" w:cs="Segoe UI"/>
        </w:rPr>
        <w:t xml:space="preserve">. </w:t>
      </w:r>
    </w:p>
    <w:p w14:paraId="7222193D" w14:textId="308A067F" w:rsidR="00E70453" w:rsidRPr="00E70453" w:rsidRDefault="00E70453" w:rsidP="00E70453">
      <w:pPr>
        <w:spacing w:before="240" w:after="120"/>
        <w:jc w:val="both"/>
        <w:rPr>
          <w:rFonts w:ascii="Segoe UI" w:hAnsi="Segoe UI" w:cs="Segoe UI"/>
        </w:rPr>
      </w:pPr>
      <w:r w:rsidRPr="00E70453">
        <w:rPr>
          <w:rFonts w:ascii="Segoe UI" w:hAnsi="Segoe UI" w:cs="Segoe UI"/>
        </w:rPr>
        <w:t>O PED visa manter o equilíbrio entre o Ativo e o Passivo e efetuar o reequilíbrio atuarial do PBB por ter sido ultrapassado no exercício de 2021 o limite permitido na Resolução CNPC nº 30/2018 e Instrução Previc nº 33/2020 em R$ 289,3 milhões.</w:t>
      </w:r>
    </w:p>
    <w:p w14:paraId="27268B18" w14:textId="77777777" w:rsidR="00E70453" w:rsidRPr="00E70453" w:rsidRDefault="00E70453" w:rsidP="00E70453">
      <w:pPr>
        <w:spacing w:before="240" w:after="120"/>
        <w:jc w:val="both"/>
        <w:rPr>
          <w:rFonts w:ascii="Segoe UI" w:hAnsi="Segoe UI" w:cs="Segoe UI"/>
        </w:rPr>
      </w:pPr>
      <w:r w:rsidRPr="00E70453">
        <w:rPr>
          <w:rFonts w:ascii="Segoe UI" w:hAnsi="Segoe UI" w:cs="Segoe UI"/>
        </w:rPr>
        <w:t xml:space="preserve">O equacionamento do Plano será efetuado através de contribuição extraordinária, sendo dividido da seguinte forma: 46,30% para as patrocinadoras e 53,70% para os participantes ativos, aposentados e pensionistas, conforme estudo elaborado pela empresa de atuária responsável pelo PBB, a Mirador. </w:t>
      </w:r>
    </w:p>
    <w:p w14:paraId="40602771" w14:textId="4B2B5D68" w:rsidR="00E70453" w:rsidRPr="00E70453" w:rsidRDefault="00E70453" w:rsidP="00E70453">
      <w:pPr>
        <w:spacing w:before="240" w:after="120"/>
        <w:jc w:val="both"/>
        <w:rPr>
          <w:rFonts w:ascii="Segoe UI" w:hAnsi="Segoe UI" w:cs="Segoe UI"/>
        </w:rPr>
      </w:pPr>
      <w:r w:rsidRPr="00E70453">
        <w:rPr>
          <w:rFonts w:ascii="Segoe UI" w:hAnsi="Segoe UI" w:cs="Segoe UI"/>
        </w:rPr>
        <w:t xml:space="preserve">Do total a ser equacionado, será de responsabilidade da Eletronuclear o montante de </w:t>
      </w:r>
      <w:r w:rsidR="00311F5D">
        <w:rPr>
          <w:rFonts w:ascii="Segoe UI" w:hAnsi="Segoe UI" w:cs="Segoe UI"/>
        </w:rPr>
        <w:t xml:space="preserve">                            </w:t>
      </w:r>
      <w:r w:rsidRPr="00E70453">
        <w:rPr>
          <w:rFonts w:ascii="Segoe UI" w:hAnsi="Segoe UI" w:cs="Segoe UI"/>
        </w:rPr>
        <w:t>R$</w:t>
      </w:r>
      <w:r w:rsidR="00311F5D">
        <w:rPr>
          <w:rFonts w:ascii="Segoe UI" w:hAnsi="Segoe UI" w:cs="Segoe UI"/>
        </w:rPr>
        <w:t xml:space="preserve"> </w:t>
      </w:r>
      <w:r w:rsidRPr="00E70453">
        <w:rPr>
          <w:rFonts w:ascii="Segoe UI" w:hAnsi="Segoe UI" w:cs="Segoe UI"/>
        </w:rPr>
        <w:t>61</w:t>
      </w:r>
      <w:r w:rsidR="00CE3381">
        <w:rPr>
          <w:rFonts w:ascii="Segoe UI" w:hAnsi="Segoe UI" w:cs="Segoe UI"/>
        </w:rPr>
        <w:t>,</w:t>
      </w:r>
      <w:r w:rsidRPr="00E70453">
        <w:rPr>
          <w:rFonts w:ascii="Segoe UI" w:hAnsi="Segoe UI" w:cs="Segoe UI"/>
        </w:rPr>
        <w:t>7</w:t>
      </w:r>
      <w:r w:rsidR="00311F5D">
        <w:rPr>
          <w:rFonts w:ascii="Segoe UI" w:hAnsi="Segoe UI" w:cs="Segoe UI"/>
        </w:rPr>
        <w:t xml:space="preserve"> </w:t>
      </w:r>
      <w:r w:rsidR="00CE3381">
        <w:rPr>
          <w:rFonts w:ascii="Segoe UI" w:hAnsi="Segoe UI" w:cs="Segoe UI"/>
        </w:rPr>
        <w:t>milhões</w:t>
      </w:r>
      <w:r w:rsidRPr="00E70453">
        <w:rPr>
          <w:rFonts w:ascii="Segoe UI" w:hAnsi="Segoe UI" w:cs="Segoe UI"/>
        </w:rPr>
        <w:t xml:space="preserve"> </w:t>
      </w:r>
      <w:r w:rsidR="00E37C28">
        <w:rPr>
          <w:rFonts w:ascii="Segoe UI" w:hAnsi="Segoe UI" w:cs="Segoe UI"/>
        </w:rPr>
        <w:t xml:space="preserve">e para a INB o montante é de R$ </w:t>
      </w:r>
      <w:r w:rsidR="00E13A2A">
        <w:rPr>
          <w:rFonts w:ascii="Segoe UI" w:hAnsi="Segoe UI" w:cs="Segoe UI"/>
        </w:rPr>
        <w:t>40</w:t>
      </w:r>
      <w:r w:rsidR="00764E10">
        <w:rPr>
          <w:rFonts w:ascii="Segoe UI" w:hAnsi="Segoe UI" w:cs="Segoe UI"/>
        </w:rPr>
        <w:t>,8 mil</w:t>
      </w:r>
      <w:r w:rsidR="00A5197D">
        <w:rPr>
          <w:rFonts w:ascii="Segoe UI" w:hAnsi="Segoe UI" w:cs="Segoe UI"/>
        </w:rPr>
        <w:t>hões</w:t>
      </w:r>
      <w:r w:rsidRPr="00E70453">
        <w:rPr>
          <w:rFonts w:ascii="Segoe UI" w:hAnsi="Segoe UI" w:cs="Segoe UI"/>
        </w:rPr>
        <w:t xml:space="preserve">, a ser reconhecido por meio da formalização de um Contrato de Confissão de Dívida, e a ser celebrado entre a Eletronuclear e o </w:t>
      </w:r>
      <w:r w:rsidR="006F3143" w:rsidRPr="00E70453">
        <w:rPr>
          <w:rFonts w:ascii="Segoe UI" w:hAnsi="Segoe UI" w:cs="Segoe UI"/>
        </w:rPr>
        <w:t>Núcleos</w:t>
      </w:r>
      <w:r w:rsidRPr="00E70453">
        <w:rPr>
          <w:rFonts w:ascii="Segoe UI" w:hAnsi="Segoe UI" w:cs="Segoe UI"/>
        </w:rPr>
        <w:t>. A parcela a ser equacionada pela Eletronuclear</w:t>
      </w:r>
      <w:r w:rsidR="006F3143">
        <w:rPr>
          <w:rFonts w:ascii="Segoe UI" w:hAnsi="Segoe UI" w:cs="Segoe UI"/>
        </w:rPr>
        <w:t xml:space="preserve"> e INB</w:t>
      </w:r>
      <w:r w:rsidRPr="00E70453">
        <w:rPr>
          <w:rFonts w:ascii="Segoe UI" w:hAnsi="Segoe UI" w:cs="Segoe UI"/>
        </w:rPr>
        <w:t xml:space="preserve">, será atualizada financeiramente até o momento de início das parcelas do contrato, mediante a aplicação da taxa de juros e o índice de atualização monetária (INPC/IBGE), que serão definidos contratualmente.         </w:t>
      </w:r>
    </w:p>
    <w:p w14:paraId="43D5FD2E" w14:textId="30F3189F" w:rsidR="00E70453" w:rsidRPr="00E70453" w:rsidRDefault="00E70453" w:rsidP="00E70453">
      <w:pPr>
        <w:spacing w:before="240" w:after="120"/>
        <w:jc w:val="both"/>
        <w:rPr>
          <w:rFonts w:ascii="Segoe UI" w:hAnsi="Segoe UI" w:cs="Segoe UI"/>
        </w:rPr>
      </w:pPr>
      <w:r w:rsidRPr="00E70453">
        <w:rPr>
          <w:rFonts w:ascii="Segoe UI" w:hAnsi="Segoe UI" w:cs="Segoe UI"/>
        </w:rPr>
        <w:lastRenderedPageBreak/>
        <w:t xml:space="preserve">O PED já foi aprovado em pelo Conselho de Administração da Eletronuclear e da ENBPar e encontra-se sendo analisado pela Secretaria de Coordenação e Governança das Empresas Estatais – </w:t>
      </w:r>
      <w:r w:rsidR="006F3143">
        <w:rPr>
          <w:rFonts w:ascii="Segoe UI" w:hAnsi="Segoe UI" w:cs="Segoe UI"/>
        </w:rPr>
        <w:t>(“</w:t>
      </w:r>
      <w:r w:rsidRPr="00E70453">
        <w:rPr>
          <w:rFonts w:ascii="Segoe UI" w:hAnsi="Segoe UI" w:cs="Segoe UI"/>
        </w:rPr>
        <w:t>SEST</w:t>
      </w:r>
      <w:r w:rsidR="006F3143">
        <w:rPr>
          <w:rFonts w:ascii="Segoe UI" w:hAnsi="Segoe UI" w:cs="Segoe UI"/>
        </w:rPr>
        <w:t>”)</w:t>
      </w:r>
      <w:r w:rsidRPr="00E70453">
        <w:rPr>
          <w:rFonts w:ascii="Segoe UI" w:hAnsi="Segoe UI" w:cs="Segoe UI"/>
        </w:rPr>
        <w:t xml:space="preserve">. Havendo manifestação favorável desse órgão, o PED será implementado pelo </w:t>
      </w:r>
      <w:r w:rsidR="006F3143" w:rsidRPr="00E70453">
        <w:rPr>
          <w:rFonts w:ascii="Segoe UI" w:hAnsi="Segoe UI" w:cs="Segoe UI"/>
        </w:rPr>
        <w:t>Núcleos</w:t>
      </w:r>
      <w:r w:rsidRPr="00E70453">
        <w:rPr>
          <w:rFonts w:ascii="Segoe UI" w:hAnsi="Segoe UI" w:cs="Segoe UI"/>
        </w:rPr>
        <w:t>.</w:t>
      </w:r>
    </w:p>
    <w:p w14:paraId="6317A954" w14:textId="77777777" w:rsidR="00E70453" w:rsidRPr="00E70453" w:rsidRDefault="00E70453" w:rsidP="00E70453">
      <w:pPr>
        <w:spacing w:before="240" w:after="120"/>
        <w:jc w:val="both"/>
        <w:rPr>
          <w:rFonts w:ascii="Segoe UI" w:hAnsi="Segoe UI" w:cs="Segoe UI"/>
        </w:rPr>
      </w:pPr>
      <w:r w:rsidRPr="00E70453">
        <w:rPr>
          <w:rFonts w:ascii="Segoe UI" w:hAnsi="Segoe UI" w:cs="Segoe UI"/>
        </w:rPr>
        <w:t>O prazo de amortização do déficit é de 23 anos e 10 meses, inclusive para as patrocinadoras, sendo 13 pagamentos por ano e, em sendo aprovado pela SEST, passará a vigorar a partir do mês de abril/2023.</w:t>
      </w:r>
    </w:p>
    <w:p w14:paraId="292643F0" w14:textId="04A18131" w:rsidR="00E70453" w:rsidRDefault="00E70453" w:rsidP="00E70453">
      <w:pPr>
        <w:spacing w:before="240" w:after="120"/>
        <w:jc w:val="both"/>
        <w:rPr>
          <w:rFonts w:ascii="Segoe UI" w:hAnsi="Segoe UI" w:cs="Segoe UI"/>
        </w:rPr>
      </w:pPr>
      <w:r w:rsidRPr="00E70453">
        <w:rPr>
          <w:rFonts w:ascii="Segoe UI" w:hAnsi="Segoe UI" w:cs="Segoe UI"/>
        </w:rPr>
        <w:t>Após a conclusão da análise pela SEST, bem como a assinatura do contrato de adesão, será necessária a revisão dos valores registrados em Benefício Pós-Emprego</w:t>
      </w:r>
      <w:r w:rsidR="00881A66">
        <w:rPr>
          <w:rFonts w:ascii="Segoe UI" w:hAnsi="Segoe UI" w:cs="Segoe UI"/>
        </w:rPr>
        <w:t>.</w:t>
      </w:r>
    </w:p>
    <w:p w14:paraId="42B6AFBB" w14:textId="77777777" w:rsidR="00E70453" w:rsidRPr="00515246" w:rsidRDefault="00E70453" w:rsidP="0072257F">
      <w:pPr>
        <w:jc w:val="both"/>
        <w:rPr>
          <w:rFonts w:ascii="Segoe UI" w:hAnsi="Segoe UI" w:cs="Segoe UI"/>
        </w:rPr>
      </w:pPr>
    </w:p>
    <w:p w14:paraId="660BE467" w14:textId="2411734C" w:rsidR="002B1787" w:rsidRPr="000757BC" w:rsidRDefault="00581D1F" w:rsidP="00D51035">
      <w:pPr>
        <w:tabs>
          <w:tab w:val="left" w:pos="567"/>
          <w:tab w:val="left" w:pos="1134"/>
          <w:tab w:val="left" w:pos="1701"/>
          <w:tab w:val="left" w:pos="2268"/>
          <w:tab w:val="left" w:pos="2835"/>
        </w:tabs>
        <w:spacing w:before="240" w:after="120" w:line="254" w:lineRule="auto"/>
        <w:jc w:val="both"/>
        <w:outlineLvl w:val="0"/>
        <w:rPr>
          <w:rFonts w:ascii="Segoe UI" w:hAnsi="Segoe UI" w:cs="Segoe UI"/>
          <w:b/>
          <w:color w:val="0070C0"/>
        </w:rPr>
      </w:pPr>
      <w:r w:rsidRPr="000757BC">
        <w:rPr>
          <w:rFonts w:ascii="Segoe UI" w:hAnsi="Segoe UI" w:cs="Segoe UI"/>
          <w:b/>
          <w:color w:val="0070C0"/>
        </w:rPr>
        <w:t>2</w:t>
      </w:r>
      <w:r w:rsidR="002A4E82">
        <w:rPr>
          <w:rFonts w:ascii="Segoe UI" w:hAnsi="Segoe UI" w:cs="Segoe UI"/>
          <w:b/>
          <w:color w:val="0070C0"/>
        </w:rPr>
        <w:t>2</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OBRIGAÇÃO PARA DESMOBILIZAÇÃO DE ATIVOS </w:t>
      </w:r>
    </w:p>
    <w:p w14:paraId="714640EC" w14:textId="2D2C4B95" w:rsidR="00D413FF" w:rsidRPr="000757BC" w:rsidRDefault="000479FF" w:rsidP="00D51035">
      <w:pPr>
        <w:tabs>
          <w:tab w:val="center" w:pos="4419"/>
          <w:tab w:val="right" w:pos="8838"/>
        </w:tabs>
        <w:spacing w:before="240" w:after="120" w:line="254" w:lineRule="auto"/>
        <w:jc w:val="both"/>
        <w:rPr>
          <w:rFonts w:ascii="Segoe UI" w:hAnsi="Segoe UI" w:cs="Segoe UI"/>
        </w:rPr>
      </w:pPr>
      <w:r>
        <w:rPr>
          <w:rFonts w:ascii="Segoe UI" w:hAnsi="Segoe UI" w:cs="Segoe UI"/>
        </w:rPr>
        <w:t xml:space="preserve">Na Eletronuclear </w:t>
      </w:r>
      <w:r w:rsidR="00B01D0E">
        <w:rPr>
          <w:rFonts w:ascii="Segoe UI" w:hAnsi="Segoe UI" w:cs="Segoe UI"/>
        </w:rPr>
        <w:t>o</w:t>
      </w:r>
      <w:r w:rsidR="00D413FF" w:rsidRPr="000757BC">
        <w:rPr>
          <w:rFonts w:ascii="Segoe UI" w:hAnsi="Segoe UI" w:cs="Segoe UI"/>
        </w:rPr>
        <w:t xml:space="preserve"> descomissionamento de usinas nucleares refere-se à obrigação para desmobilização dos ativos dessas usinas para fazer face aos custos a serem incorridos ao final da vida útil econômica das mesmas. </w:t>
      </w:r>
    </w:p>
    <w:p w14:paraId="2F358117" w14:textId="77777777" w:rsidR="00D413FF" w:rsidRPr="000757BC" w:rsidRDefault="00D413FF" w:rsidP="00D51035">
      <w:pPr>
        <w:tabs>
          <w:tab w:val="center" w:pos="4419"/>
          <w:tab w:val="right" w:pos="8838"/>
        </w:tabs>
        <w:spacing w:before="240" w:after="120" w:line="254" w:lineRule="auto"/>
        <w:jc w:val="both"/>
        <w:rPr>
          <w:rFonts w:ascii="Segoe UI" w:hAnsi="Segoe UI" w:cs="Segoe UI"/>
        </w:rPr>
      </w:pPr>
      <w:r w:rsidRPr="000757BC">
        <w:rPr>
          <w:rFonts w:ascii="Segoe UI" w:hAnsi="Segoe UI" w:cs="Segoe UI"/>
        </w:rPr>
        <w:t>Conforme estabelecido no Pronunciamento Técnico CPC 25, a estimativa inicial dos custos de descomissionamento referentes à desmontagem e à remoção do item e de restauração dos locais nos quais as instalações estão localizadas, deve ser contabilizada como custo do empreendimento.</w:t>
      </w:r>
    </w:p>
    <w:p w14:paraId="32A623CD" w14:textId="77777777" w:rsidR="00D413FF" w:rsidRPr="000757BC" w:rsidRDefault="00D413FF" w:rsidP="00D51035">
      <w:pPr>
        <w:spacing w:before="240" w:after="120" w:line="254" w:lineRule="auto"/>
        <w:jc w:val="both"/>
        <w:rPr>
          <w:rFonts w:ascii="Segoe UI" w:hAnsi="Segoe UI" w:cs="Segoe UI"/>
          <w:bCs/>
        </w:rPr>
      </w:pPr>
      <w:r w:rsidRPr="000757BC">
        <w:rPr>
          <w:rFonts w:ascii="Segoe UI" w:hAnsi="Segoe UI" w:cs="Segoe UI"/>
          <w:bCs/>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229CCE64" w14:textId="77777777" w:rsidR="00E2049A" w:rsidRPr="00E2049A" w:rsidRDefault="00E2049A" w:rsidP="00E2049A">
      <w:pPr>
        <w:pStyle w:val="Textodecomentrio"/>
        <w:rPr>
          <w:rFonts w:ascii="Segoe UI" w:eastAsiaTheme="minorHAnsi" w:hAnsi="Segoe UI" w:cs="Segoe UI"/>
          <w:bCs/>
          <w:sz w:val="22"/>
          <w:szCs w:val="22"/>
          <w:lang w:eastAsia="en-US"/>
        </w:rPr>
      </w:pPr>
      <w:r w:rsidRPr="00E2049A">
        <w:rPr>
          <w:rFonts w:ascii="Segoe UI" w:eastAsiaTheme="minorHAnsi" w:hAnsi="Segoe UI" w:cs="Segoe UI"/>
          <w:bCs/>
          <w:sz w:val="22"/>
          <w:szCs w:val="22"/>
          <w:lang w:eastAsia="en-US"/>
        </w:rPr>
        <w:t>Em 2022, a Companhia atualizou as estimativas de custos relacionadas com as atividades de descomissionamento.</w:t>
      </w:r>
    </w:p>
    <w:p w14:paraId="74A6A858" w14:textId="77777777" w:rsidR="00E2049A" w:rsidRPr="00E2049A" w:rsidRDefault="00E2049A" w:rsidP="00E2049A">
      <w:pPr>
        <w:pStyle w:val="Corpo"/>
        <w:rPr>
          <w:rFonts w:ascii="Segoe UI" w:eastAsiaTheme="minorHAnsi" w:hAnsi="Segoe UI" w:cs="Segoe UI"/>
          <w:bCs/>
          <w:color w:val="auto"/>
          <w:bdr w:val="none" w:sz="0" w:space="0" w:color="auto"/>
          <w:lang w:val="pt-BR" w:eastAsia="en-US"/>
          <w14:textOutline w14:w="0" w14:cap="rnd" w14:cmpd="sng" w14:algn="ctr">
            <w14:noFill/>
            <w14:prstDash w14:val="solid"/>
            <w14:bevel/>
          </w14:textOutline>
        </w:rPr>
      </w:pPr>
    </w:p>
    <w:p w14:paraId="4CDB6149" w14:textId="77777777" w:rsidR="00E2049A" w:rsidRPr="00E2049A" w:rsidRDefault="00E2049A" w:rsidP="00E2049A">
      <w:pPr>
        <w:pStyle w:val="Textodecomentrio"/>
        <w:rPr>
          <w:rFonts w:ascii="Segoe UI" w:eastAsiaTheme="minorHAnsi" w:hAnsi="Segoe UI" w:cs="Segoe UI"/>
          <w:bCs/>
          <w:sz w:val="22"/>
          <w:szCs w:val="22"/>
          <w:lang w:eastAsia="en-US"/>
        </w:rPr>
      </w:pPr>
      <w:r w:rsidRPr="00E2049A">
        <w:rPr>
          <w:rFonts w:ascii="Segoe UI" w:eastAsiaTheme="minorHAnsi" w:hAnsi="Segoe UI" w:cs="Segoe UI"/>
          <w:bCs/>
          <w:sz w:val="22"/>
          <w:szCs w:val="22"/>
          <w:lang w:eastAsia="en-US"/>
        </w:rPr>
        <w:t xml:space="preserve">A provisão foi estimada a preços correntes e com base no fluxo de caixa projetado, utilizando uma taxa de desconto nominal média de 9,25% a.a., taxa formada pelo spread da NTN-B Principal na data de 29 de dezembro de 2022, com maturity mais próxima da próxima da data de início da atividade de cada rubrica, somado à inflação projetada, medida pelo Índice de Preços ao Consumidor Amplo - IPCA. </w:t>
      </w:r>
    </w:p>
    <w:p w14:paraId="173015F9" w14:textId="77777777" w:rsidR="00E2049A" w:rsidRPr="00E2049A" w:rsidRDefault="00E2049A" w:rsidP="00E2049A">
      <w:pPr>
        <w:pStyle w:val="Textodecomentrio"/>
        <w:rPr>
          <w:rFonts w:ascii="Segoe UI" w:eastAsiaTheme="minorHAnsi" w:hAnsi="Segoe UI" w:cs="Segoe UI"/>
          <w:bCs/>
          <w:sz w:val="22"/>
          <w:szCs w:val="22"/>
          <w:lang w:eastAsia="en-US"/>
        </w:rPr>
      </w:pPr>
    </w:p>
    <w:p w14:paraId="2AC7ACE0" w14:textId="345D1F07" w:rsidR="00E2049A" w:rsidRPr="00E2049A" w:rsidRDefault="00E2049A" w:rsidP="00E2049A">
      <w:pPr>
        <w:pStyle w:val="Textodecomentrio"/>
        <w:rPr>
          <w:rFonts w:ascii="Segoe UI" w:eastAsiaTheme="minorHAnsi" w:hAnsi="Segoe UI" w:cs="Segoe UI"/>
          <w:bCs/>
          <w:sz w:val="22"/>
          <w:szCs w:val="22"/>
          <w:lang w:eastAsia="en-US"/>
        </w:rPr>
      </w:pPr>
      <w:r w:rsidRPr="00E2049A">
        <w:rPr>
          <w:rFonts w:ascii="Segoe UI" w:eastAsiaTheme="minorHAnsi" w:hAnsi="Segoe UI" w:cs="Segoe UI"/>
          <w:bCs/>
          <w:sz w:val="22"/>
          <w:szCs w:val="22"/>
          <w:lang w:eastAsia="en-US"/>
        </w:rPr>
        <w:t>A estimativa custo para a realização do descomissionamento das Usinas Angra 1 e Angra 2 totaliza o montante de R$ 7.510.423, sendo o ajuste a valor presente da obrigação para descomissionamento no montante de R$ 4.858.866, perfazendo um reconhecimento da obrigação na data base de 31 de dezembro de 2022 no montante de R$ 2.651.537</w:t>
      </w:r>
      <w:r w:rsidR="00497328">
        <w:rPr>
          <w:rFonts w:ascii="Segoe UI" w:eastAsiaTheme="minorHAnsi" w:hAnsi="Segoe UI" w:cs="Segoe UI"/>
          <w:bCs/>
          <w:sz w:val="22"/>
          <w:szCs w:val="22"/>
          <w:lang w:eastAsia="en-US"/>
        </w:rPr>
        <w:t>.</w:t>
      </w:r>
    </w:p>
    <w:p w14:paraId="4DA87DE2" w14:textId="77777777" w:rsidR="002C19C5" w:rsidRDefault="002C19C5">
      <w:pPr>
        <w:rPr>
          <w:rFonts w:ascii="Segoe UI" w:hAnsi="Segoe UI" w:cs="Segoe UI"/>
        </w:rPr>
      </w:pPr>
      <w:r>
        <w:rPr>
          <w:rFonts w:ascii="Segoe UI" w:hAnsi="Segoe UI" w:cs="Segoe UI"/>
        </w:rPr>
        <w:br w:type="page"/>
      </w:r>
    </w:p>
    <w:p w14:paraId="66927BF3" w14:textId="1B73D1A6" w:rsidR="00D413FF" w:rsidRDefault="00D413FF" w:rsidP="00D51035">
      <w:pPr>
        <w:spacing w:before="240" w:after="120" w:line="254" w:lineRule="auto"/>
        <w:jc w:val="both"/>
        <w:rPr>
          <w:rFonts w:ascii="Segoe UI" w:hAnsi="Segoe UI" w:cs="Segoe UI"/>
        </w:rPr>
      </w:pPr>
      <w:r w:rsidRPr="000757BC">
        <w:rPr>
          <w:rFonts w:ascii="Segoe UI" w:hAnsi="Segoe UI" w:cs="Segoe UI"/>
        </w:rPr>
        <w:lastRenderedPageBreak/>
        <w:t>O quadro abaixo resume a posição dos valores correspondentes ao passivo total de desmobilização de ativos:</w:t>
      </w:r>
    </w:p>
    <w:tbl>
      <w:tblPr>
        <w:tblW w:w="5000" w:type="pct"/>
        <w:tblCellMar>
          <w:left w:w="70" w:type="dxa"/>
          <w:right w:w="70" w:type="dxa"/>
        </w:tblCellMar>
        <w:tblLook w:val="04A0" w:firstRow="1" w:lastRow="0" w:firstColumn="1" w:lastColumn="0" w:noHBand="0" w:noVBand="1"/>
      </w:tblPr>
      <w:tblGrid>
        <w:gridCol w:w="3050"/>
        <w:gridCol w:w="2663"/>
        <w:gridCol w:w="1822"/>
        <w:gridCol w:w="1962"/>
      </w:tblGrid>
      <w:tr w:rsidR="00F67550" w:rsidRPr="00F67550" w14:paraId="3FFCFBB3" w14:textId="77777777" w:rsidTr="00E20106">
        <w:trPr>
          <w:trHeight w:val="23"/>
        </w:trPr>
        <w:tc>
          <w:tcPr>
            <w:tcW w:w="1606" w:type="pct"/>
            <w:tcBorders>
              <w:top w:val="nil"/>
              <w:left w:val="nil"/>
              <w:bottom w:val="nil"/>
              <w:right w:val="nil"/>
            </w:tcBorders>
            <w:shd w:val="clear" w:color="auto" w:fill="auto"/>
            <w:noWrap/>
            <w:vAlign w:val="bottom"/>
            <w:hideMark/>
          </w:tcPr>
          <w:p w14:paraId="4D09D6B2" w14:textId="77777777" w:rsidR="00F67550" w:rsidRPr="00F67550" w:rsidRDefault="00F67550" w:rsidP="00F67550">
            <w:pPr>
              <w:spacing w:after="0" w:line="240" w:lineRule="auto"/>
              <w:rPr>
                <w:rFonts w:ascii="Times New Roman" w:eastAsia="Times New Roman" w:hAnsi="Times New Roman" w:cs="Times New Roman"/>
                <w:sz w:val="18"/>
                <w:szCs w:val="18"/>
                <w:lang w:eastAsia="pt-BR"/>
              </w:rPr>
            </w:pPr>
          </w:p>
        </w:tc>
        <w:tc>
          <w:tcPr>
            <w:tcW w:w="3394" w:type="pct"/>
            <w:gridSpan w:val="3"/>
            <w:tcBorders>
              <w:top w:val="nil"/>
              <w:left w:val="nil"/>
              <w:bottom w:val="single" w:sz="4" w:space="0" w:color="FFFFFF"/>
              <w:right w:val="nil"/>
            </w:tcBorders>
            <w:shd w:val="clear" w:color="000000" w:fill="1B80C4"/>
            <w:noWrap/>
            <w:vAlign w:val="bottom"/>
            <w:hideMark/>
          </w:tcPr>
          <w:p w14:paraId="0D7E43D5" w14:textId="77777777" w:rsidR="00F67550" w:rsidRPr="00F67550" w:rsidRDefault="00F67550" w:rsidP="00F67550">
            <w:pPr>
              <w:spacing w:after="0" w:line="240" w:lineRule="auto"/>
              <w:jc w:val="center"/>
              <w:rPr>
                <w:rFonts w:ascii="Segoe UI" w:eastAsia="Times New Roman" w:hAnsi="Segoe UI" w:cs="Segoe UI"/>
                <w:b/>
                <w:bCs/>
                <w:color w:val="FFFFFF"/>
                <w:sz w:val="18"/>
                <w:szCs w:val="18"/>
                <w:lang w:eastAsia="pt-BR"/>
              </w:rPr>
            </w:pPr>
            <w:r w:rsidRPr="00F67550">
              <w:rPr>
                <w:rFonts w:ascii="Segoe UI" w:eastAsia="Times New Roman" w:hAnsi="Segoe UI" w:cs="Segoe UI"/>
                <w:b/>
                <w:bCs/>
                <w:color w:val="FFFFFF"/>
                <w:sz w:val="18"/>
                <w:szCs w:val="18"/>
                <w:lang w:eastAsia="pt-BR"/>
              </w:rPr>
              <w:t>31/12/2022</w:t>
            </w:r>
          </w:p>
        </w:tc>
      </w:tr>
      <w:tr w:rsidR="00F67550" w:rsidRPr="00F67550" w14:paraId="241AC775" w14:textId="77777777" w:rsidTr="001A406A">
        <w:trPr>
          <w:trHeight w:val="23"/>
        </w:trPr>
        <w:tc>
          <w:tcPr>
            <w:tcW w:w="1606" w:type="pct"/>
            <w:tcBorders>
              <w:top w:val="nil"/>
              <w:left w:val="nil"/>
              <w:bottom w:val="nil"/>
              <w:right w:val="nil"/>
            </w:tcBorders>
            <w:shd w:val="clear" w:color="auto" w:fill="auto"/>
            <w:noWrap/>
            <w:vAlign w:val="bottom"/>
            <w:hideMark/>
          </w:tcPr>
          <w:p w14:paraId="6750DA24" w14:textId="77777777" w:rsidR="00F67550" w:rsidRPr="00F67550" w:rsidRDefault="00F67550" w:rsidP="00F67550">
            <w:pPr>
              <w:spacing w:after="0" w:line="240" w:lineRule="auto"/>
              <w:jc w:val="center"/>
              <w:rPr>
                <w:rFonts w:ascii="Segoe UI" w:eastAsia="Times New Roman" w:hAnsi="Segoe UI" w:cs="Segoe UI"/>
                <w:b/>
                <w:bCs/>
                <w:color w:val="FFFFFF"/>
                <w:sz w:val="18"/>
                <w:szCs w:val="18"/>
                <w:lang w:eastAsia="pt-BR"/>
              </w:rPr>
            </w:pPr>
          </w:p>
        </w:tc>
        <w:tc>
          <w:tcPr>
            <w:tcW w:w="1402" w:type="pct"/>
            <w:tcBorders>
              <w:top w:val="nil"/>
              <w:left w:val="nil"/>
              <w:bottom w:val="single" w:sz="4" w:space="0" w:color="FFFFFF"/>
              <w:right w:val="double" w:sz="6" w:space="0" w:color="1B80C4"/>
            </w:tcBorders>
            <w:shd w:val="clear" w:color="000000" w:fill="1B80C4"/>
            <w:vAlign w:val="center"/>
            <w:hideMark/>
          </w:tcPr>
          <w:p w14:paraId="23CD884C" w14:textId="7B1D3292" w:rsidR="00F67550" w:rsidRPr="00F67550" w:rsidRDefault="00F67550" w:rsidP="00D721A4">
            <w:pPr>
              <w:spacing w:after="0" w:line="240" w:lineRule="auto"/>
              <w:jc w:val="center"/>
              <w:rPr>
                <w:rFonts w:ascii="Segoe UI" w:eastAsia="Times New Roman" w:hAnsi="Segoe UI" w:cs="Segoe UI"/>
                <w:b/>
                <w:bCs/>
                <w:color w:val="FFFFFF"/>
                <w:sz w:val="18"/>
                <w:szCs w:val="18"/>
                <w:lang w:eastAsia="pt-BR"/>
              </w:rPr>
            </w:pPr>
            <w:r w:rsidRPr="00F67550">
              <w:rPr>
                <w:rFonts w:ascii="Segoe UI" w:eastAsia="Times New Roman" w:hAnsi="Segoe UI" w:cs="Segoe UI"/>
                <w:b/>
                <w:bCs/>
                <w:color w:val="FFFFFF"/>
                <w:sz w:val="18"/>
                <w:szCs w:val="18"/>
                <w:lang w:eastAsia="pt-BR"/>
              </w:rPr>
              <w:t xml:space="preserve">Estimativa de </w:t>
            </w:r>
            <w:r w:rsidR="003D712C">
              <w:rPr>
                <w:rFonts w:ascii="Segoe UI" w:eastAsia="Times New Roman" w:hAnsi="Segoe UI" w:cs="Segoe UI"/>
                <w:b/>
                <w:bCs/>
                <w:color w:val="FFFFFF"/>
                <w:sz w:val="18"/>
                <w:szCs w:val="18"/>
                <w:lang w:eastAsia="pt-BR"/>
              </w:rPr>
              <w:t>c</w:t>
            </w:r>
            <w:r w:rsidRPr="00F67550">
              <w:rPr>
                <w:rFonts w:ascii="Segoe UI" w:eastAsia="Times New Roman" w:hAnsi="Segoe UI" w:cs="Segoe UI"/>
                <w:b/>
                <w:bCs/>
                <w:color w:val="FFFFFF"/>
                <w:sz w:val="18"/>
                <w:szCs w:val="18"/>
                <w:lang w:eastAsia="pt-BR"/>
              </w:rPr>
              <w:t>usto</w:t>
            </w:r>
          </w:p>
        </w:tc>
        <w:tc>
          <w:tcPr>
            <w:tcW w:w="959" w:type="pct"/>
            <w:tcBorders>
              <w:top w:val="nil"/>
              <w:left w:val="double" w:sz="6" w:space="0" w:color="1B80C4"/>
              <w:bottom w:val="single" w:sz="4" w:space="0" w:color="FFFFFF"/>
              <w:right w:val="nil"/>
            </w:tcBorders>
            <w:shd w:val="clear" w:color="000000" w:fill="1B80C4"/>
            <w:vAlign w:val="center"/>
            <w:hideMark/>
          </w:tcPr>
          <w:p w14:paraId="1EF290B2" w14:textId="779721FB" w:rsidR="00F67550" w:rsidRPr="00F67550" w:rsidRDefault="00F67550" w:rsidP="00D721A4">
            <w:pPr>
              <w:spacing w:after="0" w:line="240" w:lineRule="auto"/>
              <w:jc w:val="center"/>
              <w:rPr>
                <w:rFonts w:ascii="Segoe UI" w:eastAsia="Times New Roman" w:hAnsi="Segoe UI" w:cs="Segoe UI"/>
                <w:b/>
                <w:bCs/>
                <w:color w:val="FFFFFF"/>
                <w:sz w:val="18"/>
                <w:szCs w:val="18"/>
                <w:lang w:eastAsia="pt-BR"/>
              </w:rPr>
            </w:pPr>
            <w:r w:rsidRPr="00F67550">
              <w:rPr>
                <w:rFonts w:ascii="Segoe UI" w:eastAsia="Times New Roman" w:hAnsi="Segoe UI" w:cs="Segoe UI"/>
                <w:b/>
                <w:bCs/>
                <w:color w:val="FFFFFF"/>
                <w:sz w:val="18"/>
                <w:szCs w:val="18"/>
                <w:lang w:eastAsia="pt-BR"/>
              </w:rPr>
              <w:t xml:space="preserve">Ajuste a </w:t>
            </w:r>
            <w:r w:rsidR="003D712C">
              <w:rPr>
                <w:rFonts w:ascii="Segoe UI" w:eastAsia="Times New Roman" w:hAnsi="Segoe UI" w:cs="Segoe UI"/>
                <w:b/>
                <w:bCs/>
                <w:color w:val="FFFFFF"/>
                <w:sz w:val="18"/>
                <w:szCs w:val="18"/>
                <w:lang w:eastAsia="pt-BR"/>
              </w:rPr>
              <w:t>v</w:t>
            </w:r>
            <w:r w:rsidRPr="00F67550">
              <w:rPr>
                <w:rFonts w:ascii="Segoe UI" w:eastAsia="Times New Roman" w:hAnsi="Segoe UI" w:cs="Segoe UI"/>
                <w:b/>
                <w:bCs/>
                <w:color w:val="FFFFFF"/>
                <w:sz w:val="18"/>
                <w:szCs w:val="18"/>
                <w:lang w:eastAsia="pt-BR"/>
              </w:rPr>
              <w:t xml:space="preserve">alor </w:t>
            </w:r>
            <w:r w:rsidR="003D712C">
              <w:rPr>
                <w:rFonts w:ascii="Segoe UI" w:eastAsia="Times New Roman" w:hAnsi="Segoe UI" w:cs="Segoe UI"/>
                <w:b/>
                <w:bCs/>
                <w:color w:val="FFFFFF"/>
                <w:sz w:val="18"/>
                <w:szCs w:val="18"/>
                <w:lang w:eastAsia="pt-BR"/>
              </w:rPr>
              <w:t>p</w:t>
            </w:r>
            <w:r w:rsidRPr="00F67550">
              <w:rPr>
                <w:rFonts w:ascii="Segoe UI" w:eastAsia="Times New Roman" w:hAnsi="Segoe UI" w:cs="Segoe UI"/>
                <w:b/>
                <w:bCs/>
                <w:color w:val="FFFFFF"/>
                <w:sz w:val="18"/>
                <w:szCs w:val="18"/>
                <w:lang w:eastAsia="pt-BR"/>
              </w:rPr>
              <w:t>resente</w:t>
            </w:r>
          </w:p>
        </w:tc>
        <w:tc>
          <w:tcPr>
            <w:tcW w:w="1033" w:type="pct"/>
            <w:tcBorders>
              <w:top w:val="nil"/>
              <w:left w:val="nil"/>
              <w:bottom w:val="single" w:sz="4" w:space="0" w:color="FFFFFF"/>
              <w:right w:val="nil"/>
            </w:tcBorders>
            <w:shd w:val="clear" w:color="000000" w:fill="1B80C4"/>
            <w:vAlign w:val="center"/>
            <w:hideMark/>
          </w:tcPr>
          <w:p w14:paraId="5AA5C245" w14:textId="6CB9004E" w:rsidR="00F67550" w:rsidRPr="00F67550" w:rsidRDefault="00F67550" w:rsidP="00D721A4">
            <w:pPr>
              <w:spacing w:after="0" w:line="240" w:lineRule="auto"/>
              <w:jc w:val="center"/>
              <w:rPr>
                <w:rFonts w:ascii="Segoe UI" w:eastAsia="Times New Roman" w:hAnsi="Segoe UI" w:cs="Segoe UI"/>
                <w:b/>
                <w:bCs/>
                <w:color w:val="FFFFFF"/>
                <w:sz w:val="18"/>
                <w:szCs w:val="18"/>
                <w:lang w:eastAsia="pt-BR"/>
              </w:rPr>
            </w:pPr>
            <w:r w:rsidRPr="00F67550">
              <w:rPr>
                <w:rFonts w:ascii="Segoe UI" w:eastAsia="Times New Roman" w:hAnsi="Segoe UI" w:cs="Segoe UI"/>
                <w:b/>
                <w:bCs/>
                <w:color w:val="FFFFFF"/>
                <w:sz w:val="18"/>
                <w:szCs w:val="18"/>
                <w:lang w:eastAsia="pt-BR"/>
              </w:rPr>
              <w:t xml:space="preserve">Estimativa a </w:t>
            </w:r>
            <w:r w:rsidR="003D712C">
              <w:rPr>
                <w:rFonts w:ascii="Segoe UI" w:eastAsia="Times New Roman" w:hAnsi="Segoe UI" w:cs="Segoe UI"/>
                <w:b/>
                <w:bCs/>
                <w:color w:val="FFFFFF"/>
                <w:sz w:val="18"/>
                <w:szCs w:val="18"/>
                <w:lang w:eastAsia="pt-BR"/>
              </w:rPr>
              <w:t>v</w:t>
            </w:r>
            <w:r w:rsidRPr="00F67550">
              <w:rPr>
                <w:rFonts w:ascii="Segoe UI" w:eastAsia="Times New Roman" w:hAnsi="Segoe UI" w:cs="Segoe UI"/>
                <w:b/>
                <w:bCs/>
                <w:color w:val="FFFFFF"/>
                <w:sz w:val="18"/>
                <w:szCs w:val="18"/>
                <w:lang w:eastAsia="pt-BR"/>
              </w:rPr>
              <w:t xml:space="preserve">alor </w:t>
            </w:r>
            <w:r w:rsidR="003D712C">
              <w:rPr>
                <w:rFonts w:ascii="Segoe UI" w:eastAsia="Times New Roman" w:hAnsi="Segoe UI" w:cs="Segoe UI"/>
                <w:b/>
                <w:bCs/>
                <w:color w:val="FFFFFF"/>
                <w:sz w:val="18"/>
                <w:szCs w:val="18"/>
                <w:lang w:eastAsia="pt-BR"/>
              </w:rPr>
              <w:t>p</w:t>
            </w:r>
            <w:r w:rsidRPr="00F67550">
              <w:rPr>
                <w:rFonts w:ascii="Segoe UI" w:eastAsia="Times New Roman" w:hAnsi="Segoe UI" w:cs="Segoe UI"/>
                <w:b/>
                <w:bCs/>
                <w:color w:val="FFFFFF"/>
                <w:sz w:val="18"/>
                <w:szCs w:val="18"/>
                <w:lang w:eastAsia="pt-BR"/>
              </w:rPr>
              <w:t>resente</w:t>
            </w:r>
          </w:p>
        </w:tc>
      </w:tr>
      <w:tr w:rsidR="00F67550" w:rsidRPr="00F67550" w14:paraId="31702124" w14:textId="77777777" w:rsidTr="00E20106">
        <w:trPr>
          <w:trHeight w:val="23"/>
        </w:trPr>
        <w:tc>
          <w:tcPr>
            <w:tcW w:w="1606" w:type="pct"/>
            <w:tcBorders>
              <w:top w:val="nil"/>
              <w:left w:val="nil"/>
              <w:bottom w:val="nil"/>
              <w:right w:val="nil"/>
            </w:tcBorders>
            <w:shd w:val="clear" w:color="auto" w:fill="auto"/>
            <w:noWrap/>
            <w:vAlign w:val="center"/>
            <w:hideMark/>
          </w:tcPr>
          <w:p w14:paraId="326286AE" w14:textId="77777777" w:rsidR="00F67550" w:rsidRPr="00F67550" w:rsidRDefault="00F67550" w:rsidP="00F67550">
            <w:pPr>
              <w:spacing w:after="0" w:line="240" w:lineRule="auto"/>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ANGRA 1 </w:t>
            </w:r>
          </w:p>
        </w:tc>
        <w:tc>
          <w:tcPr>
            <w:tcW w:w="1402" w:type="pct"/>
            <w:tcBorders>
              <w:top w:val="nil"/>
              <w:left w:val="nil"/>
              <w:bottom w:val="nil"/>
              <w:right w:val="nil"/>
            </w:tcBorders>
            <w:shd w:val="clear" w:color="auto" w:fill="auto"/>
            <w:noWrap/>
            <w:vAlign w:val="center"/>
            <w:hideMark/>
          </w:tcPr>
          <w:p w14:paraId="08D59D60" w14:textId="77777777" w:rsidR="00F67550" w:rsidRPr="00F67550" w:rsidRDefault="00F67550" w:rsidP="00F67550">
            <w:pPr>
              <w:spacing w:after="0" w:line="240" w:lineRule="auto"/>
              <w:jc w:val="right"/>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3.500.622 </w:t>
            </w:r>
          </w:p>
        </w:tc>
        <w:tc>
          <w:tcPr>
            <w:tcW w:w="959" w:type="pct"/>
            <w:tcBorders>
              <w:top w:val="nil"/>
              <w:left w:val="nil"/>
              <w:bottom w:val="nil"/>
              <w:right w:val="nil"/>
            </w:tcBorders>
            <w:shd w:val="clear" w:color="auto" w:fill="auto"/>
            <w:noWrap/>
            <w:vAlign w:val="center"/>
            <w:hideMark/>
          </w:tcPr>
          <w:p w14:paraId="06032F64" w14:textId="77777777" w:rsidR="00F67550" w:rsidRPr="00F67550" w:rsidRDefault="00F67550" w:rsidP="00F67550">
            <w:pPr>
              <w:spacing w:after="0" w:line="240" w:lineRule="auto"/>
              <w:jc w:val="right"/>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(1.886.551)</w:t>
            </w:r>
          </w:p>
        </w:tc>
        <w:tc>
          <w:tcPr>
            <w:tcW w:w="1033" w:type="pct"/>
            <w:tcBorders>
              <w:top w:val="nil"/>
              <w:left w:val="nil"/>
              <w:bottom w:val="nil"/>
              <w:right w:val="nil"/>
            </w:tcBorders>
            <w:shd w:val="clear" w:color="auto" w:fill="auto"/>
            <w:noWrap/>
            <w:vAlign w:val="center"/>
            <w:hideMark/>
          </w:tcPr>
          <w:p w14:paraId="433DB5B1" w14:textId="77777777" w:rsidR="00F67550" w:rsidRPr="00F67550" w:rsidRDefault="00F67550" w:rsidP="00F67550">
            <w:pPr>
              <w:spacing w:after="0" w:line="240" w:lineRule="auto"/>
              <w:jc w:val="right"/>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1.614.071 </w:t>
            </w:r>
          </w:p>
        </w:tc>
      </w:tr>
      <w:tr w:rsidR="00F67550" w:rsidRPr="00F67550" w14:paraId="24F91356" w14:textId="77777777" w:rsidTr="001A406A">
        <w:trPr>
          <w:trHeight w:val="23"/>
        </w:trPr>
        <w:tc>
          <w:tcPr>
            <w:tcW w:w="1606" w:type="pct"/>
            <w:tcBorders>
              <w:top w:val="nil"/>
              <w:left w:val="nil"/>
              <w:bottom w:val="nil"/>
              <w:right w:val="nil"/>
            </w:tcBorders>
            <w:shd w:val="clear" w:color="auto" w:fill="auto"/>
            <w:noWrap/>
            <w:vAlign w:val="center"/>
            <w:hideMark/>
          </w:tcPr>
          <w:p w14:paraId="35B433C0" w14:textId="77777777" w:rsidR="00F67550" w:rsidRPr="00F67550" w:rsidRDefault="00F67550" w:rsidP="00F67550">
            <w:pPr>
              <w:spacing w:after="0" w:line="240" w:lineRule="auto"/>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ANGRA 2 </w:t>
            </w:r>
          </w:p>
        </w:tc>
        <w:tc>
          <w:tcPr>
            <w:tcW w:w="1402" w:type="pct"/>
            <w:tcBorders>
              <w:top w:val="nil"/>
              <w:left w:val="nil"/>
              <w:bottom w:val="nil"/>
              <w:right w:val="nil"/>
            </w:tcBorders>
            <w:shd w:val="clear" w:color="auto" w:fill="auto"/>
            <w:noWrap/>
            <w:vAlign w:val="center"/>
            <w:hideMark/>
          </w:tcPr>
          <w:p w14:paraId="5D322623" w14:textId="77777777" w:rsidR="00F67550" w:rsidRPr="00F67550" w:rsidRDefault="00F67550" w:rsidP="00F67550">
            <w:pPr>
              <w:spacing w:after="0" w:line="240" w:lineRule="auto"/>
              <w:jc w:val="right"/>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4.009.801 </w:t>
            </w:r>
          </w:p>
        </w:tc>
        <w:tc>
          <w:tcPr>
            <w:tcW w:w="959" w:type="pct"/>
            <w:tcBorders>
              <w:top w:val="nil"/>
              <w:left w:val="nil"/>
              <w:bottom w:val="single" w:sz="4" w:space="0" w:color="1B80C4"/>
              <w:right w:val="nil"/>
            </w:tcBorders>
            <w:shd w:val="clear" w:color="auto" w:fill="auto"/>
            <w:noWrap/>
            <w:vAlign w:val="center"/>
            <w:hideMark/>
          </w:tcPr>
          <w:p w14:paraId="67EE014D" w14:textId="77777777" w:rsidR="00F67550" w:rsidRPr="00F67550" w:rsidRDefault="00F67550" w:rsidP="00F67550">
            <w:pPr>
              <w:spacing w:after="0" w:line="240" w:lineRule="auto"/>
              <w:jc w:val="right"/>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(2.972.335)</w:t>
            </w:r>
          </w:p>
        </w:tc>
        <w:tc>
          <w:tcPr>
            <w:tcW w:w="1033" w:type="pct"/>
            <w:tcBorders>
              <w:top w:val="nil"/>
              <w:left w:val="nil"/>
              <w:bottom w:val="single" w:sz="4" w:space="0" w:color="1B80C4"/>
              <w:right w:val="nil"/>
            </w:tcBorders>
            <w:shd w:val="clear" w:color="auto" w:fill="auto"/>
            <w:noWrap/>
            <w:vAlign w:val="center"/>
            <w:hideMark/>
          </w:tcPr>
          <w:p w14:paraId="30B4D917" w14:textId="77777777" w:rsidR="00F67550" w:rsidRPr="00F67550" w:rsidRDefault="00F67550" w:rsidP="00F67550">
            <w:pPr>
              <w:spacing w:after="0" w:line="240" w:lineRule="auto"/>
              <w:jc w:val="right"/>
              <w:rPr>
                <w:rFonts w:ascii="Segoe UI" w:eastAsia="Times New Roman" w:hAnsi="Segoe UI" w:cs="Segoe UI"/>
                <w:color w:val="000000"/>
                <w:sz w:val="18"/>
                <w:szCs w:val="18"/>
                <w:lang w:eastAsia="pt-BR"/>
              </w:rPr>
            </w:pPr>
            <w:r w:rsidRPr="00F67550">
              <w:rPr>
                <w:rFonts w:ascii="Segoe UI" w:eastAsia="Times New Roman" w:hAnsi="Segoe UI" w:cs="Segoe UI"/>
                <w:color w:val="000000"/>
                <w:sz w:val="18"/>
                <w:szCs w:val="18"/>
                <w:lang w:eastAsia="pt-BR"/>
              </w:rPr>
              <w:t xml:space="preserve">                     1.037.466 </w:t>
            </w:r>
          </w:p>
        </w:tc>
      </w:tr>
      <w:tr w:rsidR="00F67550" w:rsidRPr="00F67550" w14:paraId="7FE886E6" w14:textId="77777777" w:rsidTr="001A406A">
        <w:trPr>
          <w:trHeight w:val="23"/>
        </w:trPr>
        <w:tc>
          <w:tcPr>
            <w:tcW w:w="1606" w:type="pct"/>
            <w:tcBorders>
              <w:top w:val="nil"/>
              <w:left w:val="nil"/>
              <w:bottom w:val="nil"/>
              <w:right w:val="nil"/>
            </w:tcBorders>
            <w:shd w:val="clear" w:color="auto" w:fill="auto"/>
            <w:noWrap/>
            <w:vAlign w:val="center"/>
            <w:hideMark/>
          </w:tcPr>
          <w:p w14:paraId="026784C4" w14:textId="77777777" w:rsidR="00F67550" w:rsidRPr="00F67550" w:rsidRDefault="00F67550" w:rsidP="00F67550">
            <w:pPr>
              <w:spacing w:after="0" w:line="240" w:lineRule="auto"/>
              <w:jc w:val="right"/>
              <w:rPr>
                <w:rFonts w:ascii="Segoe UI" w:eastAsia="Times New Roman" w:hAnsi="Segoe UI" w:cs="Segoe UI"/>
                <w:color w:val="000000"/>
                <w:sz w:val="18"/>
                <w:szCs w:val="18"/>
                <w:lang w:eastAsia="pt-BR"/>
              </w:rPr>
            </w:pPr>
          </w:p>
        </w:tc>
        <w:tc>
          <w:tcPr>
            <w:tcW w:w="1402" w:type="pct"/>
            <w:tcBorders>
              <w:top w:val="single" w:sz="4" w:space="0" w:color="1B80C4"/>
              <w:left w:val="nil"/>
              <w:bottom w:val="double" w:sz="6" w:space="0" w:color="1B80C4"/>
              <w:right w:val="nil"/>
            </w:tcBorders>
            <w:shd w:val="clear" w:color="auto" w:fill="auto"/>
            <w:noWrap/>
            <w:vAlign w:val="center"/>
            <w:hideMark/>
          </w:tcPr>
          <w:p w14:paraId="585D015C" w14:textId="77777777" w:rsidR="00F67550" w:rsidRPr="00F67550" w:rsidRDefault="00F67550" w:rsidP="00F67550">
            <w:pPr>
              <w:spacing w:after="0" w:line="240" w:lineRule="auto"/>
              <w:jc w:val="right"/>
              <w:rPr>
                <w:rFonts w:ascii="Segoe UI" w:eastAsia="Times New Roman" w:hAnsi="Segoe UI" w:cs="Segoe UI"/>
                <w:b/>
                <w:bCs/>
                <w:color w:val="000000"/>
                <w:sz w:val="18"/>
                <w:szCs w:val="18"/>
                <w:lang w:eastAsia="pt-BR"/>
              </w:rPr>
            </w:pPr>
            <w:r w:rsidRPr="00F67550">
              <w:rPr>
                <w:rFonts w:ascii="Segoe UI" w:eastAsia="Times New Roman" w:hAnsi="Segoe UI" w:cs="Segoe UI"/>
                <w:b/>
                <w:bCs/>
                <w:color w:val="000000"/>
                <w:sz w:val="18"/>
                <w:szCs w:val="18"/>
                <w:lang w:eastAsia="pt-BR"/>
              </w:rPr>
              <w:t xml:space="preserve">                                 7.510.423 </w:t>
            </w:r>
          </w:p>
        </w:tc>
        <w:tc>
          <w:tcPr>
            <w:tcW w:w="959" w:type="pct"/>
            <w:tcBorders>
              <w:top w:val="single" w:sz="4" w:space="0" w:color="1B80C4"/>
              <w:left w:val="nil"/>
              <w:bottom w:val="double" w:sz="6" w:space="0" w:color="1B80C4"/>
              <w:right w:val="nil"/>
            </w:tcBorders>
            <w:shd w:val="clear" w:color="auto" w:fill="auto"/>
            <w:noWrap/>
            <w:vAlign w:val="center"/>
            <w:hideMark/>
          </w:tcPr>
          <w:p w14:paraId="0309FC12" w14:textId="77777777" w:rsidR="00F67550" w:rsidRPr="00F67550" w:rsidRDefault="00F67550" w:rsidP="00F67550">
            <w:pPr>
              <w:spacing w:after="0" w:line="240" w:lineRule="auto"/>
              <w:jc w:val="right"/>
              <w:rPr>
                <w:rFonts w:ascii="Segoe UI" w:eastAsia="Times New Roman" w:hAnsi="Segoe UI" w:cs="Segoe UI"/>
                <w:b/>
                <w:bCs/>
                <w:color w:val="000000"/>
                <w:sz w:val="18"/>
                <w:szCs w:val="18"/>
                <w:lang w:eastAsia="pt-BR"/>
              </w:rPr>
            </w:pPr>
            <w:r w:rsidRPr="00F67550">
              <w:rPr>
                <w:rFonts w:ascii="Segoe UI" w:eastAsia="Times New Roman" w:hAnsi="Segoe UI" w:cs="Segoe UI"/>
                <w:b/>
                <w:bCs/>
                <w:color w:val="000000"/>
                <w:sz w:val="18"/>
                <w:szCs w:val="18"/>
                <w:lang w:eastAsia="pt-BR"/>
              </w:rPr>
              <w:t xml:space="preserve">             (4.858.886)</w:t>
            </w:r>
          </w:p>
        </w:tc>
        <w:tc>
          <w:tcPr>
            <w:tcW w:w="1033" w:type="pct"/>
            <w:tcBorders>
              <w:top w:val="single" w:sz="4" w:space="0" w:color="1B80C4"/>
              <w:left w:val="nil"/>
              <w:bottom w:val="double" w:sz="6" w:space="0" w:color="1B80C4"/>
              <w:right w:val="nil"/>
            </w:tcBorders>
            <w:shd w:val="clear" w:color="auto" w:fill="auto"/>
            <w:noWrap/>
            <w:vAlign w:val="center"/>
            <w:hideMark/>
          </w:tcPr>
          <w:p w14:paraId="3117FA42" w14:textId="77777777" w:rsidR="00F67550" w:rsidRPr="00F67550" w:rsidRDefault="00F67550" w:rsidP="00F67550">
            <w:pPr>
              <w:spacing w:after="0" w:line="240" w:lineRule="auto"/>
              <w:jc w:val="right"/>
              <w:rPr>
                <w:rFonts w:ascii="Segoe UI" w:eastAsia="Times New Roman" w:hAnsi="Segoe UI" w:cs="Segoe UI"/>
                <w:b/>
                <w:bCs/>
                <w:color w:val="000000"/>
                <w:sz w:val="18"/>
                <w:szCs w:val="18"/>
                <w:lang w:eastAsia="pt-BR"/>
              </w:rPr>
            </w:pPr>
            <w:r w:rsidRPr="00F67550">
              <w:rPr>
                <w:rFonts w:ascii="Segoe UI" w:eastAsia="Times New Roman" w:hAnsi="Segoe UI" w:cs="Segoe UI"/>
                <w:b/>
                <w:bCs/>
                <w:color w:val="000000"/>
                <w:sz w:val="18"/>
                <w:szCs w:val="18"/>
                <w:lang w:eastAsia="pt-BR"/>
              </w:rPr>
              <w:t xml:space="preserve">                  2.651.537 </w:t>
            </w:r>
          </w:p>
        </w:tc>
      </w:tr>
    </w:tbl>
    <w:p w14:paraId="287C9AB6" w14:textId="77777777" w:rsidR="00D413FF" w:rsidRPr="000757BC" w:rsidRDefault="00D413FF" w:rsidP="00C144BB">
      <w:pPr>
        <w:spacing w:after="0"/>
        <w:rPr>
          <w:rFonts w:ascii="Segoe UI" w:hAnsi="Segoe UI" w:cs="Segoe UI"/>
          <w:noProof/>
          <w:lang w:eastAsia="pt-BR"/>
        </w:rPr>
      </w:pPr>
    </w:p>
    <w:p w14:paraId="4F4803A5" w14:textId="7DB01418" w:rsidR="002B1787" w:rsidRDefault="00581D1F" w:rsidP="002A4E82">
      <w:pPr>
        <w:tabs>
          <w:tab w:val="left" w:pos="567"/>
          <w:tab w:val="left" w:pos="1134"/>
          <w:tab w:val="left" w:pos="1701"/>
          <w:tab w:val="left" w:pos="2268"/>
          <w:tab w:val="left" w:pos="2835"/>
        </w:tabs>
        <w:spacing w:before="240" w:after="120" w:line="254" w:lineRule="auto"/>
        <w:jc w:val="both"/>
        <w:outlineLvl w:val="0"/>
        <w:rPr>
          <w:rFonts w:ascii="Segoe UI" w:hAnsi="Segoe UI" w:cs="Segoe UI"/>
          <w:b/>
          <w:color w:val="0070C0"/>
        </w:rPr>
      </w:pPr>
      <w:r w:rsidRPr="000757BC">
        <w:rPr>
          <w:rFonts w:ascii="Segoe UI" w:hAnsi="Segoe UI" w:cs="Segoe UI"/>
          <w:b/>
          <w:color w:val="0070C0"/>
        </w:rPr>
        <w:t>2</w:t>
      </w:r>
      <w:r w:rsidR="002A4E82">
        <w:rPr>
          <w:rFonts w:ascii="Segoe UI" w:hAnsi="Segoe UI" w:cs="Segoe UI"/>
          <w:b/>
          <w:color w:val="0070C0"/>
        </w:rPr>
        <w:t>3</w:t>
      </w:r>
      <w:r w:rsidR="00F4139F" w:rsidRPr="000757BC">
        <w:rPr>
          <w:rFonts w:ascii="Segoe UI" w:hAnsi="Segoe UI" w:cs="Segoe UI"/>
          <w:b/>
          <w:color w:val="0070C0"/>
        </w:rPr>
        <w:t xml:space="preserve"> </w:t>
      </w:r>
      <w:r w:rsidR="002B1787" w:rsidRPr="000757BC">
        <w:rPr>
          <w:rFonts w:ascii="Segoe UI" w:hAnsi="Segoe UI" w:cs="Segoe UI"/>
          <w:b/>
          <w:color w:val="0070C0"/>
        </w:rPr>
        <w:t>– PATRIMÔNIO LÍQUIDO</w:t>
      </w:r>
    </w:p>
    <w:tbl>
      <w:tblPr>
        <w:tblW w:w="5000" w:type="pct"/>
        <w:tblCellMar>
          <w:left w:w="70" w:type="dxa"/>
          <w:right w:w="70" w:type="dxa"/>
        </w:tblCellMar>
        <w:tblLook w:val="04A0" w:firstRow="1" w:lastRow="0" w:firstColumn="1" w:lastColumn="0" w:noHBand="0" w:noVBand="1"/>
      </w:tblPr>
      <w:tblGrid>
        <w:gridCol w:w="6842"/>
        <w:gridCol w:w="2655"/>
      </w:tblGrid>
      <w:tr w:rsidR="00720438" w:rsidRPr="00720438" w14:paraId="7DFA22FF" w14:textId="77777777" w:rsidTr="00720438">
        <w:trPr>
          <w:trHeight w:val="240"/>
        </w:trPr>
        <w:tc>
          <w:tcPr>
            <w:tcW w:w="3602" w:type="pct"/>
            <w:tcBorders>
              <w:top w:val="nil"/>
              <w:left w:val="nil"/>
              <w:bottom w:val="nil"/>
              <w:right w:val="nil"/>
            </w:tcBorders>
            <w:shd w:val="clear" w:color="auto" w:fill="auto"/>
            <w:noWrap/>
            <w:vAlign w:val="bottom"/>
            <w:hideMark/>
          </w:tcPr>
          <w:p w14:paraId="324D5B8D" w14:textId="77777777" w:rsidR="00720438" w:rsidRPr="00720438" w:rsidRDefault="00720438" w:rsidP="00720438">
            <w:pPr>
              <w:spacing w:after="0" w:line="240" w:lineRule="auto"/>
              <w:ind w:firstLineChars="100" w:firstLine="180"/>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Capital social</w:t>
            </w:r>
          </w:p>
        </w:tc>
        <w:tc>
          <w:tcPr>
            <w:tcW w:w="1398" w:type="pct"/>
            <w:tcBorders>
              <w:top w:val="nil"/>
              <w:left w:val="nil"/>
              <w:bottom w:val="nil"/>
              <w:right w:val="nil"/>
            </w:tcBorders>
            <w:shd w:val="clear" w:color="auto" w:fill="auto"/>
            <w:noWrap/>
            <w:vAlign w:val="bottom"/>
            <w:hideMark/>
          </w:tcPr>
          <w:p w14:paraId="5CBDF202" w14:textId="59299B12" w:rsidR="00720438" w:rsidRPr="00720438" w:rsidRDefault="00720438" w:rsidP="00720438">
            <w:pPr>
              <w:spacing w:after="0" w:line="240" w:lineRule="auto"/>
              <w:jc w:val="right"/>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5.111.344</w:t>
            </w:r>
          </w:p>
        </w:tc>
      </w:tr>
      <w:tr w:rsidR="00720438" w:rsidRPr="00720438" w14:paraId="47D8E850" w14:textId="77777777" w:rsidTr="00720438">
        <w:trPr>
          <w:trHeight w:val="240"/>
        </w:trPr>
        <w:tc>
          <w:tcPr>
            <w:tcW w:w="3602" w:type="pct"/>
            <w:tcBorders>
              <w:top w:val="nil"/>
              <w:left w:val="nil"/>
              <w:bottom w:val="nil"/>
              <w:right w:val="nil"/>
            </w:tcBorders>
            <w:shd w:val="clear" w:color="auto" w:fill="auto"/>
            <w:noWrap/>
            <w:vAlign w:val="bottom"/>
            <w:hideMark/>
          </w:tcPr>
          <w:p w14:paraId="001D7C8A" w14:textId="77777777" w:rsidR="00720438" w:rsidRPr="00720438" w:rsidRDefault="00720438" w:rsidP="00720438">
            <w:pPr>
              <w:spacing w:after="0" w:line="240" w:lineRule="auto"/>
              <w:ind w:firstLineChars="100" w:firstLine="180"/>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AFAC</w:t>
            </w:r>
          </w:p>
        </w:tc>
        <w:tc>
          <w:tcPr>
            <w:tcW w:w="1398" w:type="pct"/>
            <w:tcBorders>
              <w:top w:val="nil"/>
              <w:left w:val="nil"/>
              <w:bottom w:val="nil"/>
              <w:right w:val="nil"/>
            </w:tcBorders>
            <w:shd w:val="clear" w:color="auto" w:fill="auto"/>
            <w:noWrap/>
            <w:vAlign w:val="bottom"/>
            <w:hideMark/>
          </w:tcPr>
          <w:p w14:paraId="063F5CD4" w14:textId="3291C23D" w:rsidR="00720438" w:rsidRPr="00720438" w:rsidRDefault="00720438" w:rsidP="00720438">
            <w:pPr>
              <w:spacing w:after="0" w:line="240" w:lineRule="auto"/>
              <w:jc w:val="right"/>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1.212.148</w:t>
            </w:r>
          </w:p>
        </w:tc>
      </w:tr>
      <w:tr w:rsidR="00720438" w:rsidRPr="00720438" w14:paraId="341D9580" w14:textId="77777777" w:rsidTr="00720438">
        <w:trPr>
          <w:trHeight w:val="240"/>
        </w:trPr>
        <w:tc>
          <w:tcPr>
            <w:tcW w:w="3602" w:type="pct"/>
            <w:tcBorders>
              <w:top w:val="nil"/>
              <w:left w:val="nil"/>
              <w:bottom w:val="nil"/>
              <w:right w:val="nil"/>
            </w:tcBorders>
            <w:shd w:val="clear" w:color="auto" w:fill="auto"/>
            <w:noWrap/>
            <w:vAlign w:val="bottom"/>
            <w:hideMark/>
          </w:tcPr>
          <w:p w14:paraId="67552F38" w14:textId="77777777" w:rsidR="00720438" w:rsidRPr="00720438" w:rsidRDefault="00720438" w:rsidP="00720438">
            <w:pPr>
              <w:spacing w:after="0" w:line="240" w:lineRule="auto"/>
              <w:ind w:firstLineChars="100" w:firstLine="180"/>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Resultados abrangentes</w:t>
            </w:r>
          </w:p>
        </w:tc>
        <w:tc>
          <w:tcPr>
            <w:tcW w:w="1398" w:type="pct"/>
            <w:tcBorders>
              <w:top w:val="nil"/>
              <w:left w:val="nil"/>
              <w:bottom w:val="nil"/>
              <w:right w:val="nil"/>
            </w:tcBorders>
            <w:shd w:val="clear" w:color="auto" w:fill="auto"/>
            <w:noWrap/>
            <w:vAlign w:val="bottom"/>
            <w:hideMark/>
          </w:tcPr>
          <w:p w14:paraId="4A016F74" w14:textId="420D093B" w:rsidR="00720438" w:rsidRPr="00720438" w:rsidRDefault="00720438" w:rsidP="00720438">
            <w:pPr>
              <w:spacing w:after="0" w:line="240" w:lineRule="auto"/>
              <w:jc w:val="right"/>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315.892</w:t>
            </w:r>
          </w:p>
        </w:tc>
      </w:tr>
      <w:tr w:rsidR="00720438" w:rsidRPr="00720438" w14:paraId="2E456025" w14:textId="77777777" w:rsidTr="00720438">
        <w:trPr>
          <w:trHeight w:val="240"/>
        </w:trPr>
        <w:tc>
          <w:tcPr>
            <w:tcW w:w="3602" w:type="pct"/>
            <w:tcBorders>
              <w:top w:val="nil"/>
              <w:left w:val="nil"/>
              <w:bottom w:val="nil"/>
              <w:right w:val="nil"/>
            </w:tcBorders>
            <w:shd w:val="clear" w:color="auto" w:fill="auto"/>
            <w:noWrap/>
            <w:vAlign w:val="bottom"/>
            <w:hideMark/>
          </w:tcPr>
          <w:p w14:paraId="6DFD199A" w14:textId="77777777" w:rsidR="00720438" w:rsidRPr="00720438" w:rsidRDefault="00720438" w:rsidP="00720438">
            <w:pPr>
              <w:spacing w:after="0" w:line="240" w:lineRule="auto"/>
              <w:ind w:firstLineChars="100" w:firstLine="180"/>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Reservas</w:t>
            </w:r>
          </w:p>
        </w:tc>
        <w:tc>
          <w:tcPr>
            <w:tcW w:w="1398" w:type="pct"/>
            <w:tcBorders>
              <w:top w:val="nil"/>
              <w:left w:val="nil"/>
              <w:bottom w:val="nil"/>
              <w:right w:val="nil"/>
            </w:tcBorders>
            <w:shd w:val="clear" w:color="auto" w:fill="auto"/>
            <w:noWrap/>
            <w:vAlign w:val="bottom"/>
            <w:hideMark/>
          </w:tcPr>
          <w:p w14:paraId="21CC1B70" w14:textId="77777777" w:rsidR="00720438" w:rsidRPr="00720438" w:rsidRDefault="00720438" w:rsidP="00720438">
            <w:pPr>
              <w:spacing w:after="0" w:line="240" w:lineRule="auto"/>
              <w:ind w:firstLineChars="100" w:firstLine="180"/>
              <w:jc w:val="right"/>
              <w:rPr>
                <w:rFonts w:ascii="Segoe UI" w:eastAsia="Times New Roman" w:hAnsi="Segoe UI" w:cs="Segoe UI"/>
                <w:color w:val="000000"/>
                <w:sz w:val="18"/>
                <w:szCs w:val="18"/>
                <w:lang w:eastAsia="pt-BR"/>
              </w:rPr>
            </w:pPr>
          </w:p>
        </w:tc>
      </w:tr>
      <w:tr w:rsidR="00720438" w:rsidRPr="00720438" w14:paraId="67563C31" w14:textId="77777777" w:rsidTr="00720438">
        <w:trPr>
          <w:trHeight w:val="240"/>
        </w:trPr>
        <w:tc>
          <w:tcPr>
            <w:tcW w:w="3602" w:type="pct"/>
            <w:tcBorders>
              <w:top w:val="nil"/>
              <w:left w:val="nil"/>
              <w:bottom w:val="nil"/>
              <w:right w:val="nil"/>
            </w:tcBorders>
            <w:shd w:val="clear" w:color="auto" w:fill="auto"/>
            <w:noWrap/>
            <w:vAlign w:val="bottom"/>
            <w:hideMark/>
          </w:tcPr>
          <w:p w14:paraId="368637B8" w14:textId="77777777" w:rsidR="00720438" w:rsidRPr="00720438" w:rsidRDefault="00720438" w:rsidP="00720438">
            <w:pPr>
              <w:spacing w:after="0" w:line="240" w:lineRule="auto"/>
              <w:ind w:firstLineChars="100" w:firstLine="180"/>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 xml:space="preserve">    Legal</w:t>
            </w:r>
          </w:p>
        </w:tc>
        <w:tc>
          <w:tcPr>
            <w:tcW w:w="1398" w:type="pct"/>
            <w:tcBorders>
              <w:top w:val="nil"/>
              <w:left w:val="nil"/>
              <w:bottom w:val="nil"/>
              <w:right w:val="nil"/>
            </w:tcBorders>
            <w:shd w:val="clear" w:color="auto" w:fill="auto"/>
            <w:noWrap/>
            <w:vAlign w:val="bottom"/>
            <w:hideMark/>
          </w:tcPr>
          <w:p w14:paraId="5614643C" w14:textId="325AA09E" w:rsidR="00720438" w:rsidRPr="00720438" w:rsidRDefault="00720438" w:rsidP="00720438">
            <w:pPr>
              <w:spacing w:after="0" w:line="240" w:lineRule="auto"/>
              <w:jc w:val="right"/>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5.295</w:t>
            </w:r>
          </w:p>
        </w:tc>
      </w:tr>
      <w:tr w:rsidR="00720438" w:rsidRPr="00720438" w14:paraId="212DAABF" w14:textId="77777777" w:rsidTr="00720438">
        <w:trPr>
          <w:trHeight w:val="240"/>
        </w:trPr>
        <w:tc>
          <w:tcPr>
            <w:tcW w:w="3602" w:type="pct"/>
            <w:tcBorders>
              <w:top w:val="nil"/>
              <w:left w:val="nil"/>
              <w:bottom w:val="nil"/>
              <w:right w:val="nil"/>
            </w:tcBorders>
            <w:shd w:val="clear" w:color="auto" w:fill="auto"/>
            <w:noWrap/>
            <w:vAlign w:val="bottom"/>
            <w:hideMark/>
          </w:tcPr>
          <w:p w14:paraId="7250214E" w14:textId="77777777" w:rsidR="00720438" w:rsidRPr="00720438" w:rsidRDefault="00720438" w:rsidP="00720438">
            <w:pPr>
              <w:spacing w:after="0" w:line="240" w:lineRule="auto"/>
              <w:ind w:firstLineChars="100" w:firstLine="180"/>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 xml:space="preserve">    Capital</w:t>
            </w:r>
          </w:p>
        </w:tc>
        <w:tc>
          <w:tcPr>
            <w:tcW w:w="1398" w:type="pct"/>
            <w:tcBorders>
              <w:top w:val="nil"/>
              <w:left w:val="nil"/>
              <w:bottom w:val="single" w:sz="4" w:space="0" w:color="1B80C4"/>
              <w:right w:val="nil"/>
            </w:tcBorders>
            <w:shd w:val="clear" w:color="auto" w:fill="auto"/>
            <w:noWrap/>
            <w:vAlign w:val="bottom"/>
            <w:hideMark/>
          </w:tcPr>
          <w:p w14:paraId="071A90B2" w14:textId="439C1FAE" w:rsidR="00720438" w:rsidRPr="00720438" w:rsidRDefault="00720438" w:rsidP="00720438">
            <w:pPr>
              <w:spacing w:after="0" w:line="240" w:lineRule="auto"/>
              <w:jc w:val="right"/>
              <w:rPr>
                <w:rFonts w:ascii="Segoe UI" w:eastAsia="Times New Roman" w:hAnsi="Segoe UI" w:cs="Segoe UI"/>
                <w:color w:val="000000"/>
                <w:sz w:val="18"/>
                <w:szCs w:val="18"/>
                <w:lang w:eastAsia="pt-BR"/>
              </w:rPr>
            </w:pPr>
            <w:r w:rsidRPr="00720438">
              <w:rPr>
                <w:rFonts w:ascii="Segoe UI" w:eastAsia="Times New Roman" w:hAnsi="Segoe UI" w:cs="Segoe UI"/>
                <w:color w:val="000000"/>
                <w:sz w:val="18"/>
                <w:szCs w:val="18"/>
                <w:lang w:eastAsia="pt-BR"/>
              </w:rPr>
              <w:t>75.450</w:t>
            </w:r>
          </w:p>
        </w:tc>
      </w:tr>
      <w:tr w:rsidR="00720438" w:rsidRPr="00720438" w14:paraId="1DE33DC8" w14:textId="77777777" w:rsidTr="00720438">
        <w:trPr>
          <w:trHeight w:val="255"/>
        </w:trPr>
        <w:tc>
          <w:tcPr>
            <w:tcW w:w="3602" w:type="pct"/>
            <w:tcBorders>
              <w:top w:val="nil"/>
              <w:left w:val="nil"/>
              <w:bottom w:val="nil"/>
              <w:right w:val="nil"/>
            </w:tcBorders>
            <w:shd w:val="clear" w:color="auto" w:fill="auto"/>
            <w:noWrap/>
            <w:vAlign w:val="bottom"/>
            <w:hideMark/>
          </w:tcPr>
          <w:p w14:paraId="6FFC300F" w14:textId="77777777" w:rsidR="00720438" w:rsidRPr="00720438" w:rsidRDefault="00720438" w:rsidP="00720438">
            <w:pPr>
              <w:spacing w:after="0" w:line="240" w:lineRule="auto"/>
              <w:rPr>
                <w:rFonts w:ascii="Segoe UI" w:eastAsia="Times New Roman" w:hAnsi="Segoe UI" w:cs="Segoe UI"/>
                <w:color w:val="000000"/>
                <w:sz w:val="18"/>
                <w:szCs w:val="18"/>
                <w:lang w:eastAsia="pt-BR"/>
              </w:rPr>
            </w:pPr>
          </w:p>
        </w:tc>
        <w:tc>
          <w:tcPr>
            <w:tcW w:w="1398" w:type="pct"/>
            <w:tcBorders>
              <w:top w:val="nil"/>
              <w:left w:val="nil"/>
              <w:bottom w:val="double" w:sz="6" w:space="0" w:color="1B80C4"/>
              <w:right w:val="nil"/>
            </w:tcBorders>
            <w:shd w:val="clear" w:color="auto" w:fill="auto"/>
            <w:noWrap/>
            <w:vAlign w:val="center"/>
            <w:hideMark/>
          </w:tcPr>
          <w:p w14:paraId="38CCA503" w14:textId="4A89B043" w:rsidR="00720438" w:rsidRPr="00720438" w:rsidRDefault="00720438" w:rsidP="00720438">
            <w:pPr>
              <w:spacing w:after="0" w:line="240" w:lineRule="auto"/>
              <w:jc w:val="right"/>
              <w:rPr>
                <w:rFonts w:ascii="Segoe UI" w:eastAsia="Times New Roman" w:hAnsi="Segoe UI" w:cs="Segoe UI"/>
                <w:b/>
                <w:bCs/>
                <w:color w:val="000000"/>
                <w:sz w:val="18"/>
                <w:szCs w:val="18"/>
                <w:lang w:eastAsia="pt-BR"/>
              </w:rPr>
            </w:pPr>
            <w:r w:rsidRPr="00720438">
              <w:rPr>
                <w:rFonts w:ascii="Segoe UI" w:eastAsia="Times New Roman" w:hAnsi="Segoe UI" w:cs="Segoe UI"/>
                <w:b/>
                <w:bCs/>
                <w:color w:val="000000"/>
                <w:sz w:val="18"/>
                <w:szCs w:val="18"/>
                <w:lang w:eastAsia="pt-BR"/>
              </w:rPr>
              <w:t>6.720.129</w:t>
            </w:r>
          </w:p>
        </w:tc>
      </w:tr>
    </w:tbl>
    <w:p w14:paraId="18C0AE61" w14:textId="576F75FB" w:rsidR="00EB6518" w:rsidRDefault="007A2BDC" w:rsidP="00AE57D0">
      <w:pPr>
        <w:tabs>
          <w:tab w:val="center" w:pos="4419"/>
          <w:tab w:val="right" w:pos="8838"/>
        </w:tabs>
        <w:spacing w:before="240" w:after="120" w:line="254" w:lineRule="auto"/>
        <w:jc w:val="both"/>
        <w:rPr>
          <w:rFonts w:ascii="Segoe UI" w:hAnsi="Segoe UI" w:cs="Segoe UI"/>
        </w:rPr>
      </w:pPr>
      <w:r>
        <w:rPr>
          <w:rFonts w:ascii="Segoe UI" w:hAnsi="Segoe UI" w:cs="Segoe UI"/>
        </w:rPr>
        <w:t>C</w:t>
      </w:r>
      <w:r w:rsidR="00EB6518" w:rsidRPr="000757BC">
        <w:rPr>
          <w:rFonts w:ascii="Segoe UI" w:hAnsi="Segoe UI" w:cs="Segoe UI"/>
        </w:rPr>
        <w:t xml:space="preserve">apital social </w:t>
      </w:r>
      <w:r w:rsidR="002E5050">
        <w:rPr>
          <w:rFonts w:ascii="Segoe UI" w:hAnsi="Segoe UI" w:cs="Segoe UI"/>
        </w:rPr>
        <w:t>- A</w:t>
      </w:r>
      <w:r w:rsidR="00EB6518" w:rsidRPr="000757BC">
        <w:rPr>
          <w:rFonts w:ascii="Segoe UI" w:hAnsi="Segoe UI" w:cs="Segoe UI"/>
        </w:rPr>
        <w:t xml:space="preserve"> Companhia em </w:t>
      </w:r>
      <w:r w:rsidR="0051501D" w:rsidRPr="000757BC">
        <w:rPr>
          <w:rFonts w:ascii="Segoe UI" w:hAnsi="Segoe UI" w:cs="Segoe UI"/>
        </w:rPr>
        <w:t xml:space="preserve">31 de dezembro de 2022 </w:t>
      </w:r>
      <w:r w:rsidR="00EB6518" w:rsidRPr="000757BC">
        <w:rPr>
          <w:rFonts w:ascii="Segoe UI" w:hAnsi="Segoe UI" w:cs="Segoe UI"/>
        </w:rPr>
        <w:t>é de R$</w:t>
      </w:r>
      <w:r w:rsidR="004E08C8" w:rsidRPr="000757BC">
        <w:rPr>
          <w:rFonts w:ascii="Segoe UI" w:hAnsi="Segoe UI" w:cs="Segoe UI"/>
        </w:rPr>
        <w:t xml:space="preserve"> </w:t>
      </w:r>
      <w:r w:rsidR="008D02A5">
        <w:rPr>
          <w:rFonts w:ascii="Segoe UI" w:hAnsi="Segoe UI" w:cs="Segoe UI"/>
        </w:rPr>
        <w:t>5.111.344</w:t>
      </w:r>
      <w:r w:rsidR="00EB6518" w:rsidRPr="000757BC">
        <w:rPr>
          <w:rFonts w:ascii="Segoe UI" w:hAnsi="Segoe UI" w:cs="Segoe UI"/>
        </w:rPr>
        <w:t xml:space="preserve"> representados por 4.000.000.000 (quatro bilhões) de ações ordinárias, todas nominativas e sem val</w:t>
      </w:r>
      <w:r w:rsidR="00720E7B" w:rsidRPr="000757BC">
        <w:rPr>
          <w:rFonts w:ascii="Segoe UI" w:hAnsi="Segoe UI" w:cs="Segoe UI"/>
        </w:rPr>
        <w:t>or nominal, totalmente subscrito e integralizado</w:t>
      </w:r>
      <w:r w:rsidR="00EB6518" w:rsidRPr="000757BC">
        <w:rPr>
          <w:rFonts w:ascii="Segoe UI" w:hAnsi="Segoe UI" w:cs="Segoe UI"/>
        </w:rPr>
        <w:t xml:space="preserve"> pela União, sua única acionista.</w:t>
      </w:r>
      <w:r w:rsidR="00A547D8" w:rsidRPr="004F0282">
        <w:rPr>
          <w:rFonts w:ascii="Segoe UI" w:hAnsi="Segoe UI" w:cs="Segoe UI"/>
        </w:rPr>
        <w:t xml:space="preserve"> Integralizados conforme </w:t>
      </w:r>
      <w:r w:rsidR="004F0282" w:rsidRPr="004F0282">
        <w:rPr>
          <w:rFonts w:ascii="Segoe UI" w:hAnsi="Segoe UI" w:cs="Segoe UI"/>
        </w:rPr>
        <w:t>abaixo:</w:t>
      </w:r>
    </w:p>
    <w:p w14:paraId="5E24FE03" w14:textId="3EF20167" w:rsidR="00A617AF" w:rsidRPr="000201B3" w:rsidRDefault="00A617AF" w:rsidP="00E03252">
      <w:pPr>
        <w:pStyle w:val="PargrafodaLista"/>
        <w:numPr>
          <w:ilvl w:val="0"/>
          <w:numId w:val="15"/>
        </w:numPr>
        <w:ind w:left="709" w:hanging="283"/>
        <w:rPr>
          <w:rFonts w:ascii="Segoe UI" w:hAnsi="Segoe UI" w:cs="Segoe UI"/>
          <w:szCs w:val="22"/>
        </w:rPr>
      </w:pPr>
      <w:r w:rsidRPr="000201B3">
        <w:rPr>
          <w:rFonts w:ascii="Segoe UI" w:hAnsi="Segoe UI" w:cs="Segoe UI"/>
          <w:szCs w:val="22"/>
        </w:rPr>
        <w:t>O capital social inicial da Companhia R$</w:t>
      </w:r>
      <w:r w:rsidR="00791D13" w:rsidRPr="000201B3">
        <w:rPr>
          <w:rFonts w:ascii="Segoe UI" w:hAnsi="Segoe UI" w:cs="Segoe UI"/>
          <w:szCs w:val="22"/>
        </w:rPr>
        <w:t xml:space="preserve"> </w:t>
      </w:r>
      <w:r w:rsidRPr="000201B3">
        <w:rPr>
          <w:rFonts w:ascii="Segoe UI" w:hAnsi="Segoe UI" w:cs="Segoe UI"/>
          <w:szCs w:val="22"/>
        </w:rPr>
        <w:t>4.000.000,</w:t>
      </w:r>
      <w:r w:rsidR="002C0B43" w:rsidRPr="000201B3">
        <w:rPr>
          <w:rFonts w:ascii="Segoe UI" w:hAnsi="Segoe UI" w:cs="Segoe UI"/>
          <w:szCs w:val="22"/>
        </w:rPr>
        <w:t xml:space="preserve"> </w:t>
      </w:r>
      <w:r w:rsidRPr="000201B3">
        <w:rPr>
          <w:rFonts w:ascii="Segoe UI" w:hAnsi="Segoe UI" w:cs="Segoe UI"/>
          <w:szCs w:val="22"/>
        </w:rPr>
        <w:t>representados por 4.000.000.000 (quatro bilhões) de ações ordinárias</w:t>
      </w:r>
      <w:r w:rsidR="00791D13" w:rsidRPr="000201B3">
        <w:rPr>
          <w:rFonts w:ascii="Segoe UI" w:hAnsi="Segoe UI" w:cs="Segoe UI"/>
          <w:szCs w:val="22"/>
        </w:rPr>
        <w:t>.</w:t>
      </w:r>
    </w:p>
    <w:p w14:paraId="4954B7DF" w14:textId="0FB61464" w:rsidR="002C0B43" w:rsidRPr="000201B3" w:rsidRDefault="00791D13" w:rsidP="00E03252">
      <w:pPr>
        <w:pStyle w:val="PargrafodaLista"/>
        <w:numPr>
          <w:ilvl w:val="0"/>
          <w:numId w:val="15"/>
        </w:numPr>
        <w:ind w:left="709" w:hanging="283"/>
        <w:rPr>
          <w:rFonts w:ascii="Verdana" w:hAnsi="Verdana" w:cstheme="minorHAnsi"/>
          <w:sz w:val="20"/>
          <w:szCs w:val="20"/>
        </w:rPr>
      </w:pPr>
      <w:r w:rsidRPr="000201B3">
        <w:rPr>
          <w:rFonts w:ascii="Segoe UI" w:hAnsi="Segoe UI" w:cs="Segoe UI"/>
          <w:szCs w:val="22"/>
        </w:rPr>
        <w:t xml:space="preserve">Integralização de </w:t>
      </w:r>
      <w:r w:rsidR="002C0B43" w:rsidRPr="000201B3">
        <w:rPr>
          <w:rFonts w:ascii="Segoe UI" w:hAnsi="Segoe UI" w:cs="Segoe UI"/>
          <w:szCs w:val="22"/>
        </w:rPr>
        <w:t xml:space="preserve">capital social </w:t>
      </w:r>
      <w:r w:rsidR="001F3DF3" w:rsidRPr="004F0282">
        <w:rPr>
          <w:rFonts w:ascii="Segoe UI" w:hAnsi="Segoe UI" w:cs="Segoe UI"/>
          <w:szCs w:val="22"/>
        </w:rPr>
        <w:t>pela aqui</w:t>
      </w:r>
      <w:r w:rsidR="00C76443" w:rsidRPr="004F0282">
        <w:rPr>
          <w:rFonts w:ascii="Segoe UI" w:hAnsi="Segoe UI" w:cs="Segoe UI"/>
          <w:szCs w:val="22"/>
        </w:rPr>
        <w:t>s</w:t>
      </w:r>
      <w:r w:rsidR="001F3DF3" w:rsidRPr="004F0282">
        <w:rPr>
          <w:rFonts w:ascii="Segoe UI" w:hAnsi="Segoe UI" w:cs="Segoe UI"/>
          <w:szCs w:val="22"/>
        </w:rPr>
        <w:t>ição</w:t>
      </w:r>
      <w:r w:rsidRPr="000201B3">
        <w:rPr>
          <w:rFonts w:ascii="Segoe UI" w:hAnsi="Segoe UI" w:cs="Segoe UI"/>
          <w:szCs w:val="22"/>
        </w:rPr>
        <w:t xml:space="preserve"> investida INB no valor de </w:t>
      </w:r>
      <w:r w:rsidR="002C0B43" w:rsidRPr="000201B3">
        <w:rPr>
          <w:rFonts w:ascii="Segoe UI" w:hAnsi="Segoe UI" w:cs="Segoe UI"/>
          <w:szCs w:val="22"/>
        </w:rPr>
        <w:t>R$</w:t>
      </w:r>
      <w:r w:rsidRPr="000201B3">
        <w:rPr>
          <w:rFonts w:ascii="Segoe UI" w:hAnsi="Segoe UI" w:cs="Segoe UI"/>
          <w:szCs w:val="22"/>
        </w:rPr>
        <w:t xml:space="preserve"> 1.111.344 sem modificação nos números de ações</w:t>
      </w:r>
      <w:r w:rsidR="00C76443" w:rsidRPr="00110627">
        <w:rPr>
          <w:rFonts w:ascii="Verdana" w:hAnsi="Verdana" w:cstheme="minorHAnsi"/>
          <w:sz w:val="20"/>
          <w:szCs w:val="20"/>
        </w:rPr>
        <w:t>.</w:t>
      </w:r>
    </w:p>
    <w:p w14:paraId="10483946" w14:textId="30B42710" w:rsidR="00C537AB" w:rsidRPr="000757BC" w:rsidRDefault="00C537AB" w:rsidP="00AE57D0">
      <w:pPr>
        <w:tabs>
          <w:tab w:val="center" w:pos="4419"/>
          <w:tab w:val="right" w:pos="8838"/>
        </w:tabs>
        <w:spacing w:before="240" w:after="120" w:line="254" w:lineRule="auto"/>
        <w:jc w:val="both"/>
        <w:rPr>
          <w:rFonts w:ascii="Segoe UI" w:hAnsi="Segoe UI" w:cs="Segoe UI"/>
        </w:rPr>
      </w:pPr>
      <w:r w:rsidRPr="000757BC">
        <w:rPr>
          <w:rFonts w:ascii="Segoe UI" w:hAnsi="Segoe UI" w:cs="Segoe UI"/>
        </w:rPr>
        <w:t>AFAC</w:t>
      </w:r>
      <w:r w:rsidR="00CE5191" w:rsidRPr="000757BC">
        <w:rPr>
          <w:rFonts w:ascii="Segoe UI" w:hAnsi="Segoe UI" w:cs="Segoe UI"/>
        </w:rPr>
        <w:t xml:space="preserve"> </w:t>
      </w:r>
      <w:r w:rsidR="000E7CC4" w:rsidRPr="000757BC">
        <w:rPr>
          <w:rFonts w:ascii="Segoe UI" w:hAnsi="Segoe UI" w:cs="Segoe UI"/>
        </w:rPr>
        <w:t>– Em 23 de dezembro de 2022 foi publicada a Lei Nº 14.491</w:t>
      </w:r>
      <w:r w:rsidR="00A11D19" w:rsidRPr="000757BC">
        <w:rPr>
          <w:rFonts w:ascii="Segoe UI" w:hAnsi="Segoe UI" w:cs="Segoe UI"/>
        </w:rPr>
        <w:t xml:space="preserve">, </w:t>
      </w:r>
      <w:r w:rsidR="00627301" w:rsidRPr="000757BC">
        <w:rPr>
          <w:rFonts w:ascii="Segoe UI" w:hAnsi="Segoe UI" w:cs="Segoe UI"/>
        </w:rPr>
        <w:t>que abre o orçamento fiscal da União</w:t>
      </w:r>
      <w:r w:rsidR="00AD719D" w:rsidRPr="000757BC">
        <w:rPr>
          <w:rFonts w:ascii="Segoe UI" w:hAnsi="Segoe UI" w:cs="Segoe UI"/>
        </w:rPr>
        <w:t xml:space="preserve"> para ao </w:t>
      </w:r>
      <w:r w:rsidR="00CB4F85" w:rsidRPr="000757BC">
        <w:rPr>
          <w:rFonts w:ascii="Segoe UI" w:hAnsi="Segoe UI" w:cs="Segoe UI"/>
        </w:rPr>
        <w:t>crédito</w:t>
      </w:r>
      <w:r w:rsidR="00AD719D" w:rsidRPr="000757BC">
        <w:rPr>
          <w:rFonts w:ascii="Segoe UI" w:hAnsi="Segoe UI" w:cs="Segoe UI"/>
        </w:rPr>
        <w:t xml:space="preserve"> especial no valor de R$ 1</w:t>
      </w:r>
      <w:r w:rsidR="007A2BDC">
        <w:rPr>
          <w:rFonts w:ascii="Segoe UI" w:hAnsi="Segoe UI" w:cs="Segoe UI"/>
        </w:rPr>
        <w:t>.</w:t>
      </w:r>
      <w:r w:rsidR="00AD719D" w:rsidRPr="000757BC">
        <w:rPr>
          <w:rFonts w:ascii="Segoe UI" w:hAnsi="Segoe UI" w:cs="Segoe UI"/>
        </w:rPr>
        <w:t>2</w:t>
      </w:r>
      <w:r w:rsidR="001F4533">
        <w:rPr>
          <w:rFonts w:ascii="Segoe UI" w:hAnsi="Segoe UI" w:cs="Segoe UI"/>
        </w:rPr>
        <w:t>12</w:t>
      </w:r>
      <w:r w:rsidR="007A2BDC">
        <w:rPr>
          <w:rFonts w:ascii="Segoe UI" w:hAnsi="Segoe UI" w:cs="Segoe UI"/>
        </w:rPr>
        <w:t>.</w:t>
      </w:r>
      <w:r w:rsidR="001F4533">
        <w:rPr>
          <w:rFonts w:ascii="Segoe UI" w:hAnsi="Segoe UI" w:cs="Segoe UI"/>
        </w:rPr>
        <w:t>148</w:t>
      </w:r>
      <w:r w:rsidR="00AD719D" w:rsidRPr="000757BC">
        <w:rPr>
          <w:rFonts w:ascii="Segoe UI" w:hAnsi="Segoe UI" w:cs="Segoe UI"/>
        </w:rPr>
        <w:t xml:space="preserve">, com a destinação </w:t>
      </w:r>
      <w:r w:rsidR="00CB4F85" w:rsidRPr="000757BC">
        <w:rPr>
          <w:rFonts w:ascii="Segoe UI" w:hAnsi="Segoe UI" w:cs="Segoe UI"/>
        </w:rPr>
        <w:t>específica</w:t>
      </w:r>
      <w:r w:rsidR="00BC7AFE" w:rsidRPr="000757BC">
        <w:rPr>
          <w:rFonts w:ascii="Segoe UI" w:hAnsi="Segoe UI" w:cs="Segoe UI"/>
        </w:rPr>
        <w:t xml:space="preserve"> de liquidação da dívida da aquisição de Itaipu</w:t>
      </w:r>
      <w:r w:rsidR="00BA65ED" w:rsidRPr="000757BC">
        <w:rPr>
          <w:rFonts w:ascii="Segoe UI" w:hAnsi="Segoe UI" w:cs="Segoe UI"/>
        </w:rPr>
        <w:t>.</w:t>
      </w:r>
    </w:p>
    <w:p w14:paraId="1D2D9CC5" w14:textId="0AC176E8" w:rsidR="00DD26CF" w:rsidRPr="000757BC" w:rsidRDefault="00DD26CF" w:rsidP="00AE57D0">
      <w:pPr>
        <w:tabs>
          <w:tab w:val="center" w:pos="4419"/>
          <w:tab w:val="right" w:pos="8838"/>
        </w:tabs>
        <w:spacing w:before="240" w:after="120" w:line="254" w:lineRule="auto"/>
        <w:jc w:val="both"/>
        <w:rPr>
          <w:rFonts w:ascii="Segoe UI" w:hAnsi="Segoe UI" w:cs="Segoe UI"/>
        </w:rPr>
      </w:pPr>
      <w:r w:rsidRPr="000757BC">
        <w:rPr>
          <w:rFonts w:ascii="Segoe UI" w:hAnsi="Segoe UI" w:cs="Segoe UI"/>
        </w:rPr>
        <w:t xml:space="preserve">Reserva Legal – constituída à razão de 5% do lucro líquido apurado no encerramento do exercício, nos termos do artigo 193 da Lei nº 6.404/1976, até o limite de 20% do capital social. </w:t>
      </w:r>
    </w:p>
    <w:p w14:paraId="6B355342" w14:textId="7AD0545B" w:rsidR="00046993" w:rsidRPr="008E62D0" w:rsidRDefault="00A32C1C" w:rsidP="00DB7116">
      <w:pPr>
        <w:jc w:val="both"/>
        <w:rPr>
          <w:rFonts w:ascii="Segoe UI" w:hAnsi="Segoe UI" w:cs="Segoe UI"/>
        </w:rPr>
      </w:pPr>
      <w:r w:rsidRPr="008E62D0">
        <w:rPr>
          <w:rFonts w:ascii="Segoe UI" w:hAnsi="Segoe UI" w:cs="Segoe UI"/>
        </w:rPr>
        <w:t>O</w:t>
      </w:r>
      <w:r w:rsidR="007A2BDC" w:rsidRPr="008E62D0">
        <w:rPr>
          <w:rFonts w:ascii="Segoe UI" w:hAnsi="Segoe UI" w:cs="Segoe UI"/>
        </w:rPr>
        <w:t>utros</w:t>
      </w:r>
      <w:r w:rsidRPr="008E62D0">
        <w:rPr>
          <w:rFonts w:ascii="Segoe UI" w:hAnsi="Segoe UI" w:cs="Segoe UI"/>
        </w:rPr>
        <w:t xml:space="preserve"> resultados abrangentes</w:t>
      </w:r>
      <w:r w:rsidR="007A2BDC" w:rsidRPr="008E62D0">
        <w:rPr>
          <w:rFonts w:ascii="Segoe UI" w:hAnsi="Segoe UI" w:cs="Segoe UI"/>
        </w:rPr>
        <w:t xml:space="preserve"> - </w:t>
      </w:r>
      <w:r w:rsidRPr="008E62D0">
        <w:rPr>
          <w:rFonts w:ascii="Segoe UI" w:hAnsi="Segoe UI" w:cs="Segoe UI"/>
        </w:rPr>
        <w:t>se referem substancialmente a</w:t>
      </w:r>
      <w:r w:rsidR="00046993" w:rsidRPr="008E62D0">
        <w:rPr>
          <w:rFonts w:ascii="Segoe UI" w:hAnsi="Segoe UI" w:cs="Segoe UI"/>
        </w:rPr>
        <w:t xml:space="preserve"> valores apurados</w:t>
      </w:r>
      <w:r w:rsidRPr="008E62D0">
        <w:rPr>
          <w:rFonts w:ascii="Segoe UI" w:hAnsi="Segoe UI" w:cs="Segoe UI"/>
        </w:rPr>
        <w:t xml:space="preserve"> </w:t>
      </w:r>
      <w:r w:rsidR="00D36F25" w:rsidRPr="008E62D0">
        <w:rPr>
          <w:rFonts w:ascii="Segoe UI" w:hAnsi="Segoe UI" w:cs="Segoe UI"/>
        </w:rPr>
        <w:t>pela</w:t>
      </w:r>
      <w:r w:rsidRPr="008E62D0">
        <w:rPr>
          <w:rFonts w:ascii="Segoe UI" w:hAnsi="Segoe UI" w:cs="Segoe UI"/>
        </w:rPr>
        <w:t xml:space="preserve"> Eletronuclear e INB,</w:t>
      </w:r>
      <w:r w:rsidR="00046993" w:rsidRPr="008E62D0">
        <w:rPr>
          <w:rFonts w:ascii="Segoe UI" w:hAnsi="Segoe UI" w:cs="Segoe UI"/>
        </w:rPr>
        <w:t xml:space="preserve"> por meio de avaliação atuarial independente</w:t>
      </w:r>
      <w:r w:rsidR="0068081C" w:rsidRPr="008E62D0">
        <w:rPr>
          <w:rFonts w:ascii="Segoe UI" w:hAnsi="Segoe UI" w:cs="Segoe UI"/>
        </w:rPr>
        <w:t xml:space="preserve">, </w:t>
      </w:r>
      <w:r w:rsidR="00046993" w:rsidRPr="008E62D0">
        <w:rPr>
          <w:rFonts w:ascii="Segoe UI" w:hAnsi="Segoe UI" w:cs="Segoe UI"/>
        </w:rPr>
        <w:t xml:space="preserve">conforme demonstrado anteriormente na nota explicativa nº </w:t>
      </w:r>
      <w:r w:rsidRPr="008E62D0">
        <w:rPr>
          <w:rFonts w:ascii="Segoe UI" w:hAnsi="Segoe UI" w:cs="Segoe UI"/>
        </w:rPr>
        <w:t>21</w:t>
      </w:r>
      <w:r w:rsidR="00AE57D0" w:rsidRPr="008E62D0">
        <w:rPr>
          <w:rFonts w:ascii="Segoe UI" w:hAnsi="Segoe UI" w:cs="Segoe UI"/>
        </w:rPr>
        <w:t>.</w:t>
      </w:r>
    </w:p>
    <w:p w14:paraId="1067CA93" w14:textId="380C450C" w:rsidR="00607E81" w:rsidRDefault="007A2BDC" w:rsidP="006C1F5D">
      <w:pPr>
        <w:rPr>
          <w:rFonts w:ascii="Segoe UI" w:hAnsi="Segoe UI" w:cs="Segoe UI"/>
        </w:rPr>
      </w:pPr>
      <w:r w:rsidRPr="00C906E8">
        <w:rPr>
          <w:rFonts w:ascii="Segoe UI" w:hAnsi="Segoe UI" w:cs="Segoe UI"/>
        </w:rPr>
        <w:t xml:space="preserve">Reserva de Capital </w:t>
      </w:r>
      <w:r w:rsidR="002E5050" w:rsidRPr="00C906E8">
        <w:rPr>
          <w:rFonts w:ascii="Segoe UI" w:hAnsi="Segoe UI" w:cs="Segoe UI"/>
        </w:rPr>
        <w:t>–</w:t>
      </w:r>
      <w:r w:rsidRPr="00C906E8">
        <w:rPr>
          <w:rFonts w:ascii="Segoe UI" w:hAnsi="Segoe UI" w:cs="Segoe UI"/>
        </w:rPr>
        <w:t xml:space="preserve"> </w:t>
      </w:r>
      <w:r w:rsidR="002E5050" w:rsidRPr="00C906E8">
        <w:rPr>
          <w:rFonts w:ascii="Segoe UI" w:hAnsi="Segoe UI" w:cs="Segoe UI"/>
        </w:rPr>
        <w:t xml:space="preserve">O valor </w:t>
      </w:r>
      <w:r w:rsidR="0009345E" w:rsidRPr="00D75AAA">
        <w:rPr>
          <w:rFonts w:ascii="Segoe UI" w:hAnsi="Segoe UI" w:cs="Segoe UI"/>
        </w:rPr>
        <w:t xml:space="preserve">será </w:t>
      </w:r>
      <w:r w:rsidR="006D0E05" w:rsidRPr="00D75AAA">
        <w:rPr>
          <w:rFonts w:ascii="Segoe UI" w:hAnsi="Segoe UI" w:cs="Segoe UI"/>
        </w:rPr>
        <w:t xml:space="preserve">destinado </w:t>
      </w:r>
      <w:r w:rsidR="006B4BA5" w:rsidRPr="00D75AAA">
        <w:rPr>
          <w:rFonts w:ascii="Segoe UI" w:hAnsi="Segoe UI" w:cs="Segoe UI"/>
        </w:rPr>
        <w:t>a</w:t>
      </w:r>
      <w:r w:rsidR="002E5050" w:rsidRPr="00C906E8">
        <w:rPr>
          <w:rFonts w:ascii="Segoe UI" w:hAnsi="Segoe UI" w:cs="Segoe UI"/>
        </w:rPr>
        <w:t xml:space="preserve"> incorporação do capital social</w:t>
      </w:r>
      <w:r w:rsidR="000E597E" w:rsidRPr="00D75AAA">
        <w:rPr>
          <w:rFonts w:ascii="Segoe UI" w:hAnsi="Segoe UI" w:cs="Segoe UI"/>
        </w:rPr>
        <w:t>.</w:t>
      </w:r>
      <w:bookmarkStart w:id="13" w:name="_Hlk129882462"/>
    </w:p>
    <w:tbl>
      <w:tblPr>
        <w:tblW w:w="5000" w:type="pct"/>
        <w:tblCellMar>
          <w:left w:w="70" w:type="dxa"/>
          <w:right w:w="70" w:type="dxa"/>
        </w:tblCellMar>
        <w:tblLook w:val="04A0" w:firstRow="1" w:lastRow="0" w:firstColumn="1" w:lastColumn="0" w:noHBand="0" w:noVBand="1"/>
      </w:tblPr>
      <w:tblGrid>
        <w:gridCol w:w="7565"/>
        <w:gridCol w:w="1932"/>
      </w:tblGrid>
      <w:tr w:rsidR="00D71E85" w:rsidRPr="00D71E85" w14:paraId="127B5F9A" w14:textId="77777777" w:rsidTr="00482C5E">
        <w:trPr>
          <w:trHeight w:val="240"/>
        </w:trPr>
        <w:tc>
          <w:tcPr>
            <w:tcW w:w="3983" w:type="pct"/>
            <w:tcBorders>
              <w:top w:val="nil"/>
              <w:left w:val="nil"/>
              <w:bottom w:val="nil"/>
              <w:right w:val="nil"/>
            </w:tcBorders>
            <w:shd w:val="clear" w:color="000000" w:fill="1B80C4"/>
            <w:noWrap/>
            <w:vAlign w:val="bottom"/>
            <w:hideMark/>
          </w:tcPr>
          <w:p w14:paraId="1AE54A76" w14:textId="7AB74404" w:rsidR="00D71E85" w:rsidRPr="00D71E85" w:rsidRDefault="00D71E85" w:rsidP="00D71E85">
            <w:pPr>
              <w:spacing w:after="0" w:line="240" w:lineRule="auto"/>
              <w:jc w:val="center"/>
              <w:rPr>
                <w:rFonts w:ascii="Segoe UI" w:eastAsia="Times New Roman" w:hAnsi="Segoe UI" w:cs="Segoe UI"/>
                <w:b/>
                <w:bCs/>
                <w:color w:val="FFFFFF"/>
                <w:sz w:val="18"/>
                <w:szCs w:val="18"/>
                <w:lang w:eastAsia="pt-BR"/>
              </w:rPr>
            </w:pPr>
            <w:r w:rsidRPr="00D71E85">
              <w:rPr>
                <w:rFonts w:ascii="Segoe UI" w:eastAsia="Times New Roman" w:hAnsi="Segoe UI" w:cs="Segoe UI"/>
                <w:b/>
                <w:bCs/>
                <w:color w:val="FFFFFF"/>
                <w:sz w:val="18"/>
                <w:szCs w:val="18"/>
                <w:lang w:eastAsia="pt-BR"/>
              </w:rPr>
              <w:t xml:space="preserve">Distribuição do Lucro do Exercício </w:t>
            </w:r>
          </w:p>
        </w:tc>
        <w:tc>
          <w:tcPr>
            <w:tcW w:w="1017" w:type="pct"/>
            <w:tcBorders>
              <w:top w:val="nil"/>
              <w:left w:val="nil"/>
              <w:bottom w:val="nil"/>
              <w:right w:val="nil"/>
            </w:tcBorders>
            <w:shd w:val="clear" w:color="000000" w:fill="1B80C4"/>
            <w:noWrap/>
            <w:vAlign w:val="center"/>
            <w:hideMark/>
          </w:tcPr>
          <w:p w14:paraId="69663E92" w14:textId="77777777" w:rsidR="00D71E85" w:rsidRPr="00D71E85" w:rsidRDefault="00D71E85" w:rsidP="00D71E85">
            <w:pPr>
              <w:spacing w:after="0" w:line="240" w:lineRule="auto"/>
              <w:jc w:val="center"/>
              <w:rPr>
                <w:rFonts w:ascii="Segoe UI" w:eastAsia="Times New Roman" w:hAnsi="Segoe UI" w:cs="Segoe UI"/>
                <w:b/>
                <w:bCs/>
                <w:color w:val="FFFFFF"/>
                <w:sz w:val="18"/>
                <w:szCs w:val="18"/>
                <w:lang w:eastAsia="pt-BR"/>
              </w:rPr>
            </w:pPr>
            <w:r w:rsidRPr="00D71E85">
              <w:rPr>
                <w:rFonts w:ascii="Segoe UI" w:eastAsia="Times New Roman" w:hAnsi="Segoe UI" w:cs="Segoe UI"/>
                <w:b/>
                <w:bCs/>
                <w:color w:val="FFFFFF"/>
                <w:sz w:val="18"/>
                <w:szCs w:val="18"/>
                <w:lang w:eastAsia="pt-BR"/>
              </w:rPr>
              <w:t>31/12/2022</w:t>
            </w:r>
          </w:p>
        </w:tc>
      </w:tr>
      <w:tr w:rsidR="00D71E85" w:rsidRPr="00D71E85" w14:paraId="4AF0BB21" w14:textId="77777777" w:rsidTr="00482C5E">
        <w:trPr>
          <w:trHeight w:val="240"/>
        </w:trPr>
        <w:tc>
          <w:tcPr>
            <w:tcW w:w="3983" w:type="pct"/>
            <w:tcBorders>
              <w:top w:val="nil"/>
              <w:left w:val="nil"/>
              <w:bottom w:val="nil"/>
              <w:right w:val="nil"/>
            </w:tcBorders>
            <w:shd w:val="clear" w:color="auto" w:fill="auto"/>
            <w:vAlign w:val="center"/>
            <w:hideMark/>
          </w:tcPr>
          <w:p w14:paraId="220F5463" w14:textId="63B941F7" w:rsidR="00D71E85" w:rsidRPr="00482C5E" w:rsidRDefault="00D71E85" w:rsidP="00D71E85">
            <w:pPr>
              <w:spacing w:after="0" w:line="240" w:lineRule="auto"/>
              <w:rPr>
                <w:rFonts w:ascii="Calibri" w:hAnsi="Calibri"/>
                <w:color w:val="000000"/>
                <w:sz w:val="18"/>
              </w:rPr>
            </w:pPr>
            <w:r w:rsidRPr="00482C5E">
              <w:rPr>
                <w:rFonts w:ascii="Calibri" w:hAnsi="Calibri"/>
                <w:color w:val="000000"/>
                <w:sz w:val="18"/>
              </w:rPr>
              <w:t xml:space="preserve">Lucro do </w:t>
            </w:r>
            <w:r w:rsidRPr="00D71E85">
              <w:rPr>
                <w:rFonts w:ascii="Calibri" w:eastAsia="Times New Roman" w:hAnsi="Calibri" w:cs="Calibri"/>
                <w:color w:val="000000"/>
                <w:sz w:val="18"/>
                <w:szCs w:val="18"/>
                <w:lang w:eastAsia="pt-BR"/>
              </w:rPr>
              <w:t>Exercício</w:t>
            </w:r>
          </w:p>
        </w:tc>
        <w:tc>
          <w:tcPr>
            <w:tcW w:w="1017" w:type="pct"/>
            <w:tcBorders>
              <w:top w:val="nil"/>
              <w:left w:val="nil"/>
              <w:bottom w:val="nil"/>
              <w:right w:val="nil"/>
            </w:tcBorders>
            <w:shd w:val="clear" w:color="auto" w:fill="auto"/>
            <w:vAlign w:val="center"/>
            <w:hideMark/>
          </w:tcPr>
          <w:p w14:paraId="412531B5" w14:textId="46B2DDDC" w:rsidR="00D71E85" w:rsidRPr="00482C5E" w:rsidRDefault="00D71E85" w:rsidP="00D71E85">
            <w:pPr>
              <w:spacing w:after="0" w:line="240" w:lineRule="auto"/>
              <w:jc w:val="right"/>
              <w:rPr>
                <w:rFonts w:ascii="Calibri" w:hAnsi="Calibri"/>
                <w:color w:val="000000"/>
                <w:sz w:val="18"/>
              </w:rPr>
            </w:pPr>
            <w:r w:rsidRPr="00482C5E">
              <w:rPr>
                <w:rFonts w:ascii="Calibri" w:hAnsi="Calibri"/>
                <w:color w:val="000000"/>
                <w:sz w:val="18"/>
              </w:rPr>
              <w:t>105.895</w:t>
            </w:r>
          </w:p>
        </w:tc>
      </w:tr>
      <w:tr w:rsidR="00D71E85" w:rsidRPr="00D71E85" w14:paraId="3EB3ED8C" w14:textId="77777777" w:rsidTr="00482C5E">
        <w:trPr>
          <w:trHeight w:val="240"/>
        </w:trPr>
        <w:tc>
          <w:tcPr>
            <w:tcW w:w="3983" w:type="pct"/>
            <w:tcBorders>
              <w:top w:val="nil"/>
              <w:left w:val="nil"/>
              <w:bottom w:val="nil"/>
              <w:right w:val="nil"/>
            </w:tcBorders>
            <w:shd w:val="clear" w:color="auto" w:fill="auto"/>
            <w:vAlign w:val="center"/>
            <w:hideMark/>
          </w:tcPr>
          <w:p w14:paraId="1047BAAE" w14:textId="7619E6B4" w:rsidR="00D71E85" w:rsidRPr="00482C5E" w:rsidRDefault="00D71E85" w:rsidP="00D71E85">
            <w:pPr>
              <w:spacing w:after="0" w:line="240" w:lineRule="auto"/>
              <w:rPr>
                <w:rFonts w:ascii="Calibri" w:hAnsi="Calibri"/>
                <w:color w:val="000000"/>
                <w:sz w:val="18"/>
              </w:rPr>
            </w:pPr>
            <w:r w:rsidRPr="00D71E85">
              <w:rPr>
                <w:rFonts w:ascii="Calibri" w:eastAsia="Times New Roman" w:hAnsi="Calibri" w:cs="Calibri"/>
                <w:color w:val="000000"/>
                <w:sz w:val="18"/>
                <w:szCs w:val="18"/>
                <w:lang w:eastAsia="pt-BR"/>
              </w:rPr>
              <w:t>(-)</w:t>
            </w:r>
            <w:r w:rsidRPr="00482C5E">
              <w:rPr>
                <w:rFonts w:ascii="Calibri" w:hAnsi="Calibri"/>
                <w:color w:val="000000"/>
                <w:sz w:val="18"/>
              </w:rPr>
              <w:t xml:space="preserve"> Constituição da </w:t>
            </w:r>
            <w:r w:rsidRPr="00D71E85">
              <w:rPr>
                <w:rFonts w:ascii="Calibri" w:eastAsia="Times New Roman" w:hAnsi="Calibri" w:cs="Calibri"/>
                <w:color w:val="000000"/>
                <w:sz w:val="18"/>
                <w:szCs w:val="18"/>
                <w:lang w:eastAsia="pt-BR"/>
              </w:rPr>
              <w:t>Reserva Legal (5%)</w:t>
            </w:r>
          </w:p>
        </w:tc>
        <w:tc>
          <w:tcPr>
            <w:tcW w:w="1017" w:type="pct"/>
            <w:tcBorders>
              <w:top w:val="nil"/>
              <w:left w:val="nil"/>
              <w:bottom w:val="single" w:sz="4" w:space="0" w:color="1B80C4"/>
              <w:right w:val="nil"/>
            </w:tcBorders>
            <w:shd w:val="clear" w:color="auto" w:fill="auto"/>
            <w:noWrap/>
            <w:vAlign w:val="center"/>
            <w:hideMark/>
          </w:tcPr>
          <w:p w14:paraId="2AD168F3" w14:textId="5B245F91" w:rsidR="00D71E85" w:rsidRPr="00D71E85" w:rsidRDefault="00D71E85" w:rsidP="00D71E85">
            <w:pPr>
              <w:spacing w:after="0" w:line="240" w:lineRule="auto"/>
              <w:jc w:val="right"/>
              <w:rPr>
                <w:rFonts w:ascii="Segoe UI" w:eastAsia="Times New Roman" w:hAnsi="Segoe UI" w:cs="Segoe UI"/>
                <w:color w:val="000000"/>
                <w:sz w:val="18"/>
                <w:szCs w:val="18"/>
                <w:lang w:eastAsia="pt-BR"/>
              </w:rPr>
            </w:pPr>
            <w:r w:rsidRPr="00D71E85">
              <w:rPr>
                <w:rFonts w:ascii="Segoe UI" w:eastAsia="Times New Roman" w:hAnsi="Segoe UI" w:cs="Segoe UI"/>
                <w:color w:val="000000"/>
                <w:sz w:val="18"/>
                <w:szCs w:val="18"/>
                <w:lang w:eastAsia="pt-BR"/>
              </w:rPr>
              <w:t>5.295</w:t>
            </w:r>
          </w:p>
        </w:tc>
      </w:tr>
      <w:tr w:rsidR="00D71E85" w:rsidRPr="00D71E85" w14:paraId="5C431575" w14:textId="77777777" w:rsidTr="00D71E85">
        <w:trPr>
          <w:trHeight w:val="240"/>
        </w:trPr>
        <w:tc>
          <w:tcPr>
            <w:tcW w:w="3983" w:type="pct"/>
            <w:tcBorders>
              <w:top w:val="nil"/>
              <w:left w:val="nil"/>
              <w:bottom w:val="nil"/>
              <w:right w:val="nil"/>
            </w:tcBorders>
            <w:shd w:val="clear" w:color="auto" w:fill="auto"/>
            <w:vAlign w:val="center"/>
            <w:hideMark/>
          </w:tcPr>
          <w:p w14:paraId="17ACE157" w14:textId="77777777" w:rsidR="00D71E85" w:rsidRPr="00D71E85" w:rsidRDefault="00D71E85" w:rsidP="00D71E85">
            <w:pPr>
              <w:spacing w:after="0" w:line="240" w:lineRule="auto"/>
              <w:rPr>
                <w:rFonts w:ascii="Calibri" w:eastAsia="Times New Roman" w:hAnsi="Calibri" w:cs="Calibri"/>
                <w:b/>
                <w:bCs/>
                <w:color w:val="000000"/>
                <w:sz w:val="18"/>
                <w:szCs w:val="18"/>
                <w:lang w:eastAsia="pt-BR"/>
              </w:rPr>
            </w:pPr>
            <w:r w:rsidRPr="00D71E85">
              <w:rPr>
                <w:rFonts w:ascii="Calibri" w:eastAsia="Times New Roman" w:hAnsi="Calibri" w:cs="Calibri"/>
                <w:b/>
                <w:bCs/>
                <w:color w:val="000000"/>
                <w:sz w:val="18"/>
                <w:szCs w:val="18"/>
                <w:lang w:eastAsia="pt-BR"/>
              </w:rPr>
              <w:t>Lucro Líquido Ajustado (art. 202 da Lei nº 6.404/1976)</w:t>
            </w:r>
          </w:p>
        </w:tc>
        <w:tc>
          <w:tcPr>
            <w:tcW w:w="1017" w:type="pct"/>
            <w:tcBorders>
              <w:top w:val="nil"/>
              <w:left w:val="nil"/>
              <w:bottom w:val="nil"/>
              <w:right w:val="nil"/>
            </w:tcBorders>
            <w:shd w:val="clear" w:color="auto" w:fill="auto"/>
            <w:noWrap/>
            <w:vAlign w:val="center"/>
            <w:hideMark/>
          </w:tcPr>
          <w:p w14:paraId="5E4D7309" w14:textId="1294DFB2" w:rsidR="00D71E85" w:rsidRPr="00D71E85" w:rsidRDefault="00D71E85" w:rsidP="00D71E85">
            <w:pPr>
              <w:spacing w:after="0" w:line="240" w:lineRule="auto"/>
              <w:jc w:val="right"/>
              <w:rPr>
                <w:rFonts w:ascii="Segoe UI" w:eastAsia="Times New Roman" w:hAnsi="Segoe UI" w:cs="Segoe UI"/>
                <w:b/>
                <w:bCs/>
                <w:color w:val="000000"/>
                <w:sz w:val="18"/>
                <w:szCs w:val="18"/>
                <w:lang w:eastAsia="pt-BR"/>
              </w:rPr>
            </w:pPr>
            <w:r w:rsidRPr="00D71E85">
              <w:rPr>
                <w:rFonts w:ascii="Segoe UI" w:eastAsia="Times New Roman" w:hAnsi="Segoe UI" w:cs="Segoe UI"/>
                <w:b/>
                <w:bCs/>
                <w:color w:val="000000"/>
                <w:sz w:val="18"/>
                <w:szCs w:val="18"/>
                <w:lang w:eastAsia="pt-BR"/>
              </w:rPr>
              <w:t>100.600</w:t>
            </w:r>
          </w:p>
        </w:tc>
      </w:tr>
      <w:tr w:rsidR="00D71E85" w:rsidRPr="00D71E85" w14:paraId="1FC45829" w14:textId="77777777" w:rsidTr="00482C5E">
        <w:trPr>
          <w:trHeight w:val="240"/>
        </w:trPr>
        <w:tc>
          <w:tcPr>
            <w:tcW w:w="3983" w:type="pct"/>
            <w:tcBorders>
              <w:top w:val="nil"/>
              <w:left w:val="nil"/>
              <w:bottom w:val="nil"/>
              <w:right w:val="nil"/>
            </w:tcBorders>
            <w:shd w:val="clear" w:color="auto" w:fill="auto"/>
            <w:vAlign w:val="center"/>
            <w:hideMark/>
          </w:tcPr>
          <w:p w14:paraId="149B06A5" w14:textId="6653B25A" w:rsidR="00D71E85" w:rsidRPr="00482C5E" w:rsidRDefault="00D71E85" w:rsidP="00D71E85">
            <w:pPr>
              <w:spacing w:after="0" w:line="240" w:lineRule="auto"/>
              <w:rPr>
                <w:rFonts w:ascii="Calibri" w:hAnsi="Calibri"/>
                <w:color w:val="000000"/>
                <w:sz w:val="18"/>
              </w:rPr>
            </w:pPr>
            <w:r w:rsidRPr="00482C5E">
              <w:rPr>
                <w:rFonts w:ascii="Calibri" w:hAnsi="Calibri"/>
                <w:color w:val="000000"/>
                <w:sz w:val="18"/>
              </w:rPr>
              <w:t xml:space="preserve">Dividendo a </w:t>
            </w:r>
            <w:r w:rsidRPr="00D71E85">
              <w:rPr>
                <w:rFonts w:ascii="Calibri" w:eastAsia="Times New Roman" w:hAnsi="Calibri" w:cs="Calibri"/>
                <w:color w:val="000000"/>
                <w:sz w:val="18"/>
                <w:szCs w:val="18"/>
                <w:lang w:eastAsia="pt-BR"/>
              </w:rPr>
              <w:t>Distribuir (25%)</w:t>
            </w:r>
          </w:p>
        </w:tc>
        <w:tc>
          <w:tcPr>
            <w:tcW w:w="1017" w:type="pct"/>
            <w:tcBorders>
              <w:top w:val="nil"/>
              <w:left w:val="nil"/>
              <w:bottom w:val="nil"/>
              <w:right w:val="nil"/>
            </w:tcBorders>
            <w:shd w:val="clear" w:color="auto" w:fill="auto"/>
            <w:vAlign w:val="center"/>
            <w:hideMark/>
          </w:tcPr>
          <w:p w14:paraId="1A5A92F4" w14:textId="4F96D6E9" w:rsidR="00D71E85" w:rsidRPr="00482C5E" w:rsidRDefault="00D71E85" w:rsidP="00D71E85">
            <w:pPr>
              <w:spacing w:after="0" w:line="240" w:lineRule="auto"/>
              <w:jc w:val="right"/>
              <w:rPr>
                <w:rFonts w:ascii="Calibri" w:hAnsi="Calibri"/>
                <w:color w:val="000000"/>
                <w:sz w:val="18"/>
              </w:rPr>
            </w:pPr>
            <w:r w:rsidRPr="00482C5E">
              <w:rPr>
                <w:rFonts w:ascii="Calibri" w:hAnsi="Calibri"/>
                <w:color w:val="000000"/>
                <w:sz w:val="18"/>
              </w:rPr>
              <w:t>25.150</w:t>
            </w:r>
          </w:p>
        </w:tc>
      </w:tr>
      <w:tr w:rsidR="00D71E85" w:rsidRPr="00D71E85" w14:paraId="56B62D5B" w14:textId="77777777" w:rsidTr="00482C5E">
        <w:trPr>
          <w:trHeight w:val="240"/>
        </w:trPr>
        <w:tc>
          <w:tcPr>
            <w:tcW w:w="3983" w:type="pct"/>
            <w:tcBorders>
              <w:top w:val="nil"/>
              <w:left w:val="nil"/>
              <w:bottom w:val="nil"/>
              <w:right w:val="nil"/>
            </w:tcBorders>
            <w:shd w:val="clear" w:color="auto" w:fill="auto"/>
            <w:vAlign w:val="center"/>
            <w:hideMark/>
          </w:tcPr>
          <w:p w14:paraId="4A76D53E" w14:textId="35D59A97" w:rsidR="00D71E85" w:rsidRPr="00482C5E" w:rsidRDefault="00D71E85" w:rsidP="00D71E85">
            <w:pPr>
              <w:spacing w:after="0" w:line="240" w:lineRule="auto"/>
              <w:rPr>
                <w:rFonts w:ascii="Calibri" w:hAnsi="Calibri"/>
                <w:color w:val="000000"/>
                <w:sz w:val="18"/>
              </w:rPr>
            </w:pPr>
            <w:r w:rsidRPr="00D71E85">
              <w:rPr>
                <w:rFonts w:ascii="Calibri" w:eastAsia="Times New Roman" w:hAnsi="Calibri" w:cs="Calibri"/>
                <w:color w:val="000000"/>
                <w:sz w:val="18"/>
                <w:szCs w:val="18"/>
                <w:lang w:eastAsia="pt-BR"/>
              </w:rPr>
              <w:t xml:space="preserve">Reserva </w:t>
            </w:r>
            <w:r w:rsidR="002A0D12">
              <w:rPr>
                <w:rFonts w:ascii="Calibri" w:eastAsia="Times New Roman" w:hAnsi="Calibri" w:cs="Calibri"/>
                <w:color w:val="000000"/>
                <w:sz w:val="18"/>
                <w:szCs w:val="18"/>
                <w:lang w:eastAsia="pt-BR"/>
              </w:rPr>
              <w:t>de</w:t>
            </w:r>
            <w:r w:rsidRPr="00D71E85">
              <w:rPr>
                <w:rFonts w:ascii="Calibri" w:eastAsia="Times New Roman" w:hAnsi="Calibri" w:cs="Calibri"/>
                <w:color w:val="000000"/>
                <w:sz w:val="18"/>
                <w:szCs w:val="18"/>
                <w:lang w:eastAsia="pt-BR"/>
              </w:rPr>
              <w:t xml:space="preserve"> Capital (75%)</w:t>
            </w:r>
          </w:p>
        </w:tc>
        <w:tc>
          <w:tcPr>
            <w:tcW w:w="1017" w:type="pct"/>
            <w:tcBorders>
              <w:top w:val="nil"/>
              <w:left w:val="nil"/>
              <w:bottom w:val="nil"/>
              <w:right w:val="nil"/>
            </w:tcBorders>
            <w:shd w:val="clear" w:color="auto" w:fill="auto"/>
            <w:vAlign w:val="center"/>
            <w:hideMark/>
          </w:tcPr>
          <w:p w14:paraId="4BDF75C7" w14:textId="5F3A7D11" w:rsidR="00D71E85" w:rsidRPr="00482C5E" w:rsidRDefault="00D71E85" w:rsidP="00D71E85">
            <w:pPr>
              <w:spacing w:after="0" w:line="240" w:lineRule="auto"/>
              <w:jc w:val="right"/>
              <w:rPr>
                <w:rFonts w:ascii="Calibri" w:hAnsi="Calibri"/>
                <w:color w:val="000000"/>
                <w:sz w:val="18"/>
              </w:rPr>
            </w:pPr>
            <w:r w:rsidRPr="00482C5E">
              <w:rPr>
                <w:rFonts w:ascii="Calibri" w:hAnsi="Calibri"/>
                <w:color w:val="000000"/>
                <w:sz w:val="18"/>
              </w:rPr>
              <w:t>75.450</w:t>
            </w:r>
          </w:p>
        </w:tc>
      </w:tr>
    </w:tbl>
    <w:p w14:paraId="3F48274D" w14:textId="43F2CCD3" w:rsidR="00D8024A" w:rsidRPr="00D8024A" w:rsidRDefault="00D8024A" w:rsidP="00D8024A">
      <w:pPr>
        <w:jc w:val="both"/>
        <w:rPr>
          <w:rFonts w:ascii="Segoe UI" w:hAnsi="Segoe UI" w:cs="Segoe UI"/>
        </w:rPr>
      </w:pPr>
      <w:r w:rsidRPr="00D8024A">
        <w:rPr>
          <w:rFonts w:ascii="Segoe UI" w:hAnsi="Segoe UI" w:cs="Segoe UI"/>
        </w:rPr>
        <w:lastRenderedPageBreak/>
        <w:t xml:space="preserve">Dividendos </w:t>
      </w:r>
      <w:r>
        <w:rPr>
          <w:rFonts w:ascii="Segoe UI" w:hAnsi="Segoe UI" w:cs="Segoe UI"/>
        </w:rPr>
        <w:t xml:space="preserve">- </w:t>
      </w:r>
      <w:r w:rsidRPr="00D8024A">
        <w:rPr>
          <w:rFonts w:ascii="Segoe UI" w:hAnsi="Segoe UI" w:cs="Segoe UI"/>
        </w:rPr>
        <w:t>Os acionistas terão direito, em cada exercício, aos dividendos mínimos obrigatórios, que, segundo o Estatuto da Companhia, serão de 25% do lucro líquido ajustado, na forma da Lei das Sociedades por Ações.</w:t>
      </w:r>
    </w:p>
    <w:bookmarkEnd w:id="13"/>
    <w:p w14:paraId="4E18793B" w14:textId="77777777" w:rsidR="00D8024A" w:rsidRDefault="00D8024A" w:rsidP="00D8024A"/>
    <w:p w14:paraId="112F4F77" w14:textId="581E446F" w:rsidR="00E20106" w:rsidRPr="000757BC" w:rsidRDefault="00607E81" w:rsidP="0057143E">
      <w:pPr>
        <w:tabs>
          <w:tab w:val="left" w:pos="567"/>
          <w:tab w:val="left" w:pos="1134"/>
          <w:tab w:val="left" w:pos="1701"/>
          <w:tab w:val="left" w:pos="2268"/>
          <w:tab w:val="left" w:pos="2835"/>
        </w:tabs>
        <w:jc w:val="both"/>
        <w:outlineLvl w:val="0"/>
        <w:rPr>
          <w:rFonts w:ascii="Segoe UI" w:hAnsi="Segoe UI" w:cs="Segoe UI"/>
          <w:color w:val="0070C0"/>
        </w:rPr>
      </w:pPr>
      <w:r w:rsidRPr="000757BC">
        <w:rPr>
          <w:rFonts w:ascii="Segoe UI" w:hAnsi="Segoe UI" w:cs="Segoe UI"/>
          <w:b/>
          <w:color w:val="0070C0"/>
        </w:rPr>
        <w:t>2</w:t>
      </w:r>
      <w:r w:rsidR="002A4E82">
        <w:rPr>
          <w:rFonts w:ascii="Segoe UI" w:hAnsi="Segoe UI" w:cs="Segoe UI"/>
          <w:b/>
          <w:color w:val="0070C0"/>
        </w:rPr>
        <w:t>4</w:t>
      </w:r>
      <w:r w:rsidRPr="000757BC">
        <w:rPr>
          <w:rFonts w:ascii="Segoe UI" w:hAnsi="Segoe UI" w:cs="Segoe UI"/>
          <w:b/>
          <w:color w:val="0070C0"/>
        </w:rPr>
        <w:t xml:space="preserve"> – RECEITA OPERACIONAL LÍQUIDA</w:t>
      </w:r>
      <w:r w:rsidRPr="00180C54">
        <w:rPr>
          <w:rFonts w:ascii="Segoe UI" w:hAnsi="Segoe UI" w:cs="Segoe UI"/>
          <w:b/>
          <w:color w:val="0070C0"/>
        </w:rPr>
        <w:t xml:space="preserve"> </w:t>
      </w:r>
    </w:p>
    <w:tbl>
      <w:tblPr>
        <w:tblW w:w="4937" w:type="pct"/>
        <w:tblCellMar>
          <w:left w:w="70" w:type="dxa"/>
          <w:right w:w="70" w:type="dxa"/>
        </w:tblCellMar>
        <w:tblLook w:val="04A0" w:firstRow="1" w:lastRow="0" w:firstColumn="1" w:lastColumn="0" w:noHBand="0" w:noVBand="1"/>
      </w:tblPr>
      <w:tblGrid>
        <w:gridCol w:w="5900"/>
        <w:gridCol w:w="1922"/>
        <w:gridCol w:w="1555"/>
      </w:tblGrid>
      <w:tr w:rsidR="003D712C" w:rsidRPr="00864E94" w14:paraId="050C0C2E" w14:textId="77777777" w:rsidTr="003D712C">
        <w:trPr>
          <w:trHeight w:val="23"/>
        </w:trPr>
        <w:tc>
          <w:tcPr>
            <w:tcW w:w="3146" w:type="pct"/>
            <w:tcBorders>
              <w:top w:val="nil"/>
              <w:left w:val="nil"/>
              <w:bottom w:val="nil"/>
              <w:right w:val="nil"/>
            </w:tcBorders>
            <w:shd w:val="clear" w:color="auto" w:fill="auto"/>
            <w:noWrap/>
            <w:vAlign w:val="bottom"/>
            <w:hideMark/>
          </w:tcPr>
          <w:p w14:paraId="07F126C1" w14:textId="77777777" w:rsidR="003D712C" w:rsidRPr="00864E94" w:rsidRDefault="003D712C" w:rsidP="00864E94">
            <w:pPr>
              <w:spacing w:after="0" w:line="240" w:lineRule="auto"/>
              <w:rPr>
                <w:rFonts w:ascii="Times New Roman" w:eastAsia="Times New Roman" w:hAnsi="Times New Roman" w:cs="Times New Roman"/>
                <w:sz w:val="24"/>
                <w:szCs w:val="24"/>
                <w:lang w:eastAsia="pt-BR"/>
              </w:rPr>
            </w:pPr>
          </w:p>
        </w:tc>
        <w:tc>
          <w:tcPr>
            <w:tcW w:w="1025" w:type="pct"/>
            <w:tcBorders>
              <w:top w:val="nil"/>
              <w:left w:val="nil"/>
              <w:bottom w:val="nil"/>
              <w:right w:val="nil"/>
            </w:tcBorders>
            <w:shd w:val="clear" w:color="000000" w:fill="1B80C4"/>
            <w:noWrap/>
            <w:vAlign w:val="bottom"/>
            <w:hideMark/>
          </w:tcPr>
          <w:p w14:paraId="49686379" w14:textId="77777777" w:rsidR="003D712C" w:rsidRPr="00864E94" w:rsidRDefault="003D712C"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 xml:space="preserve"> Controladora </w:t>
            </w:r>
          </w:p>
        </w:tc>
        <w:tc>
          <w:tcPr>
            <w:tcW w:w="829" w:type="pct"/>
            <w:tcBorders>
              <w:top w:val="nil"/>
              <w:left w:val="nil"/>
              <w:bottom w:val="nil"/>
              <w:right w:val="nil"/>
            </w:tcBorders>
            <w:shd w:val="clear" w:color="000000" w:fill="1B80C4"/>
            <w:noWrap/>
            <w:vAlign w:val="bottom"/>
            <w:hideMark/>
          </w:tcPr>
          <w:p w14:paraId="21423C32" w14:textId="77777777" w:rsidR="003D712C" w:rsidRPr="00864E94" w:rsidRDefault="003D712C"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 xml:space="preserve"> Consolidado </w:t>
            </w:r>
          </w:p>
        </w:tc>
      </w:tr>
      <w:tr w:rsidR="003D712C" w:rsidRPr="00864E94" w14:paraId="3EB0E9AF" w14:textId="77777777" w:rsidTr="003D712C">
        <w:trPr>
          <w:trHeight w:val="23"/>
        </w:trPr>
        <w:tc>
          <w:tcPr>
            <w:tcW w:w="3146" w:type="pct"/>
            <w:tcBorders>
              <w:top w:val="nil"/>
              <w:left w:val="nil"/>
              <w:bottom w:val="nil"/>
              <w:right w:val="nil"/>
            </w:tcBorders>
            <w:shd w:val="clear" w:color="auto" w:fill="auto"/>
            <w:noWrap/>
            <w:vAlign w:val="bottom"/>
            <w:hideMark/>
          </w:tcPr>
          <w:p w14:paraId="3A3BF529" w14:textId="77777777" w:rsidR="003D712C" w:rsidRPr="00C04C98" w:rsidRDefault="003D712C" w:rsidP="00C04C98">
            <w:pPr>
              <w:spacing w:after="0" w:line="240" w:lineRule="auto"/>
              <w:rPr>
                <w:rFonts w:ascii="Segoe UI" w:eastAsia="Times New Roman" w:hAnsi="Segoe UI" w:cs="Segoe UI"/>
                <w:b/>
                <w:sz w:val="18"/>
                <w:szCs w:val="18"/>
                <w:lang w:eastAsia="pt-BR"/>
              </w:rPr>
            </w:pPr>
          </w:p>
        </w:tc>
        <w:tc>
          <w:tcPr>
            <w:tcW w:w="1025" w:type="pct"/>
            <w:tcBorders>
              <w:top w:val="single" w:sz="4" w:space="0" w:color="FFFFFF"/>
              <w:left w:val="nil"/>
              <w:bottom w:val="single" w:sz="4" w:space="0" w:color="FFFFFF"/>
              <w:right w:val="nil"/>
            </w:tcBorders>
            <w:shd w:val="clear" w:color="000000" w:fill="1B80C4"/>
            <w:noWrap/>
            <w:vAlign w:val="center"/>
            <w:hideMark/>
          </w:tcPr>
          <w:p w14:paraId="2939056E" w14:textId="77777777" w:rsidR="003D712C" w:rsidRPr="00864E94" w:rsidRDefault="003D712C"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31/12/2022</w:t>
            </w:r>
          </w:p>
        </w:tc>
        <w:tc>
          <w:tcPr>
            <w:tcW w:w="829" w:type="pct"/>
            <w:tcBorders>
              <w:top w:val="single" w:sz="4" w:space="0" w:color="FFFFFF"/>
              <w:left w:val="nil"/>
              <w:bottom w:val="single" w:sz="4" w:space="0" w:color="FFFFFF"/>
              <w:right w:val="nil"/>
            </w:tcBorders>
            <w:shd w:val="clear" w:color="000000" w:fill="1B80C4"/>
            <w:noWrap/>
            <w:vAlign w:val="center"/>
            <w:hideMark/>
          </w:tcPr>
          <w:p w14:paraId="7E8E932C" w14:textId="77777777" w:rsidR="003D712C" w:rsidRPr="00864E94" w:rsidRDefault="003D712C" w:rsidP="00864E94">
            <w:pPr>
              <w:spacing w:after="0" w:line="240" w:lineRule="auto"/>
              <w:jc w:val="center"/>
              <w:rPr>
                <w:rFonts w:ascii="Segoe UI" w:eastAsia="Times New Roman" w:hAnsi="Segoe UI" w:cs="Segoe UI"/>
                <w:b/>
                <w:bCs/>
                <w:color w:val="FFFFFF"/>
                <w:sz w:val="18"/>
                <w:szCs w:val="18"/>
                <w:lang w:eastAsia="pt-BR"/>
              </w:rPr>
            </w:pPr>
            <w:r w:rsidRPr="00864E94">
              <w:rPr>
                <w:rFonts w:ascii="Segoe UI" w:eastAsia="Times New Roman" w:hAnsi="Segoe UI" w:cs="Segoe UI"/>
                <w:b/>
                <w:bCs/>
                <w:color w:val="FFFFFF"/>
                <w:sz w:val="18"/>
                <w:szCs w:val="18"/>
                <w:lang w:eastAsia="pt-BR"/>
              </w:rPr>
              <w:t>31/12/2022</w:t>
            </w:r>
          </w:p>
        </w:tc>
      </w:tr>
      <w:tr w:rsidR="00B93833" w:rsidRPr="00864E94" w14:paraId="6DE1ACFB" w14:textId="77777777" w:rsidTr="00B93833">
        <w:trPr>
          <w:trHeight w:val="23"/>
        </w:trPr>
        <w:tc>
          <w:tcPr>
            <w:tcW w:w="3146" w:type="pct"/>
            <w:tcBorders>
              <w:top w:val="nil"/>
              <w:left w:val="nil"/>
              <w:bottom w:val="nil"/>
              <w:right w:val="nil"/>
            </w:tcBorders>
            <w:shd w:val="clear" w:color="auto" w:fill="auto"/>
            <w:noWrap/>
            <w:vAlign w:val="bottom"/>
          </w:tcPr>
          <w:p w14:paraId="001247B4" w14:textId="097D0BCA" w:rsidR="00B93833" w:rsidRPr="00C04C98" w:rsidRDefault="00EA0812" w:rsidP="00C04C98">
            <w:pPr>
              <w:spacing w:after="0" w:line="240" w:lineRule="auto"/>
              <w:rPr>
                <w:rFonts w:ascii="Segoe UI" w:eastAsia="Times New Roman" w:hAnsi="Segoe UI" w:cs="Segoe UI"/>
                <w:b/>
                <w:bCs/>
                <w:sz w:val="18"/>
                <w:szCs w:val="18"/>
                <w:lang w:eastAsia="pt-BR"/>
              </w:rPr>
            </w:pPr>
            <w:r w:rsidRPr="00C04C98">
              <w:rPr>
                <w:rFonts w:ascii="Segoe UI" w:eastAsia="Times New Roman" w:hAnsi="Segoe UI" w:cs="Segoe UI"/>
                <w:b/>
                <w:bCs/>
                <w:sz w:val="18"/>
                <w:szCs w:val="18"/>
                <w:lang w:eastAsia="pt-BR"/>
              </w:rPr>
              <w:t>Receitas</w:t>
            </w:r>
          </w:p>
        </w:tc>
        <w:tc>
          <w:tcPr>
            <w:tcW w:w="1025" w:type="pct"/>
            <w:tcBorders>
              <w:top w:val="single" w:sz="4" w:space="0" w:color="FFFFFF"/>
              <w:left w:val="nil"/>
              <w:bottom w:val="single" w:sz="4" w:space="0" w:color="FFFFFF"/>
              <w:right w:val="nil"/>
            </w:tcBorders>
            <w:shd w:val="clear" w:color="auto" w:fill="auto"/>
            <w:noWrap/>
            <w:vAlign w:val="center"/>
          </w:tcPr>
          <w:p w14:paraId="58556C1A" w14:textId="77777777" w:rsidR="00B93833" w:rsidRPr="00864E94" w:rsidRDefault="00B93833" w:rsidP="00864E94">
            <w:pPr>
              <w:spacing w:after="0" w:line="240" w:lineRule="auto"/>
              <w:jc w:val="center"/>
              <w:rPr>
                <w:rFonts w:ascii="Segoe UI" w:eastAsia="Times New Roman" w:hAnsi="Segoe UI" w:cs="Segoe UI"/>
                <w:b/>
                <w:bCs/>
                <w:color w:val="FFFFFF"/>
                <w:sz w:val="18"/>
                <w:szCs w:val="18"/>
                <w:lang w:eastAsia="pt-BR"/>
              </w:rPr>
            </w:pPr>
          </w:p>
        </w:tc>
        <w:tc>
          <w:tcPr>
            <w:tcW w:w="829" w:type="pct"/>
            <w:tcBorders>
              <w:top w:val="single" w:sz="4" w:space="0" w:color="FFFFFF"/>
              <w:left w:val="nil"/>
              <w:bottom w:val="single" w:sz="4" w:space="0" w:color="FFFFFF"/>
              <w:right w:val="nil"/>
            </w:tcBorders>
            <w:shd w:val="clear" w:color="auto" w:fill="auto"/>
            <w:noWrap/>
            <w:vAlign w:val="center"/>
          </w:tcPr>
          <w:p w14:paraId="602105A0" w14:textId="77777777" w:rsidR="00B93833" w:rsidRPr="00864E94" w:rsidRDefault="00B93833" w:rsidP="00864E94">
            <w:pPr>
              <w:spacing w:after="0" w:line="240" w:lineRule="auto"/>
              <w:jc w:val="center"/>
              <w:rPr>
                <w:rFonts w:ascii="Segoe UI" w:eastAsia="Times New Roman" w:hAnsi="Segoe UI" w:cs="Segoe UI"/>
                <w:b/>
                <w:bCs/>
                <w:color w:val="FFFFFF"/>
                <w:sz w:val="18"/>
                <w:szCs w:val="18"/>
                <w:lang w:eastAsia="pt-BR"/>
              </w:rPr>
            </w:pPr>
          </w:p>
        </w:tc>
      </w:tr>
      <w:tr w:rsidR="003D712C" w:rsidRPr="00864E94" w14:paraId="5A9D522A" w14:textId="77777777" w:rsidTr="003D712C">
        <w:trPr>
          <w:trHeight w:val="23"/>
        </w:trPr>
        <w:tc>
          <w:tcPr>
            <w:tcW w:w="3146" w:type="pct"/>
            <w:tcBorders>
              <w:top w:val="nil"/>
              <w:left w:val="nil"/>
              <w:bottom w:val="nil"/>
              <w:right w:val="nil"/>
            </w:tcBorders>
            <w:shd w:val="clear" w:color="auto" w:fill="auto"/>
            <w:noWrap/>
            <w:vAlign w:val="center"/>
            <w:hideMark/>
          </w:tcPr>
          <w:p w14:paraId="2401AB3A" w14:textId="77777777" w:rsidR="003D712C" w:rsidRPr="00864E94" w:rsidRDefault="003D712C" w:rsidP="00864E94">
            <w:pPr>
              <w:spacing w:after="0" w:line="240" w:lineRule="auto"/>
              <w:ind w:firstLineChars="100" w:firstLine="180"/>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Receita com suprimento de energia elétrica </w:t>
            </w:r>
          </w:p>
        </w:tc>
        <w:tc>
          <w:tcPr>
            <w:tcW w:w="1025" w:type="pct"/>
            <w:tcBorders>
              <w:top w:val="nil"/>
              <w:left w:val="nil"/>
              <w:bottom w:val="nil"/>
              <w:right w:val="nil"/>
            </w:tcBorders>
            <w:shd w:val="clear" w:color="auto" w:fill="auto"/>
            <w:noWrap/>
            <w:vAlign w:val="center"/>
            <w:hideMark/>
          </w:tcPr>
          <w:p w14:paraId="6F12A2F0" w14:textId="0F5FD7E5" w:rsidR="003D712C" w:rsidRPr="00864E94" w:rsidRDefault="003D712C"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w:t>
            </w:r>
          </w:p>
        </w:tc>
        <w:tc>
          <w:tcPr>
            <w:tcW w:w="829" w:type="pct"/>
            <w:tcBorders>
              <w:top w:val="nil"/>
              <w:left w:val="nil"/>
              <w:bottom w:val="nil"/>
              <w:right w:val="nil"/>
            </w:tcBorders>
            <w:shd w:val="clear" w:color="auto" w:fill="auto"/>
            <w:noWrap/>
            <w:vAlign w:val="center"/>
            <w:hideMark/>
          </w:tcPr>
          <w:p w14:paraId="152F8210" w14:textId="7E34094B" w:rsidR="003D712C" w:rsidRPr="00864E94" w:rsidRDefault="003D712C"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2.557.078</w:t>
            </w:r>
          </w:p>
        </w:tc>
      </w:tr>
      <w:tr w:rsidR="003D712C" w:rsidRPr="00864E94" w14:paraId="727A7CEA" w14:textId="77777777" w:rsidTr="003D712C">
        <w:trPr>
          <w:trHeight w:val="23"/>
        </w:trPr>
        <w:tc>
          <w:tcPr>
            <w:tcW w:w="3146" w:type="pct"/>
            <w:tcBorders>
              <w:top w:val="nil"/>
              <w:left w:val="nil"/>
              <w:bottom w:val="nil"/>
              <w:right w:val="nil"/>
            </w:tcBorders>
            <w:shd w:val="clear" w:color="auto" w:fill="auto"/>
            <w:noWrap/>
            <w:vAlign w:val="center"/>
            <w:hideMark/>
          </w:tcPr>
          <w:p w14:paraId="6065F17E" w14:textId="340AA1A6" w:rsidR="003D712C" w:rsidRPr="00864E94" w:rsidRDefault="003D712C" w:rsidP="00864E94">
            <w:pPr>
              <w:spacing w:after="0" w:line="240" w:lineRule="auto"/>
              <w:ind w:firstLineChars="100" w:firstLine="180"/>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Receita com ressarcimento de encargos administração e supervisão  </w:t>
            </w:r>
          </w:p>
        </w:tc>
        <w:tc>
          <w:tcPr>
            <w:tcW w:w="1025" w:type="pct"/>
            <w:tcBorders>
              <w:top w:val="nil"/>
              <w:left w:val="nil"/>
              <w:bottom w:val="nil"/>
              <w:right w:val="nil"/>
            </w:tcBorders>
            <w:shd w:val="clear" w:color="auto" w:fill="auto"/>
            <w:noWrap/>
            <w:vAlign w:val="center"/>
            <w:hideMark/>
          </w:tcPr>
          <w:p w14:paraId="41EE5F9E" w14:textId="443A3455" w:rsidR="003D712C" w:rsidRPr="00864E94" w:rsidRDefault="003D712C"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21.844</w:t>
            </w:r>
          </w:p>
        </w:tc>
        <w:tc>
          <w:tcPr>
            <w:tcW w:w="829" w:type="pct"/>
            <w:tcBorders>
              <w:top w:val="nil"/>
              <w:left w:val="nil"/>
              <w:bottom w:val="nil"/>
              <w:right w:val="nil"/>
            </w:tcBorders>
            <w:shd w:val="clear" w:color="auto" w:fill="auto"/>
            <w:noWrap/>
            <w:vAlign w:val="center"/>
            <w:hideMark/>
          </w:tcPr>
          <w:p w14:paraId="021B7595" w14:textId="1D676FC9" w:rsidR="003D712C" w:rsidRPr="00864E94" w:rsidRDefault="003D712C"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21.844</w:t>
            </w:r>
          </w:p>
        </w:tc>
      </w:tr>
      <w:tr w:rsidR="003D712C" w:rsidRPr="00864E94" w14:paraId="62F7F98C" w14:textId="77777777" w:rsidTr="003D712C">
        <w:trPr>
          <w:trHeight w:val="23"/>
        </w:trPr>
        <w:tc>
          <w:tcPr>
            <w:tcW w:w="3146" w:type="pct"/>
            <w:tcBorders>
              <w:top w:val="nil"/>
              <w:left w:val="nil"/>
              <w:bottom w:val="nil"/>
              <w:right w:val="nil"/>
            </w:tcBorders>
            <w:shd w:val="clear" w:color="auto" w:fill="auto"/>
            <w:noWrap/>
            <w:vAlign w:val="center"/>
            <w:hideMark/>
          </w:tcPr>
          <w:p w14:paraId="60170828" w14:textId="1AF02511" w:rsidR="003D712C" w:rsidRPr="00864E94" w:rsidRDefault="003D712C" w:rsidP="00864E94">
            <w:pPr>
              <w:spacing w:after="0" w:line="240" w:lineRule="auto"/>
              <w:ind w:firstLineChars="100" w:firstLine="180"/>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Receita com </w:t>
            </w:r>
            <w:r>
              <w:rPr>
                <w:rFonts w:ascii="Segoe UI" w:eastAsia="Times New Roman" w:hAnsi="Segoe UI" w:cs="Segoe UI"/>
                <w:color w:val="000000"/>
                <w:sz w:val="18"/>
                <w:szCs w:val="18"/>
                <w:lang w:eastAsia="pt-BR"/>
              </w:rPr>
              <w:t>v</w:t>
            </w:r>
            <w:r w:rsidRPr="00864E94">
              <w:rPr>
                <w:rFonts w:ascii="Segoe UI" w:eastAsia="Times New Roman" w:hAnsi="Segoe UI" w:cs="Segoe UI"/>
                <w:color w:val="000000"/>
                <w:sz w:val="18"/>
                <w:szCs w:val="18"/>
                <w:lang w:eastAsia="pt-BR"/>
              </w:rPr>
              <w:t xml:space="preserve">enda de </w:t>
            </w:r>
            <w:r>
              <w:rPr>
                <w:rFonts w:ascii="Segoe UI" w:eastAsia="Times New Roman" w:hAnsi="Segoe UI" w:cs="Segoe UI"/>
                <w:color w:val="000000"/>
                <w:sz w:val="18"/>
                <w:szCs w:val="18"/>
                <w:lang w:eastAsia="pt-BR"/>
              </w:rPr>
              <w:t>p</w:t>
            </w:r>
            <w:r w:rsidRPr="00864E94">
              <w:rPr>
                <w:rFonts w:ascii="Segoe UI" w:eastAsia="Times New Roman" w:hAnsi="Segoe UI" w:cs="Segoe UI"/>
                <w:color w:val="000000"/>
                <w:sz w:val="18"/>
                <w:szCs w:val="18"/>
                <w:lang w:eastAsia="pt-BR"/>
              </w:rPr>
              <w:t xml:space="preserve">rodutos e </w:t>
            </w:r>
            <w:r>
              <w:rPr>
                <w:rFonts w:ascii="Segoe UI" w:eastAsia="Times New Roman" w:hAnsi="Segoe UI" w:cs="Segoe UI"/>
                <w:color w:val="000000"/>
                <w:sz w:val="18"/>
                <w:szCs w:val="18"/>
                <w:lang w:eastAsia="pt-BR"/>
              </w:rPr>
              <w:t>s</w:t>
            </w:r>
            <w:r w:rsidRPr="00864E94">
              <w:rPr>
                <w:rFonts w:ascii="Segoe UI" w:eastAsia="Times New Roman" w:hAnsi="Segoe UI" w:cs="Segoe UI"/>
                <w:color w:val="000000"/>
                <w:sz w:val="18"/>
                <w:szCs w:val="18"/>
                <w:lang w:eastAsia="pt-BR"/>
              </w:rPr>
              <w:t xml:space="preserve">erviços </w:t>
            </w:r>
          </w:p>
        </w:tc>
        <w:tc>
          <w:tcPr>
            <w:tcW w:w="1025" w:type="pct"/>
            <w:tcBorders>
              <w:top w:val="nil"/>
              <w:left w:val="nil"/>
              <w:bottom w:val="nil"/>
              <w:right w:val="nil"/>
            </w:tcBorders>
            <w:shd w:val="clear" w:color="auto" w:fill="auto"/>
            <w:noWrap/>
            <w:vAlign w:val="center"/>
            <w:hideMark/>
          </w:tcPr>
          <w:p w14:paraId="6EA0CDB4" w14:textId="16CF02FE" w:rsidR="003D712C" w:rsidRPr="00864E94" w:rsidRDefault="003D712C"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w:t>
            </w:r>
          </w:p>
        </w:tc>
        <w:tc>
          <w:tcPr>
            <w:tcW w:w="829" w:type="pct"/>
            <w:tcBorders>
              <w:top w:val="nil"/>
              <w:left w:val="nil"/>
              <w:bottom w:val="nil"/>
              <w:right w:val="nil"/>
            </w:tcBorders>
            <w:shd w:val="clear" w:color="auto" w:fill="auto"/>
            <w:noWrap/>
            <w:vAlign w:val="center"/>
            <w:hideMark/>
          </w:tcPr>
          <w:p w14:paraId="6EE85B00" w14:textId="05AAB042" w:rsidR="003D712C" w:rsidRPr="00864E94" w:rsidRDefault="003D712C"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34.657</w:t>
            </w:r>
          </w:p>
        </w:tc>
      </w:tr>
      <w:tr w:rsidR="003D712C" w:rsidRPr="00864E94" w14:paraId="03545EED" w14:textId="77777777" w:rsidTr="003D712C">
        <w:trPr>
          <w:trHeight w:val="23"/>
        </w:trPr>
        <w:tc>
          <w:tcPr>
            <w:tcW w:w="3146" w:type="pct"/>
            <w:tcBorders>
              <w:top w:val="nil"/>
              <w:left w:val="nil"/>
              <w:bottom w:val="nil"/>
              <w:right w:val="nil"/>
            </w:tcBorders>
            <w:shd w:val="clear" w:color="auto" w:fill="auto"/>
            <w:noWrap/>
            <w:vAlign w:val="center"/>
            <w:hideMark/>
          </w:tcPr>
          <w:p w14:paraId="5E2D5516" w14:textId="77777777" w:rsidR="003D712C" w:rsidRPr="00864E94" w:rsidRDefault="003D712C" w:rsidP="00864E94">
            <w:pPr>
              <w:spacing w:after="0" w:line="240" w:lineRule="auto"/>
              <w:ind w:firstLineChars="100" w:firstLine="180"/>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Outras receitas </w:t>
            </w:r>
          </w:p>
        </w:tc>
        <w:tc>
          <w:tcPr>
            <w:tcW w:w="1025" w:type="pct"/>
            <w:tcBorders>
              <w:top w:val="nil"/>
              <w:left w:val="nil"/>
              <w:bottom w:val="single" w:sz="4" w:space="0" w:color="1B80C4"/>
              <w:right w:val="nil"/>
            </w:tcBorders>
            <w:shd w:val="clear" w:color="auto" w:fill="auto"/>
            <w:noWrap/>
            <w:vAlign w:val="center"/>
            <w:hideMark/>
          </w:tcPr>
          <w:p w14:paraId="0C26160C" w14:textId="2D8EE2C7" w:rsidR="003D712C" w:rsidRPr="00864E94" w:rsidRDefault="003D712C"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w:t>
            </w:r>
          </w:p>
        </w:tc>
        <w:tc>
          <w:tcPr>
            <w:tcW w:w="829" w:type="pct"/>
            <w:tcBorders>
              <w:top w:val="nil"/>
              <w:left w:val="nil"/>
              <w:bottom w:val="single" w:sz="4" w:space="0" w:color="1B80C4"/>
              <w:right w:val="nil"/>
            </w:tcBorders>
            <w:shd w:val="clear" w:color="auto" w:fill="auto"/>
            <w:noWrap/>
            <w:vAlign w:val="center"/>
            <w:hideMark/>
          </w:tcPr>
          <w:p w14:paraId="267C22EB" w14:textId="194F0D56" w:rsidR="003D712C" w:rsidRPr="00864E94" w:rsidRDefault="003D712C"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5.471</w:t>
            </w:r>
          </w:p>
        </w:tc>
      </w:tr>
      <w:tr w:rsidR="003D712C" w:rsidRPr="00864E94" w14:paraId="62E0FDC6" w14:textId="77777777" w:rsidTr="003D712C">
        <w:trPr>
          <w:trHeight w:val="23"/>
        </w:trPr>
        <w:tc>
          <w:tcPr>
            <w:tcW w:w="3146" w:type="pct"/>
            <w:tcBorders>
              <w:top w:val="nil"/>
              <w:left w:val="nil"/>
              <w:bottom w:val="nil"/>
              <w:right w:val="nil"/>
            </w:tcBorders>
            <w:shd w:val="clear" w:color="auto" w:fill="auto"/>
            <w:noWrap/>
            <w:vAlign w:val="center"/>
            <w:hideMark/>
          </w:tcPr>
          <w:p w14:paraId="56CA5D7F" w14:textId="77777777" w:rsidR="003D712C" w:rsidRPr="00864E94" w:rsidRDefault="003D712C" w:rsidP="00864E94">
            <w:pPr>
              <w:spacing w:after="0" w:line="240" w:lineRule="auto"/>
              <w:jc w:val="right"/>
              <w:rPr>
                <w:rFonts w:ascii="Segoe UI" w:eastAsia="Times New Roman" w:hAnsi="Segoe UI" w:cs="Segoe UI"/>
                <w:sz w:val="18"/>
                <w:szCs w:val="18"/>
                <w:lang w:eastAsia="pt-BR"/>
              </w:rPr>
            </w:pPr>
          </w:p>
        </w:tc>
        <w:tc>
          <w:tcPr>
            <w:tcW w:w="1025" w:type="pct"/>
            <w:tcBorders>
              <w:top w:val="nil"/>
              <w:left w:val="nil"/>
              <w:bottom w:val="nil"/>
              <w:right w:val="nil"/>
            </w:tcBorders>
            <w:shd w:val="clear" w:color="auto" w:fill="auto"/>
            <w:noWrap/>
            <w:vAlign w:val="bottom"/>
            <w:hideMark/>
          </w:tcPr>
          <w:p w14:paraId="2C71C235" w14:textId="6D424DCF" w:rsidR="003D712C" w:rsidRPr="00864E94" w:rsidRDefault="003D712C"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21.844</w:t>
            </w:r>
          </w:p>
        </w:tc>
        <w:tc>
          <w:tcPr>
            <w:tcW w:w="829" w:type="pct"/>
            <w:tcBorders>
              <w:top w:val="nil"/>
              <w:left w:val="nil"/>
              <w:bottom w:val="nil"/>
              <w:right w:val="nil"/>
            </w:tcBorders>
            <w:shd w:val="clear" w:color="auto" w:fill="auto"/>
            <w:noWrap/>
            <w:vAlign w:val="bottom"/>
            <w:hideMark/>
          </w:tcPr>
          <w:p w14:paraId="258B0F91" w14:textId="2EE39955" w:rsidR="003D712C" w:rsidRPr="00864E94" w:rsidRDefault="003D712C"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2.619.050</w:t>
            </w:r>
          </w:p>
        </w:tc>
      </w:tr>
      <w:tr w:rsidR="003D712C" w:rsidRPr="00864E94" w14:paraId="73454A42" w14:textId="77777777" w:rsidTr="003D712C">
        <w:trPr>
          <w:trHeight w:val="23"/>
        </w:trPr>
        <w:tc>
          <w:tcPr>
            <w:tcW w:w="3146" w:type="pct"/>
            <w:tcBorders>
              <w:top w:val="nil"/>
              <w:left w:val="nil"/>
              <w:bottom w:val="nil"/>
              <w:right w:val="nil"/>
            </w:tcBorders>
            <w:shd w:val="clear" w:color="auto" w:fill="auto"/>
            <w:noWrap/>
            <w:vAlign w:val="center"/>
            <w:hideMark/>
          </w:tcPr>
          <w:p w14:paraId="6C74756F" w14:textId="5605CC26" w:rsidR="003D712C" w:rsidRPr="00864E94" w:rsidRDefault="003D712C" w:rsidP="00864E94">
            <w:pPr>
              <w:spacing w:after="0" w:line="240" w:lineRule="auto"/>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 xml:space="preserve"> </w:t>
            </w:r>
            <w:r w:rsidR="00EA0812" w:rsidRPr="00864E94">
              <w:rPr>
                <w:rFonts w:ascii="Segoe UI" w:eastAsia="Times New Roman" w:hAnsi="Segoe UI" w:cs="Segoe UI"/>
                <w:b/>
                <w:bCs/>
                <w:color w:val="000000"/>
                <w:sz w:val="18"/>
                <w:szCs w:val="18"/>
                <w:lang w:eastAsia="pt-BR"/>
              </w:rPr>
              <w:t xml:space="preserve">Deduções </w:t>
            </w:r>
          </w:p>
        </w:tc>
        <w:tc>
          <w:tcPr>
            <w:tcW w:w="1025" w:type="pct"/>
            <w:tcBorders>
              <w:top w:val="nil"/>
              <w:left w:val="nil"/>
              <w:bottom w:val="nil"/>
              <w:right w:val="nil"/>
            </w:tcBorders>
            <w:shd w:val="clear" w:color="auto" w:fill="auto"/>
            <w:noWrap/>
            <w:vAlign w:val="bottom"/>
            <w:hideMark/>
          </w:tcPr>
          <w:p w14:paraId="4ACA21BA" w14:textId="77777777" w:rsidR="003D712C" w:rsidRPr="00864E94" w:rsidRDefault="003D712C" w:rsidP="00864E94">
            <w:pPr>
              <w:spacing w:after="0" w:line="240" w:lineRule="auto"/>
              <w:jc w:val="right"/>
              <w:rPr>
                <w:rFonts w:ascii="Segoe UI" w:eastAsia="Times New Roman" w:hAnsi="Segoe UI" w:cs="Segoe UI"/>
                <w:b/>
                <w:bCs/>
                <w:color w:val="000000"/>
                <w:sz w:val="18"/>
                <w:szCs w:val="18"/>
                <w:lang w:eastAsia="pt-BR"/>
              </w:rPr>
            </w:pPr>
          </w:p>
        </w:tc>
        <w:tc>
          <w:tcPr>
            <w:tcW w:w="829" w:type="pct"/>
            <w:tcBorders>
              <w:top w:val="nil"/>
              <w:left w:val="nil"/>
              <w:bottom w:val="nil"/>
              <w:right w:val="nil"/>
            </w:tcBorders>
            <w:shd w:val="clear" w:color="auto" w:fill="auto"/>
            <w:noWrap/>
            <w:vAlign w:val="bottom"/>
            <w:hideMark/>
          </w:tcPr>
          <w:p w14:paraId="18E70F5E" w14:textId="77777777" w:rsidR="003D712C" w:rsidRPr="00864E94" w:rsidRDefault="003D712C" w:rsidP="00864E94">
            <w:pPr>
              <w:spacing w:after="0" w:line="240" w:lineRule="auto"/>
              <w:jc w:val="right"/>
              <w:rPr>
                <w:rFonts w:ascii="Times New Roman" w:eastAsia="Times New Roman" w:hAnsi="Times New Roman" w:cs="Times New Roman"/>
                <w:sz w:val="20"/>
                <w:szCs w:val="20"/>
                <w:lang w:eastAsia="pt-BR"/>
              </w:rPr>
            </w:pPr>
          </w:p>
        </w:tc>
      </w:tr>
      <w:tr w:rsidR="003D712C" w:rsidRPr="00864E94" w14:paraId="3A6E262D" w14:textId="77777777" w:rsidTr="003D712C">
        <w:trPr>
          <w:trHeight w:val="23"/>
        </w:trPr>
        <w:tc>
          <w:tcPr>
            <w:tcW w:w="3146" w:type="pct"/>
            <w:tcBorders>
              <w:top w:val="nil"/>
              <w:left w:val="nil"/>
              <w:bottom w:val="nil"/>
              <w:right w:val="nil"/>
            </w:tcBorders>
            <w:shd w:val="clear" w:color="auto" w:fill="auto"/>
            <w:noWrap/>
            <w:vAlign w:val="center"/>
            <w:hideMark/>
          </w:tcPr>
          <w:p w14:paraId="443EC042" w14:textId="77777777" w:rsidR="003D712C" w:rsidRPr="00864E94" w:rsidRDefault="003D712C"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 PASEP e COFINS </w:t>
            </w:r>
          </w:p>
        </w:tc>
        <w:tc>
          <w:tcPr>
            <w:tcW w:w="1025" w:type="pct"/>
            <w:tcBorders>
              <w:top w:val="nil"/>
              <w:left w:val="nil"/>
              <w:bottom w:val="nil"/>
              <w:right w:val="nil"/>
            </w:tcBorders>
            <w:shd w:val="clear" w:color="auto" w:fill="auto"/>
            <w:noWrap/>
            <w:vAlign w:val="center"/>
            <w:hideMark/>
          </w:tcPr>
          <w:p w14:paraId="36628E9A" w14:textId="172849E5" w:rsidR="003D712C" w:rsidRPr="00864E94" w:rsidRDefault="003D712C"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(2.021)</w:t>
            </w:r>
          </w:p>
        </w:tc>
        <w:tc>
          <w:tcPr>
            <w:tcW w:w="829" w:type="pct"/>
            <w:tcBorders>
              <w:top w:val="nil"/>
              <w:left w:val="nil"/>
              <w:bottom w:val="nil"/>
              <w:right w:val="nil"/>
            </w:tcBorders>
            <w:shd w:val="clear" w:color="auto" w:fill="auto"/>
            <w:noWrap/>
            <w:vAlign w:val="center"/>
            <w:hideMark/>
          </w:tcPr>
          <w:p w14:paraId="31984A7B" w14:textId="0235B572" w:rsidR="003D712C" w:rsidRPr="00864E94" w:rsidRDefault="003D712C"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(239.235)</w:t>
            </w:r>
          </w:p>
        </w:tc>
      </w:tr>
      <w:tr w:rsidR="003D712C" w:rsidRPr="00864E94" w14:paraId="627C927C" w14:textId="77777777" w:rsidTr="003D712C">
        <w:trPr>
          <w:trHeight w:val="23"/>
        </w:trPr>
        <w:tc>
          <w:tcPr>
            <w:tcW w:w="3146" w:type="pct"/>
            <w:tcBorders>
              <w:top w:val="nil"/>
              <w:left w:val="nil"/>
              <w:bottom w:val="nil"/>
              <w:right w:val="nil"/>
            </w:tcBorders>
            <w:shd w:val="clear" w:color="auto" w:fill="auto"/>
            <w:noWrap/>
            <w:vAlign w:val="center"/>
            <w:hideMark/>
          </w:tcPr>
          <w:p w14:paraId="2EBB6FDB" w14:textId="77777777" w:rsidR="003D712C" w:rsidRPr="00864E94" w:rsidRDefault="003D712C" w:rsidP="00864E94">
            <w:pPr>
              <w:spacing w:after="0" w:line="240" w:lineRule="auto"/>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 xml:space="preserve">     (-) Outros </w:t>
            </w:r>
          </w:p>
        </w:tc>
        <w:tc>
          <w:tcPr>
            <w:tcW w:w="1025" w:type="pct"/>
            <w:tcBorders>
              <w:top w:val="nil"/>
              <w:left w:val="nil"/>
              <w:bottom w:val="single" w:sz="4" w:space="0" w:color="1B80C4"/>
              <w:right w:val="nil"/>
            </w:tcBorders>
            <w:shd w:val="clear" w:color="auto" w:fill="auto"/>
            <w:noWrap/>
            <w:vAlign w:val="center"/>
            <w:hideMark/>
          </w:tcPr>
          <w:p w14:paraId="67BEE06D" w14:textId="423EB9C2" w:rsidR="003D712C" w:rsidRPr="00864E94" w:rsidRDefault="003D712C" w:rsidP="00864E94">
            <w:pPr>
              <w:spacing w:after="0" w:line="240" w:lineRule="auto"/>
              <w:jc w:val="right"/>
              <w:rPr>
                <w:rFonts w:ascii="Segoe UI" w:eastAsia="Times New Roman" w:hAnsi="Segoe UI" w:cs="Segoe UI"/>
                <w:color w:val="000000"/>
                <w:sz w:val="18"/>
                <w:szCs w:val="18"/>
                <w:lang w:eastAsia="pt-BR"/>
              </w:rPr>
            </w:pPr>
            <w:r w:rsidRPr="00864E94">
              <w:rPr>
                <w:rFonts w:ascii="Segoe UI" w:eastAsia="Times New Roman" w:hAnsi="Segoe UI" w:cs="Segoe UI"/>
                <w:color w:val="000000"/>
                <w:sz w:val="18"/>
                <w:szCs w:val="18"/>
                <w:lang w:eastAsia="pt-BR"/>
              </w:rPr>
              <w:t>-</w:t>
            </w:r>
          </w:p>
        </w:tc>
        <w:tc>
          <w:tcPr>
            <w:tcW w:w="829" w:type="pct"/>
            <w:tcBorders>
              <w:top w:val="nil"/>
              <w:left w:val="nil"/>
              <w:bottom w:val="single" w:sz="4" w:space="0" w:color="1B80C4"/>
              <w:right w:val="nil"/>
            </w:tcBorders>
            <w:shd w:val="clear" w:color="auto" w:fill="auto"/>
            <w:noWrap/>
            <w:vAlign w:val="center"/>
            <w:hideMark/>
          </w:tcPr>
          <w:p w14:paraId="4AB024B2" w14:textId="46FFCC7E" w:rsidR="003D712C" w:rsidRPr="00864E94" w:rsidRDefault="003D712C" w:rsidP="00864E94">
            <w:pPr>
              <w:spacing w:after="0" w:line="240" w:lineRule="auto"/>
              <w:jc w:val="right"/>
              <w:rPr>
                <w:rFonts w:ascii="Segoe UI" w:eastAsia="Times New Roman" w:hAnsi="Segoe UI" w:cs="Segoe UI"/>
                <w:sz w:val="18"/>
                <w:szCs w:val="18"/>
                <w:lang w:eastAsia="pt-BR"/>
              </w:rPr>
            </w:pPr>
            <w:r w:rsidRPr="00864E94">
              <w:rPr>
                <w:rFonts w:ascii="Segoe UI" w:eastAsia="Times New Roman" w:hAnsi="Segoe UI" w:cs="Segoe UI"/>
                <w:sz w:val="18"/>
                <w:szCs w:val="18"/>
                <w:lang w:eastAsia="pt-BR"/>
              </w:rPr>
              <w:t>(77.008)</w:t>
            </w:r>
          </w:p>
        </w:tc>
      </w:tr>
      <w:tr w:rsidR="003D712C" w:rsidRPr="00864E94" w14:paraId="0E1DC372" w14:textId="77777777" w:rsidTr="003D712C">
        <w:trPr>
          <w:trHeight w:val="23"/>
        </w:trPr>
        <w:tc>
          <w:tcPr>
            <w:tcW w:w="3146" w:type="pct"/>
            <w:tcBorders>
              <w:top w:val="nil"/>
              <w:left w:val="nil"/>
              <w:bottom w:val="nil"/>
              <w:right w:val="nil"/>
            </w:tcBorders>
            <w:shd w:val="clear" w:color="auto" w:fill="auto"/>
            <w:noWrap/>
            <w:vAlign w:val="center"/>
            <w:hideMark/>
          </w:tcPr>
          <w:p w14:paraId="600C865F" w14:textId="77777777" w:rsidR="003D712C" w:rsidRPr="00864E94" w:rsidRDefault="003D712C" w:rsidP="00864E94">
            <w:pPr>
              <w:spacing w:after="0" w:line="240" w:lineRule="auto"/>
              <w:jc w:val="right"/>
              <w:rPr>
                <w:rFonts w:ascii="Segoe UI" w:eastAsia="Times New Roman" w:hAnsi="Segoe UI" w:cs="Segoe UI"/>
                <w:sz w:val="18"/>
                <w:szCs w:val="18"/>
                <w:lang w:eastAsia="pt-BR"/>
              </w:rPr>
            </w:pPr>
          </w:p>
        </w:tc>
        <w:tc>
          <w:tcPr>
            <w:tcW w:w="1025" w:type="pct"/>
            <w:tcBorders>
              <w:top w:val="nil"/>
              <w:left w:val="nil"/>
              <w:bottom w:val="nil"/>
              <w:right w:val="nil"/>
            </w:tcBorders>
            <w:shd w:val="clear" w:color="auto" w:fill="auto"/>
            <w:noWrap/>
            <w:vAlign w:val="bottom"/>
            <w:hideMark/>
          </w:tcPr>
          <w:p w14:paraId="5B8BD6DB" w14:textId="25DC71D5" w:rsidR="003D712C" w:rsidRPr="00864E94" w:rsidRDefault="003D712C"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(2.021)</w:t>
            </w:r>
          </w:p>
        </w:tc>
        <w:tc>
          <w:tcPr>
            <w:tcW w:w="829" w:type="pct"/>
            <w:tcBorders>
              <w:top w:val="nil"/>
              <w:left w:val="nil"/>
              <w:bottom w:val="nil"/>
              <w:right w:val="nil"/>
            </w:tcBorders>
            <w:shd w:val="clear" w:color="auto" w:fill="auto"/>
            <w:noWrap/>
            <w:vAlign w:val="bottom"/>
            <w:hideMark/>
          </w:tcPr>
          <w:p w14:paraId="0D9E5489" w14:textId="15B6717A" w:rsidR="003D712C" w:rsidRPr="00864E94" w:rsidRDefault="003D712C"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(316.243)</w:t>
            </w:r>
          </w:p>
        </w:tc>
      </w:tr>
      <w:tr w:rsidR="003D712C" w:rsidRPr="00864E94" w14:paraId="1988E918" w14:textId="77777777" w:rsidTr="003D712C">
        <w:trPr>
          <w:trHeight w:val="23"/>
        </w:trPr>
        <w:tc>
          <w:tcPr>
            <w:tcW w:w="3146" w:type="pct"/>
            <w:tcBorders>
              <w:top w:val="nil"/>
              <w:left w:val="nil"/>
              <w:bottom w:val="nil"/>
              <w:right w:val="nil"/>
            </w:tcBorders>
            <w:shd w:val="clear" w:color="auto" w:fill="auto"/>
            <w:noWrap/>
            <w:vAlign w:val="bottom"/>
            <w:hideMark/>
          </w:tcPr>
          <w:p w14:paraId="26DF9E51" w14:textId="77777777" w:rsidR="003D712C" w:rsidRPr="00864E94" w:rsidRDefault="003D712C" w:rsidP="00864E94">
            <w:pPr>
              <w:spacing w:after="0" w:line="240" w:lineRule="auto"/>
              <w:rPr>
                <w:rFonts w:ascii="Segoe UI" w:eastAsia="Times New Roman" w:hAnsi="Segoe UI" w:cs="Segoe UI"/>
                <w:b/>
                <w:bCs/>
                <w:color w:val="000000"/>
                <w:sz w:val="18"/>
                <w:szCs w:val="18"/>
                <w:lang w:eastAsia="pt-BR"/>
              </w:rPr>
            </w:pPr>
          </w:p>
        </w:tc>
        <w:tc>
          <w:tcPr>
            <w:tcW w:w="1025" w:type="pct"/>
            <w:tcBorders>
              <w:top w:val="nil"/>
              <w:left w:val="nil"/>
              <w:bottom w:val="nil"/>
              <w:right w:val="nil"/>
            </w:tcBorders>
            <w:shd w:val="clear" w:color="auto" w:fill="auto"/>
            <w:noWrap/>
            <w:vAlign w:val="bottom"/>
            <w:hideMark/>
          </w:tcPr>
          <w:p w14:paraId="6BC96237" w14:textId="77777777" w:rsidR="003D712C" w:rsidRPr="00864E94" w:rsidRDefault="003D712C" w:rsidP="00864E94">
            <w:pPr>
              <w:spacing w:after="0" w:line="240" w:lineRule="auto"/>
              <w:jc w:val="right"/>
              <w:rPr>
                <w:rFonts w:ascii="Times New Roman" w:eastAsia="Times New Roman" w:hAnsi="Times New Roman" w:cs="Times New Roman"/>
                <w:sz w:val="20"/>
                <w:szCs w:val="20"/>
                <w:lang w:eastAsia="pt-BR"/>
              </w:rPr>
            </w:pPr>
          </w:p>
        </w:tc>
        <w:tc>
          <w:tcPr>
            <w:tcW w:w="829" w:type="pct"/>
            <w:tcBorders>
              <w:top w:val="nil"/>
              <w:left w:val="nil"/>
              <w:bottom w:val="nil"/>
              <w:right w:val="nil"/>
            </w:tcBorders>
            <w:shd w:val="clear" w:color="auto" w:fill="auto"/>
            <w:noWrap/>
            <w:vAlign w:val="bottom"/>
            <w:hideMark/>
          </w:tcPr>
          <w:p w14:paraId="011EE6CD" w14:textId="77777777" w:rsidR="003D712C" w:rsidRPr="00864E94" w:rsidRDefault="003D712C" w:rsidP="00864E94">
            <w:pPr>
              <w:spacing w:after="0" w:line="240" w:lineRule="auto"/>
              <w:jc w:val="right"/>
              <w:rPr>
                <w:rFonts w:ascii="Times New Roman" w:eastAsia="Times New Roman" w:hAnsi="Times New Roman" w:cs="Times New Roman"/>
                <w:sz w:val="20"/>
                <w:szCs w:val="20"/>
                <w:lang w:eastAsia="pt-BR"/>
              </w:rPr>
            </w:pPr>
          </w:p>
        </w:tc>
      </w:tr>
      <w:tr w:rsidR="003D712C" w:rsidRPr="00864E94" w14:paraId="47468815" w14:textId="77777777" w:rsidTr="003D712C">
        <w:trPr>
          <w:trHeight w:val="23"/>
        </w:trPr>
        <w:tc>
          <w:tcPr>
            <w:tcW w:w="3146" w:type="pct"/>
            <w:tcBorders>
              <w:top w:val="nil"/>
              <w:left w:val="nil"/>
              <w:bottom w:val="nil"/>
              <w:right w:val="nil"/>
            </w:tcBorders>
            <w:shd w:val="clear" w:color="auto" w:fill="auto"/>
            <w:noWrap/>
            <w:vAlign w:val="bottom"/>
            <w:hideMark/>
          </w:tcPr>
          <w:p w14:paraId="3462EE0D" w14:textId="77777777" w:rsidR="003D712C" w:rsidRPr="00864E94" w:rsidRDefault="003D712C" w:rsidP="00864E94">
            <w:pPr>
              <w:spacing w:after="0" w:line="240" w:lineRule="auto"/>
              <w:rPr>
                <w:rFonts w:ascii="Times New Roman" w:eastAsia="Times New Roman" w:hAnsi="Times New Roman" w:cs="Times New Roman"/>
                <w:sz w:val="20"/>
                <w:szCs w:val="20"/>
                <w:lang w:eastAsia="pt-BR"/>
              </w:rPr>
            </w:pPr>
          </w:p>
        </w:tc>
        <w:tc>
          <w:tcPr>
            <w:tcW w:w="1025" w:type="pct"/>
            <w:tcBorders>
              <w:top w:val="single" w:sz="4" w:space="0" w:color="1B80C4"/>
              <w:left w:val="nil"/>
              <w:bottom w:val="double" w:sz="6" w:space="0" w:color="1B80C4"/>
              <w:right w:val="nil"/>
            </w:tcBorders>
            <w:shd w:val="clear" w:color="auto" w:fill="auto"/>
            <w:noWrap/>
            <w:vAlign w:val="center"/>
            <w:hideMark/>
          </w:tcPr>
          <w:p w14:paraId="52532DC5" w14:textId="281CA288" w:rsidR="003D712C" w:rsidRPr="00864E94" w:rsidRDefault="003D712C"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19.823</w:t>
            </w:r>
          </w:p>
        </w:tc>
        <w:tc>
          <w:tcPr>
            <w:tcW w:w="829" w:type="pct"/>
            <w:tcBorders>
              <w:top w:val="single" w:sz="4" w:space="0" w:color="1B80C4"/>
              <w:left w:val="nil"/>
              <w:bottom w:val="double" w:sz="6" w:space="0" w:color="1B80C4"/>
              <w:right w:val="nil"/>
            </w:tcBorders>
            <w:shd w:val="clear" w:color="auto" w:fill="auto"/>
            <w:noWrap/>
            <w:vAlign w:val="center"/>
            <w:hideMark/>
          </w:tcPr>
          <w:p w14:paraId="61745750" w14:textId="217BE4E3" w:rsidR="003D712C" w:rsidRPr="00864E94" w:rsidRDefault="003D712C" w:rsidP="00864E94">
            <w:pPr>
              <w:spacing w:after="0" w:line="240" w:lineRule="auto"/>
              <w:jc w:val="right"/>
              <w:rPr>
                <w:rFonts w:ascii="Segoe UI" w:eastAsia="Times New Roman" w:hAnsi="Segoe UI" w:cs="Segoe UI"/>
                <w:b/>
                <w:bCs/>
                <w:color w:val="000000"/>
                <w:sz w:val="18"/>
                <w:szCs w:val="18"/>
                <w:lang w:eastAsia="pt-BR"/>
              </w:rPr>
            </w:pPr>
            <w:r w:rsidRPr="00864E94">
              <w:rPr>
                <w:rFonts w:ascii="Segoe UI" w:eastAsia="Times New Roman" w:hAnsi="Segoe UI" w:cs="Segoe UI"/>
                <w:b/>
                <w:bCs/>
                <w:color w:val="000000"/>
                <w:sz w:val="18"/>
                <w:szCs w:val="18"/>
                <w:lang w:eastAsia="pt-BR"/>
              </w:rPr>
              <w:t>2.302.807</w:t>
            </w:r>
          </w:p>
        </w:tc>
      </w:tr>
    </w:tbl>
    <w:p w14:paraId="537EE9EB" w14:textId="0E4265ED" w:rsidR="00607E81" w:rsidRDefault="00607E81" w:rsidP="002E5050">
      <w:pPr>
        <w:tabs>
          <w:tab w:val="left" w:pos="567"/>
          <w:tab w:val="left" w:pos="1134"/>
          <w:tab w:val="left" w:pos="1701"/>
          <w:tab w:val="left" w:pos="2268"/>
          <w:tab w:val="left" w:pos="2835"/>
        </w:tabs>
        <w:jc w:val="both"/>
        <w:outlineLvl w:val="0"/>
        <w:rPr>
          <w:rFonts w:ascii="Segoe UI" w:hAnsi="Segoe UI" w:cs="Segoe UI"/>
          <w:b/>
          <w:color w:val="0070C0"/>
        </w:rPr>
      </w:pPr>
      <w:r w:rsidRPr="006351B2">
        <w:rPr>
          <w:rFonts w:ascii="Segoe UI" w:hAnsi="Segoe UI" w:cs="Segoe UI"/>
          <w:b/>
          <w:color w:val="0070C0"/>
        </w:rPr>
        <w:t>2</w:t>
      </w:r>
      <w:r w:rsidR="002A4E82">
        <w:rPr>
          <w:rFonts w:ascii="Segoe UI" w:hAnsi="Segoe UI" w:cs="Segoe UI"/>
          <w:b/>
          <w:color w:val="0070C0"/>
        </w:rPr>
        <w:t>5</w:t>
      </w:r>
      <w:r w:rsidRPr="006351B2">
        <w:rPr>
          <w:rFonts w:ascii="Segoe UI" w:hAnsi="Segoe UI" w:cs="Segoe UI"/>
          <w:b/>
          <w:color w:val="0070C0"/>
        </w:rPr>
        <w:t xml:space="preserve"> – CUSTOS OPERACIONAIS</w:t>
      </w:r>
      <w:r w:rsidRPr="00180C54">
        <w:rPr>
          <w:rFonts w:ascii="Segoe UI" w:hAnsi="Segoe UI" w:cs="Segoe UI"/>
          <w:b/>
          <w:color w:val="0070C0"/>
        </w:rPr>
        <w:t xml:space="preserve"> </w:t>
      </w:r>
    </w:p>
    <w:p w14:paraId="244CE654" w14:textId="77777777" w:rsidR="00720B19" w:rsidRPr="00180C54" w:rsidRDefault="00720B19" w:rsidP="00720B19"/>
    <w:tbl>
      <w:tblPr>
        <w:tblW w:w="5000" w:type="pct"/>
        <w:tblCellMar>
          <w:left w:w="70" w:type="dxa"/>
          <w:right w:w="70" w:type="dxa"/>
        </w:tblCellMar>
        <w:tblLook w:val="04A0" w:firstRow="1" w:lastRow="0" w:firstColumn="1" w:lastColumn="0" w:noHBand="0" w:noVBand="1"/>
      </w:tblPr>
      <w:tblGrid>
        <w:gridCol w:w="6712"/>
        <w:gridCol w:w="2785"/>
      </w:tblGrid>
      <w:tr w:rsidR="00497328" w:rsidRPr="002A4D1B" w14:paraId="37AB4741" w14:textId="77777777" w:rsidTr="00482C5E">
        <w:trPr>
          <w:trHeight w:val="240"/>
        </w:trPr>
        <w:tc>
          <w:tcPr>
            <w:tcW w:w="3534" w:type="pct"/>
            <w:tcBorders>
              <w:top w:val="nil"/>
              <w:left w:val="nil"/>
              <w:bottom w:val="nil"/>
              <w:right w:val="nil"/>
            </w:tcBorders>
            <w:shd w:val="clear" w:color="auto" w:fill="auto"/>
            <w:noWrap/>
            <w:vAlign w:val="bottom"/>
            <w:hideMark/>
          </w:tcPr>
          <w:p w14:paraId="05A2981D" w14:textId="77777777" w:rsidR="00497328" w:rsidRPr="002A4D1B" w:rsidRDefault="00497328" w:rsidP="002A4D1B">
            <w:pPr>
              <w:spacing w:after="0" w:line="240" w:lineRule="auto"/>
              <w:rPr>
                <w:rFonts w:ascii="Times New Roman" w:eastAsia="Times New Roman" w:hAnsi="Times New Roman" w:cs="Times New Roman"/>
                <w:sz w:val="24"/>
                <w:szCs w:val="24"/>
                <w:lang w:eastAsia="pt-BR"/>
              </w:rPr>
            </w:pPr>
          </w:p>
        </w:tc>
        <w:tc>
          <w:tcPr>
            <w:tcW w:w="1466" w:type="pct"/>
            <w:tcBorders>
              <w:top w:val="nil"/>
              <w:left w:val="nil"/>
              <w:bottom w:val="nil"/>
              <w:right w:val="nil"/>
            </w:tcBorders>
            <w:shd w:val="clear" w:color="000000" w:fill="1B80C4"/>
            <w:noWrap/>
            <w:vAlign w:val="bottom"/>
            <w:hideMark/>
          </w:tcPr>
          <w:p w14:paraId="3FB25673" w14:textId="77777777" w:rsidR="00497328" w:rsidRPr="002A4D1B" w:rsidRDefault="00497328" w:rsidP="002A4D1B">
            <w:pPr>
              <w:spacing w:after="0" w:line="240" w:lineRule="auto"/>
              <w:jc w:val="center"/>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 xml:space="preserve"> Consolidado </w:t>
            </w:r>
          </w:p>
        </w:tc>
      </w:tr>
      <w:tr w:rsidR="00497328" w:rsidRPr="002A4D1B" w14:paraId="01DE26AA" w14:textId="77777777" w:rsidTr="00482C5E">
        <w:trPr>
          <w:trHeight w:val="240"/>
        </w:trPr>
        <w:tc>
          <w:tcPr>
            <w:tcW w:w="3534" w:type="pct"/>
            <w:tcBorders>
              <w:top w:val="nil"/>
              <w:left w:val="nil"/>
              <w:bottom w:val="nil"/>
              <w:right w:val="nil"/>
            </w:tcBorders>
            <w:shd w:val="clear" w:color="auto" w:fill="auto"/>
            <w:noWrap/>
            <w:vAlign w:val="bottom"/>
            <w:hideMark/>
          </w:tcPr>
          <w:p w14:paraId="40D95B69" w14:textId="77777777" w:rsidR="00497328" w:rsidRPr="002A4D1B" w:rsidRDefault="00497328" w:rsidP="002A4D1B">
            <w:pPr>
              <w:spacing w:after="0" w:line="240" w:lineRule="auto"/>
              <w:jc w:val="center"/>
              <w:rPr>
                <w:rFonts w:ascii="Segoe UI" w:eastAsia="Times New Roman" w:hAnsi="Segoe UI" w:cs="Segoe UI"/>
                <w:b/>
                <w:bCs/>
                <w:color w:val="FFFFFF"/>
                <w:sz w:val="18"/>
                <w:szCs w:val="18"/>
                <w:lang w:eastAsia="pt-BR"/>
              </w:rPr>
            </w:pPr>
          </w:p>
        </w:tc>
        <w:tc>
          <w:tcPr>
            <w:tcW w:w="1466" w:type="pct"/>
            <w:tcBorders>
              <w:top w:val="single" w:sz="4" w:space="0" w:color="FFFFFF"/>
              <w:left w:val="nil"/>
              <w:bottom w:val="nil"/>
              <w:right w:val="nil"/>
            </w:tcBorders>
            <w:shd w:val="clear" w:color="000000" w:fill="1B80C4"/>
            <w:noWrap/>
            <w:vAlign w:val="center"/>
            <w:hideMark/>
          </w:tcPr>
          <w:p w14:paraId="4EED54E1" w14:textId="77777777" w:rsidR="00497328" w:rsidRPr="002A4D1B" w:rsidRDefault="00497328" w:rsidP="002A4D1B">
            <w:pPr>
              <w:spacing w:after="0" w:line="240" w:lineRule="auto"/>
              <w:jc w:val="right"/>
              <w:rPr>
                <w:rFonts w:ascii="Segoe UI" w:eastAsia="Times New Roman" w:hAnsi="Segoe UI" w:cs="Segoe UI"/>
                <w:b/>
                <w:bCs/>
                <w:color w:val="FFFFFF"/>
                <w:sz w:val="18"/>
                <w:szCs w:val="18"/>
                <w:lang w:eastAsia="pt-BR"/>
              </w:rPr>
            </w:pPr>
            <w:r w:rsidRPr="002A4D1B">
              <w:rPr>
                <w:rFonts w:ascii="Segoe UI" w:eastAsia="Times New Roman" w:hAnsi="Segoe UI" w:cs="Segoe UI"/>
                <w:b/>
                <w:bCs/>
                <w:color w:val="FFFFFF"/>
                <w:sz w:val="18"/>
                <w:szCs w:val="18"/>
                <w:lang w:eastAsia="pt-BR"/>
              </w:rPr>
              <w:t>31/12/2022</w:t>
            </w:r>
          </w:p>
        </w:tc>
      </w:tr>
      <w:tr w:rsidR="00497328" w:rsidRPr="002A4D1B" w14:paraId="27EE11FF" w14:textId="77777777" w:rsidTr="00482C5E">
        <w:trPr>
          <w:trHeight w:val="240"/>
        </w:trPr>
        <w:tc>
          <w:tcPr>
            <w:tcW w:w="3534" w:type="pct"/>
            <w:tcBorders>
              <w:top w:val="nil"/>
              <w:left w:val="nil"/>
              <w:bottom w:val="nil"/>
              <w:right w:val="nil"/>
            </w:tcBorders>
            <w:shd w:val="clear" w:color="auto" w:fill="auto"/>
            <w:noWrap/>
            <w:vAlign w:val="bottom"/>
            <w:hideMark/>
          </w:tcPr>
          <w:p w14:paraId="427E02F4" w14:textId="206AC9E2" w:rsidR="00497328" w:rsidRPr="002A4D1B" w:rsidRDefault="00497328" w:rsidP="002A4D1B">
            <w:pPr>
              <w:spacing w:after="0" w:line="240" w:lineRule="auto"/>
              <w:rPr>
                <w:rFonts w:ascii="Segoe UI" w:eastAsia="Times New Roman" w:hAnsi="Segoe UI" w:cs="Segoe UI"/>
                <w:b/>
                <w:bCs/>
                <w:sz w:val="18"/>
                <w:szCs w:val="18"/>
                <w:lang w:eastAsia="pt-BR"/>
              </w:rPr>
            </w:pPr>
            <w:r w:rsidRPr="002A4D1B">
              <w:rPr>
                <w:rFonts w:ascii="Segoe UI" w:eastAsia="Times New Roman" w:hAnsi="Segoe UI" w:cs="Segoe UI"/>
                <w:b/>
                <w:bCs/>
                <w:sz w:val="18"/>
                <w:szCs w:val="18"/>
                <w:lang w:eastAsia="pt-BR"/>
              </w:rPr>
              <w:t xml:space="preserve"> Custos </w:t>
            </w:r>
            <w:r>
              <w:rPr>
                <w:rFonts w:ascii="Segoe UI" w:eastAsia="Times New Roman" w:hAnsi="Segoe UI" w:cs="Segoe UI"/>
                <w:b/>
                <w:bCs/>
                <w:sz w:val="18"/>
                <w:szCs w:val="18"/>
                <w:lang w:eastAsia="pt-BR"/>
              </w:rPr>
              <w:t>o</w:t>
            </w:r>
            <w:r w:rsidRPr="002A4D1B">
              <w:rPr>
                <w:rFonts w:ascii="Segoe UI" w:eastAsia="Times New Roman" w:hAnsi="Segoe UI" w:cs="Segoe UI"/>
                <w:b/>
                <w:bCs/>
                <w:sz w:val="18"/>
                <w:szCs w:val="18"/>
                <w:lang w:eastAsia="pt-BR"/>
              </w:rPr>
              <w:t xml:space="preserve">peracionais </w:t>
            </w:r>
          </w:p>
        </w:tc>
        <w:tc>
          <w:tcPr>
            <w:tcW w:w="1466" w:type="pct"/>
            <w:tcBorders>
              <w:top w:val="nil"/>
              <w:left w:val="nil"/>
              <w:bottom w:val="nil"/>
              <w:right w:val="nil"/>
            </w:tcBorders>
            <w:shd w:val="clear" w:color="auto" w:fill="auto"/>
            <w:noWrap/>
            <w:vAlign w:val="center"/>
            <w:hideMark/>
          </w:tcPr>
          <w:p w14:paraId="4884C107" w14:textId="77777777" w:rsidR="00497328" w:rsidRPr="002A4D1B" w:rsidRDefault="00497328" w:rsidP="002A4D1B">
            <w:pPr>
              <w:spacing w:after="0" w:line="240" w:lineRule="auto"/>
              <w:rPr>
                <w:rFonts w:ascii="Times New Roman" w:eastAsia="Times New Roman" w:hAnsi="Times New Roman" w:cs="Times New Roman"/>
                <w:sz w:val="20"/>
                <w:szCs w:val="20"/>
                <w:lang w:eastAsia="pt-BR"/>
              </w:rPr>
            </w:pPr>
          </w:p>
        </w:tc>
      </w:tr>
      <w:tr w:rsidR="00497328" w:rsidRPr="002A4D1B" w14:paraId="2E306644" w14:textId="77777777" w:rsidTr="00482C5E">
        <w:trPr>
          <w:trHeight w:val="240"/>
        </w:trPr>
        <w:tc>
          <w:tcPr>
            <w:tcW w:w="3534" w:type="pct"/>
            <w:tcBorders>
              <w:top w:val="nil"/>
              <w:left w:val="nil"/>
              <w:bottom w:val="nil"/>
              <w:right w:val="nil"/>
            </w:tcBorders>
            <w:shd w:val="clear" w:color="auto" w:fill="auto"/>
            <w:noWrap/>
            <w:vAlign w:val="bottom"/>
            <w:hideMark/>
          </w:tcPr>
          <w:p w14:paraId="0F8F1AAE" w14:textId="77777777" w:rsidR="00497328" w:rsidRPr="002A4D1B" w:rsidRDefault="00497328"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Encargos sobre uso da rede elétrica </w:t>
            </w:r>
          </w:p>
        </w:tc>
        <w:tc>
          <w:tcPr>
            <w:tcW w:w="1466" w:type="pct"/>
            <w:tcBorders>
              <w:top w:val="nil"/>
              <w:left w:val="nil"/>
              <w:bottom w:val="nil"/>
              <w:right w:val="nil"/>
            </w:tcBorders>
            <w:shd w:val="clear" w:color="auto" w:fill="auto"/>
            <w:noWrap/>
            <w:vAlign w:val="center"/>
            <w:hideMark/>
          </w:tcPr>
          <w:p w14:paraId="3A496EE7" w14:textId="77777777" w:rsidR="00497328" w:rsidRPr="002A4D1B" w:rsidRDefault="00497328"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 xml:space="preserve">                      (129.766)</w:t>
            </w:r>
          </w:p>
        </w:tc>
      </w:tr>
      <w:tr w:rsidR="00497328" w:rsidRPr="002A4D1B" w14:paraId="44B5E6F6" w14:textId="77777777" w:rsidTr="00482C5E">
        <w:trPr>
          <w:trHeight w:val="240"/>
        </w:trPr>
        <w:tc>
          <w:tcPr>
            <w:tcW w:w="3534" w:type="pct"/>
            <w:tcBorders>
              <w:top w:val="nil"/>
              <w:left w:val="nil"/>
              <w:bottom w:val="nil"/>
              <w:right w:val="nil"/>
            </w:tcBorders>
            <w:shd w:val="clear" w:color="auto" w:fill="auto"/>
            <w:noWrap/>
            <w:vAlign w:val="bottom"/>
            <w:hideMark/>
          </w:tcPr>
          <w:p w14:paraId="11D00A16" w14:textId="77777777" w:rsidR="00497328" w:rsidRPr="002A4D1B" w:rsidRDefault="00497328"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Pessoal, material e serviços </w:t>
            </w:r>
          </w:p>
        </w:tc>
        <w:tc>
          <w:tcPr>
            <w:tcW w:w="1466" w:type="pct"/>
            <w:tcBorders>
              <w:top w:val="nil"/>
              <w:left w:val="nil"/>
              <w:bottom w:val="nil"/>
              <w:right w:val="nil"/>
            </w:tcBorders>
            <w:shd w:val="clear" w:color="auto" w:fill="auto"/>
            <w:noWrap/>
            <w:vAlign w:val="center"/>
            <w:hideMark/>
          </w:tcPr>
          <w:p w14:paraId="0472D72F" w14:textId="0636F78D" w:rsidR="00497328" w:rsidRPr="002A4D1B" w:rsidRDefault="00497328"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 xml:space="preserve">                      (696.959)</w:t>
            </w:r>
          </w:p>
        </w:tc>
      </w:tr>
      <w:tr w:rsidR="00497328" w:rsidRPr="002A4D1B" w14:paraId="4FD0B0F1" w14:textId="77777777" w:rsidTr="00482C5E">
        <w:trPr>
          <w:trHeight w:val="240"/>
        </w:trPr>
        <w:tc>
          <w:tcPr>
            <w:tcW w:w="3534" w:type="pct"/>
            <w:tcBorders>
              <w:top w:val="nil"/>
              <w:left w:val="nil"/>
              <w:bottom w:val="nil"/>
              <w:right w:val="nil"/>
            </w:tcBorders>
            <w:shd w:val="clear" w:color="auto" w:fill="auto"/>
            <w:noWrap/>
            <w:vAlign w:val="bottom"/>
            <w:hideMark/>
          </w:tcPr>
          <w:p w14:paraId="116A50C0" w14:textId="77777777" w:rsidR="00497328" w:rsidRPr="002A4D1B" w:rsidRDefault="00497328"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Depreciação </w:t>
            </w:r>
          </w:p>
        </w:tc>
        <w:tc>
          <w:tcPr>
            <w:tcW w:w="1466" w:type="pct"/>
            <w:tcBorders>
              <w:top w:val="nil"/>
              <w:left w:val="nil"/>
              <w:bottom w:val="nil"/>
              <w:right w:val="nil"/>
            </w:tcBorders>
            <w:shd w:val="clear" w:color="auto" w:fill="auto"/>
            <w:noWrap/>
            <w:vAlign w:val="center"/>
            <w:hideMark/>
          </w:tcPr>
          <w:p w14:paraId="35E93CDD" w14:textId="77777777" w:rsidR="00497328" w:rsidRPr="002A4D1B" w:rsidRDefault="00497328"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 xml:space="preserve">                      (334.881)</w:t>
            </w:r>
          </w:p>
        </w:tc>
      </w:tr>
      <w:tr w:rsidR="00497328" w:rsidRPr="002A4D1B" w14:paraId="19261E95" w14:textId="77777777" w:rsidTr="00482C5E">
        <w:trPr>
          <w:trHeight w:val="240"/>
        </w:trPr>
        <w:tc>
          <w:tcPr>
            <w:tcW w:w="3534" w:type="pct"/>
            <w:tcBorders>
              <w:top w:val="nil"/>
              <w:left w:val="nil"/>
              <w:bottom w:val="nil"/>
              <w:right w:val="nil"/>
            </w:tcBorders>
            <w:shd w:val="clear" w:color="auto" w:fill="auto"/>
            <w:noWrap/>
            <w:vAlign w:val="bottom"/>
            <w:hideMark/>
          </w:tcPr>
          <w:p w14:paraId="1420F268" w14:textId="77777777" w:rsidR="00497328" w:rsidRPr="002A4D1B" w:rsidRDefault="00497328"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Amortização </w:t>
            </w:r>
          </w:p>
        </w:tc>
        <w:tc>
          <w:tcPr>
            <w:tcW w:w="1466" w:type="pct"/>
            <w:tcBorders>
              <w:top w:val="nil"/>
              <w:left w:val="nil"/>
              <w:bottom w:val="nil"/>
              <w:right w:val="nil"/>
            </w:tcBorders>
            <w:shd w:val="clear" w:color="auto" w:fill="auto"/>
            <w:noWrap/>
            <w:vAlign w:val="center"/>
            <w:hideMark/>
          </w:tcPr>
          <w:p w14:paraId="3BD5EE5C" w14:textId="77777777" w:rsidR="00497328" w:rsidRPr="002A4D1B" w:rsidRDefault="00497328"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 xml:space="preserve">                          (4.678)</w:t>
            </w:r>
          </w:p>
        </w:tc>
      </w:tr>
      <w:tr w:rsidR="00497328" w:rsidRPr="002A4D1B" w14:paraId="6317FA55" w14:textId="77777777" w:rsidTr="00482C5E">
        <w:trPr>
          <w:trHeight w:val="240"/>
        </w:trPr>
        <w:tc>
          <w:tcPr>
            <w:tcW w:w="3534" w:type="pct"/>
            <w:tcBorders>
              <w:top w:val="nil"/>
              <w:left w:val="nil"/>
              <w:bottom w:val="nil"/>
              <w:right w:val="nil"/>
            </w:tcBorders>
            <w:shd w:val="clear" w:color="auto" w:fill="auto"/>
            <w:noWrap/>
            <w:vAlign w:val="bottom"/>
            <w:hideMark/>
          </w:tcPr>
          <w:p w14:paraId="667007D4" w14:textId="77777777" w:rsidR="00497328" w:rsidRPr="002A4D1B" w:rsidRDefault="00497328"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Combustível para produção de energia elétrica </w:t>
            </w:r>
          </w:p>
        </w:tc>
        <w:tc>
          <w:tcPr>
            <w:tcW w:w="1466" w:type="pct"/>
            <w:tcBorders>
              <w:top w:val="nil"/>
              <w:left w:val="nil"/>
              <w:bottom w:val="nil"/>
              <w:right w:val="nil"/>
            </w:tcBorders>
            <w:shd w:val="clear" w:color="auto" w:fill="auto"/>
            <w:noWrap/>
            <w:vAlign w:val="center"/>
            <w:hideMark/>
          </w:tcPr>
          <w:p w14:paraId="65149EAB" w14:textId="77777777" w:rsidR="00497328" w:rsidRPr="002A4D1B" w:rsidRDefault="00497328"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 xml:space="preserve">                      (281.772)</w:t>
            </w:r>
          </w:p>
        </w:tc>
      </w:tr>
      <w:tr w:rsidR="00497328" w:rsidRPr="002A4D1B" w14:paraId="5EBEF2D0" w14:textId="77777777" w:rsidTr="00482C5E">
        <w:trPr>
          <w:trHeight w:val="240"/>
        </w:trPr>
        <w:tc>
          <w:tcPr>
            <w:tcW w:w="3534" w:type="pct"/>
            <w:tcBorders>
              <w:top w:val="nil"/>
              <w:left w:val="nil"/>
              <w:bottom w:val="nil"/>
              <w:right w:val="nil"/>
            </w:tcBorders>
            <w:shd w:val="clear" w:color="auto" w:fill="auto"/>
            <w:noWrap/>
            <w:vAlign w:val="bottom"/>
            <w:hideMark/>
          </w:tcPr>
          <w:p w14:paraId="29EB8485" w14:textId="77777777" w:rsidR="00497328" w:rsidRPr="002A4D1B" w:rsidRDefault="00497328" w:rsidP="002A4D1B">
            <w:pPr>
              <w:spacing w:after="0" w:line="240" w:lineRule="auto"/>
              <w:rPr>
                <w:rFonts w:ascii="Segoe UI" w:eastAsia="Times New Roman" w:hAnsi="Segoe UI" w:cs="Segoe UI"/>
                <w:sz w:val="18"/>
                <w:szCs w:val="18"/>
                <w:lang w:eastAsia="pt-BR"/>
              </w:rPr>
            </w:pPr>
            <w:r w:rsidRPr="002A4D1B">
              <w:rPr>
                <w:rFonts w:ascii="Segoe UI" w:eastAsia="Times New Roman" w:hAnsi="Segoe UI" w:cs="Segoe UI"/>
                <w:sz w:val="18"/>
                <w:szCs w:val="18"/>
                <w:lang w:eastAsia="pt-BR"/>
              </w:rPr>
              <w:t xml:space="preserve">     Outros custos </w:t>
            </w:r>
          </w:p>
        </w:tc>
        <w:tc>
          <w:tcPr>
            <w:tcW w:w="1466" w:type="pct"/>
            <w:tcBorders>
              <w:top w:val="nil"/>
              <w:left w:val="nil"/>
              <w:bottom w:val="nil"/>
              <w:right w:val="nil"/>
            </w:tcBorders>
            <w:shd w:val="clear" w:color="auto" w:fill="auto"/>
            <w:noWrap/>
            <w:vAlign w:val="center"/>
            <w:hideMark/>
          </w:tcPr>
          <w:p w14:paraId="48D6426C" w14:textId="77777777" w:rsidR="00497328" w:rsidRPr="002A4D1B" w:rsidRDefault="00497328" w:rsidP="002A4D1B">
            <w:pPr>
              <w:spacing w:after="0" w:line="240" w:lineRule="auto"/>
              <w:jc w:val="right"/>
              <w:rPr>
                <w:rFonts w:ascii="Segoe UI" w:eastAsia="Times New Roman" w:hAnsi="Segoe UI" w:cs="Segoe UI"/>
                <w:color w:val="000000"/>
                <w:sz w:val="18"/>
                <w:szCs w:val="18"/>
                <w:lang w:eastAsia="pt-BR"/>
              </w:rPr>
            </w:pPr>
            <w:r w:rsidRPr="002A4D1B">
              <w:rPr>
                <w:rFonts w:ascii="Segoe UI" w:eastAsia="Times New Roman" w:hAnsi="Segoe UI" w:cs="Segoe UI"/>
                <w:color w:val="000000"/>
                <w:sz w:val="18"/>
                <w:szCs w:val="18"/>
                <w:lang w:eastAsia="pt-BR"/>
              </w:rPr>
              <w:t xml:space="preserve">                      (113.868)</w:t>
            </w:r>
          </w:p>
        </w:tc>
      </w:tr>
      <w:tr w:rsidR="00497328" w:rsidRPr="002A4D1B" w14:paraId="65B1EAC4" w14:textId="77777777" w:rsidTr="00482C5E">
        <w:trPr>
          <w:trHeight w:val="255"/>
        </w:trPr>
        <w:tc>
          <w:tcPr>
            <w:tcW w:w="3534" w:type="pct"/>
            <w:tcBorders>
              <w:top w:val="nil"/>
              <w:left w:val="nil"/>
              <w:bottom w:val="nil"/>
              <w:right w:val="nil"/>
            </w:tcBorders>
            <w:shd w:val="clear" w:color="auto" w:fill="auto"/>
            <w:noWrap/>
            <w:vAlign w:val="bottom"/>
            <w:hideMark/>
          </w:tcPr>
          <w:p w14:paraId="5E75FDA3" w14:textId="77777777" w:rsidR="00497328" w:rsidRPr="002A4D1B" w:rsidRDefault="00497328" w:rsidP="002A4D1B">
            <w:pPr>
              <w:spacing w:after="0" w:line="240" w:lineRule="auto"/>
              <w:jc w:val="right"/>
              <w:rPr>
                <w:rFonts w:ascii="Segoe UI" w:eastAsia="Times New Roman" w:hAnsi="Segoe UI" w:cs="Segoe UI"/>
                <w:color w:val="000000"/>
                <w:sz w:val="18"/>
                <w:szCs w:val="18"/>
                <w:lang w:eastAsia="pt-BR"/>
              </w:rPr>
            </w:pPr>
          </w:p>
        </w:tc>
        <w:tc>
          <w:tcPr>
            <w:tcW w:w="1466" w:type="pct"/>
            <w:tcBorders>
              <w:top w:val="single" w:sz="4" w:space="0" w:color="1B80C4"/>
              <w:left w:val="nil"/>
              <w:bottom w:val="double" w:sz="6" w:space="0" w:color="1B80C4"/>
              <w:right w:val="nil"/>
            </w:tcBorders>
            <w:shd w:val="clear" w:color="auto" w:fill="auto"/>
            <w:noWrap/>
            <w:vAlign w:val="center"/>
            <w:hideMark/>
          </w:tcPr>
          <w:p w14:paraId="6A0BE736" w14:textId="77777777" w:rsidR="00497328" w:rsidRPr="002A4D1B" w:rsidRDefault="00497328" w:rsidP="002A4D1B">
            <w:pPr>
              <w:spacing w:after="0" w:line="240" w:lineRule="auto"/>
              <w:jc w:val="right"/>
              <w:rPr>
                <w:rFonts w:ascii="Segoe UI" w:eastAsia="Times New Roman" w:hAnsi="Segoe UI" w:cs="Segoe UI"/>
                <w:b/>
                <w:bCs/>
                <w:color w:val="000000"/>
                <w:sz w:val="18"/>
                <w:szCs w:val="18"/>
                <w:lang w:eastAsia="pt-BR"/>
              </w:rPr>
            </w:pPr>
            <w:r w:rsidRPr="002A4D1B">
              <w:rPr>
                <w:rFonts w:ascii="Segoe UI" w:eastAsia="Times New Roman" w:hAnsi="Segoe UI" w:cs="Segoe UI"/>
                <w:b/>
                <w:bCs/>
                <w:color w:val="000000"/>
                <w:sz w:val="18"/>
                <w:szCs w:val="18"/>
                <w:lang w:eastAsia="pt-BR"/>
              </w:rPr>
              <w:t xml:space="preserve">                (1.561.924)</w:t>
            </w:r>
          </w:p>
        </w:tc>
      </w:tr>
    </w:tbl>
    <w:p w14:paraId="7B305E35" w14:textId="77777777" w:rsidR="00440BC3" w:rsidRDefault="00607E81" w:rsidP="002A4E82">
      <w:r w:rsidRPr="00FB6A78">
        <w:t xml:space="preserve"> </w:t>
      </w:r>
    </w:p>
    <w:p w14:paraId="3FEFE4BB" w14:textId="0275E4F1" w:rsidR="00607E81" w:rsidRPr="00FB6A78" w:rsidRDefault="00E447DC" w:rsidP="00E447DC">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2</w:t>
      </w:r>
      <w:r w:rsidR="002A4E82">
        <w:rPr>
          <w:rFonts w:ascii="Segoe UI" w:hAnsi="Segoe UI" w:cs="Segoe UI"/>
          <w:b/>
          <w:color w:val="0070C0"/>
        </w:rPr>
        <w:t xml:space="preserve">6 </w:t>
      </w:r>
      <w:r w:rsidR="00607E81" w:rsidRPr="00BD3F70">
        <w:rPr>
          <w:rFonts w:ascii="Segoe UI" w:hAnsi="Segoe UI" w:cs="Segoe UI"/>
          <w:b/>
          <w:color w:val="0070C0"/>
        </w:rPr>
        <w:t xml:space="preserve">– </w:t>
      </w:r>
      <w:r w:rsidR="003B2937" w:rsidRPr="00BD3F70">
        <w:rPr>
          <w:rFonts w:ascii="Segoe UI" w:hAnsi="Segoe UI" w:cs="Segoe UI"/>
          <w:b/>
          <w:color w:val="0070C0"/>
        </w:rPr>
        <w:t>DESPESAS</w:t>
      </w:r>
      <w:r w:rsidR="00607E81" w:rsidRPr="00BD3F70">
        <w:rPr>
          <w:rFonts w:ascii="Segoe UI" w:hAnsi="Segoe UI" w:cs="Segoe UI"/>
          <w:b/>
          <w:color w:val="0070C0"/>
        </w:rPr>
        <w:t xml:space="preserve"> OPERACIONAIS</w:t>
      </w:r>
      <w:r w:rsidR="00607E81" w:rsidRPr="00FB6A78">
        <w:rPr>
          <w:rFonts w:ascii="Segoe UI" w:hAnsi="Segoe UI" w:cs="Segoe UI"/>
          <w:b/>
          <w:color w:val="0070C0"/>
        </w:rPr>
        <w:t xml:space="preserve"> </w:t>
      </w:r>
    </w:p>
    <w:tbl>
      <w:tblPr>
        <w:tblW w:w="5000" w:type="pct"/>
        <w:tblCellMar>
          <w:left w:w="70" w:type="dxa"/>
          <w:right w:w="70" w:type="dxa"/>
        </w:tblCellMar>
        <w:tblLook w:val="04A0" w:firstRow="1" w:lastRow="0" w:firstColumn="1" w:lastColumn="0" w:noHBand="0" w:noVBand="1"/>
      </w:tblPr>
      <w:tblGrid>
        <w:gridCol w:w="4660"/>
        <w:gridCol w:w="2677"/>
        <w:gridCol w:w="190"/>
        <w:gridCol w:w="1970"/>
      </w:tblGrid>
      <w:tr w:rsidR="005B051A" w:rsidRPr="005B051A" w14:paraId="674DE9BD" w14:textId="77777777" w:rsidTr="005B051A">
        <w:trPr>
          <w:trHeight w:val="240"/>
        </w:trPr>
        <w:tc>
          <w:tcPr>
            <w:tcW w:w="2606" w:type="pct"/>
            <w:tcBorders>
              <w:top w:val="nil"/>
              <w:left w:val="nil"/>
              <w:bottom w:val="nil"/>
              <w:right w:val="nil"/>
            </w:tcBorders>
            <w:shd w:val="clear" w:color="auto" w:fill="auto"/>
            <w:noWrap/>
            <w:vAlign w:val="bottom"/>
            <w:hideMark/>
          </w:tcPr>
          <w:p w14:paraId="5876A9C3" w14:textId="77777777" w:rsidR="005B051A" w:rsidRPr="005B051A" w:rsidRDefault="005B051A" w:rsidP="005B051A">
            <w:pPr>
              <w:spacing w:after="0" w:line="240" w:lineRule="auto"/>
              <w:rPr>
                <w:rFonts w:ascii="Times New Roman" w:eastAsia="Times New Roman" w:hAnsi="Times New Roman" w:cs="Times New Roman"/>
                <w:sz w:val="24"/>
                <w:szCs w:val="24"/>
                <w:lang w:eastAsia="pt-BR"/>
              </w:rPr>
            </w:pPr>
          </w:p>
        </w:tc>
        <w:tc>
          <w:tcPr>
            <w:tcW w:w="1302" w:type="pct"/>
            <w:tcBorders>
              <w:top w:val="nil"/>
              <w:left w:val="nil"/>
              <w:bottom w:val="nil"/>
              <w:right w:val="nil"/>
            </w:tcBorders>
            <w:shd w:val="clear" w:color="000000" w:fill="1B80C4"/>
            <w:noWrap/>
            <w:vAlign w:val="bottom"/>
            <w:hideMark/>
          </w:tcPr>
          <w:p w14:paraId="5B5B865D" w14:textId="77777777" w:rsidR="005B051A" w:rsidRPr="005B051A" w:rsidRDefault="005B051A" w:rsidP="005B051A">
            <w:pPr>
              <w:spacing w:after="0" w:line="240" w:lineRule="auto"/>
              <w:jc w:val="center"/>
              <w:rPr>
                <w:rFonts w:ascii="Segoe UI" w:eastAsia="Times New Roman" w:hAnsi="Segoe UI" w:cs="Segoe UI"/>
                <w:b/>
                <w:bCs/>
                <w:color w:val="FFFFFF"/>
                <w:sz w:val="18"/>
                <w:szCs w:val="18"/>
                <w:lang w:eastAsia="pt-BR"/>
              </w:rPr>
            </w:pPr>
            <w:r w:rsidRPr="005B051A">
              <w:rPr>
                <w:rFonts w:ascii="Segoe UI" w:eastAsia="Times New Roman" w:hAnsi="Segoe UI" w:cs="Segoe UI"/>
                <w:b/>
                <w:bCs/>
                <w:color w:val="FFFFFF"/>
                <w:sz w:val="18"/>
                <w:szCs w:val="18"/>
                <w:lang w:eastAsia="pt-BR"/>
              </w:rPr>
              <w:t xml:space="preserve"> Controladora </w:t>
            </w:r>
          </w:p>
        </w:tc>
        <w:tc>
          <w:tcPr>
            <w:tcW w:w="152" w:type="pct"/>
            <w:tcBorders>
              <w:top w:val="nil"/>
              <w:left w:val="nil"/>
              <w:bottom w:val="nil"/>
              <w:right w:val="nil"/>
            </w:tcBorders>
            <w:shd w:val="clear" w:color="000000" w:fill="1B80C4"/>
            <w:noWrap/>
            <w:vAlign w:val="center"/>
            <w:hideMark/>
          </w:tcPr>
          <w:p w14:paraId="613E8689" w14:textId="77777777" w:rsidR="005B051A" w:rsidRPr="005B051A" w:rsidRDefault="005B051A" w:rsidP="005B051A">
            <w:pPr>
              <w:spacing w:after="0" w:line="240" w:lineRule="auto"/>
              <w:jc w:val="center"/>
              <w:rPr>
                <w:rFonts w:ascii="Segoe UI" w:eastAsia="Times New Roman" w:hAnsi="Segoe UI" w:cs="Segoe UI"/>
                <w:b/>
                <w:bCs/>
                <w:color w:val="FFFFFF"/>
                <w:sz w:val="18"/>
                <w:szCs w:val="18"/>
                <w:lang w:eastAsia="pt-BR"/>
              </w:rPr>
            </w:pPr>
            <w:r w:rsidRPr="005B051A">
              <w:rPr>
                <w:rFonts w:ascii="Segoe UI" w:eastAsia="Times New Roman" w:hAnsi="Segoe UI" w:cs="Segoe UI"/>
                <w:b/>
                <w:bCs/>
                <w:color w:val="FFFFFF"/>
                <w:sz w:val="18"/>
                <w:szCs w:val="18"/>
                <w:lang w:eastAsia="pt-BR"/>
              </w:rPr>
              <w:t> </w:t>
            </w:r>
          </w:p>
        </w:tc>
        <w:tc>
          <w:tcPr>
            <w:tcW w:w="940" w:type="pct"/>
            <w:tcBorders>
              <w:top w:val="nil"/>
              <w:left w:val="nil"/>
              <w:bottom w:val="nil"/>
              <w:right w:val="nil"/>
            </w:tcBorders>
            <w:shd w:val="clear" w:color="000000" w:fill="1B80C4"/>
            <w:noWrap/>
            <w:vAlign w:val="bottom"/>
            <w:hideMark/>
          </w:tcPr>
          <w:p w14:paraId="36BC0D10" w14:textId="77777777" w:rsidR="005B051A" w:rsidRPr="005B051A" w:rsidRDefault="005B051A" w:rsidP="005B051A">
            <w:pPr>
              <w:spacing w:after="0" w:line="240" w:lineRule="auto"/>
              <w:jc w:val="center"/>
              <w:rPr>
                <w:rFonts w:ascii="Segoe UI" w:eastAsia="Times New Roman" w:hAnsi="Segoe UI" w:cs="Segoe UI"/>
                <w:b/>
                <w:bCs/>
                <w:color w:val="FFFFFF"/>
                <w:sz w:val="18"/>
                <w:szCs w:val="18"/>
                <w:lang w:eastAsia="pt-BR"/>
              </w:rPr>
            </w:pPr>
            <w:r w:rsidRPr="005B051A">
              <w:rPr>
                <w:rFonts w:ascii="Segoe UI" w:eastAsia="Times New Roman" w:hAnsi="Segoe UI" w:cs="Segoe UI"/>
                <w:b/>
                <w:bCs/>
                <w:color w:val="FFFFFF"/>
                <w:sz w:val="18"/>
                <w:szCs w:val="18"/>
                <w:lang w:eastAsia="pt-BR"/>
              </w:rPr>
              <w:t xml:space="preserve"> Consolidado </w:t>
            </w:r>
          </w:p>
        </w:tc>
      </w:tr>
      <w:tr w:rsidR="005B051A" w:rsidRPr="005B051A" w14:paraId="6429C93A" w14:textId="77777777" w:rsidTr="005B051A">
        <w:trPr>
          <w:trHeight w:val="240"/>
        </w:trPr>
        <w:tc>
          <w:tcPr>
            <w:tcW w:w="2606" w:type="pct"/>
            <w:tcBorders>
              <w:top w:val="nil"/>
              <w:left w:val="nil"/>
              <w:bottom w:val="nil"/>
              <w:right w:val="nil"/>
            </w:tcBorders>
            <w:shd w:val="clear" w:color="auto" w:fill="auto"/>
            <w:noWrap/>
            <w:vAlign w:val="bottom"/>
            <w:hideMark/>
          </w:tcPr>
          <w:p w14:paraId="330CEA14" w14:textId="77777777" w:rsidR="005B051A" w:rsidRPr="005B051A" w:rsidRDefault="005B051A" w:rsidP="005B051A">
            <w:pPr>
              <w:spacing w:after="0" w:line="240" w:lineRule="auto"/>
              <w:jc w:val="center"/>
              <w:rPr>
                <w:rFonts w:ascii="Segoe UI" w:eastAsia="Times New Roman" w:hAnsi="Segoe UI" w:cs="Segoe UI"/>
                <w:b/>
                <w:bCs/>
                <w:color w:val="FFFFFF"/>
                <w:sz w:val="18"/>
                <w:szCs w:val="18"/>
                <w:lang w:eastAsia="pt-BR"/>
              </w:rPr>
            </w:pPr>
          </w:p>
        </w:tc>
        <w:tc>
          <w:tcPr>
            <w:tcW w:w="1302" w:type="pct"/>
            <w:tcBorders>
              <w:top w:val="single" w:sz="4" w:space="0" w:color="FFFFFF"/>
              <w:left w:val="nil"/>
              <w:bottom w:val="nil"/>
              <w:right w:val="nil"/>
            </w:tcBorders>
            <w:shd w:val="clear" w:color="000000" w:fill="1B80C4"/>
            <w:noWrap/>
            <w:vAlign w:val="center"/>
            <w:hideMark/>
          </w:tcPr>
          <w:p w14:paraId="117CC2C2" w14:textId="77777777" w:rsidR="005B051A" w:rsidRPr="005B051A" w:rsidRDefault="005B051A" w:rsidP="005B051A">
            <w:pPr>
              <w:spacing w:after="0" w:line="240" w:lineRule="auto"/>
              <w:jc w:val="center"/>
              <w:rPr>
                <w:rFonts w:ascii="Segoe UI" w:eastAsia="Times New Roman" w:hAnsi="Segoe UI" w:cs="Segoe UI"/>
                <w:b/>
                <w:bCs/>
                <w:color w:val="FFFFFF"/>
                <w:sz w:val="18"/>
                <w:szCs w:val="18"/>
                <w:lang w:eastAsia="pt-BR"/>
              </w:rPr>
            </w:pPr>
            <w:r w:rsidRPr="005B051A">
              <w:rPr>
                <w:rFonts w:ascii="Segoe UI" w:eastAsia="Times New Roman" w:hAnsi="Segoe UI" w:cs="Segoe UI"/>
                <w:b/>
                <w:bCs/>
                <w:color w:val="FFFFFF"/>
                <w:sz w:val="18"/>
                <w:szCs w:val="18"/>
                <w:lang w:eastAsia="pt-BR"/>
              </w:rPr>
              <w:t>31/12/2022</w:t>
            </w:r>
          </w:p>
        </w:tc>
        <w:tc>
          <w:tcPr>
            <w:tcW w:w="152" w:type="pct"/>
            <w:tcBorders>
              <w:top w:val="nil"/>
              <w:left w:val="nil"/>
              <w:bottom w:val="nil"/>
              <w:right w:val="nil"/>
            </w:tcBorders>
            <w:shd w:val="clear" w:color="000000" w:fill="1B80C4"/>
            <w:noWrap/>
            <w:vAlign w:val="center"/>
            <w:hideMark/>
          </w:tcPr>
          <w:p w14:paraId="7A483682" w14:textId="77777777" w:rsidR="005B051A" w:rsidRPr="005B051A" w:rsidRDefault="005B051A" w:rsidP="005B051A">
            <w:pPr>
              <w:spacing w:after="0" w:line="240" w:lineRule="auto"/>
              <w:jc w:val="center"/>
              <w:rPr>
                <w:rFonts w:ascii="Segoe UI" w:eastAsia="Times New Roman" w:hAnsi="Segoe UI" w:cs="Segoe UI"/>
                <w:b/>
                <w:bCs/>
                <w:color w:val="FFFFFF"/>
                <w:sz w:val="18"/>
                <w:szCs w:val="18"/>
                <w:lang w:eastAsia="pt-BR"/>
              </w:rPr>
            </w:pPr>
            <w:r w:rsidRPr="005B051A">
              <w:rPr>
                <w:rFonts w:ascii="Segoe UI" w:eastAsia="Times New Roman" w:hAnsi="Segoe UI" w:cs="Segoe UI"/>
                <w:b/>
                <w:bCs/>
                <w:color w:val="FFFFFF"/>
                <w:sz w:val="18"/>
                <w:szCs w:val="18"/>
                <w:lang w:eastAsia="pt-BR"/>
              </w:rPr>
              <w:t> </w:t>
            </w:r>
          </w:p>
        </w:tc>
        <w:tc>
          <w:tcPr>
            <w:tcW w:w="940" w:type="pct"/>
            <w:tcBorders>
              <w:top w:val="single" w:sz="4" w:space="0" w:color="FFFFFF"/>
              <w:left w:val="nil"/>
              <w:bottom w:val="nil"/>
              <w:right w:val="nil"/>
            </w:tcBorders>
            <w:shd w:val="clear" w:color="000000" w:fill="1B80C4"/>
            <w:noWrap/>
            <w:vAlign w:val="center"/>
            <w:hideMark/>
          </w:tcPr>
          <w:p w14:paraId="3F60159C" w14:textId="77777777" w:rsidR="005B051A" w:rsidRPr="005B051A" w:rsidRDefault="005B051A" w:rsidP="005B051A">
            <w:pPr>
              <w:spacing w:after="0" w:line="240" w:lineRule="auto"/>
              <w:jc w:val="right"/>
              <w:rPr>
                <w:rFonts w:ascii="Segoe UI" w:eastAsia="Times New Roman" w:hAnsi="Segoe UI" w:cs="Segoe UI"/>
                <w:b/>
                <w:bCs/>
                <w:color w:val="FFFFFF"/>
                <w:sz w:val="18"/>
                <w:szCs w:val="18"/>
                <w:lang w:eastAsia="pt-BR"/>
              </w:rPr>
            </w:pPr>
            <w:r w:rsidRPr="005B051A">
              <w:rPr>
                <w:rFonts w:ascii="Segoe UI" w:eastAsia="Times New Roman" w:hAnsi="Segoe UI" w:cs="Segoe UI"/>
                <w:b/>
                <w:bCs/>
                <w:color w:val="FFFFFF"/>
                <w:sz w:val="18"/>
                <w:szCs w:val="18"/>
                <w:lang w:eastAsia="pt-BR"/>
              </w:rPr>
              <w:t>31/12/2022</w:t>
            </w:r>
          </w:p>
        </w:tc>
      </w:tr>
      <w:tr w:rsidR="005B051A" w:rsidRPr="005B051A" w14:paraId="49E29C1C" w14:textId="77777777" w:rsidTr="005B051A">
        <w:trPr>
          <w:trHeight w:val="240"/>
        </w:trPr>
        <w:tc>
          <w:tcPr>
            <w:tcW w:w="2606" w:type="pct"/>
            <w:tcBorders>
              <w:top w:val="nil"/>
              <w:left w:val="nil"/>
              <w:bottom w:val="nil"/>
              <w:right w:val="nil"/>
            </w:tcBorders>
            <w:shd w:val="clear" w:color="auto" w:fill="auto"/>
            <w:noWrap/>
            <w:vAlign w:val="bottom"/>
            <w:hideMark/>
          </w:tcPr>
          <w:p w14:paraId="3219A1D2" w14:textId="05C38F41" w:rsidR="005B051A" w:rsidRPr="005B051A" w:rsidRDefault="005B051A" w:rsidP="005B051A">
            <w:pPr>
              <w:spacing w:after="0" w:line="240" w:lineRule="auto"/>
              <w:rPr>
                <w:rFonts w:ascii="Segoe UI" w:eastAsia="Times New Roman" w:hAnsi="Segoe UI" w:cs="Segoe UI"/>
                <w:b/>
                <w:bCs/>
                <w:sz w:val="18"/>
                <w:szCs w:val="18"/>
                <w:lang w:eastAsia="pt-BR"/>
              </w:rPr>
            </w:pPr>
            <w:r w:rsidRPr="005B051A">
              <w:rPr>
                <w:rFonts w:ascii="Segoe UI" w:eastAsia="Times New Roman" w:hAnsi="Segoe UI" w:cs="Segoe UI"/>
                <w:b/>
                <w:bCs/>
                <w:sz w:val="18"/>
                <w:szCs w:val="18"/>
                <w:lang w:eastAsia="pt-BR"/>
              </w:rPr>
              <w:t xml:space="preserve"> Despesas </w:t>
            </w:r>
            <w:r w:rsidR="00497328">
              <w:rPr>
                <w:rFonts w:ascii="Segoe UI" w:eastAsia="Times New Roman" w:hAnsi="Segoe UI" w:cs="Segoe UI"/>
                <w:b/>
                <w:bCs/>
                <w:sz w:val="18"/>
                <w:szCs w:val="18"/>
                <w:lang w:eastAsia="pt-BR"/>
              </w:rPr>
              <w:t>o</w:t>
            </w:r>
            <w:r w:rsidRPr="005B051A">
              <w:rPr>
                <w:rFonts w:ascii="Segoe UI" w:eastAsia="Times New Roman" w:hAnsi="Segoe UI" w:cs="Segoe UI"/>
                <w:b/>
                <w:bCs/>
                <w:sz w:val="18"/>
                <w:szCs w:val="18"/>
                <w:lang w:eastAsia="pt-BR"/>
              </w:rPr>
              <w:t xml:space="preserve">peracionais </w:t>
            </w:r>
          </w:p>
        </w:tc>
        <w:tc>
          <w:tcPr>
            <w:tcW w:w="1302" w:type="pct"/>
            <w:tcBorders>
              <w:top w:val="nil"/>
              <w:left w:val="nil"/>
              <w:bottom w:val="nil"/>
              <w:right w:val="nil"/>
            </w:tcBorders>
            <w:shd w:val="clear" w:color="auto" w:fill="auto"/>
            <w:noWrap/>
            <w:vAlign w:val="bottom"/>
            <w:hideMark/>
          </w:tcPr>
          <w:p w14:paraId="1C61B069" w14:textId="77777777" w:rsidR="005B051A" w:rsidRPr="005B051A" w:rsidRDefault="005B051A" w:rsidP="005B051A">
            <w:pPr>
              <w:spacing w:after="0" w:line="240" w:lineRule="auto"/>
              <w:rPr>
                <w:rFonts w:ascii="Segoe UI" w:eastAsia="Times New Roman" w:hAnsi="Segoe UI" w:cs="Segoe UI"/>
                <w:b/>
                <w:bCs/>
                <w:sz w:val="18"/>
                <w:szCs w:val="18"/>
                <w:lang w:eastAsia="pt-BR"/>
              </w:rPr>
            </w:pPr>
          </w:p>
        </w:tc>
        <w:tc>
          <w:tcPr>
            <w:tcW w:w="152" w:type="pct"/>
            <w:tcBorders>
              <w:top w:val="nil"/>
              <w:left w:val="nil"/>
              <w:bottom w:val="nil"/>
              <w:right w:val="nil"/>
            </w:tcBorders>
            <w:shd w:val="clear" w:color="auto" w:fill="auto"/>
            <w:noWrap/>
            <w:vAlign w:val="bottom"/>
            <w:hideMark/>
          </w:tcPr>
          <w:p w14:paraId="6AB96BAE" w14:textId="77777777" w:rsidR="005B051A" w:rsidRPr="005B051A" w:rsidRDefault="005B051A" w:rsidP="005B051A">
            <w:pPr>
              <w:spacing w:after="0" w:line="240" w:lineRule="auto"/>
              <w:rPr>
                <w:rFonts w:ascii="Times New Roman" w:eastAsia="Times New Roman" w:hAnsi="Times New Roman" w:cs="Times New Roman"/>
                <w:sz w:val="20"/>
                <w:szCs w:val="20"/>
                <w:lang w:eastAsia="pt-BR"/>
              </w:rPr>
            </w:pPr>
          </w:p>
        </w:tc>
        <w:tc>
          <w:tcPr>
            <w:tcW w:w="940" w:type="pct"/>
            <w:tcBorders>
              <w:top w:val="nil"/>
              <w:left w:val="nil"/>
              <w:bottom w:val="nil"/>
              <w:right w:val="nil"/>
            </w:tcBorders>
            <w:shd w:val="clear" w:color="auto" w:fill="auto"/>
            <w:noWrap/>
            <w:vAlign w:val="bottom"/>
            <w:hideMark/>
          </w:tcPr>
          <w:p w14:paraId="6664F39C" w14:textId="77777777" w:rsidR="005B051A" w:rsidRPr="005B051A" w:rsidRDefault="005B051A" w:rsidP="005B051A">
            <w:pPr>
              <w:spacing w:after="0" w:line="240" w:lineRule="auto"/>
              <w:rPr>
                <w:rFonts w:ascii="Times New Roman" w:eastAsia="Times New Roman" w:hAnsi="Times New Roman" w:cs="Times New Roman"/>
                <w:sz w:val="20"/>
                <w:szCs w:val="20"/>
                <w:lang w:eastAsia="pt-BR"/>
              </w:rPr>
            </w:pPr>
          </w:p>
        </w:tc>
      </w:tr>
      <w:tr w:rsidR="005B051A" w:rsidRPr="005B051A" w14:paraId="4B02D711" w14:textId="77777777" w:rsidTr="005B051A">
        <w:trPr>
          <w:trHeight w:val="240"/>
        </w:trPr>
        <w:tc>
          <w:tcPr>
            <w:tcW w:w="2606" w:type="pct"/>
            <w:tcBorders>
              <w:top w:val="nil"/>
              <w:left w:val="nil"/>
              <w:bottom w:val="nil"/>
              <w:right w:val="nil"/>
            </w:tcBorders>
            <w:shd w:val="clear" w:color="auto" w:fill="auto"/>
            <w:noWrap/>
            <w:vAlign w:val="bottom"/>
            <w:hideMark/>
          </w:tcPr>
          <w:p w14:paraId="158BC25B" w14:textId="77777777" w:rsidR="005B051A" w:rsidRPr="005B051A" w:rsidRDefault="005B051A" w:rsidP="005B051A">
            <w:pPr>
              <w:spacing w:after="0" w:line="240" w:lineRule="auto"/>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Pessoal, material e serviços </w:t>
            </w:r>
          </w:p>
        </w:tc>
        <w:tc>
          <w:tcPr>
            <w:tcW w:w="1302" w:type="pct"/>
            <w:tcBorders>
              <w:top w:val="nil"/>
              <w:left w:val="nil"/>
              <w:bottom w:val="nil"/>
              <w:right w:val="nil"/>
            </w:tcBorders>
            <w:shd w:val="clear" w:color="auto" w:fill="auto"/>
            <w:noWrap/>
            <w:vAlign w:val="center"/>
            <w:hideMark/>
          </w:tcPr>
          <w:p w14:paraId="2DABCAEB"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r w:rsidRPr="005B051A">
              <w:rPr>
                <w:rFonts w:ascii="Segoe UI" w:eastAsia="Times New Roman" w:hAnsi="Segoe UI" w:cs="Segoe UI"/>
                <w:color w:val="000000"/>
                <w:sz w:val="18"/>
                <w:szCs w:val="18"/>
                <w:lang w:eastAsia="pt-BR"/>
              </w:rPr>
              <w:t xml:space="preserve">                                      (15.056)</w:t>
            </w:r>
          </w:p>
        </w:tc>
        <w:tc>
          <w:tcPr>
            <w:tcW w:w="152" w:type="pct"/>
            <w:tcBorders>
              <w:top w:val="nil"/>
              <w:left w:val="nil"/>
              <w:bottom w:val="nil"/>
              <w:right w:val="nil"/>
            </w:tcBorders>
            <w:shd w:val="clear" w:color="auto" w:fill="auto"/>
            <w:noWrap/>
            <w:vAlign w:val="bottom"/>
            <w:hideMark/>
          </w:tcPr>
          <w:p w14:paraId="32945324"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p>
        </w:tc>
        <w:tc>
          <w:tcPr>
            <w:tcW w:w="940" w:type="pct"/>
            <w:tcBorders>
              <w:top w:val="nil"/>
              <w:left w:val="nil"/>
              <w:bottom w:val="nil"/>
              <w:right w:val="nil"/>
            </w:tcBorders>
            <w:shd w:val="clear" w:color="auto" w:fill="auto"/>
            <w:noWrap/>
            <w:vAlign w:val="center"/>
            <w:hideMark/>
          </w:tcPr>
          <w:p w14:paraId="7F4667A3" w14:textId="77777777" w:rsidR="005B051A" w:rsidRPr="005B051A" w:rsidRDefault="005B051A" w:rsidP="005B051A">
            <w:pPr>
              <w:spacing w:after="0" w:line="240" w:lineRule="auto"/>
              <w:jc w:val="right"/>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(372.685)</w:t>
            </w:r>
          </w:p>
        </w:tc>
      </w:tr>
      <w:tr w:rsidR="005B051A" w:rsidRPr="005B051A" w14:paraId="1917071E" w14:textId="77777777" w:rsidTr="005B051A">
        <w:trPr>
          <w:trHeight w:val="240"/>
        </w:trPr>
        <w:tc>
          <w:tcPr>
            <w:tcW w:w="2606" w:type="pct"/>
            <w:tcBorders>
              <w:top w:val="nil"/>
              <w:left w:val="nil"/>
              <w:bottom w:val="nil"/>
              <w:right w:val="nil"/>
            </w:tcBorders>
            <w:shd w:val="clear" w:color="auto" w:fill="auto"/>
            <w:noWrap/>
            <w:vAlign w:val="bottom"/>
            <w:hideMark/>
          </w:tcPr>
          <w:p w14:paraId="470194F2" w14:textId="77777777" w:rsidR="005B051A" w:rsidRPr="005B051A" w:rsidRDefault="005B051A" w:rsidP="005B051A">
            <w:pPr>
              <w:spacing w:after="0" w:line="240" w:lineRule="auto"/>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Depreciação </w:t>
            </w:r>
          </w:p>
        </w:tc>
        <w:tc>
          <w:tcPr>
            <w:tcW w:w="1302" w:type="pct"/>
            <w:tcBorders>
              <w:top w:val="nil"/>
              <w:left w:val="nil"/>
              <w:bottom w:val="nil"/>
              <w:right w:val="nil"/>
            </w:tcBorders>
            <w:shd w:val="clear" w:color="auto" w:fill="auto"/>
            <w:noWrap/>
            <w:vAlign w:val="center"/>
            <w:hideMark/>
          </w:tcPr>
          <w:p w14:paraId="22BBE5BA"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r w:rsidRPr="005B051A">
              <w:rPr>
                <w:rFonts w:ascii="Segoe UI" w:eastAsia="Times New Roman" w:hAnsi="Segoe UI" w:cs="Segoe UI"/>
                <w:color w:val="000000"/>
                <w:sz w:val="18"/>
                <w:szCs w:val="18"/>
                <w:lang w:eastAsia="pt-BR"/>
              </w:rPr>
              <w:t xml:space="preserve">                                           (886)</w:t>
            </w:r>
          </w:p>
        </w:tc>
        <w:tc>
          <w:tcPr>
            <w:tcW w:w="152" w:type="pct"/>
            <w:tcBorders>
              <w:top w:val="nil"/>
              <w:left w:val="nil"/>
              <w:bottom w:val="nil"/>
              <w:right w:val="nil"/>
            </w:tcBorders>
            <w:shd w:val="clear" w:color="auto" w:fill="auto"/>
            <w:noWrap/>
            <w:vAlign w:val="bottom"/>
            <w:hideMark/>
          </w:tcPr>
          <w:p w14:paraId="1D68D3EF"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p>
        </w:tc>
        <w:tc>
          <w:tcPr>
            <w:tcW w:w="940" w:type="pct"/>
            <w:tcBorders>
              <w:top w:val="nil"/>
              <w:left w:val="nil"/>
              <w:bottom w:val="nil"/>
              <w:right w:val="nil"/>
            </w:tcBorders>
            <w:shd w:val="clear" w:color="auto" w:fill="auto"/>
            <w:noWrap/>
            <w:vAlign w:val="center"/>
            <w:hideMark/>
          </w:tcPr>
          <w:p w14:paraId="5997369D" w14:textId="77777777" w:rsidR="005B051A" w:rsidRPr="005B051A" w:rsidRDefault="005B051A" w:rsidP="005B051A">
            <w:pPr>
              <w:spacing w:after="0" w:line="240" w:lineRule="auto"/>
              <w:jc w:val="right"/>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(15.269)</w:t>
            </w:r>
          </w:p>
        </w:tc>
      </w:tr>
      <w:tr w:rsidR="005B051A" w:rsidRPr="005B051A" w14:paraId="3308E9D5" w14:textId="77777777" w:rsidTr="005B051A">
        <w:trPr>
          <w:trHeight w:val="240"/>
        </w:trPr>
        <w:tc>
          <w:tcPr>
            <w:tcW w:w="2606" w:type="pct"/>
            <w:tcBorders>
              <w:top w:val="nil"/>
              <w:left w:val="nil"/>
              <w:bottom w:val="nil"/>
              <w:right w:val="nil"/>
            </w:tcBorders>
            <w:shd w:val="clear" w:color="auto" w:fill="auto"/>
            <w:noWrap/>
            <w:vAlign w:val="bottom"/>
            <w:hideMark/>
          </w:tcPr>
          <w:p w14:paraId="2378DAD3" w14:textId="77777777" w:rsidR="005B051A" w:rsidRPr="005B051A" w:rsidRDefault="005B051A" w:rsidP="005B051A">
            <w:pPr>
              <w:spacing w:after="0" w:line="240" w:lineRule="auto"/>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Amortização </w:t>
            </w:r>
          </w:p>
        </w:tc>
        <w:tc>
          <w:tcPr>
            <w:tcW w:w="1302" w:type="pct"/>
            <w:tcBorders>
              <w:top w:val="nil"/>
              <w:left w:val="nil"/>
              <w:bottom w:val="nil"/>
              <w:right w:val="nil"/>
            </w:tcBorders>
            <w:shd w:val="clear" w:color="auto" w:fill="auto"/>
            <w:noWrap/>
            <w:vAlign w:val="center"/>
            <w:hideMark/>
          </w:tcPr>
          <w:p w14:paraId="6E6F8AB8"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r w:rsidRPr="005B051A">
              <w:rPr>
                <w:rFonts w:ascii="Segoe UI" w:eastAsia="Times New Roman" w:hAnsi="Segoe UI" w:cs="Segoe UI"/>
                <w:color w:val="000000"/>
                <w:sz w:val="18"/>
                <w:szCs w:val="18"/>
                <w:lang w:eastAsia="pt-BR"/>
              </w:rPr>
              <w:t xml:space="preserve">                                                 - </w:t>
            </w:r>
          </w:p>
        </w:tc>
        <w:tc>
          <w:tcPr>
            <w:tcW w:w="152" w:type="pct"/>
            <w:tcBorders>
              <w:top w:val="nil"/>
              <w:left w:val="nil"/>
              <w:bottom w:val="nil"/>
              <w:right w:val="nil"/>
            </w:tcBorders>
            <w:shd w:val="clear" w:color="auto" w:fill="auto"/>
            <w:noWrap/>
            <w:vAlign w:val="bottom"/>
            <w:hideMark/>
          </w:tcPr>
          <w:p w14:paraId="4829AC47"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p>
        </w:tc>
        <w:tc>
          <w:tcPr>
            <w:tcW w:w="940" w:type="pct"/>
            <w:tcBorders>
              <w:top w:val="nil"/>
              <w:left w:val="nil"/>
              <w:bottom w:val="nil"/>
              <w:right w:val="nil"/>
            </w:tcBorders>
            <w:shd w:val="clear" w:color="auto" w:fill="auto"/>
            <w:noWrap/>
            <w:vAlign w:val="center"/>
            <w:hideMark/>
          </w:tcPr>
          <w:p w14:paraId="01C30E51" w14:textId="77777777" w:rsidR="005B051A" w:rsidRPr="005B051A" w:rsidRDefault="005B051A" w:rsidP="005B051A">
            <w:pPr>
              <w:spacing w:after="0" w:line="240" w:lineRule="auto"/>
              <w:jc w:val="right"/>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(1.382)</w:t>
            </w:r>
          </w:p>
        </w:tc>
      </w:tr>
      <w:tr w:rsidR="005B051A" w:rsidRPr="005B051A" w14:paraId="2104CBD7" w14:textId="77777777" w:rsidTr="005B051A">
        <w:trPr>
          <w:trHeight w:val="240"/>
        </w:trPr>
        <w:tc>
          <w:tcPr>
            <w:tcW w:w="2606" w:type="pct"/>
            <w:tcBorders>
              <w:top w:val="nil"/>
              <w:left w:val="nil"/>
              <w:bottom w:val="nil"/>
              <w:right w:val="nil"/>
            </w:tcBorders>
            <w:shd w:val="clear" w:color="auto" w:fill="auto"/>
            <w:noWrap/>
            <w:vAlign w:val="bottom"/>
            <w:hideMark/>
          </w:tcPr>
          <w:p w14:paraId="77FF50E4" w14:textId="77777777" w:rsidR="005B051A" w:rsidRPr="005B051A" w:rsidRDefault="005B051A" w:rsidP="005B051A">
            <w:pPr>
              <w:spacing w:after="0" w:line="240" w:lineRule="auto"/>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Doações e contribuições </w:t>
            </w:r>
          </w:p>
        </w:tc>
        <w:tc>
          <w:tcPr>
            <w:tcW w:w="1302" w:type="pct"/>
            <w:tcBorders>
              <w:top w:val="nil"/>
              <w:left w:val="nil"/>
              <w:bottom w:val="nil"/>
              <w:right w:val="nil"/>
            </w:tcBorders>
            <w:shd w:val="clear" w:color="auto" w:fill="auto"/>
            <w:noWrap/>
            <w:vAlign w:val="center"/>
            <w:hideMark/>
          </w:tcPr>
          <w:p w14:paraId="18CF3ABC"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r w:rsidRPr="005B051A">
              <w:rPr>
                <w:rFonts w:ascii="Segoe UI" w:eastAsia="Times New Roman" w:hAnsi="Segoe UI" w:cs="Segoe UI"/>
                <w:color w:val="000000"/>
                <w:sz w:val="18"/>
                <w:szCs w:val="18"/>
                <w:lang w:eastAsia="pt-BR"/>
              </w:rPr>
              <w:t xml:space="preserve">                                                 - </w:t>
            </w:r>
          </w:p>
        </w:tc>
        <w:tc>
          <w:tcPr>
            <w:tcW w:w="152" w:type="pct"/>
            <w:tcBorders>
              <w:top w:val="nil"/>
              <w:left w:val="nil"/>
              <w:bottom w:val="nil"/>
              <w:right w:val="nil"/>
            </w:tcBorders>
            <w:shd w:val="clear" w:color="auto" w:fill="auto"/>
            <w:noWrap/>
            <w:vAlign w:val="bottom"/>
            <w:hideMark/>
          </w:tcPr>
          <w:p w14:paraId="610CF42B"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p>
        </w:tc>
        <w:tc>
          <w:tcPr>
            <w:tcW w:w="940" w:type="pct"/>
            <w:tcBorders>
              <w:top w:val="nil"/>
              <w:left w:val="nil"/>
              <w:bottom w:val="nil"/>
              <w:right w:val="nil"/>
            </w:tcBorders>
            <w:shd w:val="clear" w:color="auto" w:fill="auto"/>
            <w:noWrap/>
            <w:vAlign w:val="center"/>
            <w:hideMark/>
          </w:tcPr>
          <w:p w14:paraId="49000676" w14:textId="77777777" w:rsidR="005B051A" w:rsidRPr="005B051A" w:rsidRDefault="005B051A" w:rsidP="005B051A">
            <w:pPr>
              <w:spacing w:after="0" w:line="240" w:lineRule="auto"/>
              <w:jc w:val="right"/>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(136)</w:t>
            </w:r>
          </w:p>
        </w:tc>
      </w:tr>
      <w:tr w:rsidR="005B051A" w:rsidRPr="005B051A" w14:paraId="4991BA30" w14:textId="77777777" w:rsidTr="005B051A">
        <w:trPr>
          <w:trHeight w:val="240"/>
        </w:trPr>
        <w:tc>
          <w:tcPr>
            <w:tcW w:w="2606" w:type="pct"/>
            <w:tcBorders>
              <w:top w:val="nil"/>
              <w:left w:val="nil"/>
              <w:bottom w:val="nil"/>
              <w:right w:val="nil"/>
            </w:tcBorders>
            <w:shd w:val="clear" w:color="auto" w:fill="auto"/>
            <w:noWrap/>
            <w:vAlign w:val="bottom"/>
            <w:hideMark/>
          </w:tcPr>
          <w:p w14:paraId="500CAAF5" w14:textId="77777777" w:rsidR="005B051A" w:rsidRPr="005B051A" w:rsidRDefault="005B051A" w:rsidP="005B051A">
            <w:pPr>
              <w:spacing w:after="0" w:line="240" w:lineRule="auto"/>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Provisões/Reversões operacionais </w:t>
            </w:r>
          </w:p>
        </w:tc>
        <w:tc>
          <w:tcPr>
            <w:tcW w:w="1302" w:type="pct"/>
            <w:tcBorders>
              <w:top w:val="nil"/>
              <w:left w:val="nil"/>
              <w:bottom w:val="nil"/>
              <w:right w:val="nil"/>
            </w:tcBorders>
            <w:shd w:val="clear" w:color="auto" w:fill="auto"/>
            <w:noWrap/>
            <w:vAlign w:val="center"/>
            <w:hideMark/>
          </w:tcPr>
          <w:p w14:paraId="11074728"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r w:rsidRPr="005B051A">
              <w:rPr>
                <w:rFonts w:ascii="Segoe UI" w:eastAsia="Times New Roman" w:hAnsi="Segoe UI" w:cs="Segoe UI"/>
                <w:color w:val="000000"/>
                <w:sz w:val="18"/>
                <w:szCs w:val="18"/>
                <w:lang w:eastAsia="pt-BR"/>
              </w:rPr>
              <w:t xml:space="preserve">                                                 - </w:t>
            </w:r>
          </w:p>
        </w:tc>
        <w:tc>
          <w:tcPr>
            <w:tcW w:w="152" w:type="pct"/>
            <w:tcBorders>
              <w:top w:val="nil"/>
              <w:left w:val="nil"/>
              <w:bottom w:val="nil"/>
              <w:right w:val="nil"/>
            </w:tcBorders>
            <w:shd w:val="clear" w:color="auto" w:fill="auto"/>
            <w:noWrap/>
            <w:vAlign w:val="bottom"/>
            <w:hideMark/>
          </w:tcPr>
          <w:p w14:paraId="5F418E50"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p>
        </w:tc>
        <w:tc>
          <w:tcPr>
            <w:tcW w:w="940" w:type="pct"/>
            <w:tcBorders>
              <w:top w:val="nil"/>
              <w:left w:val="nil"/>
              <w:bottom w:val="nil"/>
              <w:right w:val="nil"/>
            </w:tcBorders>
            <w:shd w:val="clear" w:color="auto" w:fill="auto"/>
            <w:noWrap/>
            <w:vAlign w:val="center"/>
            <w:hideMark/>
          </w:tcPr>
          <w:p w14:paraId="70FD8985" w14:textId="77777777" w:rsidR="005B051A" w:rsidRPr="005B051A" w:rsidRDefault="005B051A" w:rsidP="005B051A">
            <w:pPr>
              <w:spacing w:after="0" w:line="240" w:lineRule="auto"/>
              <w:jc w:val="right"/>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(159.892)</w:t>
            </w:r>
          </w:p>
        </w:tc>
      </w:tr>
      <w:tr w:rsidR="005B051A" w:rsidRPr="005B051A" w14:paraId="4A94E9BD" w14:textId="77777777" w:rsidTr="005B051A">
        <w:trPr>
          <w:trHeight w:val="240"/>
        </w:trPr>
        <w:tc>
          <w:tcPr>
            <w:tcW w:w="2606" w:type="pct"/>
            <w:tcBorders>
              <w:top w:val="nil"/>
              <w:left w:val="nil"/>
              <w:bottom w:val="nil"/>
              <w:right w:val="nil"/>
            </w:tcBorders>
            <w:shd w:val="clear" w:color="auto" w:fill="auto"/>
            <w:noWrap/>
            <w:vAlign w:val="bottom"/>
            <w:hideMark/>
          </w:tcPr>
          <w:p w14:paraId="76A09B7A" w14:textId="77777777" w:rsidR="005B051A" w:rsidRPr="005B051A" w:rsidRDefault="005B051A" w:rsidP="005B051A">
            <w:pPr>
              <w:spacing w:after="0" w:line="240" w:lineRule="auto"/>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Outras receitas e (despesas), líquidas </w:t>
            </w:r>
          </w:p>
        </w:tc>
        <w:tc>
          <w:tcPr>
            <w:tcW w:w="1302" w:type="pct"/>
            <w:tcBorders>
              <w:top w:val="nil"/>
              <w:left w:val="nil"/>
              <w:bottom w:val="nil"/>
              <w:right w:val="nil"/>
            </w:tcBorders>
            <w:shd w:val="clear" w:color="auto" w:fill="auto"/>
            <w:noWrap/>
            <w:vAlign w:val="center"/>
            <w:hideMark/>
          </w:tcPr>
          <w:p w14:paraId="0A798192"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r w:rsidRPr="005B051A">
              <w:rPr>
                <w:rFonts w:ascii="Segoe UI" w:eastAsia="Times New Roman" w:hAnsi="Segoe UI" w:cs="Segoe UI"/>
                <w:color w:val="000000"/>
                <w:sz w:val="18"/>
                <w:szCs w:val="18"/>
                <w:lang w:eastAsia="pt-BR"/>
              </w:rPr>
              <w:t xml:space="preserve">                                        (1.027)</w:t>
            </w:r>
          </w:p>
        </w:tc>
        <w:tc>
          <w:tcPr>
            <w:tcW w:w="152" w:type="pct"/>
            <w:tcBorders>
              <w:top w:val="nil"/>
              <w:left w:val="nil"/>
              <w:bottom w:val="nil"/>
              <w:right w:val="nil"/>
            </w:tcBorders>
            <w:shd w:val="clear" w:color="auto" w:fill="auto"/>
            <w:noWrap/>
            <w:vAlign w:val="bottom"/>
            <w:hideMark/>
          </w:tcPr>
          <w:p w14:paraId="726C8764" w14:textId="77777777" w:rsidR="005B051A" w:rsidRPr="005B051A" w:rsidRDefault="005B051A" w:rsidP="005B051A">
            <w:pPr>
              <w:spacing w:after="0" w:line="240" w:lineRule="auto"/>
              <w:jc w:val="right"/>
              <w:rPr>
                <w:rFonts w:ascii="Segoe UI" w:eastAsia="Times New Roman" w:hAnsi="Segoe UI" w:cs="Segoe UI"/>
                <w:color w:val="000000"/>
                <w:sz w:val="18"/>
                <w:szCs w:val="18"/>
                <w:lang w:eastAsia="pt-BR"/>
              </w:rPr>
            </w:pPr>
          </w:p>
        </w:tc>
        <w:tc>
          <w:tcPr>
            <w:tcW w:w="940" w:type="pct"/>
            <w:tcBorders>
              <w:top w:val="nil"/>
              <w:left w:val="nil"/>
              <w:bottom w:val="nil"/>
              <w:right w:val="nil"/>
            </w:tcBorders>
            <w:shd w:val="clear" w:color="auto" w:fill="auto"/>
            <w:noWrap/>
            <w:vAlign w:val="center"/>
            <w:hideMark/>
          </w:tcPr>
          <w:p w14:paraId="489300DD" w14:textId="77777777" w:rsidR="005B051A" w:rsidRPr="005B051A" w:rsidRDefault="005B051A" w:rsidP="005B051A">
            <w:pPr>
              <w:spacing w:after="0" w:line="240" w:lineRule="auto"/>
              <w:jc w:val="right"/>
              <w:rPr>
                <w:rFonts w:ascii="Segoe UI" w:eastAsia="Times New Roman" w:hAnsi="Segoe UI" w:cs="Segoe UI"/>
                <w:sz w:val="18"/>
                <w:szCs w:val="18"/>
                <w:lang w:eastAsia="pt-BR"/>
              </w:rPr>
            </w:pPr>
            <w:r w:rsidRPr="005B051A">
              <w:rPr>
                <w:rFonts w:ascii="Segoe UI" w:eastAsia="Times New Roman" w:hAnsi="Segoe UI" w:cs="Segoe UI"/>
                <w:sz w:val="18"/>
                <w:szCs w:val="18"/>
                <w:lang w:eastAsia="pt-BR"/>
              </w:rPr>
              <w:t xml:space="preserve">                        (97.089)</w:t>
            </w:r>
          </w:p>
        </w:tc>
      </w:tr>
      <w:tr w:rsidR="005B051A" w:rsidRPr="005B051A" w14:paraId="488AFC98" w14:textId="77777777" w:rsidTr="005B051A">
        <w:trPr>
          <w:trHeight w:val="255"/>
        </w:trPr>
        <w:tc>
          <w:tcPr>
            <w:tcW w:w="2606" w:type="pct"/>
            <w:tcBorders>
              <w:top w:val="nil"/>
              <w:left w:val="nil"/>
              <w:bottom w:val="nil"/>
              <w:right w:val="nil"/>
            </w:tcBorders>
            <w:shd w:val="clear" w:color="auto" w:fill="auto"/>
            <w:noWrap/>
            <w:vAlign w:val="bottom"/>
            <w:hideMark/>
          </w:tcPr>
          <w:p w14:paraId="4DD7CE20" w14:textId="77777777" w:rsidR="005B051A" w:rsidRPr="005B051A" w:rsidRDefault="005B051A" w:rsidP="005B051A">
            <w:pPr>
              <w:spacing w:after="0" w:line="240" w:lineRule="auto"/>
              <w:jc w:val="right"/>
              <w:rPr>
                <w:rFonts w:ascii="Segoe UI" w:eastAsia="Times New Roman" w:hAnsi="Segoe UI" w:cs="Segoe UI"/>
                <w:sz w:val="18"/>
                <w:szCs w:val="18"/>
                <w:lang w:eastAsia="pt-BR"/>
              </w:rPr>
            </w:pPr>
          </w:p>
        </w:tc>
        <w:tc>
          <w:tcPr>
            <w:tcW w:w="1302" w:type="pct"/>
            <w:tcBorders>
              <w:top w:val="single" w:sz="4" w:space="0" w:color="1B80C4"/>
              <w:left w:val="nil"/>
              <w:bottom w:val="double" w:sz="6" w:space="0" w:color="1B80C4"/>
              <w:right w:val="nil"/>
            </w:tcBorders>
            <w:shd w:val="clear" w:color="auto" w:fill="auto"/>
            <w:noWrap/>
            <w:vAlign w:val="center"/>
            <w:hideMark/>
          </w:tcPr>
          <w:p w14:paraId="6B0B92FD" w14:textId="77777777" w:rsidR="005B051A" w:rsidRPr="005B051A" w:rsidRDefault="005B051A" w:rsidP="005B051A">
            <w:pPr>
              <w:spacing w:after="0" w:line="240" w:lineRule="auto"/>
              <w:jc w:val="right"/>
              <w:rPr>
                <w:rFonts w:ascii="Segoe UI" w:eastAsia="Times New Roman" w:hAnsi="Segoe UI" w:cs="Segoe UI"/>
                <w:b/>
                <w:bCs/>
                <w:color w:val="000000"/>
                <w:sz w:val="18"/>
                <w:szCs w:val="18"/>
                <w:lang w:eastAsia="pt-BR"/>
              </w:rPr>
            </w:pPr>
            <w:r w:rsidRPr="005B051A">
              <w:rPr>
                <w:rFonts w:ascii="Segoe UI" w:eastAsia="Times New Roman" w:hAnsi="Segoe UI" w:cs="Segoe UI"/>
                <w:b/>
                <w:bCs/>
                <w:color w:val="000000"/>
                <w:sz w:val="18"/>
                <w:szCs w:val="18"/>
                <w:lang w:eastAsia="pt-BR"/>
              </w:rPr>
              <w:t xml:space="preserve">                                     (16.969)</w:t>
            </w:r>
          </w:p>
        </w:tc>
        <w:tc>
          <w:tcPr>
            <w:tcW w:w="152" w:type="pct"/>
            <w:tcBorders>
              <w:top w:val="nil"/>
              <w:left w:val="nil"/>
              <w:bottom w:val="nil"/>
              <w:right w:val="nil"/>
            </w:tcBorders>
            <w:shd w:val="clear" w:color="auto" w:fill="auto"/>
            <w:noWrap/>
            <w:vAlign w:val="bottom"/>
            <w:hideMark/>
          </w:tcPr>
          <w:p w14:paraId="3612ED4B" w14:textId="77777777" w:rsidR="005B051A" w:rsidRPr="005B051A" w:rsidRDefault="005B051A" w:rsidP="005B051A">
            <w:pPr>
              <w:spacing w:after="0" w:line="240" w:lineRule="auto"/>
              <w:jc w:val="right"/>
              <w:rPr>
                <w:rFonts w:ascii="Segoe UI" w:eastAsia="Times New Roman" w:hAnsi="Segoe UI" w:cs="Segoe UI"/>
                <w:b/>
                <w:bCs/>
                <w:color w:val="000000"/>
                <w:sz w:val="18"/>
                <w:szCs w:val="18"/>
                <w:lang w:eastAsia="pt-BR"/>
              </w:rPr>
            </w:pPr>
          </w:p>
        </w:tc>
        <w:tc>
          <w:tcPr>
            <w:tcW w:w="940" w:type="pct"/>
            <w:tcBorders>
              <w:top w:val="single" w:sz="4" w:space="0" w:color="1B80C4"/>
              <w:left w:val="nil"/>
              <w:bottom w:val="double" w:sz="6" w:space="0" w:color="1B80C4"/>
              <w:right w:val="nil"/>
            </w:tcBorders>
            <w:shd w:val="clear" w:color="auto" w:fill="auto"/>
            <w:noWrap/>
            <w:vAlign w:val="center"/>
            <w:hideMark/>
          </w:tcPr>
          <w:p w14:paraId="0F2639FB" w14:textId="77777777" w:rsidR="005B051A" w:rsidRPr="005B051A" w:rsidRDefault="005B051A" w:rsidP="005B051A">
            <w:pPr>
              <w:spacing w:after="0" w:line="240" w:lineRule="auto"/>
              <w:jc w:val="right"/>
              <w:rPr>
                <w:rFonts w:ascii="Segoe UI" w:eastAsia="Times New Roman" w:hAnsi="Segoe UI" w:cs="Segoe UI"/>
                <w:b/>
                <w:bCs/>
                <w:color w:val="000000"/>
                <w:sz w:val="18"/>
                <w:szCs w:val="18"/>
                <w:lang w:eastAsia="pt-BR"/>
              </w:rPr>
            </w:pPr>
            <w:r w:rsidRPr="005B051A">
              <w:rPr>
                <w:rFonts w:ascii="Segoe UI" w:eastAsia="Times New Roman" w:hAnsi="Segoe UI" w:cs="Segoe UI"/>
                <w:b/>
                <w:bCs/>
                <w:color w:val="000000"/>
                <w:sz w:val="18"/>
                <w:szCs w:val="18"/>
                <w:lang w:eastAsia="pt-BR"/>
              </w:rPr>
              <w:t xml:space="preserve">                    (646.453)</w:t>
            </w:r>
          </w:p>
        </w:tc>
      </w:tr>
    </w:tbl>
    <w:p w14:paraId="004C2B14" w14:textId="4E535A85" w:rsidR="00402349" w:rsidRDefault="00402349" w:rsidP="00996DB3"/>
    <w:p w14:paraId="6EC48B64" w14:textId="3A5B587A" w:rsidR="00720B19" w:rsidRDefault="00720B19" w:rsidP="00996DB3"/>
    <w:p w14:paraId="072BFC86" w14:textId="61426F39" w:rsidR="003B2937" w:rsidRPr="005A73DC" w:rsidRDefault="00430995" w:rsidP="00482C5E">
      <w:pPr>
        <w:tabs>
          <w:tab w:val="left" w:pos="567"/>
          <w:tab w:val="left" w:pos="1134"/>
          <w:tab w:val="left" w:pos="1701"/>
          <w:tab w:val="left" w:pos="2268"/>
          <w:tab w:val="left" w:pos="2835"/>
        </w:tabs>
        <w:jc w:val="both"/>
        <w:outlineLvl w:val="0"/>
        <w:rPr>
          <w:rFonts w:ascii="Segoe UI" w:hAnsi="Segoe UI" w:cs="Segoe UI"/>
          <w:b/>
          <w:color w:val="0070C0"/>
        </w:rPr>
      </w:pPr>
      <w:r w:rsidRPr="005A73DC">
        <w:rPr>
          <w:rFonts w:ascii="Segoe UI" w:hAnsi="Segoe UI" w:cs="Segoe UI"/>
          <w:b/>
          <w:color w:val="0070C0"/>
        </w:rPr>
        <w:lastRenderedPageBreak/>
        <w:t>2</w:t>
      </w:r>
      <w:r w:rsidR="002A4E82" w:rsidRPr="005A73DC">
        <w:rPr>
          <w:rFonts w:ascii="Segoe UI" w:hAnsi="Segoe UI" w:cs="Segoe UI"/>
          <w:b/>
          <w:color w:val="0070C0"/>
        </w:rPr>
        <w:t>7</w:t>
      </w:r>
      <w:r w:rsidR="003B2937" w:rsidRPr="005A73DC">
        <w:rPr>
          <w:rFonts w:ascii="Segoe UI" w:hAnsi="Segoe UI" w:cs="Segoe UI"/>
          <w:b/>
          <w:color w:val="0070C0"/>
        </w:rPr>
        <w:t xml:space="preserve"> – RESULTADO FINANCEIRO</w:t>
      </w:r>
    </w:p>
    <w:tbl>
      <w:tblPr>
        <w:tblW w:w="5000" w:type="pct"/>
        <w:tblCellMar>
          <w:left w:w="70" w:type="dxa"/>
          <w:right w:w="70" w:type="dxa"/>
        </w:tblCellMar>
        <w:tblLook w:val="04A0" w:firstRow="1" w:lastRow="0" w:firstColumn="1" w:lastColumn="0" w:noHBand="0" w:noVBand="1"/>
      </w:tblPr>
      <w:tblGrid>
        <w:gridCol w:w="6753"/>
        <w:gridCol w:w="1311"/>
        <w:gridCol w:w="190"/>
        <w:gridCol w:w="1243"/>
      </w:tblGrid>
      <w:tr w:rsidR="005A02C9" w:rsidRPr="005A02C9" w14:paraId="6E370A40" w14:textId="77777777" w:rsidTr="005A02C9">
        <w:trPr>
          <w:trHeight w:val="240"/>
        </w:trPr>
        <w:tc>
          <w:tcPr>
            <w:tcW w:w="3636" w:type="pct"/>
            <w:tcBorders>
              <w:top w:val="nil"/>
              <w:left w:val="nil"/>
              <w:bottom w:val="nil"/>
              <w:right w:val="nil"/>
            </w:tcBorders>
            <w:shd w:val="clear" w:color="auto" w:fill="auto"/>
            <w:noWrap/>
            <w:vAlign w:val="bottom"/>
            <w:hideMark/>
          </w:tcPr>
          <w:p w14:paraId="005935EE" w14:textId="77777777" w:rsidR="005A02C9" w:rsidRPr="005A02C9" w:rsidRDefault="005A02C9" w:rsidP="005A02C9">
            <w:pPr>
              <w:spacing w:after="0" w:line="240" w:lineRule="auto"/>
              <w:rPr>
                <w:rFonts w:ascii="Segoe UI" w:eastAsia="Times New Roman" w:hAnsi="Segoe UI" w:cs="Segoe UI"/>
                <w:sz w:val="18"/>
                <w:szCs w:val="18"/>
                <w:lang w:eastAsia="pt-BR"/>
              </w:rPr>
            </w:pPr>
          </w:p>
        </w:tc>
        <w:tc>
          <w:tcPr>
            <w:tcW w:w="637" w:type="pct"/>
            <w:tcBorders>
              <w:top w:val="nil"/>
              <w:left w:val="nil"/>
              <w:bottom w:val="nil"/>
              <w:right w:val="nil"/>
            </w:tcBorders>
            <w:shd w:val="clear" w:color="000000" w:fill="1B80C4"/>
            <w:noWrap/>
            <w:vAlign w:val="bottom"/>
            <w:hideMark/>
          </w:tcPr>
          <w:p w14:paraId="79769C8A" w14:textId="77777777" w:rsidR="005A02C9" w:rsidRPr="005A02C9" w:rsidRDefault="005A02C9" w:rsidP="005A02C9">
            <w:pPr>
              <w:spacing w:after="0" w:line="240" w:lineRule="auto"/>
              <w:jc w:val="center"/>
              <w:rPr>
                <w:rFonts w:ascii="Segoe UI" w:eastAsia="Times New Roman" w:hAnsi="Segoe UI" w:cs="Segoe UI"/>
                <w:b/>
                <w:bCs/>
                <w:color w:val="FFFFFF"/>
                <w:sz w:val="18"/>
                <w:szCs w:val="18"/>
                <w:lang w:eastAsia="pt-BR"/>
              </w:rPr>
            </w:pPr>
            <w:r w:rsidRPr="005A02C9">
              <w:rPr>
                <w:rFonts w:ascii="Segoe UI" w:eastAsia="Times New Roman" w:hAnsi="Segoe UI" w:cs="Segoe UI"/>
                <w:b/>
                <w:bCs/>
                <w:color w:val="FFFFFF"/>
                <w:sz w:val="18"/>
                <w:szCs w:val="18"/>
                <w:lang w:eastAsia="pt-BR"/>
              </w:rPr>
              <w:t xml:space="preserve"> Controladora </w:t>
            </w:r>
          </w:p>
        </w:tc>
        <w:tc>
          <w:tcPr>
            <w:tcW w:w="89" w:type="pct"/>
            <w:tcBorders>
              <w:top w:val="nil"/>
              <w:left w:val="nil"/>
              <w:bottom w:val="nil"/>
              <w:right w:val="nil"/>
            </w:tcBorders>
            <w:shd w:val="clear" w:color="000000" w:fill="1B80C4"/>
            <w:noWrap/>
            <w:vAlign w:val="center"/>
            <w:hideMark/>
          </w:tcPr>
          <w:p w14:paraId="566049FF" w14:textId="77777777" w:rsidR="005A02C9" w:rsidRPr="005A02C9" w:rsidRDefault="005A02C9" w:rsidP="005A02C9">
            <w:pPr>
              <w:spacing w:after="0" w:line="240" w:lineRule="auto"/>
              <w:jc w:val="center"/>
              <w:rPr>
                <w:rFonts w:ascii="Segoe UI" w:eastAsia="Times New Roman" w:hAnsi="Segoe UI" w:cs="Segoe UI"/>
                <w:b/>
                <w:bCs/>
                <w:color w:val="FFFFFF"/>
                <w:sz w:val="18"/>
                <w:szCs w:val="18"/>
                <w:lang w:eastAsia="pt-BR"/>
              </w:rPr>
            </w:pPr>
            <w:r w:rsidRPr="005A02C9">
              <w:rPr>
                <w:rFonts w:ascii="Segoe UI" w:eastAsia="Times New Roman" w:hAnsi="Segoe UI" w:cs="Segoe UI"/>
                <w:b/>
                <w:bCs/>
                <w:color w:val="FFFFFF"/>
                <w:sz w:val="18"/>
                <w:szCs w:val="18"/>
                <w:lang w:eastAsia="pt-BR"/>
              </w:rPr>
              <w:t> </w:t>
            </w:r>
          </w:p>
        </w:tc>
        <w:tc>
          <w:tcPr>
            <w:tcW w:w="637" w:type="pct"/>
            <w:tcBorders>
              <w:top w:val="nil"/>
              <w:left w:val="nil"/>
              <w:bottom w:val="nil"/>
              <w:right w:val="nil"/>
            </w:tcBorders>
            <w:shd w:val="clear" w:color="000000" w:fill="1B80C4"/>
            <w:noWrap/>
            <w:vAlign w:val="bottom"/>
            <w:hideMark/>
          </w:tcPr>
          <w:p w14:paraId="47038CA2" w14:textId="77777777" w:rsidR="005A02C9" w:rsidRPr="005A02C9" w:rsidRDefault="005A02C9" w:rsidP="005A02C9">
            <w:pPr>
              <w:spacing w:after="0" w:line="240" w:lineRule="auto"/>
              <w:jc w:val="center"/>
              <w:rPr>
                <w:rFonts w:ascii="Segoe UI" w:eastAsia="Times New Roman" w:hAnsi="Segoe UI" w:cs="Segoe UI"/>
                <w:b/>
                <w:bCs/>
                <w:color w:val="FFFFFF"/>
                <w:sz w:val="18"/>
                <w:szCs w:val="18"/>
                <w:lang w:eastAsia="pt-BR"/>
              </w:rPr>
            </w:pPr>
            <w:r w:rsidRPr="005A02C9">
              <w:rPr>
                <w:rFonts w:ascii="Segoe UI" w:eastAsia="Times New Roman" w:hAnsi="Segoe UI" w:cs="Segoe UI"/>
                <w:b/>
                <w:bCs/>
                <w:color w:val="FFFFFF"/>
                <w:sz w:val="18"/>
                <w:szCs w:val="18"/>
                <w:lang w:eastAsia="pt-BR"/>
              </w:rPr>
              <w:t xml:space="preserve"> Consolidado </w:t>
            </w:r>
          </w:p>
        </w:tc>
      </w:tr>
      <w:tr w:rsidR="005A02C9" w:rsidRPr="005A02C9" w14:paraId="2CC33EE1" w14:textId="77777777" w:rsidTr="005A02C9">
        <w:trPr>
          <w:trHeight w:val="240"/>
        </w:trPr>
        <w:tc>
          <w:tcPr>
            <w:tcW w:w="3636" w:type="pct"/>
            <w:tcBorders>
              <w:top w:val="nil"/>
              <w:left w:val="nil"/>
              <w:bottom w:val="nil"/>
              <w:right w:val="nil"/>
            </w:tcBorders>
            <w:shd w:val="clear" w:color="auto" w:fill="auto"/>
            <w:noWrap/>
            <w:vAlign w:val="bottom"/>
            <w:hideMark/>
          </w:tcPr>
          <w:p w14:paraId="50912C90" w14:textId="77777777" w:rsidR="005A02C9" w:rsidRPr="005A02C9" w:rsidRDefault="005A02C9" w:rsidP="005A02C9">
            <w:pPr>
              <w:spacing w:after="0" w:line="240" w:lineRule="auto"/>
              <w:jc w:val="center"/>
              <w:rPr>
                <w:rFonts w:ascii="Segoe UI" w:eastAsia="Times New Roman" w:hAnsi="Segoe UI" w:cs="Segoe UI"/>
                <w:b/>
                <w:bCs/>
                <w:color w:val="FFFFFF"/>
                <w:sz w:val="18"/>
                <w:szCs w:val="18"/>
                <w:lang w:eastAsia="pt-BR"/>
              </w:rPr>
            </w:pPr>
          </w:p>
        </w:tc>
        <w:tc>
          <w:tcPr>
            <w:tcW w:w="637" w:type="pct"/>
            <w:tcBorders>
              <w:top w:val="single" w:sz="4" w:space="0" w:color="FFFFFF"/>
              <w:left w:val="nil"/>
              <w:bottom w:val="single" w:sz="4" w:space="0" w:color="FFFFFF"/>
              <w:right w:val="nil"/>
            </w:tcBorders>
            <w:shd w:val="clear" w:color="000000" w:fill="1B80C4"/>
            <w:noWrap/>
            <w:vAlign w:val="center"/>
            <w:hideMark/>
          </w:tcPr>
          <w:p w14:paraId="6C677F21" w14:textId="77777777" w:rsidR="005A02C9" w:rsidRPr="005A02C9" w:rsidRDefault="005A02C9" w:rsidP="005A02C9">
            <w:pPr>
              <w:spacing w:after="0" w:line="240" w:lineRule="auto"/>
              <w:jc w:val="center"/>
              <w:rPr>
                <w:rFonts w:ascii="Segoe UI" w:eastAsia="Times New Roman" w:hAnsi="Segoe UI" w:cs="Segoe UI"/>
                <w:b/>
                <w:bCs/>
                <w:color w:val="FFFFFF"/>
                <w:sz w:val="18"/>
                <w:szCs w:val="18"/>
                <w:lang w:eastAsia="pt-BR"/>
              </w:rPr>
            </w:pPr>
            <w:r w:rsidRPr="005A02C9">
              <w:rPr>
                <w:rFonts w:ascii="Segoe UI" w:eastAsia="Times New Roman" w:hAnsi="Segoe UI" w:cs="Segoe UI"/>
                <w:b/>
                <w:bCs/>
                <w:color w:val="FFFFFF"/>
                <w:sz w:val="18"/>
                <w:szCs w:val="18"/>
                <w:lang w:eastAsia="pt-BR"/>
              </w:rPr>
              <w:t>31/12/2022</w:t>
            </w:r>
          </w:p>
        </w:tc>
        <w:tc>
          <w:tcPr>
            <w:tcW w:w="89" w:type="pct"/>
            <w:tcBorders>
              <w:top w:val="single" w:sz="4" w:space="0" w:color="FFFFFF"/>
              <w:left w:val="nil"/>
              <w:bottom w:val="single" w:sz="4" w:space="0" w:color="FFFFFF"/>
              <w:right w:val="nil"/>
            </w:tcBorders>
            <w:shd w:val="clear" w:color="000000" w:fill="1B80C4"/>
            <w:noWrap/>
            <w:vAlign w:val="center"/>
            <w:hideMark/>
          </w:tcPr>
          <w:p w14:paraId="598507A1" w14:textId="77777777" w:rsidR="005A02C9" w:rsidRPr="005A02C9" w:rsidRDefault="005A02C9" w:rsidP="005A02C9">
            <w:pPr>
              <w:spacing w:after="0" w:line="240" w:lineRule="auto"/>
              <w:jc w:val="center"/>
              <w:rPr>
                <w:rFonts w:ascii="Segoe UI" w:eastAsia="Times New Roman" w:hAnsi="Segoe UI" w:cs="Segoe UI"/>
                <w:b/>
                <w:bCs/>
                <w:color w:val="FFFFFF"/>
                <w:sz w:val="18"/>
                <w:szCs w:val="18"/>
                <w:lang w:eastAsia="pt-BR"/>
              </w:rPr>
            </w:pPr>
            <w:r w:rsidRPr="005A02C9">
              <w:rPr>
                <w:rFonts w:ascii="Segoe UI" w:eastAsia="Times New Roman" w:hAnsi="Segoe UI" w:cs="Segoe UI"/>
                <w:b/>
                <w:bCs/>
                <w:color w:val="FFFFFF"/>
                <w:sz w:val="18"/>
                <w:szCs w:val="18"/>
                <w:lang w:eastAsia="pt-BR"/>
              </w:rPr>
              <w:t> </w:t>
            </w:r>
          </w:p>
        </w:tc>
        <w:tc>
          <w:tcPr>
            <w:tcW w:w="637" w:type="pct"/>
            <w:tcBorders>
              <w:top w:val="single" w:sz="4" w:space="0" w:color="FFFFFF"/>
              <w:left w:val="nil"/>
              <w:bottom w:val="single" w:sz="4" w:space="0" w:color="FFFFFF"/>
              <w:right w:val="nil"/>
            </w:tcBorders>
            <w:shd w:val="clear" w:color="000000" w:fill="1B80C4"/>
            <w:noWrap/>
            <w:vAlign w:val="center"/>
            <w:hideMark/>
          </w:tcPr>
          <w:p w14:paraId="5F828207" w14:textId="77777777" w:rsidR="005A02C9" w:rsidRPr="005A02C9" w:rsidRDefault="005A02C9" w:rsidP="005A02C9">
            <w:pPr>
              <w:spacing w:after="0" w:line="240" w:lineRule="auto"/>
              <w:jc w:val="center"/>
              <w:rPr>
                <w:rFonts w:ascii="Segoe UI" w:eastAsia="Times New Roman" w:hAnsi="Segoe UI" w:cs="Segoe UI"/>
                <w:b/>
                <w:bCs/>
                <w:color w:val="FFFFFF"/>
                <w:sz w:val="18"/>
                <w:szCs w:val="18"/>
                <w:lang w:eastAsia="pt-BR"/>
              </w:rPr>
            </w:pPr>
            <w:r w:rsidRPr="005A02C9">
              <w:rPr>
                <w:rFonts w:ascii="Segoe UI" w:eastAsia="Times New Roman" w:hAnsi="Segoe UI" w:cs="Segoe UI"/>
                <w:b/>
                <w:bCs/>
                <w:color w:val="FFFFFF"/>
                <w:sz w:val="18"/>
                <w:szCs w:val="18"/>
                <w:lang w:eastAsia="pt-BR"/>
              </w:rPr>
              <w:t>31/12/2022</w:t>
            </w:r>
          </w:p>
        </w:tc>
      </w:tr>
      <w:tr w:rsidR="005A02C9" w:rsidRPr="005A02C9" w14:paraId="18FC2687" w14:textId="77777777" w:rsidTr="005A02C9">
        <w:trPr>
          <w:trHeight w:val="240"/>
        </w:trPr>
        <w:tc>
          <w:tcPr>
            <w:tcW w:w="3636" w:type="pct"/>
            <w:tcBorders>
              <w:top w:val="nil"/>
              <w:left w:val="nil"/>
              <w:bottom w:val="nil"/>
              <w:right w:val="nil"/>
            </w:tcBorders>
            <w:shd w:val="clear" w:color="auto" w:fill="auto"/>
            <w:noWrap/>
            <w:vAlign w:val="bottom"/>
            <w:hideMark/>
          </w:tcPr>
          <w:p w14:paraId="59500CA3" w14:textId="77777777" w:rsidR="005A02C9" w:rsidRPr="005A02C9" w:rsidRDefault="005A02C9" w:rsidP="005A02C9">
            <w:pPr>
              <w:spacing w:after="0" w:line="240" w:lineRule="auto"/>
              <w:rPr>
                <w:rFonts w:ascii="Segoe UI" w:eastAsia="Times New Roman" w:hAnsi="Segoe UI" w:cs="Segoe UI"/>
                <w:b/>
                <w:bCs/>
                <w:sz w:val="18"/>
                <w:szCs w:val="18"/>
                <w:lang w:eastAsia="pt-BR"/>
              </w:rPr>
            </w:pPr>
            <w:r w:rsidRPr="005A02C9">
              <w:rPr>
                <w:rFonts w:ascii="Segoe UI" w:eastAsia="Times New Roman" w:hAnsi="Segoe UI" w:cs="Segoe UI"/>
                <w:b/>
                <w:bCs/>
                <w:sz w:val="18"/>
                <w:szCs w:val="18"/>
                <w:lang w:eastAsia="pt-BR"/>
              </w:rPr>
              <w:t xml:space="preserve">    Receitas financeiras </w:t>
            </w:r>
          </w:p>
        </w:tc>
        <w:tc>
          <w:tcPr>
            <w:tcW w:w="637" w:type="pct"/>
            <w:tcBorders>
              <w:top w:val="nil"/>
              <w:left w:val="nil"/>
              <w:bottom w:val="nil"/>
              <w:right w:val="nil"/>
            </w:tcBorders>
            <w:shd w:val="clear" w:color="auto" w:fill="auto"/>
            <w:noWrap/>
            <w:vAlign w:val="center"/>
            <w:hideMark/>
          </w:tcPr>
          <w:p w14:paraId="6F01AD51" w14:textId="77777777" w:rsidR="005A02C9" w:rsidRPr="005A02C9" w:rsidRDefault="005A02C9" w:rsidP="005A02C9">
            <w:pPr>
              <w:spacing w:after="0" w:line="240" w:lineRule="auto"/>
              <w:rPr>
                <w:rFonts w:ascii="Segoe UI" w:eastAsia="Times New Roman" w:hAnsi="Segoe UI" w:cs="Segoe UI"/>
                <w:b/>
                <w:bCs/>
                <w:sz w:val="18"/>
                <w:szCs w:val="18"/>
                <w:lang w:eastAsia="pt-BR"/>
              </w:rPr>
            </w:pPr>
          </w:p>
        </w:tc>
        <w:tc>
          <w:tcPr>
            <w:tcW w:w="89" w:type="pct"/>
            <w:tcBorders>
              <w:top w:val="nil"/>
              <w:left w:val="nil"/>
              <w:bottom w:val="nil"/>
              <w:right w:val="nil"/>
            </w:tcBorders>
            <w:shd w:val="clear" w:color="auto" w:fill="auto"/>
            <w:noWrap/>
            <w:vAlign w:val="bottom"/>
            <w:hideMark/>
          </w:tcPr>
          <w:p w14:paraId="2E62F00B" w14:textId="77777777" w:rsidR="005A02C9" w:rsidRPr="005A02C9" w:rsidRDefault="005A02C9" w:rsidP="005A02C9">
            <w:pPr>
              <w:spacing w:after="0" w:line="240" w:lineRule="auto"/>
              <w:jc w:val="right"/>
              <w:rPr>
                <w:rFonts w:ascii="Segoe UI" w:eastAsia="Times New Roman" w:hAnsi="Segoe UI" w:cs="Segoe UI"/>
                <w:sz w:val="18"/>
                <w:szCs w:val="18"/>
                <w:lang w:eastAsia="pt-BR"/>
              </w:rPr>
            </w:pPr>
          </w:p>
        </w:tc>
        <w:tc>
          <w:tcPr>
            <w:tcW w:w="637" w:type="pct"/>
            <w:tcBorders>
              <w:top w:val="nil"/>
              <w:left w:val="nil"/>
              <w:bottom w:val="nil"/>
              <w:right w:val="nil"/>
            </w:tcBorders>
            <w:shd w:val="clear" w:color="auto" w:fill="auto"/>
            <w:noWrap/>
            <w:vAlign w:val="center"/>
            <w:hideMark/>
          </w:tcPr>
          <w:p w14:paraId="249F93F7" w14:textId="77777777" w:rsidR="005A02C9" w:rsidRPr="005A02C9" w:rsidRDefault="005A02C9" w:rsidP="005A02C9">
            <w:pPr>
              <w:spacing w:after="0" w:line="240" w:lineRule="auto"/>
              <w:rPr>
                <w:rFonts w:ascii="Segoe UI" w:eastAsia="Times New Roman" w:hAnsi="Segoe UI" w:cs="Segoe UI"/>
                <w:sz w:val="18"/>
                <w:szCs w:val="18"/>
                <w:lang w:eastAsia="pt-BR"/>
              </w:rPr>
            </w:pPr>
          </w:p>
        </w:tc>
      </w:tr>
      <w:tr w:rsidR="005A02C9" w:rsidRPr="005A02C9" w14:paraId="0652BA8F" w14:textId="77777777" w:rsidTr="005A02C9">
        <w:trPr>
          <w:trHeight w:val="240"/>
        </w:trPr>
        <w:tc>
          <w:tcPr>
            <w:tcW w:w="3636" w:type="pct"/>
            <w:tcBorders>
              <w:top w:val="nil"/>
              <w:left w:val="nil"/>
              <w:bottom w:val="nil"/>
              <w:right w:val="nil"/>
            </w:tcBorders>
            <w:shd w:val="clear" w:color="auto" w:fill="auto"/>
            <w:noWrap/>
            <w:vAlign w:val="bottom"/>
            <w:hideMark/>
          </w:tcPr>
          <w:p w14:paraId="1C5EBA93"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Receita de aplicações financeiras </w:t>
            </w:r>
          </w:p>
        </w:tc>
        <w:tc>
          <w:tcPr>
            <w:tcW w:w="637" w:type="pct"/>
            <w:tcBorders>
              <w:top w:val="nil"/>
              <w:left w:val="nil"/>
              <w:bottom w:val="nil"/>
              <w:right w:val="nil"/>
            </w:tcBorders>
            <w:shd w:val="clear" w:color="auto" w:fill="auto"/>
            <w:noWrap/>
            <w:vAlign w:val="center"/>
            <w:hideMark/>
          </w:tcPr>
          <w:p w14:paraId="79284F59" w14:textId="0843E771"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195.156</w:t>
            </w:r>
          </w:p>
        </w:tc>
        <w:tc>
          <w:tcPr>
            <w:tcW w:w="89" w:type="pct"/>
            <w:tcBorders>
              <w:top w:val="nil"/>
              <w:left w:val="nil"/>
              <w:bottom w:val="nil"/>
              <w:right w:val="nil"/>
            </w:tcBorders>
            <w:shd w:val="clear" w:color="auto" w:fill="auto"/>
            <w:noWrap/>
            <w:vAlign w:val="bottom"/>
            <w:hideMark/>
          </w:tcPr>
          <w:p w14:paraId="1A790125"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2F2DAD01" w14:textId="0D719596"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439.365</w:t>
            </w:r>
          </w:p>
        </w:tc>
      </w:tr>
      <w:tr w:rsidR="005A02C9" w:rsidRPr="005A02C9" w14:paraId="39885569" w14:textId="77777777" w:rsidTr="005A02C9">
        <w:trPr>
          <w:trHeight w:val="240"/>
        </w:trPr>
        <w:tc>
          <w:tcPr>
            <w:tcW w:w="3636" w:type="pct"/>
            <w:tcBorders>
              <w:top w:val="nil"/>
              <w:left w:val="nil"/>
              <w:bottom w:val="nil"/>
              <w:right w:val="nil"/>
            </w:tcBorders>
            <w:shd w:val="clear" w:color="auto" w:fill="auto"/>
            <w:noWrap/>
            <w:vAlign w:val="bottom"/>
            <w:hideMark/>
          </w:tcPr>
          <w:p w14:paraId="2ECBC675" w14:textId="3F47DBB6"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Ganho sobre tít. e valores mobiliários de LP </w:t>
            </w:r>
            <w:r w:rsidR="0090158D">
              <w:rPr>
                <w:rFonts w:ascii="Segoe UI" w:eastAsia="Times New Roman" w:hAnsi="Segoe UI" w:cs="Segoe UI"/>
                <w:sz w:val="18"/>
                <w:szCs w:val="18"/>
                <w:lang w:eastAsia="pt-BR"/>
              </w:rPr>
              <w:t>–</w:t>
            </w:r>
            <w:r w:rsidRPr="005A02C9">
              <w:rPr>
                <w:rFonts w:ascii="Segoe UI" w:eastAsia="Times New Roman" w:hAnsi="Segoe UI" w:cs="Segoe UI"/>
                <w:sz w:val="18"/>
                <w:szCs w:val="18"/>
                <w:lang w:eastAsia="pt-BR"/>
              </w:rPr>
              <w:t xml:space="preserve"> Fundo</w:t>
            </w:r>
            <w:r w:rsidR="0090158D">
              <w:rPr>
                <w:rFonts w:ascii="Segoe UI" w:eastAsia="Times New Roman" w:hAnsi="Segoe UI" w:cs="Segoe UI"/>
                <w:sz w:val="18"/>
                <w:szCs w:val="18"/>
                <w:lang w:eastAsia="pt-BR"/>
              </w:rPr>
              <w:t xml:space="preserve"> de</w:t>
            </w:r>
            <w:r w:rsidRPr="005A02C9">
              <w:rPr>
                <w:rFonts w:ascii="Segoe UI" w:eastAsia="Times New Roman" w:hAnsi="Segoe UI" w:cs="Segoe UI"/>
                <w:sz w:val="18"/>
                <w:szCs w:val="18"/>
                <w:lang w:eastAsia="pt-BR"/>
              </w:rPr>
              <w:t xml:space="preserve"> descomissionamento </w:t>
            </w:r>
          </w:p>
        </w:tc>
        <w:tc>
          <w:tcPr>
            <w:tcW w:w="637" w:type="pct"/>
            <w:tcBorders>
              <w:top w:val="nil"/>
              <w:left w:val="nil"/>
              <w:bottom w:val="nil"/>
              <w:right w:val="nil"/>
            </w:tcBorders>
            <w:shd w:val="clear" w:color="auto" w:fill="auto"/>
            <w:noWrap/>
            <w:vAlign w:val="center"/>
            <w:hideMark/>
          </w:tcPr>
          <w:p w14:paraId="5A894D6B" w14:textId="2106392D"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bottom"/>
            <w:hideMark/>
          </w:tcPr>
          <w:p w14:paraId="606BF6AF"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28E3783C" w14:textId="273B63BE"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182.062</w:t>
            </w:r>
          </w:p>
        </w:tc>
      </w:tr>
      <w:tr w:rsidR="005A02C9" w:rsidRPr="005A02C9" w14:paraId="1AA74966" w14:textId="77777777" w:rsidTr="005A02C9">
        <w:trPr>
          <w:trHeight w:val="240"/>
        </w:trPr>
        <w:tc>
          <w:tcPr>
            <w:tcW w:w="3636" w:type="pct"/>
            <w:tcBorders>
              <w:top w:val="nil"/>
              <w:left w:val="nil"/>
              <w:bottom w:val="nil"/>
              <w:right w:val="nil"/>
            </w:tcBorders>
            <w:shd w:val="clear" w:color="auto" w:fill="auto"/>
            <w:noWrap/>
            <w:vAlign w:val="bottom"/>
            <w:hideMark/>
          </w:tcPr>
          <w:p w14:paraId="3E417F27"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Atualizações monetárias ativas </w:t>
            </w:r>
          </w:p>
        </w:tc>
        <w:tc>
          <w:tcPr>
            <w:tcW w:w="637" w:type="pct"/>
            <w:tcBorders>
              <w:top w:val="nil"/>
              <w:left w:val="nil"/>
              <w:bottom w:val="nil"/>
              <w:right w:val="nil"/>
            </w:tcBorders>
            <w:shd w:val="clear" w:color="auto" w:fill="auto"/>
            <w:noWrap/>
            <w:vAlign w:val="center"/>
            <w:hideMark/>
          </w:tcPr>
          <w:p w14:paraId="71B7C51F" w14:textId="6CD3C16A"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446</w:t>
            </w:r>
          </w:p>
        </w:tc>
        <w:tc>
          <w:tcPr>
            <w:tcW w:w="89" w:type="pct"/>
            <w:tcBorders>
              <w:top w:val="nil"/>
              <w:left w:val="nil"/>
              <w:bottom w:val="nil"/>
              <w:right w:val="nil"/>
            </w:tcBorders>
            <w:shd w:val="clear" w:color="auto" w:fill="auto"/>
            <w:noWrap/>
            <w:vAlign w:val="bottom"/>
            <w:hideMark/>
          </w:tcPr>
          <w:p w14:paraId="32121AD1"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7B9B94C5" w14:textId="4981BE6E"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1.879</w:t>
            </w:r>
          </w:p>
        </w:tc>
      </w:tr>
      <w:tr w:rsidR="005A02C9" w:rsidRPr="005A02C9" w14:paraId="30905AFA" w14:textId="77777777" w:rsidTr="005A02C9">
        <w:trPr>
          <w:trHeight w:val="240"/>
        </w:trPr>
        <w:tc>
          <w:tcPr>
            <w:tcW w:w="3636" w:type="pct"/>
            <w:tcBorders>
              <w:top w:val="nil"/>
              <w:left w:val="nil"/>
              <w:bottom w:val="nil"/>
              <w:right w:val="nil"/>
            </w:tcBorders>
            <w:shd w:val="clear" w:color="auto" w:fill="auto"/>
            <w:noWrap/>
            <w:vAlign w:val="bottom"/>
            <w:hideMark/>
          </w:tcPr>
          <w:p w14:paraId="1EB77D09"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Outras receitas financeiras </w:t>
            </w:r>
          </w:p>
        </w:tc>
        <w:tc>
          <w:tcPr>
            <w:tcW w:w="637" w:type="pct"/>
            <w:tcBorders>
              <w:top w:val="nil"/>
              <w:left w:val="nil"/>
              <w:bottom w:val="single" w:sz="4" w:space="0" w:color="1B80C4"/>
              <w:right w:val="nil"/>
            </w:tcBorders>
            <w:shd w:val="clear" w:color="auto" w:fill="auto"/>
            <w:noWrap/>
            <w:vAlign w:val="center"/>
            <w:hideMark/>
          </w:tcPr>
          <w:p w14:paraId="004497D8" w14:textId="033036E3"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bottom"/>
            <w:hideMark/>
          </w:tcPr>
          <w:p w14:paraId="6281D737"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single" w:sz="4" w:space="0" w:color="1B80C4"/>
              <w:right w:val="nil"/>
            </w:tcBorders>
            <w:shd w:val="clear" w:color="auto" w:fill="auto"/>
            <w:noWrap/>
            <w:vAlign w:val="center"/>
            <w:hideMark/>
          </w:tcPr>
          <w:p w14:paraId="2A2A3718" w14:textId="536C4955"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13.555</w:t>
            </w:r>
          </w:p>
        </w:tc>
      </w:tr>
      <w:tr w:rsidR="005A02C9" w:rsidRPr="005A02C9" w14:paraId="06A795AC" w14:textId="77777777" w:rsidTr="005A02C9">
        <w:trPr>
          <w:trHeight w:val="240"/>
        </w:trPr>
        <w:tc>
          <w:tcPr>
            <w:tcW w:w="3636" w:type="pct"/>
            <w:tcBorders>
              <w:top w:val="nil"/>
              <w:left w:val="nil"/>
              <w:bottom w:val="nil"/>
              <w:right w:val="nil"/>
            </w:tcBorders>
            <w:shd w:val="clear" w:color="auto" w:fill="auto"/>
            <w:noWrap/>
            <w:vAlign w:val="bottom"/>
            <w:hideMark/>
          </w:tcPr>
          <w:p w14:paraId="2CFEF8B2"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4C979044" w14:textId="4B4DA535"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195.602</w:t>
            </w:r>
          </w:p>
        </w:tc>
        <w:tc>
          <w:tcPr>
            <w:tcW w:w="89" w:type="pct"/>
            <w:tcBorders>
              <w:top w:val="nil"/>
              <w:left w:val="nil"/>
              <w:bottom w:val="nil"/>
              <w:right w:val="nil"/>
            </w:tcBorders>
            <w:shd w:val="clear" w:color="auto" w:fill="auto"/>
            <w:noWrap/>
            <w:vAlign w:val="bottom"/>
            <w:hideMark/>
          </w:tcPr>
          <w:p w14:paraId="6D86651B" w14:textId="77777777"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57E1A5EF" w14:textId="4C9BBFA1"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636.861</w:t>
            </w:r>
          </w:p>
        </w:tc>
      </w:tr>
      <w:tr w:rsidR="005A02C9" w:rsidRPr="005A02C9" w14:paraId="746F00DF" w14:textId="77777777" w:rsidTr="005A02C9">
        <w:trPr>
          <w:trHeight w:val="240"/>
        </w:trPr>
        <w:tc>
          <w:tcPr>
            <w:tcW w:w="3636" w:type="pct"/>
            <w:tcBorders>
              <w:top w:val="nil"/>
              <w:left w:val="nil"/>
              <w:bottom w:val="nil"/>
              <w:right w:val="nil"/>
            </w:tcBorders>
            <w:shd w:val="clear" w:color="auto" w:fill="auto"/>
            <w:noWrap/>
            <w:vAlign w:val="bottom"/>
            <w:hideMark/>
          </w:tcPr>
          <w:p w14:paraId="6625A4C6" w14:textId="77777777" w:rsidR="005A02C9" w:rsidRPr="005A02C9" w:rsidRDefault="005A02C9" w:rsidP="005A02C9">
            <w:pPr>
              <w:spacing w:after="0" w:line="240" w:lineRule="auto"/>
              <w:rPr>
                <w:rFonts w:ascii="Segoe UI" w:eastAsia="Times New Roman" w:hAnsi="Segoe UI" w:cs="Segoe UI"/>
                <w:b/>
                <w:bCs/>
                <w:sz w:val="18"/>
                <w:szCs w:val="18"/>
                <w:lang w:eastAsia="pt-BR"/>
              </w:rPr>
            </w:pPr>
            <w:r w:rsidRPr="005A02C9">
              <w:rPr>
                <w:rFonts w:ascii="Segoe UI" w:eastAsia="Times New Roman" w:hAnsi="Segoe UI" w:cs="Segoe UI"/>
                <w:b/>
                <w:bCs/>
                <w:sz w:val="18"/>
                <w:szCs w:val="18"/>
                <w:lang w:eastAsia="pt-BR"/>
              </w:rPr>
              <w:t xml:space="preserve">    Despesas financeiras </w:t>
            </w:r>
          </w:p>
        </w:tc>
        <w:tc>
          <w:tcPr>
            <w:tcW w:w="637" w:type="pct"/>
            <w:tcBorders>
              <w:top w:val="nil"/>
              <w:left w:val="nil"/>
              <w:bottom w:val="nil"/>
              <w:right w:val="nil"/>
            </w:tcBorders>
            <w:shd w:val="clear" w:color="auto" w:fill="auto"/>
            <w:noWrap/>
            <w:vAlign w:val="center"/>
            <w:hideMark/>
          </w:tcPr>
          <w:p w14:paraId="4D2F3019" w14:textId="77777777" w:rsidR="005A02C9" w:rsidRPr="005A02C9" w:rsidRDefault="005A02C9" w:rsidP="005A02C9">
            <w:pPr>
              <w:spacing w:after="0" w:line="240" w:lineRule="auto"/>
              <w:rPr>
                <w:rFonts w:ascii="Segoe UI" w:eastAsia="Times New Roman" w:hAnsi="Segoe UI" w:cs="Segoe UI"/>
                <w:b/>
                <w:bCs/>
                <w:sz w:val="18"/>
                <w:szCs w:val="18"/>
                <w:lang w:eastAsia="pt-BR"/>
              </w:rPr>
            </w:pPr>
          </w:p>
        </w:tc>
        <w:tc>
          <w:tcPr>
            <w:tcW w:w="89" w:type="pct"/>
            <w:tcBorders>
              <w:top w:val="nil"/>
              <w:left w:val="nil"/>
              <w:bottom w:val="nil"/>
              <w:right w:val="nil"/>
            </w:tcBorders>
            <w:shd w:val="clear" w:color="auto" w:fill="auto"/>
            <w:noWrap/>
            <w:vAlign w:val="bottom"/>
            <w:hideMark/>
          </w:tcPr>
          <w:p w14:paraId="265505B3" w14:textId="77777777" w:rsidR="005A02C9" w:rsidRPr="005A02C9" w:rsidRDefault="005A02C9" w:rsidP="005A02C9">
            <w:pPr>
              <w:spacing w:after="0" w:line="240" w:lineRule="auto"/>
              <w:jc w:val="right"/>
              <w:rPr>
                <w:rFonts w:ascii="Segoe UI" w:eastAsia="Times New Roman" w:hAnsi="Segoe UI" w:cs="Segoe UI"/>
                <w:sz w:val="18"/>
                <w:szCs w:val="18"/>
                <w:lang w:eastAsia="pt-BR"/>
              </w:rPr>
            </w:pPr>
          </w:p>
        </w:tc>
        <w:tc>
          <w:tcPr>
            <w:tcW w:w="637" w:type="pct"/>
            <w:tcBorders>
              <w:top w:val="nil"/>
              <w:left w:val="nil"/>
              <w:bottom w:val="nil"/>
              <w:right w:val="nil"/>
            </w:tcBorders>
            <w:shd w:val="clear" w:color="auto" w:fill="auto"/>
            <w:noWrap/>
            <w:vAlign w:val="center"/>
            <w:hideMark/>
          </w:tcPr>
          <w:p w14:paraId="26C87CF8" w14:textId="77777777" w:rsidR="005A02C9" w:rsidRPr="005A02C9" w:rsidRDefault="005A02C9" w:rsidP="005A02C9">
            <w:pPr>
              <w:spacing w:after="0" w:line="240" w:lineRule="auto"/>
              <w:rPr>
                <w:rFonts w:ascii="Segoe UI" w:eastAsia="Times New Roman" w:hAnsi="Segoe UI" w:cs="Segoe UI"/>
                <w:sz w:val="18"/>
                <w:szCs w:val="18"/>
                <w:lang w:eastAsia="pt-BR"/>
              </w:rPr>
            </w:pPr>
          </w:p>
        </w:tc>
      </w:tr>
      <w:tr w:rsidR="005A02C9" w:rsidRPr="005A02C9" w14:paraId="66550146" w14:textId="77777777" w:rsidTr="005A02C9">
        <w:trPr>
          <w:trHeight w:val="240"/>
        </w:trPr>
        <w:tc>
          <w:tcPr>
            <w:tcW w:w="3636" w:type="pct"/>
            <w:tcBorders>
              <w:top w:val="nil"/>
              <w:left w:val="nil"/>
              <w:bottom w:val="nil"/>
              <w:right w:val="nil"/>
            </w:tcBorders>
            <w:shd w:val="clear" w:color="auto" w:fill="auto"/>
            <w:noWrap/>
            <w:vAlign w:val="bottom"/>
            <w:hideMark/>
          </w:tcPr>
          <w:p w14:paraId="61814F7D"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Encargos de dívidas </w:t>
            </w:r>
          </w:p>
        </w:tc>
        <w:tc>
          <w:tcPr>
            <w:tcW w:w="637" w:type="pct"/>
            <w:tcBorders>
              <w:top w:val="nil"/>
              <w:left w:val="nil"/>
              <w:bottom w:val="nil"/>
              <w:right w:val="nil"/>
            </w:tcBorders>
            <w:shd w:val="clear" w:color="auto" w:fill="auto"/>
            <w:noWrap/>
            <w:vAlign w:val="center"/>
            <w:hideMark/>
          </w:tcPr>
          <w:p w14:paraId="38D35E94" w14:textId="1076E6F6"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(31.874)</w:t>
            </w:r>
          </w:p>
        </w:tc>
        <w:tc>
          <w:tcPr>
            <w:tcW w:w="89" w:type="pct"/>
            <w:tcBorders>
              <w:top w:val="nil"/>
              <w:left w:val="nil"/>
              <w:bottom w:val="nil"/>
              <w:right w:val="nil"/>
            </w:tcBorders>
            <w:shd w:val="clear" w:color="auto" w:fill="auto"/>
            <w:noWrap/>
            <w:vAlign w:val="bottom"/>
            <w:hideMark/>
          </w:tcPr>
          <w:p w14:paraId="1FE02A63"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75C6CA8A" w14:textId="3E18B5D5"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(319.483)</w:t>
            </w:r>
          </w:p>
        </w:tc>
      </w:tr>
      <w:tr w:rsidR="005A02C9" w:rsidRPr="005A02C9" w14:paraId="3786632B" w14:textId="77777777" w:rsidTr="005A02C9">
        <w:trPr>
          <w:trHeight w:val="240"/>
        </w:trPr>
        <w:tc>
          <w:tcPr>
            <w:tcW w:w="3636" w:type="pct"/>
            <w:tcBorders>
              <w:top w:val="nil"/>
              <w:left w:val="nil"/>
              <w:bottom w:val="nil"/>
              <w:right w:val="nil"/>
            </w:tcBorders>
            <w:shd w:val="clear" w:color="auto" w:fill="auto"/>
            <w:noWrap/>
            <w:vAlign w:val="bottom"/>
            <w:hideMark/>
          </w:tcPr>
          <w:p w14:paraId="661EBF0E" w14:textId="2A0400A8"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Perda sobre tít. e valores mobiliários de LP - Fundo </w:t>
            </w:r>
            <w:r w:rsidR="0090158D">
              <w:rPr>
                <w:rFonts w:ascii="Segoe UI" w:eastAsia="Times New Roman" w:hAnsi="Segoe UI" w:cs="Segoe UI"/>
                <w:sz w:val="18"/>
                <w:szCs w:val="18"/>
                <w:lang w:eastAsia="pt-BR"/>
              </w:rPr>
              <w:t xml:space="preserve">de </w:t>
            </w:r>
            <w:r w:rsidRPr="005A02C9">
              <w:rPr>
                <w:rFonts w:ascii="Segoe UI" w:eastAsia="Times New Roman" w:hAnsi="Segoe UI" w:cs="Segoe UI"/>
                <w:sz w:val="18"/>
                <w:szCs w:val="18"/>
                <w:lang w:eastAsia="pt-BR"/>
              </w:rPr>
              <w:t xml:space="preserve">descomissionamento </w:t>
            </w:r>
          </w:p>
        </w:tc>
        <w:tc>
          <w:tcPr>
            <w:tcW w:w="637" w:type="pct"/>
            <w:tcBorders>
              <w:top w:val="nil"/>
              <w:left w:val="nil"/>
              <w:bottom w:val="nil"/>
              <w:right w:val="nil"/>
            </w:tcBorders>
            <w:shd w:val="clear" w:color="auto" w:fill="auto"/>
            <w:noWrap/>
            <w:vAlign w:val="center"/>
            <w:hideMark/>
          </w:tcPr>
          <w:p w14:paraId="44947A1E" w14:textId="6BCBE253"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bottom"/>
            <w:hideMark/>
          </w:tcPr>
          <w:p w14:paraId="0F1D984F"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7D68C625" w14:textId="1F362679"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(11.957)</w:t>
            </w:r>
          </w:p>
        </w:tc>
      </w:tr>
      <w:tr w:rsidR="005A02C9" w:rsidRPr="005A02C9" w14:paraId="48230E11" w14:textId="77777777" w:rsidTr="005A02C9">
        <w:trPr>
          <w:trHeight w:val="240"/>
        </w:trPr>
        <w:tc>
          <w:tcPr>
            <w:tcW w:w="3636" w:type="pct"/>
            <w:tcBorders>
              <w:top w:val="nil"/>
              <w:left w:val="nil"/>
              <w:bottom w:val="nil"/>
              <w:right w:val="nil"/>
            </w:tcBorders>
            <w:shd w:val="clear" w:color="auto" w:fill="auto"/>
            <w:noWrap/>
            <w:vAlign w:val="bottom"/>
            <w:hideMark/>
          </w:tcPr>
          <w:p w14:paraId="3997277D"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Ajuste a valor presente da obrigação para desmobilização de ativos </w:t>
            </w:r>
          </w:p>
        </w:tc>
        <w:tc>
          <w:tcPr>
            <w:tcW w:w="637" w:type="pct"/>
            <w:tcBorders>
              <w:top w:val="nil"/>
              <w:left w:val="nil"/>
              <w:bottom w:val="nil"/>
              <w:right w:val="nil"/>
            </w:tcBorders>
            <w:shd w:val="clear" w:color="auto" w:fill="auto"/>
            <w:noWrap/>
            <w:vAlign w:val="center"/>
            <w:hideMark/>
          </w:tcPr>
          <w:p w14:paraId="76D2A918" w14:textId="02A3D463"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bottom"/>
            <w:hideMark/>
          </w:tcPr>
          <w:p w14:paraId="0AADF0E3"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4DFEEEFC" w14:textId="320EC392"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(145.382)</w:t>
            </w:r>
          </w:p>
        </w:tc>
      </w:tr>
      <w:tr w:rsidR="005A02C9" w:rsidRPr="005A02C9" w14:paraId="23FF0D4D" w14:textId="77777777" w:rsidTr="005A02C9">
        <w:trPr>
          <w:trHeight w:val="240"/>
        </w:trPr>
        <w:tc>
          <w:tcPr>
            <w:tcW w:w="3636" w:type="pct"/>
            <w:tcBorders>
              <w:top w:val="nil"/>
              <w:left w:val="nil"/>
              <w:bottom w:val="nil"/>
              <w:right w:val="nil"/>
            </w:tcBorders>
            <w:shd w:val="clear" w:color="auto" w:fill="auto"/>
            <w:noWrap/>
            <w:vAlign w:val="bottom"/>
            <w:hideMark/>
          </w:tcPr>
          <w:p w14:paraId="03DF77D3"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Encargos de arrendamento </w:t>
            </w:r>
          </w:p>
        </w:tc>
        <w:tc>
          <w:tcPr>
            <w:tcW w:w="637" w:type="pct"/>
            <w:tcBorders>
              <w:top w:val="nil"/>
              <w:left w:val="nil"/>
              <w:bottom w:val="nil"/>
              <w:right w:val="nil"/>
            </w:tcBorders>
            <w:shd w:val="clear" w:color="auto" w:fill="auto"/>
            <w:noWrap/>
            <w:vAlign w:val="center"/>
            <w:hideMark/>
          </w:tcPr>
          <w:p w14:paraId="2F047E5E" w14:textId="5325DAB4"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(160)</w:t>
            </w:r>
          </w:p>
        </w:tc>
        <w:tc>
          <w:tcPr>
            <w:tcW w:w="89" w:type="pct"/>
            <w:tcBorders>
              <w:top w:val="nil"/>
              <w:left w:val="nil"/>
              <w:bottom w:val="nil"/>
              <w:right w:val="nil"/>
            </w:tcBorders>
            <w:shd w:val="clear" w:color="auto" w:fill="auto"/>
            <w:noWrap/>
            <w:vAlign w:val="bottom"/>
            <w:hideMark/>
          </w:tcPr>
          <w:p w14:paraId="5A70B623"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31083C53" w14:textId="28C43A7E"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(3.181)</w:t>
            </w:r>
          </w:p>
        </w:tc>
      </w:tr>
      <w:tr w:rsidR="005A02C9" w:rsidRPr="005A02C9" w14:paraId="26F78802" w14:textId="77777777" w:rsidTr="005A02C9">
        <w:trPr>
          <w:trHeight w:val="240"/>
        </w:trPr>
        <w:tc>
          <w:tcPr>
            <w:tcW w:w="3636" w:type="pct"/>
            <w:tcBorders>
              <w:top w:val="nil"/>
              <w:left w:val="nil"/>
              <w:bottom w:val="nil"/>
              <w:right w:val="nil"/>
            </w:tcBorders>
            <w:shd w:val="clear" w:color="auto" w:fill="auto"/>
            <w:noWrap/>
            <w:vAlign w:val="bottom"/>
            <w:hideMark/>
          </w:tcPr>
          <w:p w14:paraId="0AAE11F3"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Atualizações monetárias passivas </w:t>
            </w:r>
          </w:p>
        </w:tc>
        <w:tc>
          <w:tcPr>
            <w:tcW w:w="637" w:type="pct"/>
            <w:tcBorders>
              <w:top w:val="nil"/>
              <w:left w:val="nil"/>
              <w:bottom w:val="nil"/>
              <w:right w:val="nil"/>
            </w:tcBorders>
            <w:shd w:val="clear" w:color="auto" w:fill="auto"/>
            <w:noWrap/>
            <w:vAlign w:val="center"/>
            <w:hideMark/>
          </w:tcPr>
          <w:p w14:paraId="52F35BFC" w14:textId="699C9F80"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w:t>
            </w:r>
          </w:p>
        </w:tc>
        <w:tc>
          <w:tcPr>
            <w:tcW w:w="89" w:type="pct"/>
            <w:tcBorders>
              <w:top w:val="nil"/>
              <w:left w:val="nil"/>
              <w:bottom w:val="nil"/>
              <w:right w:val="nil"/>
            </w:tcBorders>
            <w:shd w:val="clear" w:color="auto" w:fill="auto"/>
            <w:noWrap/>
            <w:vAlign w:val="bottom"/>
            <w:hideMark/>
          </w:tcPr>
          <w:p w14:paraId="5D1CC20A"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334CDE43" w14:textId="154B2910" w:rsidR="005A02C9" w:rsidRPr="005A02C9" w:rsidRDefault="005A02C9" w:rsidP="005A02C9">
            <w:pPr>
              <w:spacing w:after="0" w:line="240" w:lineRule="auto"/>
              <w:jc w:val="right"/>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(37.166)</w:t>
            </w:r>
          </w:p>
        </w:tc>
      </w:tr>
      <w:tr w:rsidR="005A02C9" w:rsidRPr="005A02C9" w14:paraId="21685174" w14:textId="77777777" w:rsidTr="005A02C9">
        <w:trPr>
          <w:trHeight w:val="240"/>
        </w:trPr>
        <w:tc>
          <w:tcPr>
            <w:tcW w:w="3636" w:type="pct"/>
            <w:tcBorders>
              <w:top w:val="nil"/>
              <w:left w:val="nil"/>
              <w:bottom w:val="nil"/>
              <w:right w:val="nil"/>
            </w:tcBorders>
            <w:shd w:val="clear" w:color="auto" w:fill="auto"/>
            <w:noWrap/>
            <w:vAlign w:val="bottom"/>
            <w:hideMark/>
          </w:tcPr>
          <w:p w14:paraId="01297C23"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Outras despesas financeiras </w:t>
            </w:r>
          </w:p>
        </w:tc>
        <w:tc>
          <w:tcPr>
            <w:tcW w:w="637" w:type="pct"/>
            <w:tcBorders>
              <w:top w:val="nil"/>
              <w:left w:val="nil"/>
              <w:bottom w:val="single" w:sz="4" w:space="0" w:color="1B80C4"/>
              <w:right w:val="nil"/>
            </w:tcBorders>
            <w:shd w:val="clear" w:color="auto" w:fill="auto"/>
            <w:noWrap/>
            <w:vAlign w:val="center"/>
            <w:hideMark/>
          </w:tcPr>
          <w:p w14:paraId="2F8C022A" w14:textId="588605D6"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(25)</w:t>
            </w:r>
          </w:p>
        </w:tc>
        <w:tc>
          <w:tcPr>
            <w:tcW w:w="89" w:type="pct"/>
            <w:tcBorders>
              <w:top w:val="nil"/>
              <w:left w:val="nil"/>
              <w:bottom w:val="nil"/>
              <w:right w:val="nil"/>
            </w:tcBorders>
            <w:shd w:val="clear" w:color="auto" w:fill="auto"/>
            <w:noWrap/>
            <w:vAlign w:val="bottom"/>
            <w:hideMark/>
          </w:tcPr>
          <w:p w14:paraId="293BC89F"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single" w:sz="4" w:space="0" w:color="1B80C4"/>
              <w:right w:val="nil"/>
            </w:tcBorders>
            <w:shd w:val="clear" w:color="auto" w:fill="auto"/>
            <w:noWrap/>
            <w:vAlign w:val="center"/>
            <w:hideMark/>
          </w:tcPr>
          <w:p w14:paraId="758C460D" w14:textId="6F8ADAAD"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(46.430)</w:t>
            </w:r>
          </w:p>
        </w:tc>
      </w:tr>
      <w:tr w:rsidR="005A02C9" w:rsidRPr="005A02C9" w14:paraId="23B6074A" w14:textId="77777777" w:rsidTr="005A02C9">
        <w:trPr>
          <w:trHeight w:val="240"/>
        </w:trPr>
        <w:tc>
          <w:tcPr>
            <w:tcW w:w="3636" w:type="pct"/>
            <w:tcBorders>
              <w:top w:val="nil"/>
              <w:left w:val="nil"/>
              <w:bottom w:val="nil"/>
              <w:right w:val="nil"/>
            </w:tcBorders>
            <w:shd w:val="clear" w:color="auto" w:fill="auto"/>
            <w:noWrap/>
            <w:vAlign w:val="bottom"/>
            <w:hideMark/>
          </w:tcPr>
          <w:p w14:paraId="3A09A097"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1E628558" w14:textId="6EF7D3C7"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(32.059)</w:t>
            </w:r>
          </w:p>
        </w:tc>
        <w:tc>
          <w:tcPr>
            <w:tcW w:w="89" w:type="pct"/>
            <w:tcBorders>
              <w:top w:val="nil"/>
              <w:left w:val="nil"/>
              <w:bottom w:val="nil"/>
              <w:right w:val="nil"/>
            </w:tcBorders>
            <w:shd w:val="clear" w:color="auto" w:fill="auto"/>
            <w:noWrap/>
            <w:vAlign w:val="bottom"/>
            <w:hideMark/>
          </w:tcPr>
          <w:p w14:paraId="44A23532" w14:textId="77777777"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1DDF89CC" w14:textId="76F0BF1F"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(563.599)</w:t>
            </w:r>
          </w:p>
        </w:tc>
      </w:tr>
      <w:tr w:rsidR="005A02C9" w:rsidRPr="005A02C9" w14:paraId="730A6A10" w14:textId="77777777" w:rsidTr="005A02C9">
        <w:trPr>
          <w:trHeight w:val="240"/>
        </w:trPr>
        <w:tc>
          <w:tcPr>
            <w:tcW w:w="3636" w:type="pct"/>
            <w:tcBorders>
              <w:top w:val="nil"/>
              <w:left w:val="nil"/>
              <w:bottom w:val="nil"/>
              <w:right w:val="nil"/>
            </w:tcBorders>
            <w:shd w:val="clear" w:color="auto" w:fill="auto"/>
            <w:noWrap/>
            <w:vAlign w:val="bottom"/>
            <w:hideMark/>
          </w:tcPr>
          <w:p w14:paraId="194273DB" w14:textId="77777777" w:rsidR="005A02C9" w:rsidRPr="005A02C9" w:rsidRDefault="005A02C9" w:rsidP="005A02C9">
            <w:pPr>
              <w:spacing w:after="0" w:line="240" w:lineRule="auto"/>
              <w:rPr>
                <w:rFonts w:ascii="Segoe UI" w:eastAsia="Times New Roman" w:hAnsi="Segoe UI" w:cs="Segoe UI"/>
                <w:b/>
                <w:bCs/>
                <w:sz w:val="18"/>
                <w:szCs w:val="18"/>
                <w:lang w:eastAsia="pt-BR"/>
              </w:rPr>
            </w:pPr>
            <w:r w:rsidRPr="005A02C9">
              <w:rPr>
                <w:rFonts w:ascii="Segoe UI" w:eastAsia="Times New Roman" w:hAnsi="Segoe UI" w:cs="Segoe UI"/>
                <w:b/>
                <w:bCs/>
                <w:sz w:val="18"/>
                <w:szCs w:val="18"/>
                <w:lang w:eastAsia="pt-BR"/>
              </w:rPr>
              <w:t xml:space="preserve">    Itens financeiros, líquidos </w:t>
            </w:r>
          </w:p>
        </w:tc>
        <w:tc>
          <w:tcPr>
            <w:tcW w:w="637" w:type="pct"/>
            <w:tcBorders>
              <w:top w:val="nil"/>
              <w:left w:val="nil"/>
              <w:bottom w:val="nil"/>
              <w:right w:val="nil"/>
            </w:tcBorders>
            <w:shd w:val="clear" w:color="auto" w:fill="auto"/>
            <w:noWrap/>
            <w:vAlign w:val="bottom"/>
            <w:hideMark/>
          </w:tcPr>
          <w:p w14:paraId="25636776" w14:textId="77777777" w:rsidR="005A02C9" w:rsidRPr="005A02C9" w:rsidRDefault="005A02C9" w:rsidP="005A02C9">
            <w:pPr>
              <w:spacing w:after="0" w:line="240" w:lineRule="auto"/>
              <w:rPr>
                <w:rFonts w:ascii="Segoe UI" w:eastAsia="Times New Roman" w:hAnsi="Segoe UI" w:cs="Segoe UI"/>
                <w:b/>
                <w:bCs/>
                <w:sz w:val="18"/>
                <w:szCs w:val="18"/>
                <w:lang w:eastAsia="pt-BR"/>
              </w:rPr>
            </w:pPr>
          </w:p>
        </w:tc>
        <w:tc>
          <w:tcPr>
            <w:tcW w:w="89" w:type="pct"/>
            <w:tcBorders>
              <w:top w:val="nil"/>
              <w:left w:val="nil"/>
              <w:bottom w:val="nil"/>
              <w:right w:val="nil"/>
            </w:tcBorders>
            <w:shd w:val="clear" w:color="auto" w:fill="auto"/>
            <w:noWrap/>
            <w:vAlign w:val="bottom"/>
            <w:hideMark/>
          </w:tcPr>
          <w:p w14:paraId="7184D79B" w14:textId="77777777" w:rsidR="005A02C9" w:rsidRPr="005A02C9" w:rsidRDefault="005A02C9" w:rsidP="005A02C9">
            <w:pPr>
              <w:spacing w:after="0" w:line="240" w:lineRule="auto"/>
              <w:rPr>
                <w:rFonts w:ascii="Segoe UI" w:eastAsia="Times New Roman" w:hAnsi="Segoe UI" w:cs="Segoe UI"/>
                <w:sz w:val="18"/>
                <w:szCs w:val="18"/>
                <w:lang w:eastAsia="pt-BR"/>
              </w:rPr>
            </w:pPr>
          </w:p>
        </w:tc>
        <w:tc>
          <w:tcPr>
            <w:tcW w:w="637" w:type="pct"/>
            <w:tcBorders>
              <w:top w:val="nil"/>
              <w:left w:val="nil"/>
              <w:bottom w:val="nil"/>
              <w:right w:val="nil"/>
            </w:tcBorders>
            <w:shd w:val="clear" w:color="auto" w:fill="auto"/>
            <w:noWrap/>
            <w:vAlign w:val="bottom"/>
            <w:hideMark/>
          </w:tcPr>
          <w:p w14:paraId="105048ED" w14:textId="77777777" w:rsidR="005A02C9" w:rsidRPr="005A02C9" w:rsidRDefault="005A02C9" w:rsidP="005A02C9">
            <w:pPr>
              <w:spacing w:after="0" w:line="240" w:lineRule="auto"/>
              <w:rPr>
                <w:rFonts w:ascii="Segoe UI" w:eastAsia="Times New Roman" w:hAnsi="Segoe UI" w:cs="Segoe UI"/>
                <w:sz w:val="18"/>
                <w:szCs w:val="18"/>
                <w:lang w:eastAsia="pt-BR"/>
              </w:rPr>
            </w:pPr>
          </w:p>
        </w:tc>
      </w:tr>
      <w:tr w:rsidR="005A02C9" w:rsidRPr="005A02C9" w14:paraId="51DC054B" w14:textId="77777777" w:rsidTr="005A02C9">
        <w:trPr>
          <w:trHeight w:val="330"/>
        </w:trPr>
        <w:tc>
          <w:tcPr>
            <w:tcW w:w="3636" w:type="pct"/>
            <w:tcBorders>
              <w:top w:val="nil"/>
              <w:left w:val="nil"/>
              <w:bottom w:val="nil"/>
              <w:right w:val="nil"/>
            </w:tcBorders>
            <w:shd w:val="clear" w:color="auto" w:fill="auto"/>
            <w:noWrap/>
            <w:vAlign w:val="bottom"/>
            <w:hideMark/>
          </w:tcPr>
          <w:p w14:paraId="7193C9F7" w14:textId="77777777" w:rsidR="005A02C9" w:rsidRPr="005A02C9" w:rsidRDefault="005A02C9" w:rsidP="005A02C9">
            <w:pPr>
              <w:spacing w:after="0" w:line="240" w:lineRule="auto"/>
              <w:rPr>
                <w:rFonts w:ascii="Segoe UI" w:eastAsia="Times New Roman" w:hAnsi="Segoe UI" w:cs="Segoe UI"/>
                <w:sz w:val="18"/>
                <w:szCs w:val="18"/>
                <w:lang w:eastAsia="pt-BR"/>
              </w:rPr>
            </w:pPr>
            <w:r w:rsidRPr="005A02C9">
              <w:rPr>
                <w:rFonts w:ascii="Segoe UI" w:eastAsia="Times New Roman" w:hAnsi="Segoe UI" w:cs="Segoe UI"/>
                <w:sz w:val="18"/>
                <w:szCs w:val="18"/>
                <w:lang w:eastAsia="pt-BR"/>
              </w:rPr>
              <w:t xml:space="preserve">     Variações cambiais </w:t>
            </w:r>
          </w:p>
        </w:tc>
        <w:tc>
          <w:tcPr>
            <w:tcW w:w="637" w:type="pct"/>
            <w:tcBorders>
              <w:top w:val="nil"/>
              <w:left w:val="nil"/>
              <w:bottom w:val="single" w:sz="4" w:space="0" w:color="1B80C4"/>
              <w:right w:val="nil"/>
            </w:tcBorders>
            <w:shd w:val="clear" w:color="auto" w:fill="auto"/>
            <w:noWrap/>
            <w:vAlign w:val="center"/>
            <w:hideMark/>
          </w:tcPr>
          <w:p w14:paraId="4DB80722" w14:textId="6A649521"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(27.542)</w:t>
            </w:r>
          </w:p>
        </w:tc>
        <w:tc>
          <w:tcPr>
            <w:tcW w:w="89" w:type="pct"/>
            <w:tcBorders>
              <w:top w:val="nil"/>
              <w:left w:val="nil"/>
              <w:bottom w:val="nil"/>
              <w:right w:val="nil"/>
            </w:tcBorders>
            <w:shd w:val="clear" w:color="auto" w:fill="auto"/>
            <w:noWrap/>
            <w:vAlign w:val="center"/>
            <w:hideMark/>
          </w:tcPr>
          <w:p w14:paraId="27F68DAD"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single" w:sz="4" w:space="0" w:color="1B80C4"/>
              <w:right w:val="nil"/>
            </w:tcBorders>
            <w:shd w:val="clear" w:color="auto" w:fill="auto"/>
            <w:noWrap/>
            <w:vAlign w:val="center"/>
            <w:hideMark/>
          </w:tcPr>
          <w:p w14:paraId="38A5F606" w14:textId="5045BD22"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r w:rsidRPr="005A02C9">
              <w:rPr>
                <w:rFonts w:ascii="Segoe UI" w:eastAsia="Times New Roman" w:hAnsi="Segoe UI" w:cs="Segoe UI"/>
                <w:color w:val="000000"/>
                <w:sz w:val="18"/>
                <w:szCs w:val="18"/>
                <w:lang w:eastAsia="pt-BR"/>
              </w:rPr>
              <w:t>(50.346)</w:t>
            </w:r>
          </w:p>
        </w:tc>
      </w:tr>
      <w:tr w:rsidR="005A02C9" w:rsidRPr="005A02C9" w14:paraId="267DD898" w14:textId="77777777" w:rsidTr="005A02C9">
        <w:trPr>
          <w:trHeight w:val="240"/>
        </w:trPr>
        <w:tc>
          <w:tcPr>
            <w:tcW w:w="3636" w:type="pct"/>
            <w:tcBorders>
              <w:top w:val="nil"/>
              <w:left w:val="nil"/>
              <w:bottom w:val="nil"/>
              <w:right w:val="nil"/>
            </w:tcBorders>
            <w:shd w:val="clear" w:color="auto" w:fill="auto"/>
            <w:noWrap/>
            <w:vAlign w:val="bottom"/>
            <w:hideMark/>
          </w:tcPr>
          <w:p w14:paraId="00C3E22C" w14:textId="77777777" w:rsidR="005A02C9" w:rsidRPr="005A02C9" w:rsidRDefault="005A02C9" w:rsidP="005A02C9">
            <w:pPr>
              <w:spacing w:after="0" w:line="240" w:lineRule="auto"/>
              <w:jc w:val="right"/>
              <w:rPr>
                <w:rFonts w:ascii="Segoe UI" w:eastAsia="Times New Roman" w:hAnsi="Segoe UI" w:cs="Segoe UI"/>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75C84FE1" w14:textId="4E665217"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(27.542)</w:t>
            </w:r>
          </w:p>
        </w:tc>
        <w:tc>
          <w:tcPr>
            <w:tcW w:w="89" w:type="pct"/>
            <w:tcBorders>
              <w:top w:val="nil"/>
              <w:left w:val="nil"/>
              <w:bottom w:val="nil"/>
              <w:right w:val="nil"/>
            </w:tcBorders>
            <w:shd w:val="clear" w:color="auto" w:fill="auto"/>
            <w:noWrap/>
            <w:vAlign w:val="bottom"/>
            <w:hideMark/>
          </w:tcPr>
          <w:p w14:paraId="20AD56CA" w14:textId="77777777"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34E73F8D" w14:textId="37D473B0"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(50.346)</w:t>
            </w:r>
          </w:p>
        </w:tc>
      </w:tr>
      <w:tr w:rsidR="005A02C9" w:rsidRPr="005A02C9" w14:paraId="48AD35A6" w14:textId="77777777" w:rsidTr="005A02C9">
        <w:trPr>
          <w:trHeight w:val="240"/>
        </w:trPr>
        <w:tc>
          <w:tcPr>
            <w:tcW w:w="3636" w:type="pct"/>
            <w:tcBorders>
              <w:top w:val="nil"/>
              <w:left w:val="nil"/>
              <w:bottom w:val="nil"/>
              <w:right w:val="nil"/>
            </w:tcBorders>
            <w:shd w:val="clear" w:color="auto" w:fill="auto"/>
            <w:noWrap/>
            <w:vAlign w:val="bottom"/>
            <w:hideMark/>
          </w:tcPr>
          <w:p w14:paraId="44EB06ED" w14:textId="77777777"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p>
        </w:tc>
        <w:tc>
          <w:tcPr>
            <w:tcW w:w="637" w:type="pct"/>
            <w:tcBorders>
              <w:top w:val="nil"/>
              <w:left w:val="nil"/>
              <w:bottom w:val="nil"/>
              <w:right w:val="nil"/>
            </w:tcBorders>
            <w:shd w:val="clear" w:color="auto" w:fill="auto"/>
            <w:noWrap/>
            <w:vAlign w:val="center"/>
            <w:hideMark/>
          </w:tcPr>
          <w:p w14:paraId="0775856C" w14:textId="77777777" w:rsidR="005A02C9" w:rsidRPr="005A02C9" w:rsidRDefault="005A02C9" w:rsidP="005A02C9">
            <w:pPr>
              <w:spacing w:after="0" w:line="240" w:lineRule="auto"/>
              <w:rPr>
                <w:rFonts w:ascii="Segoe UI" w:eastAsia="Times New Roman" w:hAnsi="Segoe UI" w:cs="Segoe UI"/>
                <w:sz w:val="18"/>
                <w:szCs w:val="18"/>
                <w:lang w:eastAsia="pt-BR"/>
              </w:rPr>
            </w:pPr>
          </w:p>
        </w:tc>
        <w:tc>
          <w:tcPr>
            <w:tcW w:w="89" w:type="pct"/>
            <w:tcBorders>
              <w:top w:val="nil"/>
              <w:left w:val="nil"/>
              <w:bottom w:val="nil"/>
              <w:right w:val="nil"/>
            </w:tcBorders>
            <w:shd w:val="clear" w:color="auto" w:fill="auto"/>
            <w:noWrap/>
            <w:vAlign w:val="bottom"/>
            <w:hideMark/>
          </w:tcPr>
          <w:p w14:paraId="428C331C" w14:textId="77777777" w:rsidR="005A02C9" w:rsidRPr="005A02C9" w:rsidRDefault="005A02C9" w:rsidP="005A02C9">
            <w:pPr>
              <w:spacing w:after="0" w:line="240" w:lineRule="auto"/>
              <w:jc w:val="right"/>
              <w:rPr>
                <w:rFonts w:ascii="Segoe UI" w:eastAsia="Times New Roman" w:hAnsi="Segoe UI" w:cs="Segoe UI"/>
                <w:sz w:val="18"/>
                <w:szCs w:val="18"/>
                <w:lang w:eastAsia="pt-BR"/>
              </w:rPr>
            </w:pPr>
          </w:p>
        </w:tc>
        <w:tc>
          <w:tcPr>
            <w:tcW w:w="637" w:type="pct"/>
            <w:tcBorders>
              <w:top w:val="nil"/>
              <w:left w:val="nil"/>
              <w:bottom w:val="nil"/>
              <w:right w:val="nil"/>
            </w:tcBorders>
            <w:shd w:val="clear" w:color="auto" w:fill="auto"/>
            <w:noWrap/>
            <w:vAlign w:val="center"/>
            <w:hideMark/>
          </w:tcPr>
          <w:p w14:paraId="17919FD4" w14:textId="77777777" w:rsidR="005A02C9" w:rsidRPr="005A02C9" w:rsidRDefault="005A02C9" w:rsidP="005A02C9">
            <w:pPr>
              <w:spacing w:after="0" w:line="240" w:lineRule="auto"/>
              <w:rPr>
                <w:rFonts w:ascii="Segoe UI" w:eastAsia="Times New Roman" w:hAnsi="Segoe UI" w:cs="Segoe UI"/>
                <w:sz w:val="18"/>
                <w:szCs w:val="18"/>
                <w:lang w:eastAsia="pt-BR"/>
              </w:rPr>
            </w:pPr>
          </w:p>
        </w:tc>
      </w:tr>
      <w:tr w:rsidR="005A02C9" w:rsidRPr="005A02C9" w14:paraId="3BE82DF4" w14:textId="77777777" w:rsidTr="005A02C9">
        <w:trPr>
          <w:trHeight w:val="255"/>
        </w:trPr>
        <w:tc>
          <w:tcPr>
            <w:tcW w:w="3636" w:type="pct"/>
            <w:tcBorders>
              <w:top w:val="nil"/>
              <w:left w:val="nil"/>
              <w:bottom w:val="nil"/>
              <w:right w:val="nil"/>
            </w:tcBorders>
            <w:shd w:val="clear" w:color="auto" w:fill="auto"/>
            <w:noWrap/>
            <w:vAlign w:val="bottom"/>
            <w:hideMark/>
          </w:tcPr>
          <w:p w14:paraId="37EFEC89" w14:textId="77777777" w:rsidR="005A02C9" w:rsidRPr="005A02C9" w:rsidRDefault="005A02C9" w:rsidP="005A02C9">
            <w:pPr>
              <w:spacing w:after="0" w:line="240" w:lineRule="auto"/>
              <w:rPr>
                <w:rFonts w:ascii="Segoe UI" w:eastAsia="Times New Roman" w:hAnsi="Segoe UI" w:cs="Segoe UI"/>
                <w:b/>
                <w:bCs/>
                <w:sz w:val="18"/>
                <w:szCs w:val="18"/>
                <w:lang w:eastAsia="pt-BR"/>
              </w:rPr>
            </w:pPr>
            <w:r w:rsidRPr="005A02C9">
              <w:rPr>
                <w:rFonts w:ascii="Segoe UI" w:eastAsia="Times New Roman" w:hAnsi="Segoe UI" w:cs="Segoe UI"/>
                <w:b/>
                <w:bCs/>
                <w:sz w:val="18"/>
                <w:szCs w:val="18"/>
                <w:lang w:eastAsia="pt-BR"/>
              </w:rPr>
              <w:t xml:space="preserve"> Resultado Financeiro </w:t>
            </w:r>
          </w:p>
        </w:tc>
        <w:tc>
          <w:tcPr>
            <w:tcW w:w="637" w:type="pct"/>
            <w:tcBorders>
              <w:top w:val="single" w:sz="4" w:space="0" w:color="1B80C4"/>
              <w:left w:val="nil"/>
              <w:bottom w:val="double" w:sz="6" w:space="0" w:color="1B80C4"/>
              <w:right w:val="nil"/>
            </w:tcBorders>
            <w:shd w:val="clear" w:color="auto" w:fill="auto"/>
            <w:noWrap/>
            <w:vAlign w:val="center"/>
            <w:hideMark/>
          </w:tcPr>
          <w:p w14:paraId="0A520556" w14:textId="1E352BB2"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136.001</w:t>
            </w:r>
          </w:p>
        </w:tc>
        <w:tc>
          <w:tcPr>
            <w:tcW w:w="89" w:type="pct"/>
            <w:tcBorders>
              <w:top w:val="nil"/>
              <w:left w:val="nil"/>
              <w:bottom w:val="nil"/>
              <w:right w:val="nil"/>
            </w:tcBorders>
            <w:shd w:val="clear" w:color="auto" w:fill="auto"/>
            <w:noWrap/>
            <w:vAlign w:val="bottom"/>
            <w:hideMark/>
          </w:tcPr>
          <w:p w14:paraId="07A36540" w14:textId="77777777"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p>
        </w:tc>
        <w:tc>
          <w:tcPr>
            <w:tcW w:w="637" w:type="pct"/>
            <w:tcBorders>
              <w:top w:val="single" w:sz="4" w:space="0" w:color="1B80C4"/>
              <w:left w:val="nil"/>
              <w:bottom w:val="double" w:sz="6" w:space="0" w:color="1B80C4"/>
              <w:right w:val="nil"/>
            </w:tcBorders>
            <w:shd w:val="clear" w:color="auto" w:fill="auto"/>
            <w:noWrap/>
            <w:vAlign w:val="center"/>
            <w:hideMark/>
          </w:tcPr>
          <w:p w14:paraId="226FF3C9" w14:textId="369BF53A" w:rsidR="005A02C9" w:rsidRPr="005A02C9" w:rsidRDefault="005A02C9" w:rsidP="005A02C9">
            <w:pPr>
              <w:spacing w:after="0" w:line="240" w:lineRule="auto"/>
              <w:jc w:val="right"/>
              <w:rPr>
                <w:rFonts w:ascii="Segoe UI" w:eastAsia="Times New Roman" w:hAnsi="Segoe UI" w:cs="Segoe UI"/>
                <w:b/>
                <w:bCs/>
                <w:color w:val="000000"/>
                <w:sz w:val="18"/>
                <w:szCs w:val="18"/>
                <w:lang w:eastAsia="pt-BR"/>
              </w:rPr>
            </w:pPr>
            <w:r w:rsidRPr="005A02C9">
              <w:rPr>
                <w:rFonts w:ascii="Segoe UI" w:eastAsia="Times New Roman" w:hAnsi="Segoe UI" w:cs="Segoe UI"/>
                <w:b/>
                <w:bCs/>
                <w:color w:val="000000"/>
                <w:sz w:val="18"/>
                <w:szCs w:val="18"/>
                <w:lang w:eastAsia="pt-BR"/>
              </w:rPr>
              <w:t>22.916</w:t>
            </w:r>
          </w:p>
        </w:tc>
      </w:tr>
    </w:tbl>
    <w:p w14:paraId="595BFC93" w14:textId="77777777" w:rsidR="00CE6538" w:rsidRDefault="00CE6538" w:rsidP="00015419">
      <w:pPr>
        <w:rPr>
          <w:rFonts w:ascii="Segoe UI" w:hAnsi="Segoe UI" w:cs="Segoe UI"/>
          <w:b/>
          <w:bCs/>
        </w:rPr>
      </w:pPr>
    </w:p>
    <w:p w14:paraId="177C92E2" w14:textId="3256910C" w:rsidR="00667591" w:rsidRPr="000757BC" w:rsidRDefault="00581D1F" w:rsidP="00E447DC">
      <w:pPr>
        <w:tabs>
          <w:tab w:val="left" w:pos="567"/>
          <w:tab w:val="left" w:pos="1134"/>
          <w:tab w:val="left" w:pos="1701"/>
          <w:tab w:val="left" w:pos="2268"/>
          <w:tab w:val="left" w:pos="2835"/>
        </w:tabs>
        <w:spacing w:after="120"/>
        <w:outlineLvl w:val="0"/>
        <w:rPr>
          <w:rFonts w:ascii="Segoe UI" w:hAnsi="Segoe UI" w:cs="Segoe UI"/>
          <w:b/>
          <w:color w:val="0070C0"/>
        </w:rPr>
      </w:pPr>
      <w:r w:rsidRPr="000757BC">
        <w:rPr>
          <w:rFonts w:ascii="Segoe UI" w:hAnsi="Segoe UI" w:cs="Segoe UI"/>
          <w:b/>
          <w:color w:val="0070C0"/>
        </w:rPr>
        <w:t>2</w:t>
      </w:r>
      <w:r w:rsidR="002A4E82">
        <w:rPr>
          <w:rFonts w:ascii="Segoe UI" w:hAnsi="Segoe UI" w:cs="Segoe UI"/>
          <w:b/>
          <w:color w:val="0070C0"/>
        </w:rPr>
        <w:t>8</w:t>
      </w:r>
      <w:r w:rsidR="00F4139F" w:rsidRPr="000757BC">
        <w:rPr>
          <w:rFonts w:ascii="Segoe UI" w:hAnsi="Segoe UI" w:cs="Segoe UI"/>
          <w:b/>
          <w:color w:val="0070C0"/>
        </w:rPr>
        <w:t xml:space="preserve"> </w:t>
      </w:r>
      <w:r w:rsidR="0015523C" w:rsidRPr="000757BC">
        <w:rPr>
          <w:rFonts w:ascii="Segoe UI" w:hAnsi="Segoe UI" w:cs="Segoe UI"/>
          <w:b/>
          <w:color w:val="0070C0"/>
        </w:rPr>
        <w:t>–</w:t>
      </w:r>
      <w:r w:rsidR="00667591" w:rsidRPr="000757BC">
        <w:rPr>
          <w:rFonts w:ascii="Segoe UI" w:hAnsi="Segoe UI" w:cs="Segoe UI"/>
          <w:b/>
          <w:color w:val="0070C0"/>
        </w:rPr>
        <w:t xml:space="preserve"> OPERAÇÕES DE COMERCIALIZAÇÃO DE ITAIPU</w:t>
      </w:r>
    </w:p>
    <w:tbl>
      <w:tblPr>
        <w:tblW w:w="5000" w:type="pct"/>
        <w:tblLayout w:type="fixed"/>
        <w:tblCellMar>
          <w:left w:w="70" w:type="dxa"/>
          <w:right w:w="70" w:type="dxa"/>
        </w:tblCellMar>
        <w:tblLook w:val="04A0" w:firstRow="1" w:lastRow="0" w:firstColumn="1" w:lastColumn="0" w:noHBand="0" w:noVBand="1"/>
      </w:tblPr>
      <w:tblGrid>
        <w:gridCol w:w="5637"/>
        <w:gridCol w:w="1858"/>
        <w:gridCol w:w="194"/>
        <w:gridCol w:w="1808"/>
      </w:tblGrid>
      <w:tr w:rsidR="00701BB8" w:rsidRPr="00701BB8" w14:paraId="125D09C6" w14:textId="77777777" w:rsidTr="00701BB8">
        <w:trPr>
          <w:trHeight w:val="240"/>
        </w:trPr>
        <w:tc>
          <w:tcPr>
            <w:tcW w:w="2968" w:type="pct"/>
            <w:tcBorders>
              <w:top w:val="nil"/>
              <w:left w:val="nil"/>
              <w:bottom w:val="nil"/>
              <w:right w:val="nil"/>
            </w:tcBorders>
            <w:shd w:val="clear" w:color="auto" w:fill="auto"/>
            <w:noWrap/>
            <w:vAlign w:val="bottom"/>
            <w:hideMark/>
          </w:tcPr>
          <w:p w14:paraId="04CEE970" w14:textId="77777777" w:rsidR="00701BB8" w:rsidRPr="00701BB8" w:rsidRDefault="00701BB8" w:rsidP="00701BB8">
            <w:pPr>
              <w:spacing w:after="0" w:line="240" w:lineRule="auto"/>
              <w:rPr>
                <w:rFonts w:ascii="Times New Roman" w:eastAsia="Times New Roman" w:hAnsi="Times New Roman" w:cs="Times New Roman"/>
                <w:sz w:val="24"/>
                <w:szCs w:val="24"/>
                <w:lang w:eastAsia="pt-BR"/>
              </w:rPr>
            </w:pPr>
          </w:p>
        </w:tc>
        <w:tc>
          <w:tcPr>
            <w:tcW w:w="978" w:type="pct"/>
            <w:tcBorders>
              <w:top w:val="nil"/>
              <w:left w:val="nil"/>
              <w:bottom w:val="nil"/>
              <w:right w:val="nil"/>
            </w:tcBorders>
            <w:shd w:val="clear" w:color="000000" w:fill="1B80C4"/>
            <w:noWrap/>
            <w:vAlign w:val="bottom"/>
            <w:hideMark/>
          </w:tcPr>
          <w:p w14:paraId="10DE3014" w14:textId="77777777" w:rsidR="00701BB8" w:rsidRPr="00701BB8" w:rsidRDefault="00701BB8" w:rsidP="00701BB8">
            <w:pPr>
              <w:spacing w:after="0" w:line="240" w:lineRule="auto"/>
              <w:jc w:val="center"/>
              <w:rPr>
                <w:rFonts w:ascii="Segoe UI" w:eastAsia="Times New Roman" w:hAnsi="Segoe UI" w:cs="Segoe UI"/>
                <w:b/>
                <w:bCs/>
                <w:color w:val="FFFFFF"/>
                <w:sz w:val="18"/>
                <w:szCs w:val="18"/>
                <w:lang w:eastAsia="pt-BR"/>
              </w:rPr>
            </w:pPr>
            <w:r w:rsidRPr="00701BB8">
              <w:rPr>
                <w:rFonts w:ascii="Segoe UI" w:eastAsia="Times New Roman" w:hAnsi="Segoe UI" w:cs="Segoe UI"/>
                <w:b/>
                <w:bCs/>
                <w:color w:val="FFFFFF"/>
                <w:sz w:val="18"/>
                <w:szCs w:val="18"/>
                <w:lang w:eastAsia="pt-BR"/>
              </w:rPr>
              <w:t xml:space="preserve"> Controladora </w:t>
            </w:r>
          </w:p>
        </w:tc>
        <w:tc>
          <w:tcPr>
            <w:tcW w:w="102" w:type="pct"/>
            <w:tcBorders>
              <w:top w:val="nil"/>
              <w:left w:val="nil"/>
              <w:bottom w:val="nil"/>
              <w:right w:val="nil"/>
            </w:tcBorders>
            <w:shd w:val="clear" w:color="000000" w:fill="1B80C4"/>
            <w:noWrap/>
            <w:vAlign w:val="bottom"/>
            <w:hideMark/>
          </w:tcPr>
          <w:p w14:paraId="36E72032" w14:textId="77777777" w:rsidR="00701BB8" w:rsidRPr="00701BB8" w:rsidRDefault="00701BB8" w:rsidP="00701BB8">
            <w:pPr>
              <w:spacing w:after="0" w:line="240" w:lineRule="auto"/>
              <w:jc w:val="center"/>
              <w:rPr>
                <w:rFonts w:ascii="Segoe UI" w:eastAsia="Times New Roman" w:hAnsi="Segoe UI" w:cs="Segoe UI"/>
                <w:b/>
                <w:bCs/>
                <w:color w:val="FFFFFF"/>
                <w:sz w:val="18"/>
                <w:szCs w:val="18"/>
                <w:lang w:eastAsia="pt-BR"/>
              </w:rPr>
            </w:pPr>
            <w:r w:rsidRPr="00701BB8">
              <w:rPr>
                <w:rFonts w:ascii="Segoe UI" w:eastAsia="Times New Roman" w:hAnsi="Segoe UI" w:cs="Segoe UI"/>
                <w:b/>
                <w:bCs/>
                <w:color w:val="FFFFFF"/>
                <w:sz w:val="18"/>
                <w:szCs w:val="18"/>
                <w:lang w:eastAsia="pt-BR"/>
              </w:rPr>
              <w:t> </w:t>
            </w:r>
          </w:p>
        </w:tc>
        <w:tc>
          <w:tcPr>
            <w:tcW w:w="952" w:type="pct"/>
            <w:tcBorders>
              <w:top w:val="nil"/>
              <w:left w:val="nil"/>
              <w:bottom w:val="nil"/>
              <w:right w:val="nil"/>
            </w:tcBorders>
            <w:shd w:val="clear" w:color="000000" w:fill="1B80C4"/>
            <w:noWrap/>
            <w:vAlign w:val="bottom"/>
            <w:hideMark/>
          </w:tcPr>
          <w:p w14:paraId="5BCAE917" w14:textId="77777777" w:rsidR="00701BB8" w:rsidRPr="00701BB8" w:rsidRDefault="00701BB8" w:rsidP="00701BB8">
            <w:pPr>
              <w:spacing w:after="0" w:line="240" w:lineRule="auto"/>
              <w:jc w:val="center"/>
              <w:rPr>
                <w:rFonts w:ascii="Segoe UI" w:eastAsia="Times New Roman" w:hAnsi="Segoe UI" w:cs="Segoe UI"/>
                <w:b/>
                <w:bCs/>
                <w:color w:val="FFFFFF"/>
                <w:sz w:val="18"/>
                <w:szCs w:val="18"/>
                <w:lang w:eastAsia="pt-BR"/>
              </w:rPr>
            </w:pPr>
            <w:r w:rsidRPr="00701BB8">
              <w:rPr>
                <w:rFonts w:ascii="Segoe UI" w:eastAsia="Times New Roman" w:hAnsi="Segoe UI" w:cs="Segoe UI"/>
                <w:b/>
                <w:bCs/>
                <w:color w:val="FFFFFF"/>
                <w:sz w:val="18"/>
                <w:szCs w:val="18"/>
                <w:lang w:eastAsia="pt-BR"/>
              </w:rPr>
              <w:t xml:space="preserve"> Consolidado </w:t>
            </w:r>
          </w:p>
        </w:tc>
      </w:tr>
      <w:tr w:rsidR="00701BB8" w:rsidRPr="00701BB8" w14:paraId="0389B19C" w14:textId="77777777" w:rsidTr="00701BB8">
        <w:trPr>
          <w:trHeight w:val="240"/>
        </w:trPr>
        <w:tc>
          <w:tcPr>
            <w:tcW w:w="2968" w:type="pct"/>
            <w:tcBorders>
              <w:top w:val="nil"/>
              <w:left w:val="nil"/>
              <w:bottom w:val="nil"/>
              <w:right w:val="nil"/>
            </w:tcBorders>
            <w:shd w:val="clear" w:color="auto" w:fill="auto"/>
            <w:noWrap/>
            <w:vAlign w:val="bottom"/>
            <w:hideMark/>
          </w:tcPr>
          <w:p w14:paraId="164CB26B" w14:textId="77777777" w:rsidR="00701BB8" w:rsidRPr="00701BB8" w:rsidRDefault="00701BB8" w:rsidP="00701BB8">
            <w:pPr>
              <w:spacing w:after="0" w:line="240" w:lineRule="auto"/>
              <w:jc w:val="center"/>
              <w:rPr>
                <w:rFonts w:ascii="Segoe UI" w:eastAsia="Times New Roman" w:hAnsi="Segoe UI" w:cs="Segoe UI"/>
                <w:b/>
                <w:bCs/>
                <w:color w:val="FFFFFF"/>
                <w:sz w:val="18"/>
                <w:szCs w:val="18"/>
                <w:lang w:eastAsia="pt-BR"/>
              </w:rPr>
            </w:pPr>
          </w:p>
        </w:tc>
        <w:tc>
          <w:tcPr>
            <w:tcW w:w="978" w:type="pct"/>
            <w:tcBorders>
              <w:top w:val="single" w:sz="4" w:space="0" w:color="FFFFFF"/>
              <w:left w:val="nil"/>
              <w:bottom w:val="single" w:sz="4" w:space="0" w:color="FFFFFF"/>
              <w:right w:val="nil"/>
            </w:tcBorders>
            <w:shd w:val="clear" w:color="000000" w:fill="1B80C4"/>
            <w:noWrap/>
            <w:vAlign w:val="center"/>
            <w:hideMark/>
          </w:tcPr>
          <w:p w14:paraId="17658346" w14:textId="77777777" w:rsidR="00701BB8" w:rsidRPr="00701BB8" w:rsidRDefault="00701BB8" w:rsidP="00701BB8">
            <w:pPr>
              <w:spacing w:after="0" w:line="240" w:lineRule="auto"/>
              <w:jc w:val="center"/>
              <w:rPr>
                <w:rFonts w:ascii="Segoe UI" w:eastAsia="Times New Roman" w:hAnsi="Segoe UI" w:cs="Segoe UI"/>
                <w:b/>
                <w:bCs/>
                <w:color w:val="FFFFFF"/>
                <w:sz w:val="18"/>
                <w:szCs w:val="18"/>
                <w:lang w:eastAsia="pt-BR"/>
              </w:rPr>
            </w:pPr>
            <w:r w:rsidRPr="00701BB8">
              <w:rPr>
                <w:rFonts w:ascii="Segoe UI" w:eastAsia="Times New Roman" w:hAnsi="Segoe UI" w:cs="Segoe UI"/>
                <w:b/>
                <w:bCs/>
                <w:color w:val="FFFFFF"/>
                <w:sz w:val="18"/>
                <w:szCs w:val="18"/>
                <w:lang w:eastAsia="pt-BR"/>
              </w:rPr>
              <w:t>31/12/2022</w:t>
            </w:r>
          </w:p>
        </w:tc>
        <w:tc>
          <w:tcPr>
            <w:tcW w:w="102" w:type="pct"/>
            <w:tcBorders>
              <w:top w:val="nil"/>
              <w:left w:val="nil"/>
              <w:bottom w:val="nil"/>
              <w:right w:val="nil"/>
            </w:tcBorders>
            <w:shd w:val="clear" w:color="auto" w:fill="auto"/>
            <w:noWrap/>
            <w:vAlign w:val="bottom"/>
            <w:hideMark/>
          </w:tcPr>
          <w:p w14:paraId="2C69C416" w14:textId="77777777" w:rsidR="00701BB8" w:rsidRPr="00701BB8" w:rsidRDefault="00701BB8" w:rsidP="00701BB8">
            <w:pPr>
              <w:spacing w:after="0" w:line="240" w:lineRule="auto"/>
              <w:jc w:val="center"/>
              <w:rPr>
                <w:rFonts w:ascii="Segoe UI" w:eastAsia="Times New Roman" w:hAnsi="Segoe UI" w:cs="Segoe UI"/>
                <w:b/>
                <w:bCs/>
                <w:color w:val="FFFFFF"/>
                <w:sz w:val="18"/>
                <w:szCs w:val="18"/>
                <w:lang w:eastAsia="pt-BR"/>
              </w:rPr>
            </w:pPr>
          </w:p>
        </w:tc>
        <w:tc>
          <w:tcPr>
            <w:tcW w:w="952" w:type="pct"/>
            <w:tcBorders>
              <w:top w:val="single" w:sz="4" w:space="0" w:color="FFFFFF"/>
              <w:left w:val="nil"/>
              <w:bottom w:val="single" w:sz="4" w:space="0" w:color="FFFFFF"/>
              <w:right w:val="nil"/>
            </w:tcBorders>
            <w:shd w:val="clear" w:color="000000" w:fill="1B80C4"/>
            <w:noWrap/>
            <w:vAlign w:val="center"/>
            <w:hideMark/>
          </w:tcPr>
          <w:p w14:paraId="7094478C" w14:textId="77777777" w:rsidR="00701BB8" w:rsidRPr="00701BB8" w:rsidRDefault="00701BB8" w:rsidP="00701BB8">
            <w:pPr>
              <w:spacing w:after="0" w:line="240" w:lineRule="auto"/>
              <w:jc w:val="center"/>
              <w:rPr>
                <w:rFonts w:ascii="Segoe UI" w:eastAsia="Times New Roman" w:hAnsi="Segoe UI" w:cs="Segoe UI"/>
                <w:b/>
                <w:bCs/>
                <w:color w:val="FFFFFF"/>
                <w:sz w:val="18"/>
                <w:szCs w:val="18"/>
                <w:lang w:eastAsia="pt-BR"/>
              </w:rPr>
            </w:pPr>
            <w:r w:rsidRPr="00701BB8">
              <w:rPr>
                <w:rFonts w:ascii="Segoe UI" w:eastAsia="Times New Roman" w:hAnsi="Segoe UI" w:cs="Segoe UI"/>
                <w:b/>
                <w:bCs/>
                <w:color w:val="FFFFFF"/>
                <w:sz w:val="18"/>
                <w:szCs w:val="18"/>
                <w:lang w:eastAsia="pt-BR"/>
              </w:rPr>
              <w:t>31/12/2022</w:t>
            </w:r>
          </w:p>
        </w:tc>
      </w:tr>
      <w:tr w:rsidR="00701BB8" w:rsidRPr="00701BB8" w14:paraId="58706718" w14:textId="77777777" w:rsidTr="00701BB8">
        <w:trPr>
          <w:trHeight w:val="240"/>
        </w:trPr>
        <w:tc>
          <w:tcPr>
            <w:tcW w:w="2968" w:type="pct"/>
            <w:tcBorders>
              <w:top w:val="nil"/>
              <w:left w:val="nil"/>
              <w:bottom w:val="nil"/>
              <w:right w:val="nil"/>
            </w:tcBorders>
            <w:shd w:val="clear" w:color="auto" w:fill="auto"/>
            <w:noWrap/>
            <w:vAlign w:val="bottom"/>
            <w:hideMark/>
          </w:tcPr>
          <w:p w14:paraId="546F68F0" w14:textId="77777777" w:rsidR="00701BB8" w:rsidRPr="00701BB8" w:rsidRDefault="00701BB8" w:rsidP="00701BB8">
            <w:pPr>
              <w:spacing w:after="0" w:line="240" w:lineRule="auto"/>
              <w:rPr>
                <w:rFonts w:ascii="Segoe UI" w:eastAsia="Times New Roman" w:hAnsi="Segoe UI" w:cs="Segoe UI"/>
                <w:color w:val="000000"/>
                <w:sz w:val="18"/>
                <w:szCs w:val="18"/>
                <w:lang w:eastAsia="pt-BR"/>
              </w:rPr>
            </w:pPr>
            <w:r w:rsidRPr="00701BB8">
              <w:rPr>
                <w:rFonts w:ascii="Segoe UI" w:eastAsia="Times New Roman" w:hAnsi="Segoe UI" w:cs="Segoe UI"/>
                <w:color w:val="000000"/>
                <w:sz w:val="18"/>
                <w:szCs w:val="18"/>
                <w:lang w:eastAsia="pt-BR"/>
              </w:rPr>
              <w:t>Resultado da conta de comercialização de energia elétrica Itaipu (a)</w:t>
            </w:r>
          </w:p>
        </w:tc>
        <w:tc>
          <w:tcPr>
            <w:tcW w:w="978" w:type="pct"/>
            <w:tcBorders>
              <w:top w:val="nil"/>
              <w:left w:val="nil"/>
              <w:bottom w:val="nil"/>
              <w:right w:val="nil"/>
            </w:tcBorders>
            <w:shd w:val="clear" w:color="auto" w:fill="auto"/>
            <w:noWrap/>
            <w:vAlign w:val="center"/>
            <w:hideMark/>
          </w:tcPr>
          <w:p w14:paraId="5119B307" w14:textId="0A8FC51A" w:rsidR="00701BB8" w:rsidRPr="00701BB8" w:rsidRDefault="00701BB8" w:rsidP="00701BB8">
            <w:pPr>
              <w:spacing w:after="0" w:line="240" w:lineRule="auto"/>
              <w:jc w:val="right"/>
              <w:rPr>
                <w:rFonts w:ascii="Segoe UI" w:eastAsia="Times New Roman" w:hAnsi="Segoe UI" w:cs="Segoe UI"/>
                <w:sz w:val="18"/>
                <w:szCs w:val="18"/>
                <w:lang w:eastAsia="pt-BR"/>
              </w:rPr>
            </w:pPr>
            <w:r w:rsidRPr="00701BB8">
              <w:rPr>
                <w:rFonts w:ascii="Segoe UI" w:eastAsia="Times New Roman" w:hAnsi="Segoe UI" w:cs="Segoe UI"/>
                <w:sz w:val="18"/>
                <w:szCs w:val="18"/>
                <w:lang w:eastAsia="pt-BR"/>
              </w:rPr>
              <w:t>(331.484)</w:t>
            </w:r>
          </w:p>
        </w:tc>
        <w:tc>
          <w:tcPr>
            <w:tcW w:w="102" w:type="pct"/>
            <w:tcBorders>
              <w:top w:val="nil"/>
              <w:left w:val="nil"/>
              <w:bottom w:val="nil"/>
              <w:right w:val="nil"/>
            </w:tcBorders>
            <w:shd w:val="clear" w:color="auto" w:fill="auto"/>
            <w:noWrap/>
            <w:vAlign w:val="bottom"/>
            <w:hideMark/>
          </w:tcPr>
          <w:p w14:paraId="61F5E656" w14:textId="77777777" w:rsidR="00701BB8" w:rsidRPr="00701BB8" w:rsidRDefault="00701BB8" w:rsidP="00701BB8">
            <w:pPr>
              <w:spacing w:after="0" w:line="240" w:lineRule="auto"/>
              <w:jc w:val="right"/>
              <w:rPr>
                <w:rFonts w:ascii="Segoe UI" w:eastAsia="Times New Roman" w:hAnsi="Segoe UI" w:cs="Segoe UI"/>
                <w:sz w:val="18"/>
                <w:szCs w:val="18"/>
                <w:lang w:eastAsia="pt-BR"/>
              </w:rPr>
            </w:pPr>
          </w:p>
        </w:tc>
        <w:tc>
          <w:tcPr>
            <w:tcW w:w="952" w:type="pct"/>
            <w:tcBorders>
              <w:top w:val="nil"/>
              <w:left w:val="nil"/>
              <w:bottom w:val="nil"/>
              <w:right w:val="nil"/>
            </w:tcBorders>
            <w:shd w:val="clear" w:color="auto" w:fill="auto"/>
            <w:noWrap/>
            <w:vAlign w:val="center"/>
            <w:hideMark/>
          </w:tcPr>
          <w:p w14:paraId="3192666E" w14:textId="72A5DE9A" w:rsidR="00701BB8" w:rsidRPr="00701BB8" w:rsidRDefault="00701BB8" w:rsidP="00701BB8">
            <w:pPr>
              <w:spacing w:after="0" w:line="240" w:lineRule="auto"/>
              <w:jc w:val="right"/>
              <w:rPr>
                <w:rFonts w:ascii="Segoe UI" w:eastAsia="Times New Roman" w:hAnsi="Segoe UI" w:cs="Segoe UI"/>
                <w:sz w:val="18"/>
                <w:szCs w:val="18"/>
                <w:lang w:eastAsia="pt-BR"/>
              </w:rPr>
            </w:pPr>
            <w:r w:rsidRPr="00701BB8">
              <w:rPr>
                <w:rFonts w:ascii="Segoe UI" w:eastAsia="Times New Roman" w:hAnsi="Segoe UI" w:cs="Segoe UI"/>
                <w:sz w:val="18"/>
                <w:szCs w:val="18"/>
                <w:lang w:eastAsia="pt-BR"/>
              </w:rPr>
              <w:t>(331.484)</w:t>
            </w:r>
          </w:p>
        </w:tc>
      </w:tr>
      <w:tr w:rsidR="00701BB8" w:rsidRPr="00701BB8" w14:paraId="08E2CF91" w14:textId="77777777" w:rsidTr="00701BB8">
        <w:trPr>
          <w:trHeight w:val="240"/>
        </w:trPr>
        <w:tc>
          <w:tcPr>
            <w:tcW w:w="2968" w:type="pct"/>
            <w:tcBorders>
              <w:top w:val="nil"/>
              <w:left w:val="nil"/>
              <w:bottom w:val="nil"/>
              <w:right w:val="nil"/>
            </w:tcBorders>
            <w:shd w:val="clear" w:color="auto" w:fill="auto"/>
            <w:noWrap/>
            <w:vAlign w:val="bottom"/>
            <w:hideMark/>
          </w:tcPr>
          <w:p w14:paraId="6B2FFB74" w14:textId="77777777" w:rsidR="00701BB8" w:rsidRPr="00701BB8" w:rsidRDefault="00701BB8" w:rsidP="00701BB8">
            <w:pPr>
              <w:spacing w:after="0" w:line="240" w:lineRule="auto"/>
              <w:rPr>
                <w:rFonts w:ascii="Segoe UI" w:eastAsia="Times New Roman" w:hAnsi="Segoe UI" w:cs="Segoe UI"/>
                <w:color w:val="000000"/>
                <w:sz w:val="18"/>
                <w:szCs w:val="18"/>
                <w:lang w:eastAsia="pt-BR"/>
              </w:rPr>
            </w:pPr>
            <w:r w:rsidRPr="00701BB8">
              <w:rPr>
                <w:rFonts w:ascii="Segoe UI" w:eastAsia="Times New Roman" w:hAnsi="Segoe UI" w:cs="Segoe UI"/>
                <w:color w:val="000000"/>
                <w:sz w:val="18"/>
                <w:szCs w:val="18"/>
                <w:lang w:eastAsia="pt-BR"/>
              </w:rPr>
              <w:t>Saldo da conta de comercialização da Itaipu - Eletrobras (b)</w:t>
            </w:r>
          </w:p>
        </w:tc>
        <w:tc>
          <w:tcPr>
            <w:tcW w:w="978" w:type="pct"/>
            <w:tcBorders>
              <w:top w:val="nil"/>
              <w:left w:val="nil"/>
              <w:bottom w:val="nil"/>
              <w:right w:val="nil"/>
            </w:tcBorders>
            <w:shd w:val="clear" w:color="auto" w:fill="auto"/>
            <w:noWrap/>
            <w:vAlign w:val="center"/>
            <w:hideMark/>
          </w:tcPr>
          <w:p w14:paraId="2ACE7506" w14:textId="6F46DB38" w:rsidR="00701BB8" w:rsidRPr="00701BB8" w:rsidRDefault="00701BB8" w:rsidP="00701BB8">
            <w:pPr>
              <w:spacing w:after="0" w:line="240" w:lineRule="auto"/>
              <w:jc w:val="right"/>
              <w:rPr>
                <w:rFonts w:ascii="Segoe UI" w:eastAsia="Times New Roman" w:hAnsi="Segoe UI" w:cs="Segoe UI"/>
                <w:sz w:val="18"/>
                <w:szCs w:val="18"/>
                <w:lang w:eastAsia="pt-BR"/>
              </w:rPr>
            </w:pPr>
            <w:r w:rsidRPr="00701BB8">
              <w:rPr>
                <w:rFonts w:ascii="Segoe UI" w:eastAsia="Times New Roman" w:hAnsi="Segoe UI" w:cs="Segoe UI"/>
                <w:sz w:val="18"/>
                <w:szCs w:val="18"/>
                <w:lang w:eastAsia="pt-BR"/>
              </w:rPr>
              <w:t>644.003</w:t>
            </w:r>
          </w:p>
        </w:tc>
        <w:tc>
          <w:tcPr>
            <w:tcW w:w="102" w:type="pct"/>
            <w:tcBorders>
              <w:top w:val="nil"/>
              <w:left w:val="nil"/>
              <w:bottom w:val="nil"/>
              <w:right w:val="nil"/>
            </w:tcBorders>
            <w:shd w:val="clear" w:color="auto" w:fill="auto"/>
            <w:noWrap/>
            <w:vAlign w:val="bottom"/>
            <w:hideMark/>
          </w:tcPr>
          <w:p w14:paraId="4D6C1F9A" w14:textId="77777777" w:rsidR="00701BB8" w:rsidRPr="00701BB8" w:rsidRDefault="00701BB8" w:rsidP="00701BB8">
            <w:pPr>
              <w:spacing w:after="0" w:line="240" w:lineRule="auto"/>
              <w:jc w:val="right"/>
              <w:rPr>
                <w:rFonts w:ascii="Segoe UI" w:eastAsia="Times New Roman" w:hAnsi="Segoe UI" w:cs="Segoe UI"/>
                <w:sz w:val="18"/>
                <w:szCs w:val="18"/>
                <w:lang w:eastAsia="pt-BR"/>
              </w:rPr>
            </w:pPr>
          </w:p>
        </w:tc>
        <w:tc>
          <w:tcPr>
            <w:tcW w:w="952" w:type="pct"/>
            <w:tcBorders>
              <w:top w:val="nil"/>
              <w:left w:val="nil"/>
              <w:bottom w:val="nil"/>
              <w:right w:val="nil"/>
            </w:tcBorders>
            <w:shd w:val="clear" w:color="auto" w:fill="auto"/>
            <w:noWrap/>
            <w:vAlign w:val="center"/>
            <w:hideMark/>
          </w:tcPr>
          <w:p w14:paraId="4805282B" w14:textId="6DF6E2B3" w:rsidR="00701BB8" w:rsidRPr="00701BB8" w:rsidRDefault="00701BB8" w:rsidP="00701BB8">
            <w:pPr>
              <w:spacing w:after="0" w:line="240" w:lineRule="auto"/>
              <w:jc w:val="right"/>
              <w:rPr>
                <w:rFonts w:ascii="Segoe UI" w:eastAsia="Times New Roman" w:hAnsi="Segoe UI" w:cs="Segoe UI"/>
                <w:sz w:val="18"/>
                <w:szCs w:val="18"/>
                <w:lang w:eastAsia="pt-BR"/>
              </w:rPr>
            </w:pPr>
            <w:r w:rsidRPr="00701BB8">
              <w:rPr>
                <w:rFonts w:ascii="Segoe UI" w:eastAsia="Times New Roman" w:hAnsi="Segoe UI" w:cs="Segoe UI"/>
                <w:sz w:val="18"/>
                <w:szCs w:val="18"/>
                <w:lang w:eastAsia="pt-BR"/>
              </w:rPr>
              <w:t>644.003</w:t>
            </w:r>
          </w:p>
        </w:tc>
      </w:tr>
      <w:tr w:rsidR="00701BB8" w:rsidRPr="00701BB8" w14:paraId="283AB148" w14:textId="77777777" w:rsidTr="00701BB8">
        <w:trPr>
          <w:trHeight w:val="240"/>
        </w:trPr>
        <w:tc>
          <w:tcPr>
            <w:tcW w:w="2968" w:type="pct"/>
            <w:tcBorders>
              <w:top w:val="nil"/>
              <w:left w:val="nil"/>
              <w:bottom w:val="nil"/>
              <w:right w:val="nil"/>
            </w:tcBorders>
            <w:shd w:val="clear" w:color="auto" w:fill="auto"/>
            <w:noWrap/>
            <w:vAlign w:val="bottom"/>
            <w:hideMark/>
          </w:tcPr>
          <w:p w14:paraId="0041AE45" w14:textId="77777777" w:rsidR="00701BB8" w:rsidRPr="00701BB8" w:rsidRDefault="00701BB8" w:rsidP="00701BB8">
            <w:pPr>
              <w:spacing w:after="0" w:line="240" w:lineRule="auto"/>
              <w:rPr>
                <w:rFonts w:ascii="Segoe UI" w:eastAsia="Times New Roman" w:hAnsi="Segoe UI" w:cs="Segoe UI"/>
                <w:color w:val="000000"/>
                <w:sz w:val="18"/>
                <w:szCs w:val="18"/>
                <w:lang w:eastAsia="pt-BR"/>
              </w:rPr>
            </w:pPr>
            <w:r w:rsidRPr="00701BB8">
              <w:rPr>
                <w:rFonts w:ascii="Segoe UI" w:eastAsia="Times New Roman" w:hAnsi="Segoe UI" w:cs="Segoe UI"/>
                <w:color w:val="000000"/>
                <w:sz w:val="18"/>
                <w:szCs w:val="18"/>
                <w:lang w:eastAsia="pt-BR"/>
              </w:rPr>
              <w:t>Outros créditos Itaipu</w:t>
            </w:r>
          </w:p>
        </w:tc>
        <w:tc>
          <w:tcPr>
            <w:tcW w:w="978" w:type="pct"/>
            <w:tcBorders>
              <w:top w:val="nil"/>
              <w:left w:val="nil"/>
              <w:bottom w:val="nil"/>
              <w:right w:val="nil"/>
            </w:tcBorders>
            <w:shd w:val="clear" w:color="auto" w:fill="auto"/>
            <w:noWrap/>
            <w:vAlign w:val="center"/>
            <w:hideMark/>
          </w:tcPr>
          <w:p w14:paraId="72C73034" w14:textId="0884E5F2" w:rsidR="00701BB8" w:rsidRPr="00701BB8" w:rsidRDefault="00701BB8" w:rsidP="00701BB8">
            <w:pPr>
              <w:spacing w:after="0" w:line="240" w:lineRule="auto"/>
              <w:jc w:val="right"/>
              <w:rPr>
                <w:rFonts w:ascii="Segoe UI" w:eastAsia="Times New Roman" w:hAnsi="Segoe UI" w:cs="Segoe UI"/>
                <w:sz w:val="18"/>
                <w:szCs w:val="18"/>
                <w:lang w:eastAsia="pt-BR"/>
              </w:rPr>
            </w:pPr>
            <w:r w:rsidRPr="00701BB8">
              <w:rPr>
                <w:rFonts w:ascii="Segoe UI" w:eastAsia="Times New Roman" w:hAnsi="Segoe UI" w:cs="Segoe UI"/>
                <w:sz w:val="18"/>
                <w:szCs w:val="18"/>
                <w:lang w:eastAsia="pt-BR"/>
              </w:rPr>
              <w:t>6.241</w:t>
            </w:r>
          </w:p>
        </w:tc>
        <w:tc>
          <w:tcPr>
            <w:tcW w:w="102" w:type="pct"/>
            <w:tcBorders>
              <w:top w:val="nil"/>
              <w:left w:val="nil"/>
              <w:bottom w:val="nil"/>
              <w:right w:val="nil"/>
            </w:tcBorders>
            <w:shd w:val="clear" w:color="auto" w:fill="auto"/>
            <w:noWrap/>
            <w:vAlign w:val="bottom"/>
            <w:hideMark/>
          </w:tcPr>
          <w:p w14:paraId="5E91425C" w14:textId="77777777" w:rsidR="00701BB8" w:rsidRPr="00701BB8" w:rsidRDefault="00701BB8" w:rsidP="00701BB8">
            <w:pPr>
              <w:spacing w:after="0" w:line="240" w:lineRule="auto"/>
              <w:jc w:val="right"/>
              <w:rPr>
                <w:rFonts w:ascii="Segoe UI" w:eastAsia="Times New Roman" w:hAnsi="Segoe UI" w:cs="Segoe UI"/>
                <w:sz w:val="18"/>
                <w:szCs w:val="18"/>
                <w:lang w:eastAsia="pt-BR"/>
              </w:rPr>
            </w:pPr>
          </w:p>
        </w:tc>
        <w:tc>
          <w:tcPr>
            <w:tcW w:w="952" w:type="pct"/>
            <w:tcBorders>
              <w:top w:val="nil"/>
              <w:left w:val="nil"/>
              <w:bottom w:val="nil"/>
              <w:right w:val="nil"/>
            </w:tcBorders>
            <w:shd w:val="clear" w:color="auto" w:fill="auto"/>
            <w:noWrap/>
            <w:vAlign w:val="center"/>
            <w:hideMark/>
          </w:tcPr>
          <w:p w14:paraId="05ABBB3C" w14:textId="1D7B261A" w:rsidR="00701BB8" w:rsidRPr="00701BB8" w:rsidRDefault="00701BB8" w:rsidP="00701BB8">
            <w:pPr>
              <w:spacing w:after="0" w:line="240" w:lineRule="auto"/>
              <w:jc w:val="right"/>
              <w:rPr>
                <w:rFonts w:ascii="Segoe UI" w:eastAsia="Times New Roman" w:hAnsi="Segoe UI" w:cs="Segoe UI"/>
                <w:sz w:val="18"/>
                <w:szCs w:val="18"/>
                <w:lang w:eastAsia="pt-BR"/>
              </w:rPr>
            </w:pPr>
            <w:r w:rsidRPr="00701BB8">
              <w:rPr>
                <w:rFonts w:ascii="Segoe UI" w:eastAsia="Times New Roman" w:hAnsi="Segoe UI" w:cs="Segoe UI"/>
                <w:sz w:val="18"/>
                <w:szCs w:val="18"/>
                <w:lang w:eastAsia="pt-BR"/>
              </w:rPr>
              <w:t>6.241</w:t>
            </w:r>
          </w:p>
        </w:tc>
      </w:tr>
      <w:tr w:rsidR="00701BB8" w:rsidRPr="00701BB8" w14:paraId="1199F172" w14:textId="77777777" w:rsidTr="00701BB8">
        <w:trPr>
          <w:trHeight w:val="255"/>
        </w:trPr>
        <w:tc>
          <w:tcPr>
            <w:tcW w:w="2968" w:type="pct"/>
            <w:tcBorders>
              <w:top w:val="nil"/>
              <w:left w:val="nil"/>
              <w:bottom w:val="nil"/>
              <w:right w:val="nil"/>
            </w:tcBorders>
            <w:shd w:val="clear" w:color="auto" w:fill="auto"/>
            <w:noWrap/>
            <w:vAlign w:val="center"/>
            <w:hideMark/>
          </w:tcPr>
          <w:p w14:paraId="6EAFF1BE" w14:textId="77777777" w:rsidR="00701BB8" w:rsidRPr="00701BB8" w:rsidRDefault="00701BB8" w:rsidP="00701BB8">
            <w:pPr>
              <w:spacing w:after="0" w:line="240" w:lineRule="auto"/>
              <w:jc w:val="right"/>
              <w:rPr>
                <w:rFonts w:ascii="Segoe UI" w:eastAsia="Times New Roman" w:hAnsi="Segoe UI" w:cs="Segoe UI"/>
                <w:sz w:val="18"/>
                <w:szCs w:val="18"/>
                <w:lang w:eastAsia="pt-BR"/>
              </w:rPr>
            </w:pPr>
          </w:p>
        </w:tc>
        <w:tc>
          <w:tcPr>
            <w:tcW w:w="978" w:type="pct"/>
            <w:tcBorders>
              <w:top w:val="single" w:sz="4" w:space="0" w:color="1B80C4"/>
              <w:left w:val="nil"/>
              <w:bottom w:val="double" w:sz="6" w:space="0" w:color="1B80C4"/>
              <w:right w:val="nil"/>
            </w:tcBorders>
            <w:shd w:val="clear" w:color="auto" w:fill="auto"/>
            <w:noWrap/>
            <w:vAlign w:val="center"/>
            <w:hideMark/>
          </w:tcPr>
          <w:p w14:paraId="6ED9F703" w14:textId="510CB7EF" w:rsidR="00701BB8" w:rsidRPr="00701BB8" w:rsidRDefault="00701BB8" w:rsidP="00701BB8">
            <w:pPr>
              <w:spacing w:after="0" w:line="240" w:lineRule="auto"/>
              <w:jc w:val="right"/>
              <w:rPr>
                <w:rFonts w:ascii="Segoe UI" w:eastAsia="Times New Roman" w:hAnsi="Segoe UI" w:cs="Segoe UI"/>
                <w:b/>
                <w:bCs/>
                <w:color w:val="000000"/>
                <w:sz w:val="18"/>
                <w:szCs w:val="18"/>
                <w:lang w:eastAsia="pt-BR"/>
              </w:rPr>
            </w:pPr>
            <w:r w:rsidRPr="00701BB8">
              <w:rPr>
                <w:rFonts w:ascii="Segoe UI" w:eastAsia="Times New Roman" w:hAnsi="Segoe UI" w:cs="Segoe UI"/>
                <w:b/>
                <w:bCs/>
                <w:color w:val="000000"/>
                <w:sz w:val="18"/>
                <w:szCs w:val="18"/>
                <w:lang w:eastAsia="pt-BR"/>
              </w:rPr>
              <w:t>318.760</w:t>
            </w:r>
          </w:p>
        </w:tc>
        <w:tc>
          <w:tcPr>
            <w:tcW w:w="102" w:type="pct"/>
            <w:tcBorders>
              <w:top w:val="nil"/>
              <w:left w:val="nil"/>
              <w:bottom w:val="nil"/>
              <w:right w:val="nil"/>
            </w:tcBorders>
            <w:shd w:val="clear" w:color="auto" w:fill="auto"/>
            <w:noWrap/>
            <w:vAlign w:val="center"/>
            <w:hideMark/>
          </w:tcPr>
          <w:p w14:paraId="3AE62AFF" w14:textId="77777777" w:rsidR="00701BB8" w:rsidRPr="00701BB8" w:rsidRDefault="00701BB8" w:rsidP="00701BB8">
            <w:pPr>
              <w:spacing w:after="0" w:line="240" w:lineRule="auto"/>
              <w:jc w:val="right"/>
              <w:rPr>
                <w:rFonts w:ascii="Segoe UI" w:eastAsia="Times New Roman" w:hAnsi="Segoe UI" w:cs="Segoe UI"/>
                <w:b/>
                <w:bCs/>
                <w:color w:val="000000"/>
                <w:sz w:val="18"/>
                <w:szCs w:val="18"/>
                <w:lang w:eastAsia="pt-BR"/>
              </w:rPr>
            </w:pPr>
          </w:p>
        </w:tc>
        <w:tc>
          <w:tcPr>
            <w:tcW w:w="952" w:type="pct"/>
            <w:tcBorders>
              <w:top w:val="single" w:sz="4" w:space="0" w:color="1B80C4"/>
              <w:left w:val="nil"/>
              <w:bottom w:val="double" w:sz="6" w:space="0" w:color="1B80C4"/>
              <w:right w:val="nil"/>
            </w:tcBorders>
            <w:shd w:val="clear" w:color="auto" w:fill="auto"/>
            <w:noWrap/>
            <w:vAlign w:val="center"/>
            <w:hideMark/>
          </w:tcPr>
          <w:p w14:paraId="2B0C4AAF" w14:textId="1D02BD50" w:rsidR="00701BB8" w:rsidRPr="00701BB8" w:rsidRDefault="00701BB8" w:rsidP="00701BB8">
            <w:pPr>
              <w:spacing w:after="0" w:line="240" w:lineRule="auto"/>
              <w:jc w:val="right"/>
              <w:rPr>
                <w:rFonts w:ascii="Segoe UI" w:eastAsia="Times New Roman" w:hAnsi="Segoe UI" w:cs="Segoe UI"/>
                <w:b/>
                <w:bCs/>
                <w:color w:val="000000"/>
                <w:sz w:val="18"/>
                <w:szCs w:val="18"/>
                <w:lang w:eastAsia="pt-BR"/>
              </w:rPr>
            </w:pPr>
            <w:r w:rsidRPr="00701BB8">
              <w:rPr>
                <w:rFonts w:ascii="Segoe UI" w:eastAsia="Times New Roman" w:hAnsi="Segoe UI" w:cs="Segoe UI"/>
                <w:b/>
                <w:bCs/>
                <w:color w:val="000000"/>
                <w:sz w:val="18"/>
                <w:szCs w:val="18"/>
                <w:lang w:eastAsia="pt-BR"/>
              </w:rPr>
              <w:t>318.760</w:t>
            </w:r>
          </w:p>
        </w:tc>
      </w:tr>
    </w:tbl>
    <w:p w14:paraId="4A7CD4A7" w14:textId="77777777" w:rsidR="009866B9" w:rsidRPr="000757BC" w:rsidRDefault="009866B9" w:rsidP="003C5B31">
      <w:pPr>
        <w:pStyle w:val="PargrafodaLista"/>
        <w:ind w:left="720"/>
        <w:rPr>
          <w:rFonts w:ascii="Segoe UI" w:hAnsi="Segoe UI" w:cs="Segoe UI"/>
          <w:b/>
        </w:rPr>
      </w:pPr>
    </w:p>
    <w:p w14:paraId="1DC509B1" w14:textId="77777777" w:rsidR="00071A62" w:rsidRPr="00071A62" w:rsidRDefault="00E407FE">
      <w:pPr>
        <w:pStyle w:val="PargrafodaLista"/>
        <w:numPr>
          <w:ilvl w:val="0"/>
          <w:numId w:val="9"/>
        </w:numPr>
        <w:spacing w:before="120"/>
        <w:rPr>
          <w:rFonts w:ascii="Segoe UI" w:hAnsi="Segoe UI" w:cs="Segoe UI"/>
          <w:color w:val="000000"/>
          <w:sz w:val="18"/>
          <w:szCs w:val="18"/>
        </w:rPr>
      </w:pPr>
      <w:r w:rsidRPr="00071A62">
        <w:rPr>
          <w:rFonts w:ascii="Segoe UI" w:hAnsi="Segoe UI" w:cs="Segoe UI"/>
          <w:noProof/>
          <w:sz w:val="20"/>
          <w:szCs w:val="20"/>
        </w:rPr>
        <w:t>O saldo da conta de comercialização é apurado mensalmente, com base nas receitas e despesas decorrentes da conta de comercialização, c</w:t>
      </w:r>
      <w:r w:rsidR="00B07861" w:rsidRPr="00071A62">
        <w:rPr>
          <w:rFonts w:ascii="Segoe UI" w:hAnsi="Segoe UI" w:cs="Segoe UI"/>
          <w:noProof/>
          <w:sz w:val="20"/>
          <w:szCs w:val="20"/>
        </w:rPr>
        <w:t>onforme Decreto nº 11.027 de 31 de março de 2022</w:t>
      </w:r>
      <w:r w:rsidRPr="00071A62">
        <w:rPr>
          <w:rFonts w:ascii="Segoe UI" w:hAnsi="Segoe UI" w:cs="Segoe UI"/>
          <w:noProof/>
          <w:sz w:val="20"/>
          <w:szCs w:val="20"/>
        </w:rPr>
        <w:t xml:space="preserve">. O saldo anual dessa conta será destinado: </w:t>
      </w:r>
      <w:r w:rsidR="00874448" w:rsidRPr="00071A62">
        <w:rPr>
          <w:rFonts w:ascii="Segoe UI" w:hAnsi="Segoe UI" w:cs="Segoe UI"/>
          <w:noProof/>
          <w:sz w:val="20"/>
          <w:szCs w:val="20"/>
        </w:rPr>
        <w:t xml:space="preserve">(i) </w:t>
      </w:r>
      <w:r w:rsidRPr="00071A62">
        <w:rPr>
          <w:rFonts w:ascii="Segoe UI" w:hAnsi="Segoe UI" w:cs="Segoe UI"/>
          <w:noProof/>
          <w:sz w:val="20"/>
          <w:szCs w:val="20"/>
        </w:rPr>
        <w:t>se positivo</w:t>
      </w:r>
      <w:r w:rsidR="00874448" w:rsidRPr="00071A62">
        <w:rPr>
          <w:rFonts w:ascii="Segoe UI" w:hAnsi="Segoe UI" w:cs="Segoe UI"/>
          <w:noProof/>
          <w:sz w:val="20"/>
          <w:szCs w:val="20"/>
        </w:rPr>
        <w:t>,</w:t>
      </w:r>
      <w:r w:rsidRPr="00071A62">
        <w:rPr>
          <w:rFonts w:ascii="Segoe UI" w:hAnsi="Segoe UI" w:cs="Segoe UI"/>
          <w:noProof/>
          <w:sz w:val="20"/>
          <w:szCs w:val="20"/>
        </w:rPr>
        <w:t xml:space="preserve"> para rateio proporcional ao consumo individual e crédito de b</w:t>
      </w:r>
      <w:r w:rsidR="00123F95" w:rsidRPr="00071A62">
        <w:rPr>
          <w:rFonts w:ascii="Segoe UI" w:hAnsi="Segoe UI" w:cs="Segoe UI"/>
          <w:noProof/>
          <w:sz w:val="20"/>
          <w:szCs w:val="20"/>
        </w:rPr>
        <w:t>ô</w:t>
      </w:r>
      <w:r w:rsidRPr="00071A62">
        <w:rPr>
          <w:rFonts w:ascii="Segoe UI" w:hAnsi="Segoe UI" w:cs="Segoe UI"/>
          <w:noProof/>
          <w:sz w:val="20"/>
          <w:szCs w:val="20"/>
        </w:rPr>
        <w:t>nus nas contas de energia</w:t>
      </w:r>
      <w:r w:rsidR="00874448" w:rsidRPr="00071A62">
        <w:rPr>
          <w:rFonts w:ascii="Segoe UI" w:hAnsi="Segoe UI" w:cs="Segoe UI"/>
          <w:noProof/>
          <w:sz w:val="20"/>
          <w:szCs w:val="20"/>
        </w:rPr>
        <w:t>;</w:t>
      </w:r>
      <w:r w:rsidRPr="00071A62">
        <w:rPr>
          <w:rFonts w:ascii="Segoe UI" w:hAnsi="Segoe UI" w:cs="Segoe UI"/>
          <w:noProof/>
          <w:sz w:val="20"/>
          <w:szCs w:val="20"/>
        </w:rPr>
        <w:t xml:space="preserve"> </w:t>
      </w:r>
      <w:r w:rsidRPr="00071A62">
        <w:rPr>
          <w:rFonts w:ascii="Segoe UI" w:hAnsi="Segoe UI" w:cs="Segoe UI"/>
          <w:bCs/>
          <w:sz w:val="20"/>
          <w:szCs w:val="20"/>
        </w:rPr>
        <w:t xml:space="preserve">e </w:t>
      </w:r>
      <w:r w:rsidR="00874448" w:rsidRPr="00071A62">
        <w:rPr>
          <w:rFonts w:ascii="Segoe UI" w:hAnsi="Segoe UI" w:cs="Segoe UI"/>
          <w:bCs/>
          <w:sz w:val="20"/>
          <w:szCs w:val="20"/>
        </w:rPr>
        <w:t xml:space="preserve">(ii) </w:t>
      </w:r>
      <w:r w:rsidRPr="00071A62">
        <w:rPr>
          <w:rFonts w:ascii="Segoe UI" w:hAnsi="Segoe UI" w:cs="Segoe UI"/>
          <w:bCs/>
          <w:sz w:val="20"/>
          <w:szCs w:val="20"/>
        </w:rPr>
        <w:t>se negativo</w:t>
      </w:r>
      <w:r w:rsidR="00874448" w:rsidRPr="00071A62">
        <w:rPr>
          <w:rFonts w:ascii="Segoe UI" w:hAnsi="Segoe UI" w:cs="Segoe UI"/>
          <w:bCs/>
          <w:sz w:val="20"/>
          <w:szCs w:val="20"/>
        </w:rPr>
        <w:t>,</w:t>
      </w:r>
      <w:r w:rsidRPr="00071A62">
        <w:rPr>
          <w:rFonts w:ascii="Segoe UI" w:hAnsi="Segoe UI" w:cs="Segoe UI"/>
          <w:bCs/>
          <w:sz w:val="20"/>
          <w:szCs w:val="20"/>
        </w:rPr>
        <w:t xml:space="preserve"> será incorporado pela ANEEL no cálculo da tarifa de repasse de </w:t>
      </w:r>
      <w:r w:rsidR="00A96774" w:rsidRPr="00071A62">
        <w:rPr>
          <w:rFonts w:ascii="Segoe UI" w:hAnsi="Segoe UI" w:cs="Segoe UI"/>
          <w:bCs/>
          <w:sz w:val="20"/>
          <w:szCs w:val="20"/>
        </w:rPr>
        <w:t>potência;</w:t>
      </w:r>
    </w:p>
    <w:p w14:paraId="6CF5DD2E" w14:textId="4ADB3123" w:rsidR="00071A62" w:rsidRPr="00D04D3E" w:rsidRDefault="00EE0F66">
      <w:pPr>
        <w:pStyle w:val="PargrafodaLista"/>
        <w:numPr>
          <w:ilvl w:val="0"/>
          <w:numId w:val="9"/>
        </w:numPr>
        <w:spacing w:before="120"/>
        <w:rPr>
          <w:rFonts w:ascii="Segoe UI" w:hAnsi="Segoe UI" w:cs="Segoe UI"/>
          <w:sz w:val="20"/>
          <w:szCs w:val="20"/>
        </w:rPr>
      </w:pPr>
      <w:r w:rsidRPr="00D04D3E">
        <w:rPr>
          <w:rFonts w:ascii="Segoe UI" w:hAnsi="Segoe UI" w:cs="Segoe UI"/>
          <w:sz w:val="20"/>
          <w:szCs w:val="20"/>
        </w:rPr>
        <w:t>O s</w:t>
      </w:r>
      <w:r w:rsidR="00071A62" w:rsidRPr="00D04D3E">
        <w:rPr>
          <w:rFonts w:ascii="Segoe UI" w:hAnsi="Segoe UI" w:cs="Segoe UI"/>
          <w:sz w:val="20"/>
          <w:szCs w:val="20"/>
        </w:rPr>
        <w:t>aldo da conta de comercialização</w:t>
      </w:r>
      <w:r w:rsidRPr="00D04D3E">
        <w:rPr>
          <w:rFonts w:ascii="Segoe UI" w:hAnsi="Segoe UI" w:cs="Segoe UI"/>
          <w:sz w:val="20"/>
          <w:szCs w:val="20"/>
        </w:rPr>
        <w:t xml:space="preserve"> de energia elétrica</w:t>
      </w:r>
      <w:r w:rsidR="00071A62" w:rsidRPr="00D04D3E">
        <w:rPr>
          <w:rFonts w:ascii="Segoe UI" w:hAnsi="Segoe UI" w:cs="Segoe UI"/>
          <w:sz w:val="20"/>
          <w:szCs w:val="20"/>
        </w:rPr>
        <w:t xml:space="preserve"> d</w:t>
      </w:r>
      <w:r w:rsidRPr="00D04D3E">
        <w:rPr>
          <w:rFonts w:ascii="Segoe UI" w:hAnsi="Segoe UI" w:cs="Segoe UI"/>
          <w:sz w:val="20"/>
          <w:szCs w:val="20"/>
        </w:rPr>
        <w:t>e</w:t>
      </w:r>
      <w:r w:rsidR="00071A62" w:rsidRPr="00D04D3E">
        <w:rPr>
          <w:rFonts w:ascii="Segoe UI" w:hAnsi="Segoe UI" w:cs="Segoe UI"/>
          <w:sz w:val="20"/>
          <w:szCs w:val="20"/>
        </w:rPr>
        <w:t xml:space="preserve"> Itaipu</w:t>
      </w:r>
      <w:r w:rsidRPr="00D04D3E">
        <w:rPr>
          <w:rFonts w:ascii="Segoe UI" w:hAnsi="Segoe UI" w:cs="Segoe UI"/>
          <w:sz w:val="20"/>
          <w:szCs w:val="20"/>
        </w:rPr>
        <w:t xml:space="preserve">, foi transferido </w:t>
      </w:r>
      <w:r w:rsidR="00FA23CF" w:rsidRPr="00D04D3E">
        <w:rPr>
          <w:rFonts w:ascii="Segoe UI" w:hAnsi="Segoe UI" w:cs="Segoe UI"/>
          <w:noProof/>
          <w:sz w:val="20"/>
          <w:szCs w:val="20"/>
        </w:rPr>
        <w:t xml:space="preserve">pela </w:t>
      </w:r>
      <w:r w:rsidR="00E62276" w:rsidRPr="00D04D3E">
        <w:rPr>
          <w:rFonts w:ascii="Segoe UI" w:hAnsi="Segoe UI" w:cs="Segoe UI"/>
          <w:noProof/>
          <w:sz w:val="20"/>
          <w:szCs w:val="20"/>
        </w:rPr>
        <w:t xml:space="preserve">Eletrobras a ENBPar </w:t>
      </w:r>
      <w:r w:rsidRPr="00D04D3E">
        <w:rPr>
          <w:rFonts w:ascii="Segoe UI" w:hAnsi="Segoe UI" w:cs="Segoe UI"/>
          <w:sz w:val="20"/>
          <w:szCs w:val="20"/>
        </w:rPr>
        <w:t xml:space="preserve">através </w:t>
      </w:r>
      <w:r w:rsidR="005C43DC" w:rsidRPr="00D04D3E">
        <w:rPr>
          <w:rFonts w:ascii="Segoe UI" w:hAnsi="Segoe UI" w:cs="Segoe UI"/>
          <w:sz w:val="20"/>
          <w:szCs w:val="20"/>
        </w:rPr>
        <w:t xml:space="preserve">do processo de </w:t>
      </w:r>
      <w:r w:rsidR="00CA20BE" w:rsidRPr="00D04D3E">
        <w:rPr>
          <w:rFonts w:ascii="Segoe UI" w:hAnsi="Segoe UI" w:cs="Segoe UI"/>
          <w:sz w:val="20"/>
          <w:szCs w:val="20"/>
        </w:rPr>
        <w:t>a</w:t>
      </w:r>
      <w:r w:rsidR="005C43DC" w:rsidRPr="00D04D3E">
        <w:rPr>
          <w:rFonts w:ascii="Segoe UI" w:hAnsi="Segoe UI" w:cs="Segoe UI"/>
          <w:sz w:val="20"/>
          <w:szCs w:val="20"/>
        </w:rPr>
        <w:t>sseguração,</w:t>
      </w:r>
      <w:r w:rsidR="00CB49D8" w:rsidRPr="00D04D3E">
        <w:rPr>
          <w:rFonts w:ascii="Segoe UI" w:hAnsi="Segoe UI" w:cs="Segoe UI"/>
          <w:sz w:val="20"/>
          <w:szCs w:val="20"/>
        </w:rPr>
        <w:t xml:space="preserve"> elaborado por </w:t>
      </w:r>
      <w:r w:rsidR="00576227" w:rsidRPr="00D04D3E">
        <w:rPr>
          <w:rFonts w:ascii="Segoe UI" w:hAnsi="Segoe UI" w:cs="Segoe UI"/>
          <w:sz w:val="20"/>
          <w:szCs w:val="20"/>
        </w:rPr>
        <w:t xml:space="preserve">empresa </w:t>
      </w:r>
      <w:r w:rsidR="00FE45EE" w:rsidRPr="00D04D3E">
        <w:rPr>
          <w:rFonts w:ascii="Segoe UI" w:hAnsi="Segoe UI" w:cs="Segoe UI"/>
          <w:sz w:val="20"/>
          <w:szCs w:val="20"/>
        </w:rPr>
        <w:t>independente, Taticca</w:t>
      </w:r>
      <w:r w:rsidR="004C2635" w:rsidRPr="00D04D3E">
        <w:rPr>
          <w:rFonts w:ascii="Segoe UI" w:hAnsi="Segoe UI" w:cs="Segoe UI"/>
          <w:sz w:val="20"/>
          <w:szCs w:val="20"/>
        </w:rPr>
        <w:t xml:space="preserve"> Auditores e Consultores</w:t>
      </w:r>
      <w:r w:rsidR="00FC09E9" w:rsidRPr="00D04D3E">
        <w:rPr>
          <w:rFonts w:ascii="Segoe UI" w:hAnsi="Segoe UI" w:cs="Segoe UI"/>
          <w:sz w:val="20"/>
          <w:szCs w:val="20"/>
        </w:rPr>
        <w:t xml:space="preserve"> </w:t>
      </w:r>
      <w:r w:rsidR="008E11D6" w:rsidRPr="00D04D3E">
        <w:rPr>
          <w:rFonts w:ascii="Segoe UI" w:hAnsi="Segoe UI" w:cs="Segoe UI"/>
          <w:sz w:val="20"/>
          <w:szCs w:val="20"/>
        </w:rPr>
        <w:t>LTDA</w:t>
      </w:r>
      <w:r w:rsidR="00E62276" w:rsidRPr="00D04D3E">
        <w:rPr>
          <w:rFonts w:ascii="Segoe UI" w:hAnsi="Segoe UI" w:cs="Segoe UI"/>
          <w:noProof/>
          <w:sz w:val="20"/>
          <w:szCs w:val="20"/>
        </w:rPr>
        <w:t xml:space="preserve">, por </w:t>
      </w:r>
      <w:r w:rsidR="004F3EEB" w:rsidRPr="00D04D3E">
        <w:rPr>
          <w:rFonts w:ascii="Segoe UI" w:hAnsi="Segoe UI" w:cs="Segoe UI"/>
          <w:noProof/>
          <w:sz w:val="20"/>
          <w:szCs w:val="20"/>
        </w:rPr>
        <w:t xml:space="preserve">ocasião da transferência </w:t>
      </w:r>
      <w:r w:rsidR="00260901" w:rsidRPr="00D04D3E">
        <w:rPr>
          <w:rFonts w:ascii="Segoe UI" w:hAnsi="Segoe UI" w:cs="Segoe UI"/>
          <w:noProof/>
          <w:sz w:val="20"/>
          <w:szCs w:val="20"/>
        </w:rPr>
        <w:t xml:space="preserve">do papel de agente de </w:t>
      </w:r>
      <w:r w:rsidR="00CC4B64" w:rsidRPr="00D04D3E">
        <w:rPr>
          <w:rFonts w:ascii="Segoe UI" w:hAnsi="Segoe UI" w:cs="Segoe UI"/>
          <w:noProof/>
          <w:sz w:val="20"/>
          <w:szCs w:val="20"/>
        </w:rPr>
        <w:t>comercialização de Itaipu</w:t>
      </w:r>
      <w:r w:rsidR="008E11D6" w:rsidRPr="00D04D3E">
        <w:rPr>
          <w:rFonts w:ascii="Segoe UI" w:hAnsi="Segoe UI" w:cs="Segoe UI"/>
          <w:sz w:val="20"/>
          <w:szCs w:val="20"/>
        </w:rPr>
        <w:t>.</w:t>
      </w:r>
    </w:p>
    <w:p w14:paraId="6F0D4348" w14:textId="77777777" w:rsidR="00402349" w:rsidRDefault="00402349">
      <w:pPr>
        <w:rPr>
          <w:rFonts w:ascii="Segoe UI" w:hAnsi="Segoe UI" w:cs="Segoe UI"/>
          <w:b/>
          <w:color w:val="0070C0"/>
        </w:rPr>
      </w:pPr>
      <w:r>
        <w:rPr>
          <w:rFonts w:ascii="Segoe UI" w:hAnsi="Segoe UI" w:cs="Segoe UI"/>
          <w:b/>
          <w:color w:val="0070C0"/>
        </w:rPr>
        <w:br w:type="page"/>
      </w:r>
    </w:p>
    <w:p w14:paraId="6CC72884" w14:textId="5D5E0C12" w:rsidR="0015523C" w:rsidRDefault="002A4E82" w:rsidP="001B03F3">
      <w:pPr>
        <w:tabs>
          <w:tab w:val="left" w:pos="567"/>
          <w:tab w:val="left" w:pos="1134"/>
          <w:tab w:val="left" w:pos="1701"/>
          <w:tab w:val="left" w:pos="2268"/>
          <w:tab w:val="left" w:pos="2835"/>
        </w:tabs>
        <w:spacing w:after="120"/>
        <w:jc w:val="both"/>
        <w:outlineLvl w:val="0"/>
        <w:rPr>
          <w:rFonts w:ascii="Segoe UI" w:hAnsi="Segoe UI" w:cs="Segoe UI"/>
          <w:b/>
          <w:color w:val="0070C0"/>
        </w:rPr>
      </w:pPr>
      <w:r>
        <w:rPr>
          <w:rFonts w:ascii="Segoe UI" w:hAnsi="Segoe UI" w:cs="Segoe UI"/>
          <w:b/>
          <w:color w:val="0070C0"/>
        </w:rPr>
        <w:lastRenderedPageBreak/>
        <w:t>29</w:t>
      </w:r>
      <w:r w:rsidR="003A6C4B" w:rsidRPr="00482C5E">
        <w:rPr>
          <w:rFonts w:ascii="Segoe UI" w:hAnsi="Segoe UI"/>
          <w:b/>
          <w:color w:val="1B80C4"/>
        </w:rPr>
        <w:t xml:space="preserve"> </w:t>
      </w:r>
      <w:r w:rsidR="003A6C4B" w:rsidRPr="001444E0">
        <w:rPr>
          <w:rFonts w:ascii="Segoe UI" w:hAnsi="Segoe UI" w:cs="Segoe UI"/>
          <w:b/>
          <w:color w:val="1B80C4"/>
        </w:rPr>
        <w:t>–</w:t>
      </w:r>
      <w:r w:rsidR="003A6C4B" w:rsidRPr="00482C5E">
        <w:rPr>
          <w:rFonts w:ascii="Segoe UI" w:hAnsi="Segoe UI"/>
          <w:b/>
          <w:color w:val="1B80C4"/>
        </w:rPr>
        <w:t xml:space="preserve"> </w:t>
      </w:r>
      <w:r w:rsidR="003316C8" w:rsidRPr="00E20106">
        <w:rPr>
          <w:rFonts w:ascii="Segoe UI" w:hAnsi="Segoe UI" w:cs="Segoe UI"/>
          <w:b/>
          <w:color w:val="0070C0"/>
        </w:rPr>
        <w:t>ABERTURA DO RESULTADO DA CONTROLADORA COM AS OPERAÇÕES DE COMERCIALIZAÇÃO</w:t>
      </w:r>
      <w:r w:rsidR="003316C8" w:rsidRPr="00135057">
        <w:rPr>
          <w:rFonts w:ascii="Segoe UI" w:hAnsi="Segoe UI" w:cs="Segoe UI"/>
          <w:b/>
          <w:color w:val="0070C0"/>
        </w:rPr>
        <w:t xml:space="preserve"> </w:t>
      </w:r>
      <w:r w:rsidR="003316C8" w:rsidRPr="00E20106">
        <w:rPr>
          <w:rFonts w:ascii="Segoe UI" w:hAnsi="Segoe UI" w:cs="Segoe UI"/>
          <w:b/>
          <w:color w:val="0070C0"/>
        </w:rPr>
        <w:t>DE ITAIPU</w:t>
      </w:r>
    </w:p>
    <w:p w14:paraId="1B24B1F8" w14:textId="77777777" w:rsidR="00C81535" w:rsidRDefault="00C81535" w:rsidP="00710E6D"/>
    <w:tbl>
      <w:tblPr>
        <w:tblW w:w="5228" w:type="pct"/>
        <w:tblInd w:w="-284" w:type="dxa"/>
        <w:tblLayout w:type="fixed"/>
        <w:tblCellMar>
          <w:left w:w="70" w:type="dxa"/>
          <w:right w:w="70" w:type="dxa"/>
        </w:tblCellMar>
        <w:tblLook w:val="04A0" w:firstRow="1" w:lastRow="0" w:firstColumn="1" w:lastColumn="0" w:noHBand="0" w:noVBand="1"/>
      </w:tblPr>
      <w:tblGrid>
        <w:gridCol w:w="5759"/>
        <w:gridCol w:w="1327"/>
        <w:gridCol w:w="1241"/>
        <w:gridCol w:w="1603"/>
      </w:tblGrid>
      <w:tr w:rsidR="0093565F" w:rsidRPr="005646BE" w14:paraId="04B5CEB4" w14:textId="77777777" w:rsidTr="00E3374A">
        <w:trPr>
          <w:trHeight w:val="160"/>
        </w:trPr>
        <w:tc>
          <w:tcPr>
            <w:tcW w:w="2900" w:type="pct"/>
            <w:vMerge w:val="restart"/>
            <w:tcBorders>
              <w:top w:val="nil"/>
              <w:left w:val="nil"/>
              <w:bottom w:val="nil"/>
              <w:right w:val="nil"/>
            </w:tcBorders>
            <w:shd w:val="clear" w:color="000000" w:fill="1B80C4"/>
            <w:noWrap/>
            <w:vAlign w:val="center"/>
            <w:hideMark/>
          </w:tcPr>
          <w:p w14:paraId="2B906350" w14:textId="77777777" w:rsidR="005646BE" w:rsidRPr="005646BE" w:rsidRDefault="005646BE" w:rsidP="005646BE">
            <w:pPr>
              <w:spacing w:after="0" w:line="240" w:lineRule="auto"/>
              <w:rPr>
                <w:rFonts w:ascii="Segoe UI" w:eastAsia="Times New Roman" w:hAnsi="Segoe UI" w:cs="Segoe UI"/>
                <w:b/>
                <w:bCs/>
                <w:color w:val="FFFFFF"/>
                <w:sz w:val="18"/>
                <w:szCs w:val="18"/>
                <w:lang w:eastAsia="pt-BR"/>
              </w:rPr>
            </w:pPr>
            <w:r w:rsidRPr="005646BE">
              <w:rPr>
                <w:rFonts w:ascii="Segoe UI" w:eastAsia="Times New Roman" w:hAnsi="Segoe UI" w:cs="Segoe UI"/>
                <w:b/>
                <w:bCs/>
                <w:color w:val="FFFFFF"/>
                <w:sz w:val="18"/>
                <w:szCs w:val="18"/>
                <w:lang w:eastAsia="pt-BR"/>
              </w:rPr>
              <w:t xml:space="preserve">DEMONSTRAÇÕES DO RESULTADO </w:t>
            </w:r>
          </w:p>
        </w:tc>
        <w:tc>
          <w:tcPr>
            <w:tcW w:w="668" w:type="pct"/>
            <w:tcBorders>
              <w:top w:val="nil"/>
              <w:left w:val="nil"/>
              <w:bottom w:val="nil"/>
              <w:right w:val="nil"/>
            </w:tcBorders>
            <w:shd w:val="clear" w:color="000000" w:fill="1B80C4"/>
            <w:noWrap/>
            <w:vAlign w:val="bottom"/>
            <w:hideMark/>
          </w:tcPr>
          <w:p w14:paraId="4C31B6D1" w14:textId="264A0000" w:rsidR="005646BE" w:rsidRPr="005646BE" w:rsidRDefault="005646BE" w:rsidP="005646BE">
            <w:pPr>
              <w:spacing w:after="0" w:line="240" w:lineRule="auto"/>
              <w:jc w:val="center"/>
              <w:rPr>
                <w:rFonts w:ascii="Segoe UI" w:eastAsia="Times New Roman" w:hAnsi="Segoe UI" w:cs="Segoe UI"/>
                <w:b/>
                <w:bCs/>
                <w:color w:val="FFFFFF"/>
                <w:sz w:val="18"/>
                <w:szCs w:val="18"/>
                <w:lang w:eastAsia="pt-BR"/>
              </w:rPr>
            </w:pPr>
            <w:r w:rsidRPr="005646BE">
              <w:rPr>
                <w:rFonts w:ascii="Segoe UI" w:eastAsia="Times New Roman" w:hAnsi="Segoe UI" w:cs="Segoe UI"/>
                <w:b/>
                <w:bCs/>
                <w:color w:val="FFFFFF"/>
                <w:sz w:val="18"/>
                <w:szCs w:val="18"/>
                <w:lang w:eastAsia="pt-BR"/>
              </w:rPr>
              <w:t xml:space="preserve">Controladora </w:t>
            </w:r>
          </w:p>
        </w:tc>
        <w:tc>
          <w:tcPr>
            <w:tcW w:w="625" w:type="pct"/>
            <w:tcBorders>
              <w:top w:val="nil"/>
              <w:left w:val="nil"/>
              <w:bottom w:val="nil"/>
              <w:right w:val="nil"/>
            </w:tcBorders>
            <w:shd w:val="clear" w:color="000000" w:fill="1B80C4"/>
            <w:noWrap/>
            <w:vAlign w:val="bottom"/>
            <w:hideMark/>
          </w:tcPr>
          <w:p w14:paraId="2A3F4246" w14:textId="77777777" w:rsidR="005646BE" w:rsidRPr="005646BE" w:rsidRDefault="005646BE" w:rsidP="005646BE">
            <w:pPr>
              <w:spacing w:after="0" w:line="240" w:lineRule="auto"/>
              <w:jc w:val="center"/>
              <w:rPr>
                <w:rFonts w:ascii="Segoe UI" w:eastAsia="Times New Roman" w:hAnsi="Segoe UI" w:cs="Segoe UI"/>
                <w:b/>
                <w:bCs/>
                <w:color w:val="FFFFFF"/>
                <w:sz w:val="18"/>
                <w:szCs w:val="18"/>
                <w:lang w:eastAsia="pt-BR"/>
              </w:rPr>
            </w:pPr>
            <w:r w:rsidRPr="005646BE">
              <w:rPr>
                <w:rFonts w:ascii="Segoe UI" w:eastAsia="Times New Roman" w:hAnsi="Segoe UI" w:cs="Segoe UI"/>
                <w:b/>
                <w:bCs/>
                <w:color w:val="FFFFFF"/>
                <w:sz w:val="18"/>
                <w:szCs w:val="18"/>
                <w:lang w:eastAsia="pt-BR"/>
              </w:rPr>
              <w:t xml:space="preserve"> Itaipu </w:t>
            </w:r>
          </w:p>
        </w:tc>
        <w:tc>
          <w:tcPr>
            <w:tcW w:w="807" w:type="pct"/>
            <w:tcBorders>
              <w:top w:val="nil"/>
              <w:left w:val="nil"/>
              <w:bottom w:val="nil"/>
              <w:right w:val="nil"/>
            </w:tcBorders>
            <w:shd w:val="clear" w:color="000000" w:fill="1B80C4"/>
            <w:noWrap/>
            <w:vAlign w:val="bottom"/>
            <w:hideMark/>
          </w:tcPr>
          <w:p w14:paraId="57DE42CE" w14:textId="3B1FE6D7" w:rsidR="005646BE" w:rsidRPr="005646BE" w:rsidRDefault="005646BE" w:rsidP="005646BE">
            <w:pPr>
              <w:spacing w:after="0" w:line="240" w:lineRule="auto"/>
              <w:jc w:val="center"/>
              <w:rPr>
                <w:rFonts w:ascii="Segoe UI" w:eastAsia="Times New Roman" w:hAnsi="Segoe UI" w:cs="Segoe UI"/>
                <w:b/>
                <w:bCs/>
                <w:color w:val="FFFFFF"/>
                <w:sz w:val="18"/>
                <w:szCs w:val="18"/>
                <w:lang w:eastAsia="pt-BR"/>
              </w:rPr>
            </w:pPr>
            <w:r w:rsidRPr="005646BE">
              <w:rPr>
                <w:rFonts w:ascii="Segoe UI" w:eastAsia="Times New Roman" w:hAnsi="Segoe UI" w:cs="Segoe UI"/>
                <w:b/>
                <w:bCs/>
                <w:color w:val="FFFFFF"/>
                <w:sz w:val="18"/>
                <w:szCs w:val="18"/>
                <w:lang w:eastAsia="pt-BR"/>
              </w:rPr>
              <w:t xml:space="preserve"> </w:t>
            </w:r>
            <w:r w:rsidR="00E3374A">
              <w:rPr>
                <w:rFonts w:ascii="Segoe UI" w:eastAsia="Times New Roman" w:hAnsi="Segoe UI" w:cs="Segoe UI"/>
                <w:b/>
                <w:bCs/>
                <w:color w:val="FFFFFF"/>
                <w:sz w:val="18"/>
                <w:szCs w:val="18"/>
                <w:lang w:eastAsia="pt-BR"/>
              </w:rPr>
              <w:t>Aglutinado</w:t>
            </w:r>
            <w:r w:rsidRPr="005646BE">
              <w:rPr>
                <w:rFonts w:ascii="Segoe UI" w:eastAsia="Times New Roman" w:hAnsi="Segoe UI" w:cs="Segoe UI"/>
                <w:b/>
                <w:bCs/>
                <w:color w:val="FFFFFF"/>
                <w:sz w:val="18"/>
                <w:szCs w:val="18"/>
                <w:lang w:eastAsia="pt-BR"/>
              </w:rPr>
              <w:t xml:space="preserve"> </w:t>
            </w:r>
          </w:p>
        </w:tc>
      </w:tr>
      <w:tr w:rsidR="0093565F" w:rsidRPr="005646BE" w14:paraId="1F7C98B1" w14:textId="77777777" w:rsidTr="00E3374A">
        <w:trPr>
          <w:trHeight w:val="70"/>
        </w:trPr>
        <w:tc>
          <w:tcPr>
            <w:tcW w:w="2900" w:type="pct"/>
            <w:vMerge/>
            <w:tcBorders>
              <w:top w:val="nil"/>
              <w:left w:val="nil"/>
              <w:bottom w:val="nil"/>
              <w:right w:val="nil"/>
            </w:tcBorders>
            <w:vAlign w:val="center"/>
            <w:hideMark/>
          </w:tcPr>
          <w:p w14:paraId="4DC77827" w14:textId="77777777" w:rsidR="005646BE" w:rsidRPr="005646BE" w:rsidRDefault="005646BE" w:rsidP="005646BE">
            <w:pPr>
              <w:spacing w:after="0" w:line="240" w:lineRule="auto"/>
              <w:rPr>
                <w:rFonts w:ascii="Segoe UI" w:eastAsia="Times New Roman" w:hAnsi="Segoe UI" w:cs="Segoe UI"/>
                <w:b/>
                <w:bCs/>
                <w:color w:val="FFFFFF"/>
                <w:sz w:val="18"/>
                <w:szCs w:val="18"/>
                <w:lang w:eastAsia="pt-BR"/>
              </w:rPr>
            </w:pPr>
          </w:p>
        </w:tc>
        <w:tc>
          <w:tcPr>
            <w:tcW w:w="668" w:type="pct"/>
            <w:tcBorders>
              <w:top w:val="single" w:sz="4" w:space="0" w:color="F2F2F2"/>
              <w:left w:val="nil"/>
              <w:bottom w:val="single" w:sz="4" w:space="0" w:color="F2F2F2"/>
              <w:right w:val="nil"/>
            </w:tcBorders>
            <w:shd w:val="clear" w:color="000000" w:fill="1B80C4"/>
            <w:noWrap/>
            <w:vAlign w:val="center"/>
            <w:hideMark/>
          </w:tcPr>
          <w:p w14:paraId="13650CD1" w14:textId="77777777" w:rsidR="005646BE" w:rsidRPr="005646BE" w:rsidRDefault="005646BE" w:rsidP="005646BE">
            <w:pPr>
              <w:spacing w:after="0" w:line="240" w:lineRule="auto"/>
              <w:jc w:val="center"/>
              <w:rPr>
                <w:rFonts w:ascii="Segoe UI" w:eastAsia="Times New Roman" w:hAnsi="Segoe UI" w:cs="Segoe UI"/>
                <w:b/>
                <w:bCs/>
                <w:color w:val="FFFFFF"/>
                <w:sz w:val="18"/>
                <w:szCs w:val="18"/>
                <w:lang w:eastAsia="pt-BR"/>
              </w:rPr>
            </w:pPr>
            <w:r w:rsidRPr="005646BE">
              <w:rPr>
                <w:rFonts w:ascii="Segoe UI" w:eastAsia="Times New Roman" w:hAnsi="Segoe UI" w:cs="Segoe UI"/>
                <w:b/>
                <w:bCs/>
                <w:color w:val="FFFFFF"/>
                <w:sz w:val="18"/>
                <w:szCs w:val="18"/>
                <w:lang w:eastAsia="pt-BR"/>
              </w:rPr>
              <w:t>31/12/2022</w:t>
            </w:r>
          </w:p>
        </w:tc>
        <w:tc>
          <w:tcPr>
            <w:tcW w:w="625" w:type="pct"/>
            <w:tcBorders>
              <w:top w:val="single" w:sz="4" w:space="0" w:color="F2F2F2"/>
              <w:left w:val="nil"/>
              <w:bottom w:val="single" w:sz="4" w:space="0" w:color="F2F2F2"/>
              <w:right w:val="nil"/>
            </w:tcBorders>
            <w:shd w:val="clear" w:color="000000" w:fill="1B80C4"/>
            <w:noWrap/>
            <w:vAlign w:val="center"/>
            <w:hideMark/>
          </w:tcPr>
          <w:p w14:paraId="26A96D18" w14:textId="77777777" w:rsidR="005646BE" w:rsidRPr="005646BE" w:rsidRDefault="005646BE" w:rsidP="005646BE">
            <w:pPr>
              <w:spacing w:after="0" w:line="240" w:lineRule="auto"/>
              <w:jc w:val="center"/>
              <w:rPr>
                <w:rFonts w:ascii="Segoe UI" w:eastAsia="Times New Roman" w:hAnsi="Segoe UI" w:cs="Segoe UI"/>
                <w:b/>
                <w:bCs/>
                <w:color w:val="FFFFFF"/>
                <w:sz w:val="18"/>
                <w:szCs w:val="18"/>
                <w:lang w:eastAsia="pt-BR"/>
              </w:rPr>
            </w:pPr>
            <w:r w:rsidRPr="005646BE">
              <w:rPr>
                <w:rFonts w:ascii="Segoe UI" w:eastAsia="Times New Roman" w:hAnsi="Segoe UI" w:cs="Segoe UI"/>
                <w:b/>
                <w:bCs/>
                <w:color w:val="FFFFFF"/>
                <w:sz w:val="18"/>
                <w:szCs w:val="18"/>
                <w:lang w:eastAsia="pt-BR"/>
              </w:rPr>
              <w:t>31/12/2022</w:t>
            </w:r>
          </w:p>
        </w:tc>
        <w:tc>
          <w:tcPr>
            <w:tcW w:w="807" w:type="pct"/>
            <w:tcBorders>
              <w:top w:val="single" w:sz="4" w:space="0" w:color="F2F2F2"/>
              <w:left w:val="nil"/>
              <w:bottom w:val="single" w:sz="4" w:space="0" w:color="F2F2F2"/>
              <w:right w:val="nil"/>
            </w:tcBorders>
            <w:shd w:val="clear" w:color="000000" w:fill="1B80C4"/>
            <w:noWrap/>
            <w:vAlign w:val="center"/>
            <w:hideMark/>
          </w:tcPr>
          <w:p w14:paraId="4CCAE9EA" w14:textId="77777777" w:rsidR="005646BE" w:rsidRPr="005646BE" w:rsidRDefault="005646BE" w:rsidP="005646BE">
            <w:pPr>
              <w:spacing w:after="0" w:line="240" w:lineRule="auto"/>
              <w:jc w:val="center"/>
              <w:rPr>
                <w:rFonts w:ascii="Segoe UI" w:eastAsia="Times New Roman" w:hAnsi="Segoe UI" w:cs="Segoe UI"/>
                <w:b/>
                <w:bCs/>
                <w:color w:val="FFFFFF"/>
                <w:sz w:val="18"/>
                <w:szCs w:val="18"/>
                <w:lang w:eastAsia="pt-BR"/>
              </w:rPr>
            </w:pPr>
            <w:r w:rsidRPr="005646BE">
              <w:rPr>
                <w:rFonts w:ascii="Segoe UI" w:eastAsia="Times New Roman" w:hAnsi="Segoe UI" w:cs="Segoe UI"/>
                <w:b/>
                <w:bCs/>
                <w:color w:val="FFFFFF"/>
                <w:sz w:val="18"/>
                <w:szCs w:val="18"/>
                <w:lang w:eastAsia="pt-BR"/>
              </w:rPr>
              <w:t>31/12/2022</w:t>
            </w:r>
          </w:p>
        </w:tc>
      </w:tr>
      <w:tr w:rsidR="005646BE" w:rsidRPr="005646BE" w14:paraId="572AF6A9" w14:textId="77777777" w:rsidTr="00E737B9">
        <w:trPr>
          <w:trHeight w:val="240"/>
        </w:trPr>
        <w:tc>
          <w:tcPr>
            <w:tcW w:w="2900" w:type="pct"/>
            <w:tcBorders>
              <w:top w:val="nil"/>
              <w:left w:val="nil"/>
              <w:bottom w:val="nil"/>
              <w:right w:val="nil"/>
            </w:tcBorders>
            <w:shd w:val="clear" w:color="auto" w:fill="auto"/>
            <w:noWrap/>
            <w:vAlign w:val="center"/>
            <w:hideMark/>
          </w:tcPr>
          <w:p w14:paraId="09FA7A3F"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 xml:space="preserve"> Receita operacional bruta </w:t>
            </w:r>
          </w:p>
        </w:tc>
        <w:tc>
          <w:tcPr>
            <w:tcW w:w="668" w:type="pct"/>
            <w:tcBorders>
              <w:top w:val="nil"/>
              <w:left w:val="nil"/>
              <w:bottom w:val="nil"/>
              <w:right w:val="nil"/>
            </w:tcBorders>
            <w:shd w:val="clear" w:color="auto" w:fill="auto"/>
            <w:noWrap/>
            <w:vAlign w:val="center"/>
            <w:hideMark/>
          </w:tcPr>
          <w:p w14:paraId="05058AC5" w14:textId="632DAF97"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21.844</w:t>
            </w:r>
          </w:p>
        </w:tc>
        <w:tc>
          <w:tcPr>
            <w:tcW w:w="625" w:type="pct"/>
            <w:tcBorders>
              <w:top w:val="nil"/>
              <w:left w:val="nil"/>
              <w:bottom w:val="nil"/>
              <w:right w:val="nil"/>
            </w:tcBorders>
            <w:shd w:val="clear" w:color="auto" w:fill="auto"/>
            <w:noWrap/>
            <w:vAlign w:val="center"/>
            <w:hideMark/>
          </w:tcPr>
          <w:p w14:paraId="40A95366" w14:textId="16F4F0D3"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10.504.274</w:t>
            </w:r>
          </w:p>
        </w:tc>
        <w:tc>
          <w:tcPr>
            <w:tcW w:w="807" w:type="pct"/>
            <w:tcBorders>
              <w:top w:val="nil"/>
              <w:left w:val="nil"/>
              <w:bottom w:val="nil"/>
              <w:right w:val="nil"/>
            </w:tcBorders>
            <w:shd w:val="clear" w:color="auto" w:fill="auto"/>
            <w:noWrap/>
            <w:vAlign w:val="center"/>
            <w:hideMark/>
          </w:tcPr>
          <w:p w14:paraId="3AF153DC" w14:textId="36CFC1A8"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10.526.118</w:t>
            </w:r>
          </w:p>
        </w:tc>
      </w:tr>
      <w:tr w:rsidR="005646BE" w:rsidRPr="005646BE" w14:paraId="44309ED6" w14:textId="77777777" w:rsidTr="00E737B9">
        <w:trPr>
          <w:trHeight w:val="240"/>
        </w:trPr>
        <w:tc>
          <w:tcPr>
            <w:tcW w:w="2900" w:type="pct"/>
            <w:tcBorders>
              <w:top w:val="nil"/>
              <w:left w:val="nil"/>
              <w:bottom w:val="nil"/>
              <w:right w:val="nil"/>
            </w:tcBorders>
            <w:shd w:val="clear" w:color="auto" w:fill="auto"/>
            <w:noWrap/>
            <w:vAlign w:val="center"/>
            <w:hideMark/>
          </w:tcPr>
          <w:p w14:paraId="2645A622" w14:textId="77777777" w:rsidR="005646BE" w:rsidRPr="005646BE" w:rsidRDefault="005646BE" w:rsidP="005646BE">
            <w:pPr>
              <w:spacing w:after="0" w:line="240" w:lineRule="auto"/>
              <w:outlineLvl w:val="0"/>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 Encargos setoriais e regulatórios </w:t>
            </w:r>
          </w:p>
        </w:tc>
        <w:tc>
          <w:tcPr>
            <w:tcW w:w="668" w:type="pct"/>
            <w:tcBorders>
              <w:top w:val="nil"/>
              <w:left w:val="nil"/>
              <w:bottom w:val="nil"/>
              <w:right w:val="nil"/>
            </w:tcBorders>
            <w:shd w:val="clear" w:color="auto" w:fill="auto"/>
            <w:noWrap/>
            <w:vAlign w:val="center"/>
            <w:hideMark/>
          </w:tcPr>
          <w:p w14:paraId="6CBCA9BB" w14:textId="42943036" w:rsidR="005646BE" w:rsidRPr="005646BE" w:rsidRDefault="005646BE" w:rsidP="005646BE">
            <w:pPr>
              <w:spacing w:after="0" w:line="240" w:lineRule="auto"/>
              <w:jc w:val="right"/>
              <w:outlineLvl w:val="0"/>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625" w:type="pct"/>
            <w:tcBorders>
              <w:top w:val="nil"/>
              <w:left w:val="nil"/>
              <w:bottom w:val="nil"/>
              <w:right w:val="nil"/>
            </w:tcBorders>
            <w:shd w:val="clear" w:color="auto" w:fill="auto"/>
            <w:noWrap/>
            <w:vAlign w:val="center"/>
            <w:hideMark/>
          </w:tcPr>
          <w:p w14:paraId="1CC84C91" w14:textId="3A311F6A" w:rsidR="005646BE" w:rsidRPr="005646BE" w:rsidRDefault="005646BE" w:rsidP="005646BE">
            <w:pPr>
              <w:spacing w:after="0" w:line="240" w:lineRule="auto"/>
              <w:jc w:val="right"/>
              <w:outlineLvl w:val="0"/>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(1.343.126)</w:t>
            </w:r>
          </w:p>
        </w:tc>
        <w:tc>
          <w:tcPr>
            <w:tcW w:w="807" w:type="pct"/>
            <w:tcBorders>
              <w:top w:val="nil"/>
              <w:left w:val="nil"/>
              <w:bottom w:val="nil"/>
              <w:right w:val="nil"/>
            </w:tcBorders>
            <w:shd w:val="clear" w:color="auto" w:fill="auto"/>
            <w:noWrap/>
            <w:vAlign w:val="center"/>
            <w:hideMark/>
          </w:tcPr>
          <w:p w14:paraId="4B2E243A" w14:textId="29591EFE" w:rsidR="005646BE" w:rsidRPr="005646BE" w:rsidRDefault="005646BE" w:rsidP="005646BE">
            <w:pPr>
              <w:spacing w:after="0" w:line="240" w:lineRule="auto"/>
              <w:jc w:val="right"/>
              <w:outlineLvl w:val="0"/>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(1.343.126)</w:t>
            </w:r>
          </w:p>
        </w:tc>
      </w:tr>
      <w:tr w:rsidR="005646BE" w:rsidRPr="005646BE" w14:paraId="03EE86E4" w14:textId="77777777" w:rsidTr="00E737B9">
        <w:trPr>
          <w:trHeight w:val="240"/>
        </w:trPr>
        <w:tc>
          <w:tcPr>
            <w:tcW w:w="2900" w:type="pct"/>
            <w:tcBorders>
              <w:top w:val="nil"/>
              <w:left w:val="nil"/>
              <w:bottom w:val="nil"/>
              <w:right w:val="nil"/>
            </w:tcBorders>
            <w:shd w:val="clear" w:color="auto" w:fill="auto"/>
            <w:noWrap/>
            <w:vAlign w:val="center"/>
            <w:hideMark/>
          </w:tcPr>
          <w:p w14:paraId="184A4273"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 Deduções sobre a receita </w:t>
            </w:r>
          </w:p>
        </w:tc>
        <w:tc>
          <w:tcPr>
            <w:tcW w:w="668" w:type="pct"/>
            <w:tcBorders>
              <w:top w:val="nil"/>
              <w:left w:val="nil"/>
              <w:bottom w:val="single" w:sz="4" w:space="0" w:color="1B80C4"/>
              <w:right w:val="nil"/>
            </w:tcBorders>
            <w:shd w:val="clear" w:color="auto" w:fill="auto"/>
            <w:noWrap/>
            <w:vAlign w:val="center"/>
            <w:hideMark/>
          </w:tcPr>
          <w:p w14:paraId="0A050DF4" w14:textId="566AFC8D"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(2.021)</w:t>
            </w:r>
          </w:p>
        </w:tc>
        <w:tc>
          <w:tcPr>
            <w:tcW w:w="625" w:type="pct"/>
            <w:tcBorders>
              <w:top w:val="nil"/>
              <w:left w:val="nil"/>
              <w:bottom w:val="single" w:sz="4" w:space="0" w:color="1B80C4"/>
              <w:right w:val="nil"/>
            </w:tcBorders>
            <w:shd w:val="clear" w:color="auto" w:fill="auto"/>
            <w:noWrap/>
            <w:vAlign w:val="bottom"/>
            <w:hideMark/>
          </w:tcPr>
          <w:p w14:paraId="7EF4F29F" w14:textId="0CB1EA67"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(971.645)</w:t>
            </w:r>
          </w:p>
        </w:tc>
        <w:tc>
          <w:tcPr>
            <w:tcW w:w="807" w:type="pct"/>
            <w:tcBorders>
              <w:top w:val="nil"/>
              <w:left w:val="nil"/>
              <w:bottom w:val="single" w:sz="4" w:space="0" w:color="1B80C4"/>
              <w:right w:val="nil"/>
            </w:tcBorders>
            <w:shd w:val="clear" w:color="auto" w:fill="auto"/>
            <w:noWrap/>
            <w:vAlign w:val="bottom"/>
            <w:hideMark/>
          </w:tcPr>
          <w:p w14:paraId="160CCBAE" w14:textId="3217C9E5"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(973.666)</w:t>
            </w:r>
          </w:p>
        </w:tc>
      </w:tr>
      <w:tr w:rsidR="005646BE" w:rsidRPr="005646BE" w14:paraId="43C5691B" w14:textId="77777777" w:rsidTr="00E737B9">
        <w:trPr>
          <w:trHeight w:val="240"/>
        </w:trPr>
        <w:tc>
          <w:tcPr>
            <w:tcW w:w="2900" w:type="pct"/>
            <w:tcBorders>
              <w:top w:val="nil"/>
              <w:left w:val="nil"/>
              <w:bottom w:val="nil"/>
              <w:right w:val="nil"/>
            </w:tcBorders>
            <w:shd w:val="clear" w:color="auto" w:fill="auto"/>
            <w:noWrap/>
            <w:vAlign w:val="center"/>
            <w:hideMark/>
          </w:tcPr>
          <w:p w14:paraId="70B9808A" w14:textId="77777777" w:rsidR="005646BE" w:rsidRPr="005646BE" w:rsidRDefault="005646BE" w:rsidP="005646BE">
            <w:pPr>
              <w:spacing w:after="0" w:line="240" w:lineRule="auto"/>
              <w:rPr>
                <w:rFonts w:ascii="Segoe UI" w:eastAsia="Times New Roman" w:hAnsi="Segoe UI" w:cs="Segoe UI"/>
                <w:b/>
                <w:bCs/>
                <w:color w:val="000000"/>
                <w:sz w:val="18"/>
                <w:szCs w:val="18"/>
                <w:lang w:eastAsia="pt-BR"/>
              </w:rPr>
            </w:pPr>
            <w:r w:rsidRPr="005646BE">
              <w:rPr>
                <w:rFonts w:ascii="Segoe UI" w:eastAsia="Times New Roman" w:hAnsi="Segoe UI" w:cs="Segoe UI"/>
                <w:b/>
                <w:bCs/>
                <w:color w:val="000000"/>
                <w:sz w:val="18"/>
                <w:szCs w:val="18"/>
                <w:lang w:eastAsia="pt-BR"/>
              </w:rPr>
              <w:t xml:space="preserve"> Receita operacional líquida </w:t>
            </w:r>
          </w:p>
        </w:tc>
        <w:tc>
          <w:tcPr>
            <w:tcW w:w="668" w:type="pct"/>
            <w:tcBorders>
              <w:top w:val="nil"/>
              <w:left w:val="nil"/>
              <w:bottom w:val="nil"/>
              <w:right w:val="nil"/>
            </w:tcBorders>
            <w:shd w:val="clear" w:color="auto" w:fill="auto"/>
            <w:noWrap/>
            <w:vAlign w:val="center"/>
            <w:hideMark/>
          </w:tcPr>
          <w:p w14:paraId="671C5B5B" w14:textId="42F42A32"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19.823</w:t>
            </w:r>
          </w:p>
        </w:tc>
        <w:tc>
          <w:tcPr>
            <w:tcW w:w="625" w:type="pct"/>
            <w:tcBorders>
              <w:top w:val="nil"/>
              <w:left w:val="nil"/>
              <w:bottom w:val="nil"/>
              <w:right w:val="nil"/>
            </w:tcBorders>
            <w:shd w:val="clear" w:color="auto" w:fill="auto"/>
            <w:noWrap/>
            <w:vAlign w:val="center"/>
            <w:hideMark/>
          </w:tcPr>
          <w:p w14:paraId="45E99929" w14:textId="7B0B0B49"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8.189.503</w:t>
            </w:r>
          </w:p>
        </w:tc>
        <w:tc>
          <w:tcPr>
            <w:tcW w:w="807" w:type="pct"/>
            <w:tcBorders>
              <w:top w:val="nil"/>
              <w:left w:val="nil"/>
              <w:bottom w:val="nil"/>
              <w:right w:val="nil"/>
            </w:tcBorders>
            <w:shd w:val="clear" w:color="auto" w:fill="auto"/>
            <w:noWrap/>
            <w:vAlign w:val="center"/>
            <w:hideMark/>
          </w:tcPr>
          <w:p w14:paraId="2DA59156" w14:textId="583E9FC1"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8.209.326</w:t>
            </w:r>
          </w:p>
        </w:tc>
      </w:tr>
      <w:tr w:rsidR="005646BE" w:rsidRPr="005646BE" w14:paraId="4926B24A" w14:textId="77777777" w:rsidTr="00E737B9">
        <w:trPr>
          <w:trHeight w:val="240"/>
        </w:trPr>
        <w:tc>
          <w:tcPr>
            <w:tcW w:w="2900" w:type="pct"/>
            <w:tcBorders>
              <w:top w:val="nil"/>
              <w:left w:val="nil"/>
              <w:bottom w:val="nil"/>
              <w:right w:val="nil"/>
            </w:tcBorders>
            <w:shd w:val="clear" w:color="auto" w:fill="auto"/>
            <w:noWrap/>
            <w:vAlign w:val="center"/>
            <w:hideMark/>
          </w:tcPr>
          <w:p w14:paraId="075E1AFC" w14:textId="77777777" w:rsidR="005646BE" w:rsidRPr="005646BE" w:rsidRDefault="005646BE" w:rsidP="005646BE">
            <w:pPr>
              <w:spacing w:after="0" w:line="240" w:lineRule="auto"/>
              <w:jc w:val="right"/>
              <w:rPr>
                <w:rFonts w:ascii="Segoe UI" w:eastAsia="Times New Roman" w:hAnsi="Segoe UI" w:cs="Segoe UI"/>
                <w:b/>
                <w:bCs/>
                <w:sz w:val="18"/>
                <w:szCs w:val="18"/>
                <w:lang w:eastAsia="pt-BR"/>
              </w:rPr>
            </w:pPr>
          </w:p>
        </w:tc>
        <w:tc>
          <w:tcPr>
            <w:tcW w:w="668" w:type="pct"/>
            <w:tcBorders>
              <w:top w:val="nil"/>
              <w:left w:val="nil"/>
              <w:bottom w:val="nil"/>
              <w:right w:val="nil"/>
            </w:tcBorders>
            <w:shd w:val="clear" w:color="auto" w:fill="auto"/>
            <w:noWrap/>
            <w:vAlign w:val="center"/>
            <w:hideMark/>
          </w:tcPr>
          <w:p w14:paraId="2457A360"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noWrap/>
            <w:vAlign w:val="bottom"/>
            <w:hideMark/>
          </w:tcPr>
          <w:p w14:paraId="51236D0B"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bottom"/>
            <w:hideMark/>
          </w:tcPr>
          <w:p w14:paraId="571B30A9"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r>
      <w:tr w:rsidR="005646BE" w:rsidRPr="005646BE" w14:paraId="50EA6EA7" w14:textId="77777777" w:rsidTr="00E737B9">
        <w:trPr>
          <w:trHeight w:val="240"/>
        </w:trPr>
        <w:tc>
          <w:tcPr>
            <w:tcW w:w="2900" w:type="pct"/>
            <w:tcBorders>
              <w:top w:val="nil"/>
              <w:left w:val="nil"/>
              <w:bottom w:val="nil"/>
              <w:right w:val="nil"/>
            </w:tcBorders>
            <w:shd w:val="clear" w:color="auto" w:fill="auto"/>
            <w:noWrap/>
            <w:vAlign w:val="center"/>
            <w:hideMark/>
          </w:tcPr>
          <w:p w14:paraId="6C929420"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 xml:space="preserve"> Custos operacionais </w:t>
            </w:r>
          </w:p>
        </w:tc>
        <w:tc>
          <w:tcPr>
            <w:tcW w:w="668" w:type="pct"/>
            <w:tcBorders>
              <w:top w:val="nil"/>
              <w:left w:val="nil"/>
              <w:bottom w:val="nil"/>
              <w:right w:val="nil"/>
            </w:tcBorders>
            <w:shd w:val="clear" w:color="auto" w:fill="auto"/>
            <w:noWrap/>
            <w:vAlign w:val="center"/>
            <w:hideMark/>
          </w:tcPr>
          <w:p w14:paraId="75FD36E5" w14:textId="070B0800"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625" w:type="pct"/>
            <w:tcBorders>
              <w:top w:val="nil"/>
              <w:left w:val="nil"/>
              <w:bottom w:val="nil"/>
              <w:right w:val="nil"/>
            </w:tcBorders>
            <w:shd w:val="clear" w:color="auto" w:fill="auto"/>
            <w:noWrap/>
            <w:vAlign w:val="bottom"/>
            <w:hideMark/>
          </w:tcPr>
          <w:p w14:paraId="0E2FF71D" w14:textId="09775C9E"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(8.484.251)</w:t>
            </w:r>
          </w:p>
        </w:tc>
        <w:tc>
          <w:tcPr>
            <w:tcW w:w="807" w:type="pct"/>
            <w:tcBorders>
              <w:top w:val="nil"/>
              <w:left w:val="nil"/>
              <w:bottom w:val="nil"/>
              <w:right w:val="nil"/>
            </w:tcBorders>
            <w:shd w:val="clear" w:color="auto" w:fill="auto"/>
            <w:noWrap/>
            <w:vAlign w:val="bottom"/>
            <w:hideMark/>
          </w:tcPr>
          <w:p w14:paraId="6127DA31" w14:textId="40D72DEE"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(8.484.251)</w:t>
            </w:r>
          </w:p>
        </w:tc>
      </w:tr>
      <w:tr w:rsidR="005646BE" w:rsidRPr="005646BE" w14:paraId="24CA5A0B" w14:textId="77777777" w:rsidTr="00E737B9">
        <w:trPr>
          <w:trHeight w:val="240"/>
        </w:trPr>
        <w:tc>
          <w:tcPr>
            <w:tcW w:w="2900" w:type="pct"/>
            <w:tcBorders>
              <w:top w:val="nil"/>
              <w:left w:val="nil"/>
              <w:bottom w:val="nil"/>
              <w:right w:val="nil"/>
            </w:tcBorders>
            <w:shd w:val="clear" w:color="auto" w:fill="auto"/>
            <w:noWrap/>
            <w:vAlign w:val="center"/>
            <w:hideMark/>
          </w:tcPr>
          <w:p w14:paraId="4CA3E93D"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p>
        </w:tc>
        <w:tc>
          <w:tcPr>
            <w:tcW w:w="668" w:type="pct"/>
            <w:tcBorders>
              <w:top w:val="nil"/>
              <w:left w:val="nil"/>
              <w:bottom w:val="single" w:sz="4" w:space="0" w:color="1B80C4"/>
              <w:right w:val="nil"/>
            </w:tcBorders>
            <w:shd w:val="clear" w:color="auto" w:fill="auto"/>
            <w:noWrap/>
            <w:vAlign w:val="center"/>
            <w:hideMark/>
          </w:tcPr>
          <w:p w14:paraId="3D975B9C" w14:textId="1A09D3B6"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single" w:sz="4" w:space="0" w:color="1B80C4"/>
              <w:right w:val="nil"/>
            </w:tcBorders>
            <w:shd w:val="clear" w:color="auto" w:fill="auto"/>
            <w:noWrap/>
            <w:vAlign w:val="bottom"/>
            <w:hideMark/>
          </w:tcPr>
          <w:p w14:paraId="72A24ED4" w14:textId="060BB534"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807" w:type="pct"/>
            <w:tcBorders>
              <w:top w:val="nil"/>
              <w:left w:val="nil"/>
              <w:bottom w:val="single" w:sz="4" w:space="0" w:color="1B80C4"/>
              <w:right w:val="nil"/>
            </w:tcBorders>
            <w:shd w:val="clear" w:color="auto" w:fill="auto"/>
            <w:noWrap/>
            <w:vAlign w:val="bottom"/>
            <w:hideMark/>
          </w:tcPr>
          <w:p w14:paraId="57B70F14" w14:textId="0A333554"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r>
      <w:tr w:rsidR="005646BE" w:rsidRPr="005646BE" w14:paraId="525C232F" w14:textId="77777777" w:rsidTr="00E737B9">
        <w:trPr>
          <w:trHeight w:val="240"/>
        </w:trPr>
        <w:tc>
          <w:tcPr>
            <w:tcW w:w="2900" w:type="pct"/>
            <w:tcBorders>
              <w:top w:val="nil"/>
              <w:left w:val="nil"/>
              <w:bottom w:val="nil"/>
              <w:right w:val="nil"/>
            </w:tcBorders>
            <w:shd w:val="clear" w:color="auto" w:fill="auto"/>
            <w:noWrap/>
            <w:vAlign w:val="center"/>
            <w:hideMark/>
          </w:tcPr>
          <w:p w14:paraId="01ED216E" w14:textId="77777777" w:rsidR="005646BE" w:rsidRPr="005646BE" w:rsidRDefault="005646BE" w:rsidP="005646BE">
            <w:pPr>
              <w:spacing w:after="0" w:line="240" w:lineRule="auto"/>
              <w:rPr>
                <w:rFonts w:ascii="Segoe UI" w:eastAsia="Times New Roman" w:hAnsi="Segoe UI" w:cs="Segoe UI"/>
                <w:b/>
                <w:bCs/>
                <w:color w:val="000000"/>
                <w:sz w:val="18"/>
                <w:szCs w:val="18"/>
                <w:lang w:eastAsia="pt-BR"/>
              </w:rPr>
            </w:pPr>
            <w:r w:rsidRPr="005646BE">
              <w:rPr>
                <w:rFonts w:ascii="Segoe UI" w:eastAsia="Times New Roman" w:hAnsi="Segoe UI" w:cs="Segoe UI"/>
                <w:b/>
                <w:bCs/>
                <w:color w:val="000000"/>
                <w:sz w:val="18"/>
                <w:szCs w:val="18"/>
                <w:lang w:eastAsia="pt-BR"/>
              </w:rPr>
              <w:t xml:space="preserve"> RESULTADO BRUTO </w:t>
            </w:r>
          </w:p>
        </w:tc>
        <w:tc>
          <w:tcPr>
            <w:tcW w:w="668" w:type="pct"/>
            <w:tcBorders>
              <w:top w:val="nil"/>
              <w:left w:val="nil"/>
              <w:bottom w:val="nil"/>
              <w:right w:val="nil"/>
            </w:tcBorders>
            <w:shd w:val="clear" w:color="auto" w:fill="auto"/>
            <w:noWrap/>
            <w:vAlign w:val="center"/>
            <w:hideMark/>
          </w:tcPr>
          <w:p w14:paraId="7D4915D7" w14:textId="33207771"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19.823</w:t>
            </w:r>
          </w:p>
        </w:tc>
        <w:tc>
          <w:tcPr>
            <w:tcW w:w="625" w:type="pct"/>
            <w:tcBorders>
              <w:top w:val="nil"/>
              <w:left w:val="nil"/>
              <w:bottom w:val="nil"/>
              <w:right w:val="nil"/>
            </w:tcBorders>
            <w:shd w:val="clear" w:color="auto" w:fill="auto"/>
            <w:noWrap/>
            <w:vAlign w:val="center"/>
            <w:hideMark/>
          </w:tcPr>
          <w:p w14:paraId="77D7DF5E" w14:textId="761C922B"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(294.748)</w:t>
            </w:r>
          </w:p>
        </w:tc>
        <w:tc>
          <w:tcPr>
            <w:tcW w:w="807" w:type="pct"/>
            <w:tcBorders>
              <w:top w:val="nil"/>
              <w:left w:val="nil"/>
              <w:bottom w:val="nil"/>
              <w:right w:val="nil"/>
            </w:tcBorders>
            <w:shd w:val="clear" w:color="auto" w:fill="auto"/>
            <w:noWrap/>
            <w:vAlign w:val="center"/>
            <w:hideMark/>
          </w:tcPr>
          <w:p w14:paraId="2FA11980" w14:textId="08CFB776"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(274.925)</w:t>
            </w:r>
          </w:p>
        </w:tc>
      </w:tr>
      <w:tr w:rsidR="005646BE" w:rsidRPr="005646BE" w14:paraId="212E21CB" w14:textId="77777777" w:rsidTr="00E737B9">
        <w:trPr>
          <w:trHeight w:val="240"/>
        </w:trPr>
        <w:tc>
          <w:tcPr>
            <w:tcW w:w="2900" w:type="pct"/>
            <w:tcBorders>
              <w:top w:val="nil"/>
              <w:left w:val="nil"/>
              <w:bottom w:val="nil"/>
              <w:right w:val="nil"/>
            </w:tcBorders>
            <w:shd w:val="clear" w:color="auto" w:fill="auto"/>
            <w:noWrap/>
            <w:vAlign w:val="center"/>
            <w:hideMark/>
          </w:tcPr>
          <w:p w14:paraId="33BE9A31" w14:textId="77777777" w:rsidR="005646BE" w:rsidRPr="005646BE" w:rsidRDefault="005646BE" w:rsidP="005646BE">
            <w:pPr>
              <w:spacing w:after="0" w:line="240" w:lineRule="auto"/>
              <w:jc w:val="right"/>
              <w:rPr>
                <w:rFonts w:ascii="Segoe UI" w:eastAsia="Times New Roman" w:hAnsi="Segoe UI" w:cs="Segoe UI"/>
                <w:b/>
                <w:bCs/>
                <w:sz w:val="18"/>
                <w:szCs w:val="18"/>
                <w:lang w:eastAsia="pt-BR"/>
              </w:rPr>
            </w:pPr>
          </w:p>
        </w:tc>
        <w:tc>
          <w:tcPr>
            <w:tcW w:w="668" w:type="pct"/>
            <w:tcBorders>
              <w:top w:val="nil"/>
              <w:left w:val="nil"/>
              <w:bottom w:val="nil"/>
              <w:right w:val="nil"/>
            </w:tcBorders>
            <w:shd w:val="clear" w:color="auto" w:fill="auto"/>
            <w:noWrap/>
            <w:vAlign w:val="center"/>
            <w:hideMark/>
          </w:tcPr>
          <w:p w14:paraId="2CDB361E"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noWrap/>
            <w:vAlign w:val="bottom"/>
            <w:hideMark/>
          </w:tcPr>
          <w:p w14:paraId="70B7E281"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bottom"/>
            <w:hideMark/>
          </w:tcPr>
          <w:p w14:paraId="59796540"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r>
      <w:tr w:rsidR="005646BE" w:rsidRPr="005646BE" w14:paraId="4118084F" w14:textId="77777777" w:rsidTr="00E737B9">
        <w:trPr>
          <w:trHeight w:val="240"/>
        </w:trPr>
        <w:tc>
          <w:tcPr>
            <w:tcW w:w="2900" w:type="pct"/>
            <w:tcBorders>
              <w:top w:val="nil"/>
              <w:left w:val="nil"/>
              <w:bottom w:val="nil"/>
              <w:right w:val="nil"/>
            </w:tcBorders>
            <w:shd w:val="clear" w:color="auto" w:fill="auto"/>
            <w:noWrap/>
            <w:vAlign w:val="center"/>
            <w:hideMark/>
          </w:tcPr>
          <w:p w14:paraId="01D31E8C"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 xml:space="preserve"> Receitas / (Despesas) operacionais </w:t>
            </w:r>
          </w:p>
        </w:tc>
        <w:tc>
          <w:tcPr>
            <w:tcW w:w="668" w:type="pct"/>
            <w:tcBorders>
              <w:top w:val="nil"/>
              <w:left w:val="nil"/>
              <w:bottom w:val="nil"/>
              <w:right w:val="nil"/>
            </w:tcBorders>
            <w:shd w:val="clear" w:color="auto" w:fill="auto"/>
            <w:noWrap/>
            <w:vAlign w:val="center"/>
            <w:hideMark/>
          </w:tcPr>
          <w:p w14:paraId="26799D3E" w14:textId="04AF30E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(16.969)</w:t>
            </w:r>
          </w:p>
        </w:tc>
        <w:tc>
          <w:tcPr>
            <w:tcW w:w="625" w:type="pct"/>
            <w:tcBorders>
              <w:top w:val="nil"/>
              <w:left w:val="nil"/>
              <w:bottom w:val="nil"/>
              <w:right w:val="nil"/>
            </w:tcBorders>
            <w:shd w:val="clear" w:color="auto" w:fill="auto"/>
            <w:noWrap/>
            <w:vAlign w:val="bottom"/>
            <w:hideMark/>
          </w:tcPr>
          <w:p w14:paraId="22921E01" w14:textId="234F23ED"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(8.228)</w:t>
            </w:r>
          </w:p>
        </w:tc>
        <w:tc>
          <w:tcPr>
            <w:tcW w:w="807" w:type="pct"/>
            <w:tcBorders>
              <w:top w:val="nil"/>
              <w:left w:val="nil"/>
              <w:bottom w:val="nil"/>
              <w:right w:val="nil"/>
            </w:tcBorders>
            <w:shd w:val="clear" w:color="auto" w:fill="auto"/>
            <w:noWrap/>
            <w:vAlign w:val="bottom"/>
            <w:hideMark/>
          </w:tcPr>
          <w:p w14:paraId="5A95D4F8" w14:textId="53741294"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(25.197)</w:t>
            </w:r>
          </w:p>
        </w:tc>
      </w:tr>
      <w:tr w:rsidR="005646BE" w:rsidRPr="005646BE" w14:paraId="7677293F" w14:textId="77777777" w:rsidTr="00E737B9">
        <w:trPr>
          <w:trHeight w:val="240"/>
        </w:trPr>
        <w:tc>
          <w:tcPr>
            <w:tcW w:w="2900" w:type="pct"/>
            <w:tcBorders>
              <w:top w:val="nil"/>
              <w:left w:val="nil"/>
              <w:bottom w:val="nil"/>
              <w:right w:val="nil"/>
            </w:tcBorders>
            <w:shd w:val="clear" w:color="auto" w:fill="auto"/>
            <w:noWrap/>
            <w:vAlign w:val="center"/>
            <w:hideMark/>
          </w:tcPr>
          <w:p w14:paraId="52038CD9"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 xml:space="preserve"> Resultado da equivalência patrimonial/Combinação de negócio </w:t>
            </w:r>
          </w:p>
        </w:tc>
        <w:tc>
          <w:tcPr>
            <w:tcW w:w="668" w:type="pct"/>
            <w:tcBorders>
              <w:top w:val="nil"/>
              <w:left w:val="nil"/>
              <w:bottom w:val="nil"/>
              <w:right w:val="nil"/>
            </w:tcBorders>
            <w:shd w:val="clear" w:color="auto" w:fill="auto"/>
            <w:noWrap/>
            <w:vAlign w:val="center"/>
            <w:hideMark/>
          </w:tcPr>
          <w:p w14:paraId="3052AC49" w14:textId="14000F69"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(43.921)</w:t>
            </w:r>
          </w:p>
        </w:tc>
        <w:tc>
          <w:tcPr>
            <w:tcW w:w="625" w:type="pct"/>
            <w:tcBorders>
              <w:top w:val="nil"/>
              <w:left w:val="nil"/>
              <w:bottom w:val="nil"/>
              <w:right w:val="nil"/>
            </w:tcBorders>
            <w:shd w:val="clear" w:color="auto" w:fill="auto"/>
            <w:noWrap/>
            <w:vAlign w:val="bottom"/>
            <w:hideMark/>
          </w:tcPr>
          <w:p w14:paraId="6EA826BC" w14:textId="25183D9F"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807" w:type="pct"/>
            <w:tcBorders>
              <w:top w:val="nil"/>
              <w:left w:val="nil"/>
              <w:bottom w:val="nil"/>
              <w:right w:val="nil"/>
            </w:tcBorders>
            <w:shd w:val="clear" w:color="auto" w:fill="auto"/>
            <w:noWrap/>
            <w:vAlign w:val="bottom"/>
            <w:hideMark/>
          </w:tcPr>
          <w:p w14:paraId="43E2FFAB" w14:textId="154EA727"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(43.921)</w:t>
            </w:r>
          </w:p>
        </w:tc>
      </w:tr>
      <w:tr w:rsidR="005646BE" w:rsidRPr="005646BE" w14:paraId="7F578456" w14:textId="77777777" w:rsidTr="00E737B9">
        <w:trPr>
          <w:trHeight w:val="240"/>
        </w:trPr>
        <w:tc>
          <w:tcPr>
            <w:tcW w:w="2900" w:type="pct"/>
            <w:tcBorders>
              <w:top w:val="nil"/>
              <w:left w:val="nil"/>
              <w:bottom w:val="nil"/>
              <w:right w:val="nil"/>
            </w:tcBorders>
            <w:shd w:val="clear" w:color="auto" w:fill="auto"/>
            <w:noWrap/>
            <w:vAlign w:val="center"/>
            <w:hideMark/>
          </w:tcPr>
          <w:p w14:paraId="547645D4"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 xml:space="preserve"> Compra vantajosa </w:t>
            </w:r>
          </w:p>
        </w:tc>
        <w:tc>
          <w:tcPr>
            <w:tcW w:w="668" w:type="pct"/>
            <w:tcBorders>
              <w:top w:val="nil"/>
              <w:left w:val="nil"/>
              <w:bottom w:val="single" w:sz="4" w:space="0" w:color="1B80C4"/>
              <w:right w:val="nil"/>
            </w:tcBorders>
            <w:shd w:val="clear" w:color="auto" w:fill="auto"/>
            <w:noWrap/>
            <w:vAlign w:val="center"/>
            <w:hideMark/>
          </w:tcPr>
          <w:p w14:paraId="38CC1D67" w14:textId="108B6C4B"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88.510</w:t>
            </w:r>
          </w:p>
        </w:tc>
        <w:tc>
          <w:tcPr>
            <w:tcW w:w="625" w:type="pct"/>
            <w:tcBorders>
              <w:top w:val="nil"/>
              <w:left w:val="nil"/>
              <w:bottom w:val="single" w:sz="4" w:space="0" w:color="1B80C4"/>
              <w:right w:val="nil"/>
            </w:tcBorders>
            <w:shd w:val="clear" w:color="auto" w:fill="auto"/>
            <w:noWrap/>
            <w:vAlign w:val="bottom"/>
            <w:hideMark/>
          </w:tcPr>
          <w:p w14:paraId="0990B9D6" w14:textId="4EA90E16"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807" w:type="pct"/>
            <w:tcBorders>
              <w:top w:val="nil"/>
              <w:left w:val="nil"/>
              <w:bottom w:val="single" w:sz="4" w:space="0" w:color="1B80C4"/>
              <w:right w:val="nil"/>
            </w:tcBorders>
            <w:shd w:val="clear" w:color="auto" w:fill="auto"/>
            <w:noWrap/>
            <w:vAlign w:val="bottom"/>
            <w:hideMark/>
          </w:tcPr>
          <w:p w14:paraId="1035E9D0" w14:textId="634960E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88.510</w:t>
            </w:r>
          </w:p>
        </w:tc>
      </w:tr>
      <w:tr w:rsidR="005646BE" w:rsidRPr="005646BE" w14:paraId="416DBC94" w14:textId="77777777" w:rsidTr="00E737B9">
        <w:trPr>
          <w:trHeight w:val="240"/>
        </w:trPr>
        <w:tc>
          <w:tcPr>
            <w:tcW w:w="2900" w:type="pct"/>
            <w:tcBorders>
              <w:top w:val="nil"/>
              <w:left w:val="nil"/>
              <w:bottom w:val="nil"/>
              <w:right w:val="nil"/>
            </w:tcBorders>
            <w:shd w:val="clear" w:color="auto" w:fill="auto"/>
            <w:noWrap/>
            <w:vAlign w:val="center"/>
            <w:hideMark/>
          </w:tcPr>
          <w:p w14:paraId="5B7CC4C9"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p>
        </w:tc>
        <w:tc>
          <w:tcPr>
            <w:tcW w:w="668" w:type="pct"/>
            <w:tcBorders>
              <w:top w:val="nil"/>
              <w:left w:val="nil"/>
              <w:bottom w:val="nil"/>
              <w:right w:val="nil"/>
            </w:tcBorders>
            <w:shd w:val="clear" w:color="auto" w:fill="auto"/>
            <w:noWrap/>
            <w:vAlign w:val="center"/>
            <w:hideMark/>
          </w:tcPr>
          <w:p w14:paraId="0B7FA05A" w14:textId="556CE434"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27.620</w:t>
            </w:r>
          </w:p>
        </w:tc>
        <w:tc>
          <w:tcPr>
            <w:tcW w:w="625" w:type="pct"/>
            <w:tcBorders>
              <w:top w:val="nil"/>
              <w:left w:val="nil"/>
              <w:bottom w:val="nil"/>
              <w:right w:val="nil"/>
            </w:tcBorders>
            <w:shd w:val="clear" w:color="auto" w:fill="auto"/>
            <w:noWrap/>
            <w:vAlign w:val="center"/>
            <w:hideMark/>
          </w:tcPr>
          <w:p w14:paraId="3A37521F" w14:textId="3F7484FD"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(8.228)</w:t>
            </w:r>
          </w:p>
        </w:tc>
        <w:tc>
          <w:tcPr>
            <w:tcW w:w="807" w:type="pct"/>
            <w:tcBorders>
              <w:top w:val="nil"/>
              <w:left w:val="nil"/>
              <w:bottom w:val="nil"/>
              <w:right w:val="nil"/>
            </w:tcBorders>
            <w:shd w:val="clear" w:color="auto" w:fill="auto"/>
            <w:noWrap/>
            <w:vAlign w:val="center"/>
            <w:hideMark/>
          </w:tcPr>
          <w:p w14:paraId="7756364A" w14:textId="74EC026B"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19.392</w:t>
            </w:r>
          </w:p>
        </w:tc>
      </w:tr>
      <w:tr w:rsidR="005646BE" w:rsidRPr="005646BE" w14:paraId="2B9AE9BF" w14:textId="77777777" w:rsidTr="00E737B9">
        <w:trPr>
          <w:trHeight w:val="240"/>
        </w:trPr>
        <w:tc>
          <w:tcPr>
            <w:tcW w:w="2900" w:type="pct"/>
            <w:tcBorders>
              <w:top w:val="nil"/>
              <w:left w:val="nil"/>
              <w:bottom w:val="nil"/>
              <w:right w:val="nil"/>
            </w:tcBorders>
            <w:shd w:val="clear" w:color="auto" w:fill="auto"/>
            <w:noWrap/>
            <w:vAlign w:val="center"/>
            <w:hideMark/>
          </w:tcPr>
          <w:p w14:paraId="29E851CF" w14:textId="77777777" w:rsidR="005646BE" w:rsidRPr="005646BE" w:rsidRDefault="005646BE" w:rsidP="005646BE">
            <w:pPr>
              <w:spacing w:after="0" w:line="240" w:lineRule="auto"/>
              <w:jc w:val="right"/>
              <w:rPr>
                <w:rFonts w:ascii="Segoe UI" w:eastAsia="Times New Roman" w:hAnsi="Segoe UI" w:cs="Segoe UI"/>
                <w:b/>
                <w:bCs/>
                <w:sz w:val="18"/>
                <w:szCs w:val="18"/>
                <w:lang w:eastAsia="pt-BR"/>
              </w:rPr>
            </w:pPr>
          </w:p>
        </w:tc>
        <w:tc>
          <w:tcPr>
            <w:tcW w:w="668" w:type="pct"/>
            <w:tcBorders>
              <w:top w:val="nil"/>
              <w:left w:val="nil"/>
              <w:bottom w:val="single" w:sz="4" w:space="0" w:color="1B80C4"/>
              <w:right w:val="nil"/>
            </w:tcBorders>
            <w:shd w:val="clear" w:color="auto" w:fill="auto"/>
            <w:noWrap/>
            <w:vAlign w:val="bottom"/>
            <w:hideMark/>
          </w:tcPr>
          <w:p w14:paraId="5402B332" w14:textId="1D25B39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single" w:sz="4" w:space="0" w:color="1B80C4"/>
              <w:right w:val="nil"/>
            </w:tcBorders>
            <w:shd w:val="clear" w:color="auto" w:fill="auto"/>
            <w:noWrap/>
            <w:vAlign w:val="bottom"/>
            <w:hideMark/>
          </w:tcPr>
          <w:p w14:paraId="06A170C4" w14:textId="4A667C58"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807" w:type="pct"/>
            <w:tcBorders>
              <w:top w:val="nil"/>
              <w:left w:val="nil"/>
              <w:bottom w:val="single" w:sz="4" w:space="0" w:color="1B80C4"/>
              <w:right w:val="nil"/>
            </w:tcBorders>
            <w:shd w:val="clear" w:color="auto" w:fill="auto"/>
            <w:noWrap/>
            <w:vAlign w:val="bottom"/>
            <w:hideMark/>
          </w:tcPr>
          <w:p w14:paraId="7A6FBC62" w14:textId="58BD1E6C"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r>
      <w:tr w:rsidR="005646BE" w:rsidRPr="005646BE" w14:paraId="0D6F405C" w14:textId="77777777" w:rsidTr="00186624">
        <w:trPr>
          <w:trHeight w:val="240"/>
        </w:trPr>
        <w:tc>
          <w:tcPr>
            <w:tcW w:w="2900" w:type="pct"/>
            <w:tcBorders>
              <w:top w:val="nil"/>
              <w:left w:val="nil"/>
              <w:bottom w:val="nil"/>
              <w:right w:val="nil"/>
            </w:tcBorders>
            <w:shd w:val="clear" w:color="auto" w:fill="auto"/>
            <w:vAlign w:val="center"/>
            <w:hideMark/>
          </w:tcPr>
          <w:p w14:paraId="71061ED3" w14:textId="77777777" w:rsidR="005646BE" w:rsidRPr="005646BE" w:rsidRDefault="005646BE" w:rsidP="005646BE">
            <w:pPr>
              <w:spacing w:after="0" w:line="240" w:lineRule="auto"/>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 xml:space="preserve"> RESULTADO OPERACIONAL ANTES DO RESULTADO FINANCEIRO </w:t>
            </w:r>
          </w:p>
        </w:tc>
        <w:tc>
          <w:tcPr>
            <w:tcW w:w="668" w:type="pct"/>
            <w:tcBorders>
              <w:top w:val="nil"/>
              <w:left w:val="nil"/>
              <w:bottom w:val="double" w:sz="6" w:space="0" w:color="1B80C4"/>
              <w:right w:val="nil"/>
            </w:tcBorders>
            <w:shd w:val="clear" w:color="auto" w:fill="auto"/>
            <w:noWrap/>
            <w:vAlign w:val="center"/>
            <w:hideMark/>
          </w:tcPr>
          <w:p w14:paraId="396C69B0" w14:textId="45FCBF09"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47.443</w:t>
            </w:r>
          </w:p>
        </w:tc>
        <w:tc>
          <w:tcPr>
            <w:tcW w:w="625" w:type="pct"/>
            <w:tcBorders>
              <w:top w:val="nil"/>
              <w:left w:val="nil"/>
              <w:bottom w:val="double" w:sz="6" w:space="0" w:color="1B80C4"/>
              <w:right w:val="nil"/>
            </w:tcBorders>
            <w:shd w:val="clear" w:color="auto" w:fill="auto"/>
            <w:noWrap/>
            <w:vAlign w:val="center"/>
            <w:hideMark/>
          </w:tcPr>
          <w:p w14:paraId="0F1F641A" w14:textId="7581DA82"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(302.976)</w:t>
            </w:r>
          </w:p>
        </w:tc>
        <w:tc>
          <w:tcPr>
            <w:tcW w:w="807" w:type="pct"/>
            <w:tcBorders>
              <w:top w:val="nil"/>
              <w:left w:val="nil"/>
              <w:bottom w:val="double" w:sz="6" w:space="0" w:color="1B80C4"/>
              <w:right w:val="nil"/>
            </w:tcBorders>
            <w:shd w:val="clear" w:color="auto" w:fill="auto"/>
            <w:noWrap/>
            <w:vAlign w:val="center"/>
            <w:hideMark/>
          </w:tcPr>
          <w:p w14:paraId="424FE0C8" w14:textId="56954EF8"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(255.533)</w:t>
            </w:r>
          </w:p>
        </w:tc>
      </w:tr>
      <w:tr w:rsidR="005646BE" w:rsidRPr="005646BE" w14:paraId="679568DD" w14:textId="77777777" w:rsidTr="00186624">
        <w:trPr>
          <w:trHeight w:val="240"/>
        </w:trPr>
        <w:tc>
          <w:tcPr>
            <w:tcW w:w="2900" w:type="pct"/>
            <w:tcBorders>
              <w:top w:val="nil"/>
              <w:left w:val="nil"/>
              <w:bottom w:val="nil"/>
              <w:right w:val="nil"/>
            </w:tcBorders>
            <w:shd w:val="clear" w:color="auto" w:fill="auto"/>
            <w:noWrap/>
            <w:vAlign w:val="center"/>
            <w:hideMark/>
          </w:tcPr>
          <w:p w14:paraId="0004CBE3" w14:textId="77777777" w:rsidR="005646BE" w:rsidRPr="005646BE" w:rsidRDefault="005646BE" w:rsidP="005646BE">
            <w:pPr>
              <w:spacing w:after="0" w:line="240" w:lineRule="auto"/>
              <w:jc w:val="right"/>
              <w:rPr>
                <w:rFonts w:ascii="Segoe UI" w:eastAsia="Times New Roman" w:hAnsi="Segoe UI" w:cs="Segoe UI"/>
                <w:b/>
                <w:bCs/>
                <w:sz w:val="18"/>
                <w:szCs w:val="18"/>
                <w:lang w:eastAsia="pt-BR"/>
              </w:rPr>
            </w:pPr>
          </w:p>
        </w:tc>
        <w:tc>
          <w:tcPr>
            <w:tcW w:w="668" w:type="pct"/>
            <w:tcBorders>
              <w:top w:val="double" w:sz="6" w:space="0" w:color="1B80C4"/>
              <w:left w:val="nil"/>
              <w:bottom w:val="nil"/>
              <w:right w:val="nil"/>
            </w:tcBorders>
            <w:shd w:val="clear" w:color="auto" w:fill="auto"/>
            <w:noWrap/>
            <w:vAlign w:val="bottom"/>
            <w:hideMark/>
          </w:tcPr>
          <w:p w14:paraId="6D9F6597"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625" w:type="pct"/>
            <w:tcBorders>
              <w:top w:val="double" w:sz="6" w:space="0" w:color="1B80C4"/>
              <w:left w:val="nil"/>
              <w:bottom w:val="nil"/>
              <w:right w:val="nil"/>
            </w:tcBorders>
            <w:shd w:val="clear" w:color="auto" w:fill="auto"/>
            <w:noWrap/>
            <w:vAlign w:val="bottom"/>
            <w:hideMark/>
          </w:tcPr>
          <w:p w14:paraId="17095283"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807" w:type="pct"/>
            <w:tcBorders>
              <w:top w:val="double" w:sz="6" w:space="0" w:color="1B80C4"/>
              <w:left w:val="nil"/>
              <w:bottom w:val="nil"/>
              <w:right w:val="nil"/>
            </w:tcBorders>
            <w:shd w:val="clear" w:color="auto" w:fill="auto"/>
            <w:noWrap/>
            <w:vAlign w:val="bottom"/>
            <w:hideMark/>
          </w:tcPr>
          <w:p w14:paraId="5BAF1A6B"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r>
      <w:tr w:rsidR="005646BE" w:rsidRPr="005646BE" w14:paraId="7D981791" w14:textId="77777777" w:rsidTr="00E737B9">
        <w:trPr>
          <w:trHeight w:val="240"/>
        </w:trPr>
        <w:tc>
          <w:tcPr>
            <w:tcW w:w="2900" w:type="pct"/>
            <w:tcBorders>
              <w:top w:val="nil"/>
              <w:left w:val="nil"/>
              <w:bottom w:val="nil"/>
              <w:right w:val="nil"/>
            </w:tcBorders>
            <w:shd w:val="clear" w:color="auto" w:fill="auto"/>
            <w:noWrap/>
            <w:vAlign w:val="center"/>
            <w:hideMark/>
          </w:tcPr>
          <w:p w14:paraId="69E4D900"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Receitas financeiras </w:t>
            </w:r>
          </w:p>
        </w:tc>
        <w:tc>
          <w:tcPr>
            <w:tcW w:w="668" w:type="pct"/>
            <w:tcBorders>
              <w:top w:val="nil"/>
              <w:left w:val="nil"/>
              <w:bottom w:val="nil"/>
              <w:right w:val="nil"/>
            </w:tcBorders>
            <w:shd w:val="clear" w:color="auto" w:fill="auto"/>
            <w:noWrap/>
            <w:vAlign w:val="center"/>
            <w:hideMark/>
          </w:tcPr>
          <w:p w14:paraId="577859B3" w14:textId="19ECAD62"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195.602</w:t>
            </w:r>
          </w:p>
        </w:tc>
        <w:tc>
          <w:tcPr>
            <w:tcW w:w="625" w:type="pct"/>
            <w:tcBorders>
              <w:top w:val="nil"/>
              <w:left w:val="nil"/>
              <w:bottom w:val="nil"/>
              <w:right w:val="nil"/>
            </w:tcBorders>
            <w:shd w:val="clear" w:color="auto" w:fill="auto"/>
            <w:noWrap/>
            <w:vAlign w:val="bottom"/>
            <w:hideMark/>
          </w:tcPr>
          <w:p w14:paraId="3F15FF8B" w14:textId="67686B60"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188.843</w:t>
            </w:r>
          </w:p>
        </w:tc>
        <w:tc>
          <w:tcPr>
            <w:tcW w:w="807" w:type="pct"/>
            <w:tcBorders>
              <w:top w:val="nil"/>
              <w:left w:val="nil"/>
              <w:bottom w:val="nil"/>
              <w:right w:val="nil"/>
            </w:tcBorders>
            <w:shd w:val="clear" w:color="auto" w:fill="auto"/>
            <w:noWrap/>
            <w:vAlign w:val="bottom"/>
            <w:hideMark/>
          </w:tcPr>
          <w:p w14:paraId="49F95754" w14:textId="1981679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384.445</w:t>
            </w:r>
          </w:p>
        </w:tc>
      </w:tr>
      <w:tr w:rsidR="005646BE" w:rsidRPr="005646BE" w14:paraId="480444AD" w14:textId="77777777" w:rsidTr="00E737B9">
        <w:trPr>
          <w:trHeight w:val="240"/>
        </w:trPr>
        <w:tc>
          <w:tcPr>
            <w:tcW w:w="2900" w:type="pct"/>
            <w:tcBorders>
              <w:top w:val="nil"/>
              <w:left w:val="nil"/>
              <w:bottom w:val="nil"/>
              <w:right w:val="nil"/>
            </w:tcBorders>
            <w:shd w:val="clear" w:color="auto" w:fill="auto"/>
            <w:noWrap/>
            <w:vAlign w:val="center"/>
            <w:hideMark/>
          </w:tcPr>
          <w:p w14:paraId="4ECCFEA6"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Despesas financeiras </w:t>
            </w:r>
          </w:p>
        </w:tc>
        <w:tc>
          <w:tcPr>
            <w:tcW w:w="668" w:type="pct"/>
            <w:tcBorders>
              <w:top w:val="nil"/>
              <w:left w:val="nil"/>
              <w:bottom w:val="nil"/>
              <w:right w:val="nil"/>
            </w:tcBorders>
            <w:shd w:val="clear" w:color="auto" w:fill="auto"/>
            <w:noWrap/>
            <w:vAlign w:val="center"/>
            <w:hideMark/>
          </w:tcPr>
          <w:p w14:paraId="4C9F7D4C" w14:textId="015E7C9A"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(32.059)</w:t>
            </w:r>
          </w:p>
        </w:tc>
        <w:tc>
          <w:tcPr>
            <w:tcW w:w="625" w:type="pct"/>
            <w:tcBorders>
              <w:top w:val="nil"/>
              <w:left w:val="nil"/>
              <w:bottom w:val="nil"/>
              <w:right w:val="nil"/>
            </w:tcBorders>
            <w:shd w:val="clear" w:color="auto" w:fill="auto"/>
            <w:noWrap/>
            <w:vAlign w:val="bottom"/>
            <w:hideMark/>
          </w:tcPr>
          <w:p w14:paraId="1D96BC08" w14:textId="1AABC03C"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(109.389)</w:t>
            </w:r>
          </w:p>
        </w:tc>
        <w:tc>
          <w:tcPr>
            <w:tcW w:w="807" w:type="pct"/>
            <w:tcBorders>
              <w:top w:val="nil"/>
              <w:left w:val="nil"/>
              <w:bottom w:val="nil"/>
              <w:right w:val="nil"/>
            </w:tcBorders>
            <w:shd w:val="clear" w:color="auto" w:fill="auto"/>
            <w:noWrap/>
            <w:vAlign w:val="bottom"/>
            <w:hideMark/>
          </w:tcPr>
          <w:p w14:paraId="3AB83634" w14:textId="23030EFD"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(141.448)</w:t>
            </w:r>
          </w:p>
        </w:tc>
      </w:tr>
      <w:tr w:rsidR="005646BE" w:rsidRPr="005646BE" w14:paraId="59B80086" w14:textId="77777777" w:rsidTr="00E737B9">
        <w:trPr>
          <w:trHeight w:val="240"/>
        </w:trPr>
        <w:tc>
          <w:tcPr>
            <w:tcW w:w="2900" w:type="pct"/>
            <w:tcBorders>
              <w:top w:val="nil"/>
              <w:left w:val="nil"/>
              <w:bottom w:val="nil"/>
              <w:right w:val="nil"/>
            </w:tcBorders>
            <w:shd w:val="clear" w:color="auto" w:fill="auto"/>
            <w:noWrap/>
            <w:vAlign w:val="center"/>
            <w:hideMark/>
          </w:tcPr>
          <w:p w14:paraId="66CB8E3E"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Variações cambiais </w:t>
            </w:r>
          </w:p>
        </w:tc>
        <w:tc>
          <w:tcPr>
            <w:tcW w:w="668" w:type="pct"/>
            <w:tcBorders>
              <w:top w:val="nil"/>
              <w:left w:val="nil"/>
              <w:bottom w:val="nil"/>
              <w:right w:val="nil"/>
            </w:tcBorders>
            <w:shd w:val="clear" w:color="auto" w:fill="auto"/>
            <w:noWrap/>
            <w:vAlign w:val="center"/>
            <w:hideMark/>
          </w:tcPr>
          <w:p w14:paraId="2C45C687" w14:textId="690DA09A"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(27.542)</w:t>
            </w:r>
          </w:p>
        </w:tc>
        <w:tc>
          <w:tcPr>
            <w:tcW w:w="625" w:type="pct"/>
            <w:tcBorders>
              <w:top w:val="nil"/>
              <w:left w:val="nil"/>
              <w:bottom w:val="nil"/>
              <w:right w:val="nil"/>
            </w:tcBorders>
            <w:shd w:val="clear" w:color="auto" w:fill="auto"/>
            <w:noWrap/>
            <w:vAlign w:val="bottom"/>
            <w:hideMark/>
          </w:tcPr>
          <w:p w14:paraId="0BDDE5F7" w14:textId="65D61AAF"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(107.962)</w:t>
            </w:r>
          </w:p>
        </w:tc>
        <w:tc>
          <w:tcPr>
            <w:tcW w:w="807" w:type="pct"/>
            <w:tcBorders>
              <w:top w:val="nil"/>
              <w:left w:val="nil"/>
              <w:bottom w:val="nil"/>
              <w:right w:val="nil"/>
            </w:tcBorders>
            <w:shd w:val="clear" w:color="auto" w:fill="auto"/>
            <w:noWrap/>
            <w:vAlign w:val="bottom"/>
            <w:hideMark/>
          </w:tcPr>
          <w:p w14:paraId="5ACBDBB1" w14:textId="74E9585A"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(135.504)</w:t>
            </w:r>
          </w:p>
        </w:tc>
      </w:tr>
      <w:tr w:rsidR="005646BE" w:rsidRPr="005646BE" w14:paraId="1809C308" w14:textId="77777777" w:rsidTr="00E737B9">
        <w:trPr>
          <w:trHeight w:val="240"/>
        </w:trPr>
        <w:tc>
          <w:tcPr>
            <w:tcW w:w="2900" w:type="pct"/>
            <w:tcBorders>
              <w:top w:val="nil"/>
              <w:left w:val="nil"/>
              <w:bottom w:val="nil"/>
              <w:right w:val="nil"/>
            </w:tcBorders>
            <w:shd w:val="clear" w:color="auto" w:fill="auto"/>
            <w:noWrap/>
            <w:vAlign w:val="center"/>
            <w:hideMark/>
          </w:tcPr>
          <w:p w14:paraId="02F8EBC0"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p>
        </w:tc>
        <w:tc>
          <w:tcPr>
            <w:tcW w:w="668" w:type="pct"/>
            <w:tcBorders>
              <w:top w:val="nil"/>
              <w:left w:val="nil"/>
              <w:bottom w:val="single" w:sz="4" w:space="0" w:color="1B80C4"/>
              <w:right w:val="nil"/>
            </w:tcBorders>
            <w:shd w:val="clear" w:color="auto" w:fill="auto"/>
            <w:noWrap/>
            <w:vAlign w:val="bottom"/>
            <w:hideMark/>
          </w:tcPr>
          <w:p w14:paraId="116DB65A" w14:textId="36EF5AAC"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single" w:sz="4" w:space="0" w:color="1B80C4"/>
              <w:right w:val="nil"/>
            </w:tcBorders>
            <w:shd w:val="clear" w:color="auto" w:fill="auto"/>
            <w:noWrap/>
            <w:vAlign w:val="bottom"/>
            <w:hideMark/>
          </w:tcPr>
          <w:p w14:paraId="38F94BB3" w14:textId="17765A9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807" w:type="pct"/>
            <w:tcBorders>
              <w:top w:val="nil"/>
              <w:left w:val="nil"/>
              <w:bottom w:val="single" w:sz="4" w:space="0" w:color="1B80C4"/>
              <w:right w:val="nil"/>
            </w:tcBorders>
            <w:shd w:val="clear" w:color="auto" w:fill="auto"/>
            <w:noWrap/>
            <w:vAlign w:val="bottom"/>
            <w:hideMark/>
          </w:tcPr>
          <w:p w14:paraId="4ED9E3EC" w14:textId="327D3D99"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r>
      <w:tr w:rsidR="005646BE" w:rsidRPr="005646BE" w14:paraId="7A1C6EC4" w14:textId="77777777" w:rsidTr="00E737B9">
        <w:trPr>
          <w:trHeight w:val="240"/>
        </w:trPr>
        <w:tc>
          <w:tcPr>
            <w:tcW w:w="2900" w:type="pct"/>
            <w:tcBorders>
              <w:top w:val="nil"/>
              <w:left w:val="nil"/>
              <w:bottom w:val="nil"/>
              <w:right w:val="nil"/>
            </w:tcBorders>
            <w:shd w:val="clear" w:color="auto" w:fill="auto"/>
            <w:noWrap/>
            <w:vAlign w:val="center"/>
            <w:hideMark/>
          </w:tcPr>
          <w:p w14:paraId="498BCBC5" w14:textId="77777777" w:rsidR="005646BE" w:rsidRPr="005646BE" w:rsidRDefault="005646BE" w:rsidP="005646BE">
            <w:pPr>
              <w:spacing w:after="0" w:line="240" w:lineRule="auto"/>
              <w:rPr>
                <w:rFonts w:ascii="Segoe UI" w:eastAsia="Times New Roman" w:hAnsi="Segoe UI" w:cs="Segoe UI"/>
                <w:b/>
                <w:bCs/>
                <w:color w:val="000000"/>
                <w:sz w:val="18"/>
                <w:szCs w:val="18"/>
                <w:lang w:eastAsia="pt-BR"/>
              </w:rPr>
            </w:pPr>
            <w:r w:rsidRPr="005646BE">
              <w:rPr>
                <w:rFonts w:ascii="Segoe UI" w:eastAsia="Times New Roman" w:hAnsi="Segoe UI" w:cs="Segoe UI"/>
                <w:b/>
                <w:bCs/>
                <w:color w:val="000000"/>
                <w:sz w:val="18"/>
                <w:szCs w:val="18"/>
                <w:lang w:eastAsia="pt-BR"/>
              </w:rPr>
              <w:t xml:space="preserve"> Resultado Financeiro </w:t>
            </w:r>
          </w:p>
        </w:tc>
        <w:tc>
          <w:tcPr>
            <w:tcW w:w="668" w:type="pct"/>
            <w:tcBorders>
              <w:top w:val="nil"/>
              <w:left w:val="nil"/>
              <w:bottom w:val="nil"/>
              <w:right w:val="nil"/>
            </w:tcBorders>
            <w:shd w:val="clear" w:color="auto" w:fill="auto"/>
            <w:noWrap/>
            <w:vAlign w:val="center"/>
            <w:hideMark/>
          </w:tcPr>
          <w:p w14:paraId="2A4B03D4" w14:textId="7019E1EC"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136.001</w:t>
            </w:r>
          </w:p>
        </w:tc>
        <w:tc>
          <w:tcPr>
            <w:tcW w:w="625" w:type="pct"/>
            <w:tcBorders>
              <w:top w:val="nil"/>
              <w:left w:val="nil"/>
              <w:bottom w:val="nil"/>
              <w:right w:val="nil"/>
            </w:tcBorders>
            <w:shd w:val="clear" w:color="auto" w:fill="auto"/>
            <w:noWrap/>
            <w:vAlign w:val="center"/>
            <w:hideMark/>
          </w:tcPr>
          <w:p w14:paraId="1ADEA573" w14:textId="07FE1532"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(28.508)</w:t>
            </w:r>
          </w:p>
        </w:tc>
        <w:tc>
          <w:tcPr>
            <w:tcW w:w="807" w:type="pct"/>
            <w:tcBorders>
              <w:top w:val="nil"/>
              <w:left w:val="nil"/>
              <w:bottom w:val="nil"/>
              <w:right w:val="nil"/>
            </w:tcBorders>
            <w:shd w:val="clear" w:color="auto" w:fill="auto"/>
            <w:noWrap/>
            <w:vAlign w:val="center"/>
            <w:hideMark/>
          </w:tcPr>
          <w:p w14:paraId="6A7DE08D" w14:textId="7C33F7E6"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107.493</w:t>
            </w:r>
          </w:p>
        </w:tc>
      </w:tr>
      <w:tr w:rsidR="005646BE" w:rsidRPr="005646BE" w14:paraId="2AD72CCD" w14:textId="77777777" w:rsidTr="00E737B9">
        <w:trPr>
          <w:trHeight w:val="240"/>
        </w:trPr>
        <w:tc>
          <w:tcPr>
            <w:tcW w:w="2900" w:type="pct"/>
            <w:tcBorders>
              <w:top w:val="nil"/>
              <w:left w:val="nil"/>
              <w:bottom w:val="nil"/>
              <w:right w:val="nil"/>
            </w:tcBorders>
            <w:shd w:val="clear" w:color="auto" w:fill="auto"/>
            <w:noWrap/>
            <w:vAlign w:val="center"/>
            <w:hideMark/>
          </w:tcPr>
          <w:p w14:paraId="2FD24479" w14:textId="77777777" w:rsidR="005646BE" w:rsidRPr="005646BE" w:rsidRDefault="005646BE" w:rsidP="005646BE">
            <w:pPr>
              <w:spacing w:after="0" w:line="240" w:lineRule="auto"/>
              <w:jc w:val="right"/>
              <w:rPr>
                <w:rFonts w:ascii="Segoe UI" w:eastAsia="Times New Roman" w:hAnsi="Segoe UI" w:cs="Segoe UI"/>
                <w:b/>
                <w:bCs/>
                <w:sz w:val="18"/>
                <w:szCs w:val="18"/>
                <w:lang w:eastAsia="pt-BR"/>
              </w:rPr>
            </w:pPr>
          </w:p>
        </w:tc>
        <w:tc>
          <w:tcPr>
            <w:tcW w:w="668" w:type="pct"/>
            <w:tcBorders>
              <w:top w:val="nil"/>
              <w:left w:val="nil"/>
              <w:bottom w:val="nil"/>
              <w:right w:val="nil"/>
            </w:tcBorders>
            <w:shd w:val="clear" w:color="auto" w:fill="auto"/>
            <w:noWrap/>
            <w:vAlign w:val="bottom"/>
            <w:hideMark/>
          </w:tcPr>
          <w:p w14:paraId="1178C81D"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noWrap/>
            <w:vAlign w:val="bottom"/>
            <w:hideMark/>
          </w:tcPr>
          <w:p w14:paraId="61A1C2B2"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bottom"/>
            <w:hideMark/>
          </w:tcPr>
          <w:p w14:paraId="15B70F6B"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r>
      <w:tr w:rsidR="005646BE" w:rsidRPr="005646BE" w14:paraId="5DCA72AF" w14:textId="77777777" w:rsidTr="00E737B9">
        <w:trPr>
          <w:trHeight w:val="240"/>
        </w:trPr>
        <w:tc>
          <w:tcPr>
            <w:tcW w:w="2900" w:type="pct"/>
            <w:tcBorders>
              <w:top w:val="nil"/>
              <w:left w:val="nil"/>
              <w:bottom w:val="nil"/>
              <w:right w:val="nil"/>
            </w:tcBorders>
            <w:shd w:val="clear" w:color="auto" w:fill="auto"/>
            <w:noWrap/>
            <w:vAlign w:val="center"/>
            <w:hideMark/>
          </w:tcPr>
          <w:p w14:paraId="1BDE7F67" w14:textId="0FFDB8F1" w:rsidR="005646BE" w:rsidRPr="005646BE" w:rsidRDefault="005646BE" w:rsidP="005646BE">
            <w:pPr>
              <w:spacing w:after="0" w:line="240" w:lineRule="auto"/>
              <w:rPr>
                <w:rFonts w:ascii="Segoe UI" w:eastAsia="Times New Roman" w:hAnsi="Segoe UI" w:cs="Segoe UI"/>
                <w:b/>
                <w:bCs/>
                <w:color w:val="000000"/>
                <w:sz w:val="18"/>
                <w:szCs w:val="18"/>
                <w:lang w:eastAsia="pt-BR"/>
              </w:rPr>
            </w:pPr>
            <w:r w:rsidRPr="005646BE">
              <w:rPr>
                <w:rFonts w:ascii="Segoe UI" w:eastAsia="Times New Roman" w:hAnsi="Segoe UI" w:cs="Segoe UI"/>
                <w:b/>
                <w:bCs/>
                <w:color w:val="000000"/>
                <w:sz w:val="18"/>
                <w:szCs w:val="18"/>
                <w:lang w:eastAsia="pt-BR"/>
              </w:rPr>
              <w:t xml:space="preserve"> Transferência do resultado da conta de comercialização de energia elétrica Itaipu </w:t>
            </w:r>
          </w:p>
        </w:tc>
        <w:tc>
          <w:tcPr>
            <w:tcW w:w="668" w:type="pct"/>
            <w:tcBorders>
              <w:top w:val="nil"/>
              <w:left w:val="nil"/>
              <w:bottom w:val="nil"/>
              <w:right w:val="nil"/>
            </w:tcBorders>
            <w:shd w:val="clear" w:color="auto" w:fill="auto"/>
            <w:noWrap/>
            <w:vAlign w:val="bottom"/>
            <w:hideMark/>
          </w:tcPr>
          <w:p w14:paraId="0B970973"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noWrap/>
            <w:vAlign w:val="bottom"/>
            <w:hideMark/>
          </w:tcPr>
          <w:p w14:paraId="3C522AD0"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bottom"/>
            <w:hideMark/>
          </w:tcPr>
          <w:p w14:paraId="37414395"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r>
      <w:tr w:rsidR="005646BE" w:rsidRPr="005646BE" w14:paraId="45B73EA6" w14:textId="77777777" w:rsidTr="00E737B9">
        <w:trPr>
          <w:trHeight w:val="240"/>
        </w:trPr>
        <w:tc>
          <w:tcPr>
            <w:tcW w:w="2900" w:type="pct"/>
            <w:tcBorders>
              <w:top w:val="nil"/>
              <w:left w:val="nil"/>
              <w:bottom w:val="nil"/>
              <w:right w:val="nil"/>
            </w:tcBorders>
            <w:shd w:val="clear" w:color="auto" w:fill="auto"/>
            <w:noWrap/>
            <w:vAlign w:val="center"/>
            <w:hideMark/>
          </w:tcPr>
          <w:p w14:paraId="3A9E8F52"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Operacional </w:t>
            </w:r>
          </w:p>
        </w:tc>
        <w:tc>
          <w:tcPr>
            <w:tcW w:w="668" w:type="pct"/>
            <w:tcBorders>
              <w:top w:val="nil"/>
              <w:left w:val="nil"/>
              <w:bottom w:val="nil"/>
              <w:right w:val="nil"/>
            </w:tcBorders>
            <w:shd w:val="clear" w:color="auto" w:fill="auto"/>
            <w:noWrap/>
            <w:vAlign w:val="bottom"/>
            <w:hideMark/>
          </w:tcPr>
          <w:p w14:paraId="76AF22F7" w14:textId="6A7806B6"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625" w:type="pct"/>
            <w:tcBorders>
              <w:top w:val="nil"/>
              <w:left w:val="nil"/>
              <w:bottom w:val="nil"/>
              <w:right w:val="nil"/>
            </w:tcBorders>
            <w:shd w:val="clear" w:color="auto" w:fill="auto"/>
            <w:noWrap/>
            <w:vAlign w:val="center"/>
            <w:hideMark/>
          </w:tcPr>
          <w:p w14:paraId="37DD5F22" w14:textId="7291FCB2"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302.976</w:t>
            </w:r>
          </w:p>
        </w:tc>
        <w:tc>
          <w:tcPr>
            <w:tcW w:w="807" w:type="pct"/>
            <w:tcBorders>
              <w:top w:val="nil"/>
              <w:left w:val="nil"/>
              <w:bottom w:val="nil"/>
              <w:right w:val="nil"/>
            </w:tcBorders>
            <w:shd w:val="clear" w:color="auto" w:fill="auto"/>
            <w:noWrap/>
            <w:vAlign w:val="center"/>
            <w:hideMark/>
          </w:tcPr>
          <w:p w14:paraId="42976980" w14:textId="36CA2740"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302.976</w:t>
            </w:r>
          </w:p>
        </w:tc>
      </w:tr>
      <w:tr w:rsidR="005646BE" w:rsidRPr="005646BE" w14:paraId="4179896C" w14:textId="77777777" w:rsidTr="00E737B9">
        <w:trPr>
          <w:trHeight w:val="240"/>
        </w:trPr>
        <w:tc>
          <w:tcPr>
            <w:tcW w:w="2900" w:type="pct"/>
            <w:tcBorders>
              <w:top w:val="nil"/>
              <w:left w:val="nil"/>
              <w:bottom w:val="nil"/>
              <w:right w:val="nil"/>
            </w:tcBorders>
            <w:shd w:val="clear" w:color="auto" w:fill="auto"/>
            <w:noWrap/>
            <w:vAlign w:val="center"/>
            <w:hideMark/>
          </w:tcPr>
          <w:p w14:paraId="21EB3668"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Financeiro </w:t>
            </w:r>
          </w:p>
        </w:tc>
        <w:tc>
          <w:tcPr>
            <w:tcW w:w="668" w:type="pct"/>
            <w:tcBorders>
              <w:top w:val="nil"/>
              <w:left w:val="nil"/>
              <w:bottom w:val="single" w:sz="4" w:space="0" w:color="1B80C4"/>
              <w:right w:val="nil"/>
            </w:tcBorders>
            <w:shd w:val="clear" w:color="auto" w:fill="auto"/>
            <w:noWrap/>
            <w:vAlign w:val="center"/>
            <w:hideMark/>
          </w:tcPr>
          <w:p w14:paraId="3ABE7524" w14:textId="244AE7DA"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625" w:type="pct"/>
            <w:tcBorders>
              <w:top w:val="nil"/>
              <w:left w:val="nil"/>
              <w:bottom w:val="single" w:sz="4" w:space="0" w:color="1B80C4"/>
              <w:right w:val="nil"/>
            </w:tcBorders>
            <w:shd w:val="clear" w:color="auto" w:fill="auto"/>
            <w:noWrap/>
            <w:vAlign w:val="center"/>
            <w:hideMark/>
          </w:tcPr>
          <w:p w14:paraId="37A0A9F7" w14:textId="4579DFB7"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28.508</w:t>
            </w:r>
          </w:p>
        </w:tc>
        <w:tc>
          <w:tcPr>
            <w:tcW w:w="807" w:type="pct"/>
            <w:tcBorders>
              <w:top w:val="nil"/>
              <w:left w:val="nil"/>
              <w:bottom w:val="single" w:sz="4" w:space="0" w:color="1B80C4"/>
              <w:right w:val="nil"/>
            </w:tcBorders>
            <w:shd w:val="clear" w:color="auto" w:fill="auto"/>
            <w:noWrap/>
            <w:vAlign w:val="center"/>
            <w:hideMark/>
          </w:tcPr>
          <w:p w14:paraId="29A531F0" w14:textId="760B3B3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28.508</w:t>
            </w:r>
          </w:p>
        </w:tc>
      </w:tr>
      <w:tr w:rsidR="005646BE" w:rsidRPr="005646BE" w14:paraId="5E0A5CDC" w14:textId="77777777" w:rsidTr="00E737B9">
        <w:trPr>
          <w:trHeight w:val="240"/>
        </w:trPr>
        <w:tc>
          <w:tcPr>
            <w:tcW w:w="2900" w:type="pct"/>
            <w:tcBorders>
              <w:top w:val="nil"/>
              <w:left w:val="nil"/>
              <w:bottom w:val="nil"/>
              <w:right w:val="nil"/>
            </w:tcBorders>
            <w:shd w:val="clear" w:color="auto" w:fill="auto"/>
            <w:noWrap/>
            <w:vAlign w:val="center"/>
            <w:hideMark/>
          </w:tcPr>
          <w:p w14:paraId="6E99C7C7" w14:textId="77777777"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668" w:type="pct"/>
            <w:tcBorders>
              <w:top w:val="nil"/>
              <w:left w:val="nil"/>
              <w:bottom w:val="nil"/>
              <w:right w:val="nil"/>
            </w:tcBorders>
            <w:shd w:val="clear" w:color="auto" w:fill="auto"/>
            <w:noWrap/>
            <w:vAlign w:val="center"/>
            <w:hideMark/>
          </w:tcPr>
          <w:p w14:paraId="29CDA221" w14:textId="2B7445ED"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183.444</w:t>
            </w:r>
          </w:p>
        </w:tc>
        <w:tc>
          <w:tcPr>
            <w:tcW w:w="625" w:type="pct"/>
            <w:tcBorders>
              <w:top w:val="nil"/>
              <w:left w:val="nil"/>
              <w:bottom w:val="nil"/>
              <w:right w:val="nil"/>
            </w:tcBorders>
            <w:shd w:val="clear" w:color="auto" w:fill="auto"/>
            <w:noWrap/>
            <w:vAlign w:val="center"/>
            <w:hideMark/>
          </w:tcPr>
          <w:p w14:paraId="50D188AE" w14:textId="33F1BB88"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331.484</w:t>
            </w:r>
          </w:p>
        </w:tc>
        <w:tc>
          <w:tcPr>
            <w:tcW w:w="807" w:type="pct"/>
            <w:tcBorders>
              <w:top w:val="nil"/>
              <w:left w:val="nil"/>
              <w:bottom w:val="nil"/>
              <w:right w:val="nil"/>
            </w:tcBorders>
            <w:shd w:val="clear" w:color="auto" w:fill="auto"/>
            <w:noWrap/>
            <w:vAlign w:val="center"/>
            <w:hideMark/>
          </w:tcPr>
          <w:p w14:paraId="11755A00" w14:textId="3FB7B13D"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331.484</w:t>
            </w:r>
          </w:p>
        </w:tc>
      </w:tr>
      <w:tr w:rsidR="005646BE" w:rsidRPr="005646BE" w14:paraId="7359BF78" w14:textId="77777777" w:rsidTr="00E737B9">
        <w:trPr>
          <w:trHeight w:val="240"/>
        </w:trPr>
        <w:tc>
          <w:tcPr>
            <w:tcW w:w="2900" w:type="pct"/>
            <w:tcBorders>
              <w:top w:val="nil"/>
              <w:left w:val="nil"/>
              <w:bottom w:val="nil"/>
              <w:right w:val="nil"/>
            </w:tcBorders>
            <w:shd w:val="clear" w:color="auto" w:fill="auto"/>
            <w:noWrap/>
            <w:vAlign w:val="center"/>
            <w:hideMark/>
          </w:tcPr>
          <w:p w14:paraId="4E9939DD" w14:textId="77777777" w:rsidR="005646BE" w:rsidRPr="005646BE" w:rsidRDefault="005646BE" w:rsidP="005646BE">
            <w:pPr>
              <w:spacing w:after="0" w:line="240" w:lineRule="auto"/>
              <w:jc w:val="right"/>
              <w:rPr>
                <w:rFonts w:ascii="Segoe UI" w:eastAsia="Times New Roman" w:hAnsi="Segoe UI" w:cs="Segoe UI"/>
                <w:b/>
                <w:bCs/>
                <w:sz w:val="18"/>
                <w:szCs w:val="18"/>
                <w:lang w:eastAsia="pt-BR"/>
              </w:rPr>
            </w:pPr>
          </w:p>
        </w:tc>
        <w:tc>
          <w:tcPr>
            <w:tcW w:w="668" w:type="pct"/>
            <w:tcBorders>
              <w:top w:val="nil"/>
              <w:left w:val="nil"/>
              <w:bottom w:val="nil"/>
              <w:right w:val="nil"/>
            </w:tcBorders>
            <w:shd w:val="clear" w:color="auto" w:fill="auto"/>
            <w:noWrap/>
            <w:vAlign w:val="bottom"/>
            <w:hideMark/>
          </w:tcPr>
          <w:p w14:paraId="2BEE7FAB"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625" w:type="pct"/>
            <w:tcBorders>
              <w:top w:val="nil"/>
              <w:left w:val="nil"/>
              <w:bottom w:val="nil"/>
              <w:right w:val="nil"/>
            </w:tcBorders>
            <w:shd w:val="clear" w:color="auto" w:fill="auto"/>
            <w:noWrap/>
            <w:vAlign w:val="center"/>
            <w:hideMark/>
          </w:tcPr>
          <w:p w14:paraId="77A47DDD"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807" w:type="pct"/>
            <w:tcBorders>
              <w:top w:val="nil"/>
              <w:left w:val="nil"/>
              <w:bottom w:val="nil"/>
              <w:right w:val="nil"/>
            </w:tcBorders>
            <w:shd w:val="clear" w:color="auto" w:fill="auto"/>
            <w:noWrap/>
            <w:vAlign w:val="center"/>
            <w:hideMark/>
          </w:tcPr>
          <w:p w14:paraId="7C7D70B5"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r>
      <w:tr w:rsidR="005646BE" w:rsidRPr="005646BE" w14:paraId="380A5F78" w14:textId="77777777" w:rsidTr="00186624">
        <w:trPr>
          <w:trHeight w:val="240"/>
        </w:trPr>
        <w:tc>
          <w:tcPr>
            <w:tcW w:w="2900" w:type="pct"/>
            <w:tcBorders>
              <w:top w:val="nil"/>
              <w:left w:val="nil"/>
              <w:bottom w:val="nil"/>
              <w:right w:val="nil"/>
            </w:tcBorders>
            <w:shd w:val="clear" w:color="auto" w:fill="auto"/>
            <w:noWrap/>
            <w:vAlign w:val="center"/>
            <w:hideMark/>
          </w:tcPr>
          <w:p w14:paraId="55135834" w14:textId="77777777" w:rsidR="005646BE" w:rsidRPr="005646BE" w:rsidRDefault="005646BE" w:rsidP="005646BE">
            <w:pPr>
              <w:spacing w:after="0" w:line="240" w:lineRule="auto"/>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 xml:space="preserve"> RESULTADO OPERACIONAL ANTES DOS TRIBUTOS </w:t>
            </w:r>
          </w:p>
        </w:tc>
        <w:tc>
          <w:tcPr>
            <w:tcW w:w="668" w:type="pct"/>
            <w:tcBorders>
              <w:top w:val="single" w:sz="4" w:space="0" w:color="1B80C4"/>
              <w:left w:val="nil"/>
              <w:bottom w:val="single" w:sz="4" w:space="0" w:color="1B80C4"/>
              <w:right w:val="nil"/>
            </w:tcBorders>
            <w:shd w:val="clear" w:color="auto" w:fill="auto"/>
            <w:noWrap/>
            <w:vAlign w:val="bottom"/>
            <w:hideMark/>
          </w:tcPr>
          <w:p w14:paraId="3D09108A" w14:textId="6ED1A832" w:rsidR="005646BE" w:rsidRPr="005646BE" w:rsidRDefault="005646BE" w:rsidP="005646BE">
            <w:pPr>
              <w:spacing w:after="0" w:line="240" w:lineRule="auto"/>
              <w:jc w:val="right"/>
              <w:rPr>
                <w:rFonts w:ascii="Segoe UI" w:eastAsia="Times New Roman" w:hAnsi="Segoe UI" w:cs="Segoe UI"/>
                <w:b/>
                <w:bCs/>
                <w:color w:val="000000"/>
                <w:sz w:val="18"/>
                <w:szCs w:val="18"/>
                <w:lang w:eastAsia="pt-BR"/>
              </w:rPr>
            </w:pPr>
            <w:r w:rsidRPr="005646BE">
              <w:rPr>
                <w:rFonts w:ascii="Segoe UI" w:eastAsia="Times New Roman" w:hAnsi="Segoe UI" w:cs="Segoe UI"/>
                <w:b/>
                <w:bCs/>
                <w:color w:val="000000"/>
                <w:sz w:val="18"/>
                <w:szCs w:val="18"/>
                <w:lang w:eastAsia="pt-BR"/>
              </w:rPr>
              <w:t>183.444</w:t>
            </w:r>
          </w:p>
        </w:tc>
        <w:tc>
          <w:tcPr>
            <w:tcW w:w="625" w:type="pct"/>
            <w:tcBorders>
              <w:top w:val="single" w:sz="4" w:space="0" w:color="1B80C4"/>
              <w:left w:val="nil"/>
              <w:bottom w:val="single" w:sz="4" w:space="0" w:color="1B80C4"/>
              <w:right w:val="nil"/>
            </w:tcBorders>
            <w:shd w:val="clear" w:color="auto" w:fill="auto"/>
            <w:noWrap/>
            <w:vAlign w:val="bottom"/>
            <w:hideMark/>
          </w:tcPr>
          <w:p w14:paraId="1FCC4DA2" w14:textId="77031883" w:rsidR="005646BE" w:rsidRPr="005646BE" w:rsidRDefault="005646BE" w:rsidP="005646BE">
            <w:pPr>
              <w:spacing w:after="0" w:line="240" w:lineRule="auto"/>
              <w:jc w:val="right"/>
              <w:rPr>
                <w:rFonts w:ascii="Segoe UI" w:eastAsia="Times New Roman" w:hAnsi="Segoe UI" w:cs="Segoe UI"/>
                <w:b/>
                <w:bCs/>
                <w:color w:val="000000"/>
                <w:sz w:val="18"/>
                <w:szCs w:val="18"/>
                <w:lang w:eastAsia="pt-BR"/>
              </w:rPr>
            </w:pPr>
            <w:r w:rsidRPr="005646BE">
              <w:rPr>
                <w:rFonts w:ascii="Segoe UI" w:eastAsia="Times New Roman" w:hAnsi="Segoe UI" w:cs="Segoe UI"/>
                <w:b/>
                <w:bCs/>
                <w:color w:val="000000"/>
                <w:sz w:val="18"/>
                <w:szCs w:val="18"/>
                <w:lang w:eastAsia="pt-BR"/>
              </w:rPr>
              <w:t>-</w:t>
            </w:r>
          </w:p>
        </w:tc>
        <w:tc>
          <w:tcPr>
            <w:tcW w:w="807" w:type="pct"/>
            <w:tcBorders>
              <w:top w:val="single" w:sz="4" w:space="0" w:color="1B80C4"/>
              <w:left w:val="nil"/>
              <w:bottom w:val="single" w:sz="4" w:space="0" w:color="1B80C4"/>
              <w:right w:val="nil"/>
            </w:tcBorders>
            <w:shd w:val="clear" w:color="auto" w:fill="auto"/>
            <w:noWrap/>
            <w:vAlign w:val="bottom"/>
            <w:hideMark/>
          </w:tcPr>
          <w:p w14:paraId="7BCB0EF9" w14:textId="315D1726" w:rsidR="005646BE" w:rsidRPr="005646BE" w:rsidRDefault="005646BE" w:rsidP="005646BE">
            <w:pPr>
              <w:spacing w:after="0" w:line="240" w:lineRule="auto"/>
              <w:jc w:val="right"/>
              <w:rPr>
                <w:rFonts w:ascii="Segoe UI" w:eastAsia="Times New Roman" w:hAnsi="Segoe UI" w:cs="Segoe UI"/>
                <w:b/>
                <w:bCs/>
                <w:color w:val="000000"/>
                <w:sz w:val="18"/>
                <w:szCs w:val="18"/>
                <w:lang w:eastAsia="pt-BR"/>
              </w:rPr>
            </w:pPr>
            <w:r w:rsidRPr="005646BE">
              <w:rPr>
                <w:rFonts w:ascii="Segoe UI" w:eastAsia="Times New Roman" w:hAnsi="Segoe UI" w:cs="Segoe UI"/>
                <w:b/>
                <w:bCs/>
                <w:color w:val="000000"/>
                <w:sz w:val="18"/>
                <w:szCs w:val="18"/>
                <w:lang w:eastAsia="pt-BR"/>
              </w:rPr>
              <w:t>183.444</w:t>
            </w:r>
          </w:p>
        </w:tc>
      </w:tr>
      <w:tr w:rsidR="005646BE" w:rsidRPr="005646BE" w14:paraId="59E2A11C" w14:textId="77777777" w:rsidTr="00186624">
        <w:trPr>
          <w:trHeight w:val="240"/>
        </w:trPr>
        <w:tc>
          <w:tcPr>
            <w:tcW w:w="2900" w:type="pct"/>
            <w:tcBorders>
              <w:top w:val="nil"/>
              <w:left w:val="nil"/>
              <w:bottom w:val="nil"/>
              <w:right w:val="nil"/>
            </w:tcBorders>
            <w:shd w:val="clear" w:color="auto" w:fill="auto"/>
            <w:noWrap/>
            <w:vAlign w:val="center"/>
            <w:hideMark/>
          </w:tcPr>
          <w:p w14:paraId="00FD3F90" w14:textId="77777777" w:rsidR="005646BE" w:rsidRPr="005646BE" w:rsidRDefault="005646BE" w:rsidP="005646BE">
            <w:pPr>
              <w:spacing w:after="0" w:line="240" w:lineRule="auto"/>
              <w:rPr>
                <w:rFonts w:ascii="Segoe UI" w:eastAsia="Times New Roman" w:hAnsi="Segoe UI" w:cs="Segoe UI"/>
                <w:b/>
                <w:bCs/>
                <w:color w:val="000000"/>
                <w:sz w:val="18"/>
                <w:szCs w:val="18"/>
                <w:lang w:eastAsia="pt-BR"/>
              </w:rPr>
            </w:pPr>
          </w:p>
        </w:tc>
        <w:tc>
          <w:tcPr>
            <w:tcW w:w="668" w:type="pct"/>
            <w:tcBorders>
              <w:top w:val="single" w:sz="4" w:space="0" w:color="1B80C4"/>
              <w:left w:val="nil"/>
              <w:bottom w:val="nil"/>
              <w:right w:val="nil"/>
            </w:tcBorders>
            <w:shd w:val="clear" w:color="auto" w:fill="auto"/>
            <w:noWrap/>
            <w:vAlign w:val="bottom"/>
            <w:hideMark/>
          </w:tcPr>
          <w:p w14:paraId="49889B54"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625" w:type="pct"/>
            <w:tcBorders>
              <w:top w:val="single" w:sz="4" w:space="0" w:color="1B80C4"/>
              <w:left w:val="nil"/>
              <w:bottom w:val="nil"/>
              <w:right w:val="nil"/>
            </w:tcBorders>
            <w:shd w:val="clear" w:color="auto" w:fill="auto"/>
            <w:noWrap/>
            <w:vAlign w:val="bottom"/>
            <w:hideMark/>
          </w:tcPr>
          <w:p w14:paraId="18BBB5F4"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c>
          <w:tcPr>
            <w:tcW w:w="807" w:type="pct"/>
            <w:tcBorders>
              <w:top w:val="single" w:sz="4" w:space="0" w:color="1B80C4"/>
              <w:left w:val="nil"/>
              <w:bottom w:val="nil"/>
              <w:right w:val="nil"/>
            </w:tcBorders>
            <w:shd w:val="clear" w:color="auto" w:fill="auto"/>
            <w:noWrap/>
            <w:vAlign w:val="bottom"/>
            <w:hideMark/>
          </w:tcPr>
          <w:p w14:paraId="744017EC" w14:textId="77777777" w:rsidR="005646BE" w:rsidRPr="005646BE" w:rsidRDefault="005646BE" w:rsidP="005646BE">
            <w:pPr>
              <w:spacing w:after="0" w:line="240" w:lineRule="auto"/>
              <w:jc w:val="right"/>
              <w:rPr>
                <w:rFonts w:ascii="Times New Roman" w:eastAsia="Times New Roman" w:hAnsi="Times New Roman" w:cs="Times New Roman"/>
                <w:sz w:val="20"/>
                <w:szCs w:val="20"/>
                <w:lang w:eastAsia="pt-BR"/>
              </w:rPr>
            </w:pPr>
          </w:p>
        </w:tc>
      </w:tr>
      <w:tr w:rsidR="005646BE" w:rsidRPr="005646BE" w14:paraId="50D0135D" w14:textId="77777777" w:rsidTr="00E737B9">
        <w:trPr>
          <w:trHeight w:val="240"/>
        </w:trPr>
        <w:tc>
          <w:tcPr>
            <w:tcW w:w="2900" w:type="pct"/>
            <w:tcBorders>
              <w:top w:val="nil"/>
              <w:left w:val="nil"/>
              <w:bottom w:val="nil"/>
              <w:right w:val="nil"/>
            </w:tcBorders>
            <w:shd w:val="clear" w:color="auto" w:fill="auto"/>
            <w:noWrap/>
            <w:vAlign w:val="center"/>
            <w:hideMark/>
          </w:tcPr>
          <w:p w14:paraId="664B8A0F"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Imposto de renda e contribuição social corrente </w:t>
            </w:r>
          </w:p>
        </w:tc>
        <w:tc>
          <w:tcPr>
            <w:tcW w:w="668" w:type="pct"/>
            <w:tcBorders>
              <w:top w:val="nil"/>
              <w:left w:val="nil"/>
              <w:bottom w:val="nil"/>
              <w:right w:val="nil"/>
            </w:tcBorders>
            <w:shd w:val="clear" w:color="auto" w:fill="auto"/>
            <w:noWrap/>
            <w:vAlign w:val="center"/>
            <w:hideMark/>
          </w:tcPr>
          <w:p w14:paraId="3B6121B3" w14:textId="78053EA5"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(56.228)</w:t>
            </w:r>
          </w:p>
        </w:tc>
        <w:tc>
          <w:tcPr>
            <w:tcW w:w="625" w:type="pct"/>
            <w:tcBorders>
              <w:top w:val="nil"/>
              <w:left w:val="nil"/>
              <w:bottom w:val="nil"/>
              <w:right w:val="nil"/>
            </w:tcBorders>
            <w:shd w:val="clear" w:color="auto" w:fill="auto"/>
            <w:noWrap/>
            <w:vAlign w:val="bottom"/>
            <w:hideMark/>
          </w:tcPr>
          <w:p w14:paraId="1856A393" w14:textId="3C3976B5"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807" w:type="pct"/>
            <w:tcBorders>
              <w:top w:val="nil"/>
              <w:left w:val="nil"/>
              <w:bottom w:val="nil"/>
              <w:right w:val="nil"/>
            </w:tcBorders>
            <w:shd w:val="clear" w:color="auto" w:fill="auto"/>
            <w:noWrap/>
            <w:vAlign w:val="bottom"/>
            <w:hideMark/>
          </w:tcPr>
          <w:p w14:paraId="4ECE062F" w14:textId="0D916A2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(56.228)</w:t>
            </w:r>
          </w:p>
        </w:tc>
      </w:tr>
      <w:tr w:rsidR="005646BE" w:rsidRPr="005646BE" w14:paraId="4D918206" w14:textId="77777777" w:rsidTr="00E737B9">
        <w:trPr>
          <w:trHeight w:val="240"/>
        </w:trPr>
        <w:tc>
          <w:tcPr>
            <w:tcW w:w="2900" w:type="pct"/>
            <w:tcBorders>
              <w:top w:val="nil"/>
              <w:left w:val="nil"/>
              <w:bottom w:val="nil"/>
              <w:right w:val="nil"/>
            </w:tcBorders>
            <w:shd w:val="clear" w:color="auto" w:fill="auto"/>
            <w:noWrap/>
            <w:vAlign w:val="center"/>
            <w:hideMark/>
          </w:tcPr>
          <w:p w14:paraId="5983ABE7" w14:textId="77777777" w:rsidR="005646BE" w:rsidRPr="005646BE" w:rsidRDefault="005646BE" w:rsidP="005646BE">
            <w:pPr>
              <w:spacing w:after="0" w:line="240" w:lineRule="auto"/>
              <w:rPr>
                <w:rFonts w:ascii="Segoe UI" w:eastAsia="Times New Roman" w:hAnsi="Segoe UI" w:cs="Segoe UI"/>
                <w:sz w:val="18"/>
                <w:szCs w:val="18"/>
                <w:lang w:eastAsia="pt-BR"/>
              </w:rPr>
            </w:pPr>
            <w:r w:rsidRPr="005646BE">
              <w:rPr>
                <w:rFonts w:ascii="Segoe UI" w:eastAsia="Times New Roman" w:hAnsi="Segoe UI" w:cs="Segoe UI"/>
                <w:sz w:val="18"/>
                <w:szCs w:val="18"/>
                <w:lang w:eastAsia="pt-BR"/>
              </w:rPr>
              <w:t xml:space="preserve"> Imposto de renda e contribuição social diferido </w:t>
            </w:r>
          </w:p>
        </w:tc>
        <w:tc>
          <w:tcPr>
            <w:tcW w:w="668" w:type="pct"/>
            <w:tcBorders>
              <w:top w:val="nil"/>
              <w:left w:val="nil"/>
              <w:bottom w:val="nil"/>
              <w:right w:val="nil"/>
            </w:tcBorders>
            <w:shd w:val="clear" w:color="auto" w:fill="auto"/>
            <w:noWrap/>
            <w:vAlign w:val="center"/>
            <w:hideMark/>
          </w:tcPr>
          <w:p w14:paraId="1BAC4B64" w14:textId="26B69A44"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(21.321)</w:t>
            </w:r>
          </w:p>
        </w:tc>
        <w:tc>
          <w:tcPr>
            <w:tcW w:w="625" w:type="pct"/>
            <w:tcBorders>
              <w:top w:val="nil"/>
              <w:left w:val="nil"/>
              <w:bottom w:val="nil"/>
              <w:right w:val="nil"/>
            </w:tcBorders>
            <w:shd w:val="clear" w:color="auto" w:fill="auto"/>
            <w:noWrap/>
            <w:vAlign w:val="bottom"/>
            <w:hideMark/>
          </w:tcPr>
          <w:p w14:paraId="3BD4F1F4" w14:textId="447FF34D"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w:t>
            </w:r>
          </w:p>
        </w:tc>
        <w:tc>
          <w:tcPr>
            <w:tcW w:w="807" w:type="pct"/>
            <w:tcBorders>
              <w:top w:val="nil"/>
              <w:left w:val="nil"/>
              <w:bottom w:val="nil"/>
              <w:right w:val="nil"/>
            </w:tcBorders>
            <w:shd w:val="clear" w:color="auto" w:fill="auto"/>
            <w:noWrap/>
            <w:vAlign w:val="bottom"/>
            <w:hideMark/>
          </w:tcPr>
          <w:p w14:paraId="7352E113" w14:textId="0E0D3C26"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r w:rsidRPr="005646BE">
              <w:rPr>
                <w:rFonts w:ascii="Segoe UI" w:eastAsia="Times New Roman" w:hAnsi="Segoe UI" w:cs="Segoe UI"/>
                <w:color w:val="000000"/>
                <w:sz w:val="18"/>
                <w:szCs w:val="18"/>
                <w:lang w:eastAsia="pt-BR"/>
              </w:rPr>
              <w:t>(21.321)</w:t>
            </w:r>
          </w:p>
        </w:tc>
      </w:tr>
      <w:tr w:rsidR="005646BE" w:rsidRPr="005646BE" w14:paraId="77B4BA77" w14:textId="77777777" w:rsidTr="00E737B9">
        <w:trPr>
          <w:trHeight w:val="240"/>
        </w:trPr>
        <w:tc>
          <w:tcPr>
            <w:tcW w:w="2900" w:type="pct"/>
            <w:tcBorders>
              <w:top w:val="nil"/>
              <w:left w:val="nil"/>
              <w:bottom w:val="nil"/>
              <w:right w:val="nil"/>
            </w:tcBorders>
            <w:shd w:val="clear" w:color="auto" w:fill="auto"/>
            <w:noWrap/>
            <w:vAlign w:val="center"/>
            <w:hideMark/>
          </w:tcPr>
          <w:p w14:paraId="6235FE37" w14:textId="77777777" w:rsidR="005646BE" w:rsidRPr="005646BE" w:rsidRDefault="005646BE" w:rsidP="005646BE">
            <w:pPr>
              <w:spacing w:after="0" w:line="240" w:lineRule="auto"/>
              <w:rPr>
                <w:rFonts w:ascii="Segoe UI" w:eastAsia="Times New Roman" w:hAnsi="Segoe UI" w:cs="Segoe UI"/>
                <w:color w:val="000000"/>
                <w:sz w:val="18"/>
                <w:szCs w:val="18"/>
                <w:lang w:eastAsia="pt-BR"/>
              </w:rPr>
            </w:pPr>
          </w:p>
        </w:tc>
        <w:tc>
          <w:tcPr>
            <w:tcW w:w="668" w:type="pct"/>
            <w:tcBorders>
              <w:top w:val="nil"/>
              <w:left w:val="nil"/>
              <w:bottom w:val="single" w:sz="4" w:space="0" w:color="1B80C4"/>
              <w:right w:val="nil"/>
            </w:tcBorders>
            <w:shd w:val="clear" w:color="auto" w:fill="auto"/>
            <w:noWrap/>
            <w:vAlign w:val="bottom"/>
            <w:hideMark/>
          </w:tcPr>
          <w:p w14:paraId="0DEDB5AE" w14:textId="2CC936D4"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single" w:sz="4" w:space="0" w:color="1B80C4"/>
              <w:right w:val="nil"/>
            </w:tcBorders>
            <w:shd w:val="clear" w:color="auto" w:fill="auto"/>
            <w:noWrap/>
            <w:vAlign w:val="bottom"/>
            <w:hideMark/>
          </w:tcPr>
          <w:p w14:paraId="735F910D" w14:textId="3E491F42"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c>
          <w:tcPr>
            <w:tcW w:w="807" w:type="pct"/>
            <w:tcBorders>
              <w:top w:val="nil"/>
              <w:left w:val="nil"/>
              <w:bottom w:val="single" w:sz="4" w:space="0" w:color="1B80C4"/>
              <w:right w:val="nil"/>
            </w:tcBorders>
            <w:shd w:val="clear" w:color="auto" w:fill="auto"/>
            <w:noWrap/>
            <w:vAlign w:val="bottom"/>
            <w:hideMark/>
          </w:tcPr>
          <w:p w14:paraId="344C8C72" w14:textId="16410251" w:rsidR="005646BE" w:rsidRPr="005646BE" w:rsidRDefault="005646BE" w:rsidP="005646BE">
            <w:pPr>
              <w:spacing w:after="0" w:line="240" w:lineRule="auto"/>
              <w:jc w:val="right"/>
              <w:rPr>
                <w:rFonts w:ascii="Segoe UI" w:eastAsia="Times New Roman" w:hAnsi="Segoe UI" w:cs="Segoe UI"/>
                <w:color w:val="000000"/>
                <w:sz w:val="18"/>
                <w:szCs w:val="18"/>
                <w:lang w:eastAsia="pt-BR"/>
              </w:rPr>
            </w:pPr>
          </w:p>
        </w:tc>
      </w:tr>
      <w:tr w:rsidR="005646BE" w:rsidRPr="005646BE" w14:paraId="04CA8DF1" w14:textId="77777777" w:rsidTr="00E737B9">
        <w:trPr>
          <w:trHeight w:val="255"/>
        </w:trPr>
        <w:tc>
          <w:tcPr>
            <w:tcW w:w="2900" w:type="pct"/>
            <w:tcBorders>
              <w:top w:val="nil"/>
              <w:left w:val="nil"/>
              <w:bottom w:val="nil"/>
              <w:right w:val="nil"/>
            </w:tcBorders>
            <w:shd w:val="clear" w:color="auto" w:fill="auto"/>
            <w:noWrap/>
            <w:vAlign w:val="center"/>
            <w:hideMark/>
          </w:tcPr>
          <w:p w14:paraId="6B626B40" w14:textId="77777777" w:rsidR="005646BE" w:rsidRPr="005646BE" w:rsidRDefault="005646BE" w:rsidP="005646BE">
            <w:pPr>
              <w:spacing w:after="0" w:line="240" w:lineRule="auto"/>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 xml:space="preserve"> LUCRO DO EXERCÍCIO </w:t>
            </w:r>
          </w:p>
        </w:tc>
        <w:tc>
          <w:tcPr>
            <w:tcW w:w="668" w:type="pct"/>
            <w:tcBorders>
              <w:top w:val="nil"/>
              <w:left w:val="nil"/>
              <w:bottom w:val="double" w:sz="6" w:space="0" w:color="1B80C4"/>
              <w:right w:val="nil"/>
            </w:tcBorders>
            <w:shd w:val="clear" w:color="auto" w:fill="auto"/>
            <w:noWrap/>
            <w:vAlign w:val="center"/>
            <w:hideMark/>
          </w:tcPr>
          <w:p w14:paraId="1B528E45" w14:textId="11F100E4"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105.895</w:t>
            </w:r>
          </w:p>
        </w:tc>
        <w:tc>
          <w:tcPr>
            <w:tcW w:w="625" w:type="pct"/>
            <w:tcBorders>
              <w:top w:val="nil"/>
              <w:left w:val="nil"/>
              <w:bottom w:val="double" w:sz="6" w:space="0" w:color="1B80C4"/>
              <w:right w:val="nil"/>
            </w:tcBorders>
            <w:shd w:val="clear" w:color="auto" w:fill="auto"/>
            <w:noWrap/>
            <w:vAlign w:val="center"/>
            <w:hideMark/>
          </w:tcPr>
          <w:p w14:paraId="4928A6C3" w14:textId="460305FD"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w:t>
            </w:r>
          </w:p>
        </w:tc>
        <w:tc>
          <w:tcPr>
            <w:tcW w:w="807" w:type="pct"/>
            <w:tcBorders>
              <w:top w:val="nil"/>
              <w:left w:val="nil"/>
              <w:bottom w:val="double" w:sz="6" w:space="0" w:color="1B80C4"/>
              <w:right w:val="nil"/>
            </w:tcBorders>
            <w:shd w:val="clear" w:color="auto" w:fill="auto"/>
            <w:noWrap/>
            <w:vAlign w:val="center"/>
            <w:hideMark/>
          </w:tcPr>
          <w:p w14:paraId="37925B6F" w14:textId="681F91CF" w:rsidR="005646BE" w:rsidRPr="005646BE" w:rsidRDefault="005646BE" w:rsidP="005646BE">
            <w:pPr>
              <w:spacing w:after="0" w:line="240" w:lineRule="auto"/>
              <w:jc w:val="right"/>
              <w:rPr>
                <w:rFonts w:ascii="Segoe UI" w:eastAsia="Times New Roman" w:hAnsi="Segoe UI" w:cs="Segoe UI"/>
                <w:b/>
                <w:bCs/>
                <w:sz w:val="18"/>
                <w:szCs w:val="18"/>
                <w:lang w:eastAsia="pt-BR"/>
              </w:rPr>
            </w:pPr>
            <w:r w:rsidRPr="005646BE">
              <w:rPr>
                <w:rFonts w:ascii="Segoe UI" w:eastAsia="Times New Roman" w:hAnsi="Segoe UI" w:cs="Segoe UI"/>
                <w:b/>
                <w:bCs/>
                <w:sz w:val="18"/>
                <w:szCs w:val="18"/>
                <w:lang w:eastAsia="pt-BR"/>
              </w:rPr>
              <w:t>105.895</w:t>
            </w:r>
          </w:p>
        </w:tc>
      </w:tr>
    </w:tbl>
    <w:p w14:paraId="5C46EF1A" w14:textId="78FBB55E" w:rsidR="00667591" w:rsidRPr="000757BC" w:rsidRDefault="00667591" w:rsidP="00667591">
      <w:pPr>
        <w:pStyle w:val="PargrafodaLista"/>
        <w:ind w:left="720"/>
        <w:rPr>
          <w:rFonts w:ascii="Segoe UI" w:hAnsi="Segoe UI" w:cs="Segoe UI"/>
          <w:bCs/>
        </w:rPr>
      </w:pPr>
    </w:p>
    <w:p w14:paraId="13A55E6A" w14:textId="74B5020F" w:rsidR="002B1787" w:rsidRPr="000757BC" w:rsidRDefault="00D775C7" w:rsidP="00E0149C">
      <w:pPr>
        <w:rPr>
          <w:rFonts w:ascii="Segoe UI" w:hAnsi="Segoe UI" w:cs="Segoe UI"/>
          <w:b/>
          <w:color w:val="0070C0"/>
        </w:rPr>
      </w:pPr>
      <w:r>
        <w:rPr>
          <w:rFonts w:ascii="Segoe UI" w:hAnsi="Segoe UI" w:cs="Segoe UI"/>
          <w:b/>
          <w:color w:val="0070C0"/>
        </w:rPr>
        <w:t>3</w:t>
      </w:r>
      <w:r w:rsidR="002A4E82">
        <w:rPr>
          <w:rFonts w:ascii="Segoe UI" w:hAnsi="Segoe UI" w:cs="Segoe UI"/>
          <w:b/>
          <w:color w:val="0070C0"/>
        </w:rPr>
        <w:t>0</w:t>
      </w:r>
      <w:r w:rsidR="00F4139F" w:rsidRPr="000757BC">
        <w:rPr>
          <w:rFonts w:ascii="Segoe UI" w:hAnsi="Segoe UI" w:cs="Segoe UI"/>
          <w:b/>
          <w:color w:val="0070C0"/>
        </w:rPr>
        <w:t xml:space="preserve"> </w:t>
      </w:r>
      <w:r w:rsidR="002B1787" w:rsidRPr="000757BC">
        <w:rPr>
          <w:rFonts w:ascii="Segoe UI" w:hAnsi="Segoe UI" w:cs="Segoe UI"/>
          <w:b/>
          <w:color w:val="0070C0"/>
        </w:rPr>
        <w:t>– RESULTADO POR AÇÃO</w:t>
      </w:r>
    </w:p>
    <w:p w14:paraId="4A23BA7C" w14:textId="5CEBE959" w:rsidR="00116729" w:rsidRDefault="00026740" w:rsidP="00AE57D0">
      <w:pPr>
        <w:spacing w:before="240" w:after="120"/>
        <w:jc w:val="both"/>
        <w:rPr>
          <w:rFonts w:ascii="Segoe UI" w:hAnsi="Segoe UI" w:cs="Segoe UI"/>
        </w:rPr>
      </w:pPr>
      <w:r w:rsidRPr="000757BC">
        <w:rPr>
          <w:rFonts w:ascii="Segoe UI" w:hAnsi="Segoe UI" w:cs="Segoe UI"/>
        </w:rPr>
        <w:t>O resultado básico por ação é calculado mediante a divisão entre o lucro atribuível aos acionistas da Companhia e sua quantidade de ações emitidas, excluindo aquelas compradas pela Companhia e mantidas como ações em tesouraria</w:t>
      </w:r>
      <w:r w:rsidR="001B03F3">
        <w:rPr>
          <w:rFonts w:ascii="Segoe UI" w:hAnsi="Segoe UI" w:cs="Segoe UI"/>
        </w:rPr>
        <w:t>, quando aplicável</w:t>
      </w:r>
      <w:r w:rsidRPr="000757BC">
        <w:rPr>
          <w:rFonts w:ascii="Segoe UI" w:hAnsi="Segoe UI" w:cs="Segoe UI"/>
        </w:rPr>
        <w:t>. O resultado por ação básico e diluído são iguais por não haver fatores de diluição.</w:t>
      </w:r>
    </w:p>
    <w:p w14:paraId="6163EB33" w14:textId="77777777" w:rsidR="008F793B" w:rsidRDefault="008F793B">
      <w:pPr>
        <w:rPr>
          <w:rFonts w:ascii="Segoe UI" w:hAnsi="Segoe UI" w:cs="Segoe UI"/>
        </w:rPr>
      </w:pPr>
      <w:r>
        <w:rPr>
          <w:rFonts w:ascii="Segoe UI" w:hAnsi="Segoe UI" w:cs="Segoe UI"/>
        </w:rPr>
        <w:br w:type="page"/>
      </w:r>
    </w:p>
    <w:tbl>
      <w:tblPr>
        <w:tblW w:w="5000" w:type="pct"/>
        <w:tblCellMar>
          <w:left w:w="70" w:type="dxa"/>
          <w:right w:w="70" w:type="dxa"/>
        </w:tblCellMar>
        <w:tblLook w:val="04A0" w:firstRow="1" w:lastRow="0" w:firstColumn="1" w:lastColumn="0" w:noHBand="0" w:noVBand="1"/>
      </w:tblPr>
      <w:tblGrid>
        <w:gridCol w:w="5176"/>
        <w:gridCol w:w="2006"/>
        <w:gridCol w:w="2315"/>
      </w:tblGrid>
      <w:tr w:rsidR="00F56D39" w:rsidRPr="00F56D39" w14:paraId="63CCBCD5" w14:textId="77777777" w:rsidTr="00F56D39">
        <w:trPr>
          <w:trHeight w:val="255"/>
        </w:trPr>
        <w:tc>
          <w:tcPr>
            <w:tcW w:w="2725" w:type="pct"/>
            <w:vMerge w:val="restart"/>
            <w:tcBorders>
              <w:top w:val="nil"/>
              <w:left w:val="nil"/>
              <w:bottom w:val="nil"/>
              <w:right w:val="nil"/>
            </w:tcBorders>
            <w:shd w:val="clear" w:color="auto" w:fill="auto"/>
            <w:noWrap/>
            <w:vAlign w:val="center"/>
            <w:hideMark/>
          </w:tcPr>
          <w:p w14:paraId="130BB14F" w14:textId="77777777" w:rsidR="00F56D39" w:rsidRPr="00F56D39" w:rsidRDefault="00F56D39" w:rsidP="00F56D39">
            <w:pPr>
              <w:spacing w:after="0" w:line="240" w:lineRule="auto"/>
              <w:rPr>
                <w:rFonts w:ascii="Times New Roman" w:eastAsia="Times New Roman" w:hAnsi="Times New Roman" w:cs="Times New Roman"/>
                <w:sz w:val="24"/>
                <w:szCs w:val="24"/>
                <w:lang w:eastAsia="pt-BR"/>
              </w:rPr>
            </w:pPr>
          </w:p>
        </w:tc>
        <w:tc>
          <w:tcPr>
            <w:tcW w:w="1056" w:type="pct"/>
            <w:vMerge w:val="restart"/>
            <w:tcBorders>
              <w:top w:val="nil"/>
              <w:left w:val="nil"/>
              <w:bottom w:val="nil"/>
              <w:right w:val="nil"/>
            </w:tcBorders>
            <w:shd w:val="clear" w:color="auto" w:fill="auto"/>
            <w:noWrap/>
            <w:vAlign w:val="center"/>
            <w:hideMark/>
          </w:tcPr>
          <w:p w14:paraId="429DDEF8"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1219" w:type="pct"/>
            <w:tcBorders>
              <w:top w:val="nil"/>
              <w:left w:val="nil"/>
              <w:bottom w:val="nil"/>
              <w:right w:val="nil"/>
            </w:tcBorders>
            <w:shd w:val="clear" w:color="000000" w:fill="1B80C4"/>
            <w:noWrap/>
            <w:vAlign w:val="bottom"/>
            <w:hideMark/>
          </w:tcPr>
          <w:p w14:paraId="3D7F9D92"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 xml:space="preserve"> Controladora </w:t>
            </w:r>
          </w:p>
        </w:tc>
      </w:tr>
      <w:tr w:rsidR="00F56D39" w:rsidRPr="00F56D39" w14:paraId="12E0ABB5" w14:textId="77777777" w:rsidTr="00F56D39">
        <w:trPr>
          <w:trHeight w:val="240"/>
        </w:trPr>
        <w:tc>
          <w:tcPr>
            <w:tcW w:w="2725" w:type="pct"/>
            <w:vMerge/>
            <w:tcBorders>
              <w:top w:val="nil"/>
              <w:left w:val="nil"/>
              <w:bottom w:val="nil"/>
              <w:right w:val="nil"/>
            </w:tcBorders>
            <w:vAlign w:val="center"/>
            <w:hideMark/>
          </w:tcPr>
          <w:p w14:paraId="40752C91" w14:textId="77777777" w:rsidR="00F56D39" w:rsidRPr="00F56D39" w:rsidRDefault="00F56D39" w:rsidP="00F56D39">
            <w:pPr>
              <w:spacing w:after="0" w:line="240" w:lineRule="auto"/>
              <w:rPr>
                <w:rFonts w:ascii="Times New Roman" w:eastAsia="Times New Roman" w:hAnsi="Times New Roman" w:cs="Times New Roman"/>
                <w:sz w:val="24"/>
                <w:szCs w:val="24"/>
                <w:lang w:eastAsia="pt-BR"/>
              </w:rPr>
            </w:pPr>
          </w:p>
        </w:tc>
        <w:tc>
          <w:tcPr>
            <w:tcW w:w="1056" w:type="pct"/>
            <w:vMerge/>
            <w:tcBorders>
              <w:top w:val="nil"/>
              <w:left w:val="nil"/>
              <w:bottom w:val="nil"/>
              <w:right w:val="nil"/>
            </w:tcBorders>
            <w:vAlign w:val="center"/>
            <w:hideMark/>
          </w:tcPr>
          <w:p w14:paraId="6A3B93CF"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1219" w:type="pct"/>
            <w:tcBorders>
              <w:top w:val="single" w:sz="4" w:space="0" w:color="FFFFFF"/>
              <w:left w:val="nil"/>
              <w:bottom w:val="single" w:sz="4" w:space="0" w:color="FFFFFF"/>
              <w:right w:val="nil"/>
            </w:tcBorders>
            <w:shd w:val="clear" w:color="000000" w:fill="1B80C4"/>
            <w:noWrap/>
            <w:vAlign w:val="center"/>
            <w:hideMark/>
          </w:tcPr>
          <w:p w14:paraId="0AA263F0"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31/12/2022</w:t>
            </w:r>
          </w:p>
        </w:tc>
      </w:tr>
      <w:tr w:rsidR="00F56D39" w:rsidRPr="00F56D39" w14:paraId="5D346BEE" w14:textId="77777777" w:rsidTr="00F56D39">
        <w:trPr>
          <w:trHeight w:val="240"/>
        </w:trPr>
        <w:tc>
          <w:tcPr>
            <w:tcW w:w="2725" w:type="pct"/>
            <w:tcBorders>
              <w:top w:val="nil"/>
              <w:left w:val="nil"/>
              <w:bottom w:val="nil"/>
              <w:right w:val="nil"/>
            </w:tcBorders>
            <w:shd w:val="clear" w:color="auto" w:fill="auto"/>
            <w:noWrap/>
            <w:vAlign w:val="center"/>
            <w:hideMark/>
          </w:tcPr>
          <w:p w14:paraId="5027F719" w14:textId="352F9C18"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Lucro do </w:t>
            </w:r>
            <w:r w:rsidR="0049792E">
              <w:rPr>
                <w:rFonts w:ascii="Segoe UI" w:eastAsia="Times New Roman" w:hAnsi="Segoe UI" w:cs="Segoe UI"/>
                <w:color w:val="000000"/>
                <w:sz w:val="18"/>
                <w:szCs w:val="18"/>
                <w:lang w:eastAsia="pt-BR"/>
              </w:rPr>
              <w:t>exercício</w:t>
            </w:r>
          </w:p>
        </w:tc>
        <w:tc>
          <w:tcPr>
            <w:tcW w:w="1056" w:type="pct"/>
            <w:tcBorders>
              <w:top w:val="nil"/>
              <w:left w:val="nil"/>
              <w:bottom w:val="nil"/>
              <w:right w:val="nil"/>
            </w:tcBorders>
            <w:shd w:val="clear" w:color="auto" w:fill="auto"/>
            <w:noWrap/>
            <w:vAlign w:val="center"/>
            <w:hideMark/>
          </w:tcPr>
          <w:p w14:paraId="283F6AB3"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19" w:type="pct"/>
            <w:tcBorders>
              <w:top w:val="nil"/>
              <w:left w:val="nil"/>
              <w:bottom w:val="nil"/>
              <w:right w:val="nil"/>
            </w:tcBorders>
            <w:shd w:val="clear" w:color="auto" w:fill="auto"/>
            <w:vAlign w:val="center"/>
            <w:hideMark/>
          </w:tcPr>
          <w:p w14:paraId="23ED2F18" w14:textId="77777777" w:rsidR="00F56D39" w:rsidRPr="00F56D39" w:rsidRDefault="00F56D39" w:rsidP="00F56D39">
            <w:pPr>
              <w:spacing w:after="0" w:line="240" w:lineRule="auto"/>
              <w:jc w:val="right"/>
              <w:rPr>
                <w:rFonts w:ascii="Segoe UI" w:eastAsia="Times New Roman" w:hAnsi="Segoe UI" w:cs="Segoe UI"/>
                <w:sz w:val="18"/>
                <w:szCs w:val="18"/>
                <w:lang w:eastAsia="pt-BR"/>
              </w:rPr>
            </w:pPr>
            <w:r w:rsidRPr="00F56D39">
              <w:rPr>
                <w:rFonts w:ascii="Segoe UI" w:eastAsia="Times New Roman" w:hAnsi="Segoe UI" w:cs="Segoe UI"/>
                <w:sz w:val="18"/>
                <w:szCs w:val="18"/>
                <w:lang w:eastAsia="pt-BR"/>
              </w:rPr>
              <w:t>105.895</w:t>
            </w:r>
          </w:p>
        </w:tc>
      </w:tr>
      <w:tr w:rsidR="00F56D39" w:rsidRPr="00F56D39" w14:paraId="6072293F" w14:textId="77777777" w:rsidTr="00F56D39">
        <w:trPr>
          <w:trHeight w:val="255"/>
        </w:trPr>
        <w:tc>
          <w:tcPr>
            <w:tcW w:w="2725" w:type="pct"/>
            <w:tcBorders>
              <w:top w:val="nil"/>
              <w:left w:val="nil"/>
              <w:bottom w:val="nil"/>
              <w:right w:val="nil"/>
            </w:tcBorders>
            <w:shd w:val="clear" w:color="auto" w:fill="auto"/>
            <w:noWrap/>
            <w:vAlign w:val="center"/>
            <w:hideMark/>
          </w:tcPr>
          <w:p w14:paraId="3F1D7CDA"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Quantidade de ações ordinárias</w:t>
            </w:r>
          </w:p>
        </w:tc>
        <w:tc>
          <w:tcPr>
            <w:tcW w:w="1056" w:type="pct"/>
            <w:tcBorders>
              <w:top w:val="nil"/>
              <w:left w:val="nil"/>
              <w:bottom w:val="nil"/>
              <w:right w:val="nil"/>
            </w:tcBorders>
            <w:shd w:val="clear" w:color="auto" w:fill="auto"/>
            <w:noWrap/>
            <w:vAlign w:val="center"/>
            <w:hideMark/>
          </w:tcPr>
          <w:p w14:paraId="694B868B"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19" w:type="pct"/>
            <w:tcBorders>
              <w:top w:val="nil"/>
              <w:left w:val="nil"/>
              <w:bottom w:val="nil"/>
              <w:right w:val="nil"/>
            </w:tcBorders>
            <w:shd w:val="clear" w:color="auto" w:fill="auto"/>
            <w:vAlign w:val="center"/>
            <w:hideMark/>
          </w:tcPr>
          <w:p w14:paraId="11756A0D"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4.000.000.000</w:t>
            </w:r>
          </w:p>
        </w:tc>
      </w:tr>
      <w:tr w:rsidR="00F56D39" w:rsidRPr="00F56D39" w14:paraId="105F6C81" w14:textId="77777777" w:rsidTr="00F56D39">
        <w:trPr>
          <w:trHeight w:val="240"/>
        </w:trPr>
        <w:tc>
          <w:tcPr>
            <w:tcW w:w="2725" w:type="pct"/>
            <w:tcBorders>
              <w:top w:val="nil"/>
              <w:left w:val="nil"/>
              <w:bottom w:val="nil"/>
              <w:right w:val="nil"/>
            </w:tcBorders>
            <w:shd w:val="clear" w:color="auto" w:fill="auto"/>
            <w:noWrap/>
            <w:vAlign w:val="center"/>
            <w:hideMark/>
          </w:tcPr>
          <w:p w14:paraId="16A53C64"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Resultado por ação básico e diluído (R$)</w:t>
            </w:r>
          </w:p>
        </w:tc>
        <w:tc>
          <w:tcPr>
            <w:tcW w:w="1056" w:type="pct"/>
            <w:tcBorders>
              <w:top w:val="nil"/>
              <w:left w:val="nil"/>
              <w:bottom w:val="nil"/>
              <w:right w:val="nil"/>
            </w:tcBorders>
            <w:shd w:val="clear" w:color="auto" w:fill="auto"/>
            <w:noWrap/>
            <w:vAlign w:val="center"/>
            <w:hideMark/>
          </w:tcPr>
          <w:p w14:paraId="5C0A8E62"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19" w:type="pct"/>
            <w:tcBorders>
              <w:top w:val="nil"/>
              <w:left w:val="nil"/>
              <w:bottom w:val="nil"/>
              <w:right w:val="nil"/>
            </w:tcBorders>
            <w:shd w:val="clear" w:color="auto" w:fill="auto"/>
            <w:vAlign w:val="center"/>
            <w:hideMark/>
          </w:tcPr>
          <w:p w14:paraId="1C053F70"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0,02647375</w:t>
            </w:r>
          </w:p>
        </w:tc>
      </w:tr>
      <w:tr w:rsidR="00F56D39" w:rsidRPr="00F56D39" w14:paraId="6390A5AB" w14:textId="77777777" w:rsidTr="00F56D39">
        <w:trPr>
          <w:trHeight w:val="240"/>
        </w:trPr>
        <w:tc>
          <w:tcPr>
            <w:tcW w:w="2725" w:type="pct"/>
            <w:tcBorders>
              <w:top w:val="nil"/>
              <w:left w:val="nil"/>
              <w:bottom w:val="nil"/>
              <w:right w:val="nil"/>
            </w:tcBorders>
            <w:shd w:val="clear" w:color="auto" w:fill="auto"/>
            <w:noWrap/>
            <w:vAlign w:val="bottom"/>
            <w:hideMark/>
          </w:tcPr>
          <w:p w14:paraId="37D248E9"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p>
        </w:tc>
        <w:tc>
          <w:tcPr>
            <w:tcW w:w="1056" w:type="pct"/>
            <w:tcBorders>
              <w:top w:val="nil"/>
              <w:left w:val="nil"/>
              <w:bottom w:val="nil"/>
              <w:right w:val="nil"/>
            </w:tcBorders>
            <w:shd w:val="clear" w:color="auto" w:fill="auto"/>
            <w:noWrap/>
            <w:vAlign w:val="bottom"/>
            <w:hideMark/>
          </w:tcPr>
          <w:p w14:paraId="1943E764"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1219" w:type="pct"/>
            <w:tcBorders>
              <w:top w:val="nil"/>
              <w:left w:val="nil"/>
              <w:bottom w:val="nil"/>
              <w:right w:val="nil"/>
            </w:tcBorders>
            <w:shd w:val="clear" w:color="auto" w:fill="auto"/>
            <w:noWrap/>
            <w:vAlign w:val="bottom"/>
            <w:hideMark/>
          </w:tcPr>
          <w:p w14:paraId="5D10AB83"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r>
    </w:tbl>
    <w:p w14:paraId="59583964" w14:textId="5D21358A" w:rsidR="002B1787" w:rsidRPr="000757BC" w:rsidRDefault="00D775C7" w:rsidP="00E75446">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3</w:t>
      </w:r>
      <w:r w:rsidR="002A4E82">
        <w:rPr>
          <w:rFonts w:ascii="Segoe UI" w:hAnsi="Segoe UI" w:cs="Segoe UI"/>
          <w:b/>
          <w:color w:val="0070C0"/>
        </w:rPr>
        <w:t>1</w:t>
      </w:r>
      <w:r w:rsidR="00AD7DA9" w:rsidRPr="000757BC">
        <w:rPr>
          <w:rFonts w:ascii="Segoe UI" w:hAnsi="Segoe UI" w:cs="Segoe UI"/>
          <w:b/>
          <w:color w:val="0070C0"/>
        </w:rPr>
        <w:t xml:space="preserve"> </w:t>
      </w:r>
      <w:r w:rsidR="002B1787" w:rsidRPr="000757BC">
        <w:rPr>
          <w:rFonts w:ascii="Segoe UI" w:hAnsi="Segoe UI" w:cs="Segoe UI"/>
          <w:b/>
          <w:color w:val="0070C0"/>
        </w:rPr>
        <w:t>– INSTRUMENTOS FINANCEIROS E GESTÃO DE RISCOS</w:t>
      </w:r>
    </w:p>
    <w:p w14:paraId="289EA5D8" w14:textId="209D731C" w:rsidR="00731315" w:rsidRPr="000757BC" w:rsidRDefault="00AD7DA9" w:rsidP="005C2926">
      <w:pPr>
        <w:pStyle w:val="Default"/>
        <w:spacing w:after="160"/>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31315" w:rsidRPr="000757BC">
        <w:rPr>
          <w:rFonts w:ascii="Segoe UI" w:eastAsiaTheme="minorHAnsi" w:hAnsi="Segoe UI" w:cs="Segoe UI"/>
          <w:b/>
          <w:bCs/>
          <w:color w:val="0070C0"/>
          <w:sz w:val="22"/>
          <w:szCs w:val="22"/>
          <w:lang w:eastAsia="en-US"/>
        </w:rPr>
        <w:t>.1</w:t>
      </w:r>
      <w:r w:rsidR="00A0648E" w:rsidRPr="000757BC">
        <w:rPr>
          <w:rFonts w:ascii="Segoe UI" w:eastAsiaTheme="minorHAnsi" w:hAnsi="Segoe UI" w:cs="Segoe UI"/>
          <w:b/>
          <w:bCs/>
          <w:color w:val="0070C0"/>
          <w:sz w:val="22"/>
          <w:szCs w:val="22"/>
          <w:lang w:eastAsia="en-US"/>
        </w:rPr>
        <w:t xml:space="preserve"> – </w:t>
      </w:r>
      <w:r w:rsidR="00731315" w:rsidRPr="000757BC">
        <w:rPr>
          <w:rFonts w:ascii="Segoe UI" w:eastAsiaTheme="minorHAnsi" w:hAnsi="Segoe UI" w:cs="Segoe UI"/>
          <w:b/>
          <w:bCs/>
          <w:color w:val="0070C0"/>
          <w:sz w:val="22"/>
          <w:szCs w:val="22"/>
          <w:lang w:eastAsia="en-US"/>
        </w:rPr>
        <w:t xml:space="preserve">Gestão do </w:t>
      </w:r>
      <w:r w:rsidR="003D712C">
        <w:rPr>
          <w:rFonts w:ascii="Segoe UI" w:eastAsiaTheme="minorHAnsi" w:hAnsi="Segoe UI" w:cs="Segoe UI"/>
          <w:b/>
          <w:bCs/>
          <w:color w:val="0070C0"/>
          <w:sz w:val="22"/>
          <w:szCs w:val="22"/>
          <w:lang w:eastAsia="en-US"/>
        </w:rPr>
        <w:t>r</w:t>
      </w:r>
      <w:r w:rsidR="00731315" w:rsidRPr="000757BC">
        <w:rPr>
          <w:rFonts w:ascii="Segoe UI" w:eastAsiaTheme="minorHAnsi" w:hAnsi="Segoe UI" w:cs="Segoe UI"/>
          <w:b/>
          <w:bCs/>
          <w:color w:val="0070C0"/>
          <w:sz w:val="22"/>
          <w:szCs w:val="22"/>
          <w:lang w:eastAsia="en-US"/>
        </w:rPr>
        <w:t xml:space="preserve">isco de </w:t>
      </w:r>
      <w:r w:rsidR="003D712C">
        <w:rPr>
          <w:rFonts w:ascii="Segoe UI" w:eastAsiaTheme="minorHAnsi" w:hAnsi="Segoe UI" w:cs="Segoe UI"/>
          <w:b/>
          <w:bCs/>
          <w:color w:val="0070C0"/>
          <w:sz w:val="22"/>
          <w:szCs w:val="22"/>
          <w:lang w:eastAsia="en-US"/>
        </w:rPr>
        <w:t>c</w:t>
      </w:r>
      <w:r w:rsidR="00731315" w:rsidRPr="000757BC">
        <w:rPr>
          <w:rFonts w:ascii="Segoe UI" w:eastAsiaTheme="minorHAnsi" w:hAnsi="Segoe UI" w:cs="Segoe UI"/>
          <w:b/>
          <w:bCs/>
          <w:color w:val="0070C0"/>
          <w:sz w:val="22"/>
          <w:szCs w:val="22"/>
          <w:lang w:eastAsia="en-US"/>
        </w:rPr>
        <w:t xml:space="preserve">apital </w:t>
      </w:r>
    </w:p>
    <w:p w14:paraId="694D144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D0ED1B6"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C9013A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E4DB92A"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6C56A82"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E93C66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630558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74F227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1EB29F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5B6D68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250F08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629468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884C70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8D3FA4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7368D5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02D8A74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C955D6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92DFF4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4A65D99"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D616928"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D0C14A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381EEF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AB9437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05DD584"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0AD5060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95491DC"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C6C669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5A75A48"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03F704C"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CC3DBEA"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0D884B6"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D6818C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D8A676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1AD926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AD5D41A" w14:textId="3B8DC03A" w:rsidR="00AD5C2E" w:rsidRPr="000757BC" w:rsidRDefault="00731315" w:rsidP="00AE57D0">
      <w:pPr>
        <w:spacing w:before="240" w:after="120"/>
        <w:jc w:val="both"/>
        <w:rPr>
          <w:rFonts w:ascii="Segoe UI" w:hAnsi="Segoe UI" w:cs="Segoe UI"/>
          <w:lang w:eastAsia="pt-BR"/>
        </w:rPr>
      </w:pPr>
      <w:r w:rsidRPr="000757BC">
        <w:rPr>
          <w:rFonts w:ascii="Segoe UI" w:hAnsi="Segoe UI" w:cs="Segoe UI"/>
        </w:rPr>
        <w:t>Condizente com outras companhias do setor, a</w:t>
      </w:r>
      <w:r w:rsidR="00E52006" w:rsidRPr="000757BC">
        <w:rPr>
          <w:rFonts w:ascii="Segoe UI" w:hAnsi="Segoe UI" w:cs="Segoe UI"/>
        </w:rPr>
        <w:t xml:space="preserve"> 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monitora</w:t>
      </w:r>
      <w:r w:rsidR="0014417D" w:rsidRPr="000757BC">
        <w:rPr>
          <w:rFonts w:ascii="Segoe UI" w:hAnsi="Segoe UI" w:cs="Segoe UI"/>
        </w:rPr>
        <w:t>m</w:t>
      </w:r>
      <w:r w:rsidRPr="000757BC">
        <w:rPr>
          <w:rFonts w:ascii="Segoe UI" w:hAnsi="Segoe UI" w:cs="Segoe UI"/>
        </w:rPr>
        <w:t xml:space="preserve"> o capital com base no índice de alavancagem financeira. Esse índice corresponde à exposição líquida dividida pelo capital total. A dívida líquida, por sua vez, corresponde ao total de empréstimos e fina</w:t>
      </w:r>
      <w:r w:rsidR="00354CB1" w:rsidRPr="000757BC">
        <w:rPr>
          <w:rFonts w:ascii="Segoe UI" w:hAnsi="Segoe UI" w:cs="Segoe UI"/>
        </w:rPr>
        <w:t>n</w:t>
      </w:r>
      <w:r w:rsidRPr="000757BC">
        <w:rPr>
          <w:rFonts w:ascii="Segoe UI" w:hAnsi="Segoe UI" w:cs="Segoe UI"/>
        </w:rPr>
        <w:t>ciamentos de curto e longo prazos, apresentados na nota</w:t>
      </w:r>
      <w:r w:rsidR="00AC42F1">
        <w:rPr>
          <w:rFonts w:ascii="Segoe UI" w:hAnsi="Segoe UI" w:cs="Segoe UI"/>
        </w:rPr>
        <w:t xml:space="preserve"> explicativa</w:t>
      </w:r>
      <w:r w:rsidRPr="000757BC">
        <w:rPr>
          <w:rFonts w:ascii="Segoe UI" w:hAnsi="Segoe UI" w:cs="Segoe UI"/>
        </w:rPr>
        <w:t xml:space="preserve"> </w:t>
      </w:r>
      <w:r w:rsidR="00A32C1C" w:rsidRPr="000757BC">
        <w:rPr>
          <w:rFonts w:ascii="Segoe UI" w:hAnsi="Segoe UI" w:cs="Segoe UI"/>
        </w:rPr>
        <w:t>1</w:t>
      </w:r>
      <w:r w:rsidR="000656CC">
        <w:rPr>
          <w:rFonts w:ascii="Segoe UI" w:hAnsi="Segoe UI" w:cs="Segoe UI"/>
        </w:rPr>
        <w:t>6</w:t>
      </w:r>
      <w:r w:rsidRPr="000757BC">
        <w:rPr>
          <w:rFonts w:ascii="Segoe UI" w:hAnsi="Segoe UI" w:cs="Segoe UI"/>
        </w:rPr>
        <w:t>, subtraído do montante de caixa e equivalentes de caixa e títulos e valores mobiliários, apresentados nas nota</w:t>
      </w:r>
      <w:r w:rsidR="00AC42F1">
        <w:rPr>
          <w:rFonts w:ascii="Segoe UI" w:hAnsi="Segoe UI" w:cs="Segoe UI"/>
        </w:rPr>
        <w:t>s explicativas</w:t>
      </w:r>
      <w:r w:rsidRPr="000757BC">
        <w:rPr>
          <w:rFonts w:ascii="Segoe UI" w:hAnsi="Segoe UI" w:cs="Segoe UI"/>
        </w:rPr>
        <w:t xml:space="preserve"> </w:t>
      </w:r>
      <w:r w:rsidR="008361CF" w:rsidRPr="000757BC">
        <w:rPr>
          <w:rFonts w:ascii="Segoe UI" w:hAnsi="Segoe UI" w:cs="Segoe UI"/>
        </w:rPr>
        <w:t xml:space="preserve">4 </w:t>
      </w:r>
      <w:r w:rsidR="00E75271" w:rsidRPr="000757BC">
        <w:rPr>
          <w:rFonts w:ascii="Segoe UI" w:hAnsi="Segoe UI" w:cs="Segoe UI"/>
        </w:rPr>
        <w:t>e 5</w:t>
      </w:r>
      <w:r w:rsidRPr="000757BC">
        <w:rPr>
          <w:rFonts w:ascii="Segoe UI" w:hAnsi="Segoe UI" w:cs="Segoe UI"/>
        </w:rPr>
        <w:t>. O capital total é apurado através da soma do patrimônio líquido, conforme demonstrado no balanço patrimonial consolidado, com a dívida líquida.</w:t>
      </w:r>
    </w:p>
    <w:tbl>
      <w:tblPr>
        <w:tblW w:w="5000" w:type="pct"/>
        <w:tblCellMar>
          <w:left w:w="70" w:type="dxa"/>
          <w:right w:w="70" w:type="dxa"/>
        </w:tblCellMar>
        <w:tblLook w:val="04A0" w:firstRow="1" w:lastRow="0" w:firstColumn="1" w:lastColumn="0" w:noHBand="0" w:noVBand="1"/>
      </w:tblPr>
      <w:tblGrid>
        <w:gridCol w:w="5172"/>
        <w:gridCol w:w="2004"/>
        <w:gridCol w:w="2321"/>
      </w:tblGrid>
      <w:tr w:rsidR="00F56D39" w:rsidRPr="00F56D39" w14:paraId="0409A08E" w14:textId="77777777" w:rsidTr="00F56D39">
        <w:trPr>
          <w:trHeight w:val="255"/>
        </w:trPr>
        <w:tc>
          <w:tcPr>
            <w:tcW w:w="2723" w:type="pct"/>
            <w:tcBorders>
              <w:top w:val="nil"/>
              <w:left w:val="nil"/>
              <w:bottom w:val="nil"/>
              <w:right w:val="nil"/>
            </w:tcBorders>
            <w:shd w:val="clear" w:color="auto" w:fill="auto"/>
            <w:noWrap/>
            <w:vAlign w:val="bottom"/>
            <w:hideMark/>
          </w:tcPr>
          <w:p w14:paraId="2633E8C3" w14:textId="77777777" w:rsidR="00F56D39" w:rsidRPr="00F56D39" w:rsidRDefault="00F56D39" w:rsidP="00F56D39">
            <w:pPr>
              <w:spacing w:after="0" w:line="240" w:lineRule="auto"/>
              <w:rPr>
                <w:rFonts w:ascii="Times New Roman" w:eastAsia="Times New Roman" w:hAnsi="Times New Roman" w:cs="Times New Roman"/>
                <w:sz w:val="24"/>
                <w:szCs w:val="24"/>
                <w:lang w:eastAsia="pt-BR"/>
              </w:rPr>
            </w:pPr>
          </w:p>
        </w:tc>
        <w:tc>
          <w:tcPr>
            <w:tcW w:w="1055" w:type="pct"/>
            <w:tcBorders>
              <w:top w:val="nil"/>
              <w:left w:val="nil"/>
              <w:bottom w:val="nil"/>
              <w:right w:val="nil"/>
            </w:tcBorders>
            <w:shd w:val="clear" w:color="auto" w:fill="auto"/>
            <w:noWrap/>
            <w:vAlign w:val="bottom"/>
            <w:hideMark/>
          </w:tcPr>
          <w:p w14:paraId="30755895"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1222" w:type="pct"/>
            <w:tcBorders>
              <w:top w:val="nil"/>
              <w:left w:val="nil"/>
              <w:bottom w:val="nil"/>
              <w:right w:val="nil"/>
            </w:tcBorders>
            <w:shd w:val="clear" w:color="000000" w:fill="1B80C4"/>
            <w:noWrap/>
            <w:vAlign w:val="bottom"/>
            <w:hideMark/>
          </w:tcPr>
          <w:p w14:paraId="20D41A82"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 xml:space="preserve"> Consolidado </w:t>
            </w:r>
          </w:p>
        </w:tc>
      </w:tr>
      <w:tr w:rsidR="00F56D39" w:rsidRPr="00F56D39" w14:paraId="0F174D4D" w14:textId="77777777" w:rsidTr="00F56D39">
        <w:trPr>
          <w:trHeight w:val="240"/>
        </w:trPr>
        <w:tc>
          <w:tcPr>
            <w:tcW w:w="2723" w:type="pct"/>
            <w:tcBorders>
              <w:top w:val="nil"/>
              <w:left w:val="nil"/>
              <w:bottom w:val="nil"/>
              <w:right w:val="nil"/>
            </w:tcBorders>
            <w:shd w:val="clear" w:color="auto" w:fill="auto"/>
            <w:noWrap/>
            <w:vAlign w:val="center"/>
            <w:hideMark/>
          </w:tcPr>
          <w:p w14:paraId="00612B53"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p>
        </w:tc>
        <w:tc>
          <w:tcPr>
            <w:tcW w:w="1055" w:type="pct"/>
            <w:tcBorders>
              <w:top w:val="nil"/>
              <w:left w:val="nil"/>
              <w:bottom w:val="nil"/>
              <w:right w:val="nil"/>
            </w:tcBorders>
            <w:shd w:val="clear" w:color="auto" w:fill="auto"/>
            <w:noWrap/>
            <w:vAlign w:val="center"/>
            <w:hideMark/>
          </w:tcPr>
          <w:p w14:paraId="2AC7CA6C"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1222" w:type="pct"/>
            <w:tcBorders>
              <w:top w:val="single" w:sz="4" w:space="0" w:color="FFFFFF"/>
              <w:left w:val="nil"/>
              <w:bottom w:val="single" w:sz="4" w:space="0" w:color="FFFFFF"/>
              <w:right w:val="nil"/>
            </w:tcBorders>
            <w:shd w:val="clear" w:color="000000" w:fill="1B80C4"/>
            <w:noWrap/>
            <w:vAlign w:val="center"/>
            <w:hideMark/>
          </w:tcPr>
          <w:p w14:paraId="4DAD5EB6"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31/12/2022</w:t>
            </w:r>
          </w:p>
        </w:tc>
      </w:tr>
      <w:tr w:rsidR="00F56D39" w:rsidRPr="00F56D39" w14:paraId="0A2C70E2" w14:textId="77777777" w:rsidTr="00F56D39">
        <w:trPr>
          <w:trHeight w:val="240"/>
        </w:trPr>
        <w:tc>
          <w:tcPr>
            <w:tcW w:w="2723" w:type="pct"/>
            <w:tcBorders>
              <w:top w:val="nil"/>
              <w:left w:val="nil"/>
              <w:bottom w:val="nil"/>
              <w:right w:val="nil"/>
            </w:tcBorders>
            <w:shd w:val="clear" w:color="auto" w:fill="auto"/>
            <w:noWrap/>
            <w:vAlign w:val="center"/>
            <w:hideMark/>
          </w:tcPr>
          <w:p w14:paraId="0BFD4D01"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Total dos empréstimos e financiamentos</w:t>
            </w:r>
          </w:p>
        </w:tc>
        <w:tc>
          <w:tcPr>
            <w:tcW w:w="1055" w:type="pct"/>
            <w:tcBorders>
              <w:top w:val="nil"/>
              <w:left w:val="nil"/>
              <w:bottom w:val="nil"/>
              <w:right w:val="nil"/>
            </w:tcBorders>
            <w:shd w:val="clear" w:color="auto" w:fill="auto"/>
            <w:noWrap/>
            <w:vAlign w:val="center"/>
            <w:hideMark/>
          </w:tcPr>
          <w:p w14:paraId="0F7FE486"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22" w:type="pct"/>
            <w:tcBorders>
              <w:top w:val="nil"/>
              <w:left w:val="nil"/>
              <w:bottom w:val="nil"/>
              <w:right w:val="nil"/>
            </w:tcBorders>
            <w:shd w:val="clear" w:color="auto" w:fill="auto"/>
            <w:noWrap/>
            <w:vAlign w:val="center"/>
            <w:hideMark/>
          </w:tcPr>
          <w:p w14:paraId="386EB542"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7.132.619 </w:t>
            </w:r>
          </w:p>
        </w:tc>
      </w:tr>
      <w:tr w:rsidR="00F56D39" w:rsidRPr="00F56D39" w14:paraId="5F7173B1" w14:textId="77777777" w:rsidTr="00F56D39">
        <w:trPr>
          <w:trHeight w:val="240"/>
        </w:trPr>
        <w:tc>
          <w:tcPr>
            <w:tcW w:w="2723" w:type="pct"/>
            <w:tcBorders>
              <w:top w:val="nil"/>
              <w:left w:val="nil"/>
              <w:bottom w:val="nil"/>
              <w:right w:val="nil"/>
            </w:tcBorders>
            <w:shd w:val="clear" w:color="auto" w:fill="auto"/>
            <w:noWrap/>
            <w:vAlign w:val="center"/>
            <w:hideMark/>
          </w:tcPr>
          <w:p w14:paraId="65F341A6"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Caixa e equivalentes de caixa</w:t>
            </w:r>
          </w:p>
        </w:tc>
        <w:tc>
          <w:tcPr>
            <w:tcW w:w="1055" w:type="pct"/>
            <w:tcBorders>
              <w:top w:val="nil"/>
              <w:left w:val="nil"/>
              <w:bottom w:val="nil"/>
              <w:right w:val="nil"/>
            </w:tcBorders>
            <w:shd w:val="clear" w:color="auto" w:fill="auto"/>
            <w:noWrap/>
            <w:vAlign w:val="center"/>
            <w:hideMark/>
          </w:tcPr>
          <w:p w14:paraId="402A7C4F"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22" w:type="pct"/>
            <w:tcBorders>
              <w:top w:val="nil"/>
              <w:left w:val="nil"/>
              <w:bottom w:val="nil"/>
              <w:right w:val="nil"/>
            </w:tcBorders>
            <w:shd w:val="clear" w:color="auto" w:fill="auto"/>
            <w:noWrap/>
            <w:vAlign w:val="center"/>
            <w:hideMark/>
          </w:tcPr>
          <w:p w14:paraId="38EFB7F8"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(2.611.889)</w:t>
            </w:r>
          </w:p>
        </w:tc>
      </w:tr>
      <w:tr w:rsidR="00F56D39" w:rsidRPr="00F56D39" w14:paraId="1130E779" w14:textId="77777777" w:rsidTr="00F56D39">
        <w:trPr>
          <w:trHeight w:val="240"/>
        </w:trPr>
        <w:tc>
          <w:tcPr>
            <w:tcW w:w="2723" w:type="pct"/>
            <w:tcBorders>
              <w:top w:val="nil"/>
              <w:left w:val="nil"/>
              <w:bottom w:val="nil"/>
              <w:right w:val="nil"/>
            </w:tcBorders>
            <w:shd w:val="clear" w:color="auto" w:fill="auto"/>
            <w:noWrap/>
            <w:vAlign w:val="center"/>
            <w:hideMark/>
          </w:tcPr>
          <w:p w14:paraId="1E703BE6"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Títulos e valores mobiliários (CP)</w:t>
            </w:r>
          </w:p>
        </w:tc>
        <w:tc>
          <w:tcPr>
            <w:tcW w:w="1055" w:type="pct"/>
            <w:tcBorders>
              <w:top w:val="nil"/>
              <w:left w:val="nil"/>
              <w:bottom w:val="nil"/>
              <w:right w:val="nil"/>
            </w:tcBorders>
            <w:shd w:val="clear" w:color="auto" w:fill="auto"/>
            <w:noWrap/>
            <w:vAlign w:val="center"/>
            <w:hideMark/>
          </w:tcPr>
          <w:p w14:paraId="52B69DED"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22" w:type="pct"/>
            <w:tcBorders>
              <w:top w:val="nil"/>
              <w:left w:val="nil"/>
              <w:bottom w:val="single" w:sz="4" w:space="0" w:color="1B80C4"/>
              <w:right w:val="nil"/>
            </w:tcBorders>
            <w:shd w:val="clear" w:color="auto" w:fill="auto"/>
            <w:noWrap/>
            <w:vAlign w:val="center"/>
            <w:hideMark/>
          </w:tcPr>
          <w:p w14:paraId="42D56FDA"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(2.754.126)</w:t>
            </w:r>
          </w:p>
        </w:tc>
      </w:tr>
      <w:tr w:rsidR="00F56D39" w:rsidRPr="00F56D39" w14:paraId="032D9B36" w14:textId="77777777" w:rsidTr="00F56D39">
        <w:trPr>
          <w:trHeight w:val="240"/>
        </w:trPr>
        <w:tc>
          <w:tcPr>
            <w:tcW w:w="2723" w:type="pct"/>
            <w:tcBorders>
              <w:top w:val="nil"/>
              <w:left w:val="nil"/>
              <w:bottom w:val="nil"/>
              <w:right w:val="nil"/>
            </w:tcBorders>
            <w:shd w:val="clear" w:color="auto" w:fill="auto"/>
            <w:noWrap/>
            <w:vAlign w:val="center"/>
            <w:hideMark/>
          </w:tcPr>
          <w:p w14:paraId="1C2CC84E"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Exposição líquida</w:t>
            </w:r>
          </w:p>
        </w:tc>
        <w:tc>
          <w:tcPr>
            <w:tcW w:w="1055" w:type="pct"/>
            <w:tcBorders>
              <w:top w:val="nil"/>
              <w:left w:val="nil"/>
              <w:bottom w:val="nil"/>
              <w:right w:val="nil"/>
            </w:tcBorders>
            <w:shd w:val="clear" w:color="auto" w:fill="auto"/>
            <w:noWrap/>
            <w:vAlign w:val="center"/>
            <w:hideMark/>
          </w:tcPr>
          <w:p w14:paraId="7D0D066A"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1222" w:type="pct"/>
            <w:tcBorders>
              <w:top w:val="nil"/>
              <w:left w:val="nil"/>
              <w:bottom w:val="nil"/>
              <w:right w:val="nil"/>
            </w:tcBorders>
            <w:shd w:val="clear" w:color="auto" w:fill="auto"/>
            <w:noWrap/>
            <w:vAlign w:val="center"/>
            <w:hideMark/>
          </w:tcPr>
          <w:p w14:paraId="77BC058B"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1.766.604 </w:t>
            </w:r>
          </w:p>
        </w:tc>
      </w:tr>
      <w:tr w:rsidR="00F56D39" w:rsidRPr="00F56D39" w14:paraId="54EC3FA9" w14:textId="77777777" w:rsidTr="00F56D39">
        <w:trPr>
          <w:trHeight w:val="480"/>
        </w:trPr>
        <w:tc>
          <w:tcPr>
            <w:tcW w:w="2723" w:type="pct"/>
            <w:tcBorders>
              <w:top w:val="nil"/>
              <w:left w:val="nil"/>
              <w:bottom w:val="nil"/>
              <w:right w:val="nil"/>
            </w:tcBorders>
            <w:shd w:val="clear" w:color="auto" w:fill="auto"/>
            <w:vAlign w:val="center"/>
            <w:hideMark/>
          </w:tcPr>
          <w:p w14:paraId="07A827E2"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Total do Patrimônio líquido mais a participação de não controladores</w:t>
            </w:r>
          </w:p>
        </w:tc>
        <w:tc>
          <w:tcPr>
            <w:tcW w:w="1055" w:type="pct"/>
            <w:tcBorders>
              <w:top w:val="nil"/>
              <w:left w:val="nil"/>
              <w:bottom w:val="nil"/>
              <w:right w:val="nil"/>
            </w:tcBorders>
            <w:shd w:val="clear" w:color="auto" w:fill="auto"/>
            <w:noWrap/>
            <w:vAlign w:val="center"/>
            <w:hideMark/>
          </w:tcPr>
          <w:p w14:paraId="590EC499"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22" w:type="pct"/>
            <w:tcBorders>
              <w:top w:val="nil"/>
              <w:left w:val="nil"/>
              <w:bottom w:val="single" w:sz="4" w:space="0" w:color="1B80C4"/>
              <w:right w:val="nil"/>
            </w:tcBorders>
            <w:shd w:val="clear" w:color="auto" w:fill="auto"/>
            <w:noWrap/>
            <w:vAlign w:val="center"/>
            <w:hideMark/>
          </w:tcPr>
          <w:p w14:paraId="2698F498"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13.718.693 </w:t>
            </w:r>
          </w:p>
        </w:tc>
      </w:tr>
      <w:tr w:rsidR="00F56D39" w:rsidRPr="00F56D39" w14:paraId="39252661" w14:textId="77777777" w:rsidTr="00F56D39">
        <w:trPr>
          <w:trHeight w:val="240"/>
        </w:trPr>
        <w:tc>
          <w:tcPr>
            <w:tcW w:w="2723" w:type="pct"/>
            <w:tcBorders>
              <w:top w:val="nil"/>
              <w:left w:val="nil"/>
              <w:bottom w:val="nil"/>
              <w:right w:val="nil"/>
            </w:tcBorders>
            <w:shd w:val="clear" w:color="auto" w:fill="auto"/>
            <w:noWrap/>
            <w:vAlign w:val="center"/>
            <w:hideMark/>
          </w:tcPr>
          <w:p w14:paraId="06532B70"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Total do capital</w:t>
            </w:r>
          </w:p>
        </w:tc>
        <w:tc>
          <w:tcPr>
            <w:tcW w:w="1055" w:type="pct"/>
            <w:tcBorders>
              <w:top w:val="nil"/>
              <w:left w:val="nil"/>
              <w:bottom w:val="nil"/>
              <w:right w:val="nil"/>
            </w:tcBorders>
            <w:shd w:val="clear" w:color="auto" w:fill="auto"/>
            <w:noWrap/>
            <w:vAlign w:val="center"/>
            <w:hideMark/>
          </w:tcPr>
          <w:p w14:paraId="3FB61086"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1222" w:type="pct"/>
            <w:tcBorders>
              <w:top w:val="nil"/>
              <w:left w:val="nil"/>
              <w:bottom w:val="nil"/>
              <w:right w:val="nil"/>
            </w:tcBorders>
            <w:shd w:val="clear" w:color="auto" w:fill="auto"/>
            <w:noWrap/>
            <w:vAlign w:val="center"/>
            <w:hideMark/>
          </w:tcPr>
          <w:p w14:paraId="46A4BE4B"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15.485.297 </w:t>
            </w:r>
          </w:p>
        </w:tc>
      </w:tr>
      <w:tr w:rsidR="00F56D39" w:rsidRPr="00F56D39" w14:paraId="29FD396A" w14:textId="77777777" w:rsidTr="00F56D39">
        <w:trPr>
          <w:trHeight w:val="240"/>
        </w:trPr>
        <w:tc>
          <w:tcPr>
            <w:tcW w:w="2723" w:type="pct"/>
            <w:tcBorders>
              <w:top w:val="nil"/>
              <w:left w:val="nil"/>
              <w:bottom w:val="nil"/>
              <w:right w:val="nil"/>
            </w:tcBorders>
            <w:shd w:val="clear" w:color="auto" w:fill="auto"/>
            <w:noWrap/>
            <w:vAlign w:val="center"/>
            <w:hideMark/>
          </w:tcPr>
          <w:p w14:paraId="613E16A0"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Índice de alavancagem financeira</w:t>
            </w:r>
          </w:p>
        </w:tc>
        <w:tc>
          <w:tcPr>
            <w:tcW w:w="1055" w:type="pct"/>
            <w:tcBorders>
              <w:top w:val="nil"/>
              <w:left w:val="nil"/>
              <w:bottom w:val="nil"/>
              <w:right w:val="nil"/>
            </w:tcBorders>
            <w:shd w:val="clear" w:color="auto" w:fill="auto"/>
            <w:noWrap/>
            <w:vAlign w:val="center"/>
            <w:hideMark/>
          </w:tcPr>
          <w:p w14:paraId="25F6EB97"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1222" w:type="pct"/>
            <w:tcBorders>
              <w:top w:val="nil"/>
              <w:left w:val="nil"/>
              <w:bottom w:val="nil"/>
              <w:right w:val="nil"/>
            </w:tcBorders>
            <w:shd w:val="clear" w:color="auto" w:fill="auto"/>
            <w:noWrap/>
            <w:vAlign w:val="center"/>
            <w:hideMark/>
          </w:tcPr>
          <w:p w14:paraId="0CB8D62D"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11%</w:t>
            </w:r>
          </w:p>
        </w:tc>
      </w:tr>
    </w:tbl>
    <w:p w14:paraId="7858F862" w14:textId="77777777" w:rsidR="00A0648E" w:rsidRPr="000757BC" w:rsidRDefault="00A0648E" w:rsidP="00C144BB">
      <w:pPr>
        <w:spacing w:after="0"/>
        <w:rPr>
          <w:rFonts w:ascii="Segoe UI" w:hAnsi="Segoe UI" w:cs="Segoe UI"/>
          <w:noProof/>
          <w:lang w:eastAsia="pt-BR"/>
        </w:rPr>
      </w:pPr>
    </w:p>
    <w:p w14:paraId="083DD106" w14:textId="1DC9748F"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A0648E" w:rsidRPr="000757BC">
        <w:rPr>
          <w:rFonts w:ascii="Segoe UI" w:eastAsiaTheme="minorHAnsi" w:hAnsi="Segoe UI" w:cs="Segoe UI"/>
          <w:b/>
          <w:bCs/>
          <w:color w:val="0070C0"/>
          <w:sz w:val="22"/>
          <w:szCs w:val="22"/>
          <w:lang w:eastAsia="en-US"/>
        </w:rPr>
        <w:t>.2 – Classificação por categoria de instrumentos financeiros</w:t>
      </w:r>
    </w:p>
    <w:p w14:paraId="46888BC0" w14:textId="48EEDB85"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 xml:space="preserve">A classificação dos ativos financeiros depende do modelo de negócio para gestão e das características do fluxo de caixa contratual. </w:t>
      </w:r>
      <w:r w:rsidR="00E52006" w:rsidRPr="00E52006">
        <w:rPr>
          <w:rFonts w:ascii="Segoe UI" w:hAnsi="Segoe UI" w:cs="Segoe UI"/>
          <w:sz w:val="22"/>
          <w:szCs w:val="22"/>
        </w:rPr>
        <w:t>A Companhia e suas controladas</w:t>
      </w:r>
      <w:r w:rsidR="00E52006" w:rsidRPr="000757BC">
        <w:rPr>
          <w:rFonts w:ascii="Segoe UI" w:hAnsi="Segoe UI" w:cs="Segoe UI"/>
        </w:rPr>
        <w:t xml:space="preserve"> </w:t>
      </w:r>
      <w:r w:rsidRPr="000757BC">
        <w:rPr>
          <w:rFonts w:ascii="Segoe UI" w:hAnsi="Segoe UI" w:cs="Segoe UI"/>
          <w:sz w:val="22"/>
          <w:szCs w:val="22"/>
        </w:rPr>
        <w:t>cla</w:t>
      </w:r>
      <w:r w:rsidR="003154F8" w:rsidRPr="000757BC">
        <w:rPr>
          <w:rFonts w:ascii="Segoe UI" w:hAnsi="Segoe UI" w:cs="Segoe UI"/>
          <w:sz w:val="22"/>
          <w:szCs w:val="22"/>
        </w:rPr>
        <w:t>s</w:t>
      </w:r>
      <w:r w:rsidRPr="000757BC">
        <w:rPr>
          <w:rFonts w:ascii="Segoe UI" w:hAnsi="Segoe UI" w:cs="Segoe UI"/>
          <w:sz w:val="22"/>
          <w:szCs w:val="22"/>
        </w:rPr>
        <w:t>sifica</w:t>
      </w:r>
      <w:r w:rsidR="0014417D" w:rsidRPr="000757BC">
        <w:rPr>
          <w:rFonts w:ascii="Segoe UI" w:hAnsi="Segoe UI" w:cs="Segoe UI"/>
          <w:sz w:val="22"/>
          <w:szCs w:val="22"/>
        </w:rPr>
        <w:t>m</w:t>
      </w:r>
      <w:r w:rsidRPr="000757BC">
        <w:rPr>
          <w:rFonts w:ascii="Segoe UI" w:hAnsi="Segoe UI" w:cs="Segoe UI"/>
          <w:sz w:val="22"/>
          <w:szCs w:val="22"/>
        </w:rPr>
        <w:t xml:space="preserve"> os ativos financeiros nas seguintes categorias: </w:t>
      </w:r>
    </w:p>
    <w:p w14:paraId="7F6623E8" w14:textId="32E864DF" w:rsidR="00A0648E" w:rsidRPr="000757BC" w:rsidRDefault="00AD7DA9" w:rsidP="00440BC3">
      <w:pPr>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720E7B" w:rsidRPr="000757BC">
        <w:rPr>
          <w:rFonts w:ascii="Segoe UI" w:hAnsi="Segoe UI" w:cs="Segoe UI"/>
          <w:b/>
          <w:bCs/>
          <w:color w:val="0070C0"/>
        </w:rPr>
        <w:t xml:space="preserve">.2.1 - </w:t>
      </w:r>
      <w:r w:rsidR="00A0648E" w:rsidRPr="000757BC">
        <w:rPr>
          <w:rFonts w:ascii="Segoe UI" w:hAnsi="Segoe UI" w:cs="Segoe UI"/>
          <w:b/>
          <w:bCs/>
          <w:color w:val="0070C0"/>
        </w:rPr>
        <w:t>Custo amortizado</w:t>
      </w:r>
    </w:p>
    <w:p w14:paraId="0C7C6F59" w14:textId="77777777" w:rsidR="00A0648E" w:rsidRPr="000757BC" w:rsidRDefault="00A0648E" w:rsidP="00AE57D0">
      <w:pPr>
        <w:autoSpaceDE w:val="0"/>
        <w:autoSpaceDN w:val="0"/>
        <w:adjustRightInd w:val="0"/>
        <w:spacing w:before="240" w:after="120"/>
        <w:jc w:val="both"/>
        <w:rPr>
          <w:rFonts w:ascii="Segoe UI" w:hAnsi="Segoe UI" w:cs="Segoe UI"/>
        </w:rPr>
      </w:pPr>
      <w:r w:rsidRPr="000757BC">
        <w:rPr>
          <w:rFonts w:ascii="Segoe UI" w:hAnsi="Segoe UI" w:cs="Segoe UI"/>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511CE3B7" w14:textId="77402BB9" w:rsidR="00402349" w:rsidRDefault="00A0648E" w:rsidP="00AA5C0D">
      <w:pPr>
        <w:pStyle w:val="SemEspaamento"/>
        <w:spacing w:before="240" w:after="120" w:line="259" w:lineRule="auto"/>
        <w:jc w:val="both"/>
        <w:rPr>
          <w:rFonts w:ascii="Segoe UI" w:hAnsi="Segoe UI" w:cs="Segoe UI"/>
          <w:b/>
          <w:bCs/>
          <w:color w:val="0070C0"/>
        </w:rPr>
      </w:pPr>
      <w:r w:rsidRPr="000757BC">
        <w:rPr>
          <w:rFonts w:ascii="Segoe UI" w:hAnsi="Segoe UI" w:cs="Segoe UI"/>
          <w:sz w:val="22"/>
          <w:szCs w:val="22"/>
        </w:rPr>
        <w:t xml:space="preserve">As receitas com juros provenientes desses ativos financeiros são registradas em receitas financeiras usando o método da taxa efetiva de juros. As perdas por </w:t>
      </w:r>
      <w:r w:rsidRPr="000757BC">
        <w:rPr>
          <w:rFonts w:ascii="Segoe UI" w:hAnsi="Segoe UI" w:cs="Segoe UI"/>
          <w:i/>
          <w:sz w:val="22"/>
          <w:szCs w:val="22"/>
        </w:rPr>
        <w:t>impairment</w:t>
      </w:r>
      <w:r w:rsidRPr="000757BC">
        <w:rPr>
          <w:rFonts w:ascii="Segoe UI" w:hAnsi="Segoe UI" w:cs="Segoe UI"/>
          <w:sz w:val="22"/>
          <w:szCs w:val="22"/>
        </w:rPr>
        <w:t xml:space="preserve"> são apresentadas em conta separada na demonstração do resultado.</w:t>
      </w:r>
      <w:r w:rsidR="00402349">
        <w:rPr>
          <w:rFonts w:ascii="Segoe UI" w:hAnsi="Segoe UI" w:cs="Segoe UI"/>
          <w:b/>
          <w:bCs/>
          <w:color w:val="0070C0"/>
        </w:rPr>
        <w:br w:type="page"/>
      </w:r>
    </w:p>
    <w:p w14:paraId="4FB3EAD1" w14:textId="7EA6BD24"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lastRenderedPageBreak/>
        <w:t>3</w:t>
      </w:r>
      <w:r w:rsidR="002A4E82">
        <w:rPr>
          <w:rFonts w:ascii="Segoe UI" w:eastAsiaTheme="minorHAnsi" w:hAnsi="Segoe UI" w:cs="Segoe UI"/>
          <w:b/>
          <w:bCs/>
          <w:color w:val="0070C0"/>
          <w:sz w:val="22"/>
          <w:szCs w:val="22"/>
          <w:lang w:eastAsia="en-US"/>
        </w:rPr>
        <w:t>1</w:t>
      </w:r>
      <w:r w:rsidR="00720E7B" w:rsidRPr="000757BC">
        <w:rPr>
          <w:rFonts w:ascii="Segoe UI" w:eastAsiaTheme="minorHAnsi" w:hAnsi="Segoe UI" w:cs="Segoe UI"/>
          <w:b/>
          <w:bCs/>
          <w:color w:val="0070C0"/>
          <w:sz w:val="22"/>
          <w:szCs w:val="22"/>
          <w:lang w:eastAsia="en-US"/>
        </w:rPr>
        <w:t xml:space="preserve">.2.2 - </w:t>
      </w:r>
      <w:r w:rsidR="00A0648E" w:rsidRPr="000757BC">
        <w:rPr>
          <w:rFonts w:ascii="Segoe UI" w:eastAsiaTheme="minorHAnsi" w:hAnsi="Segoe UI" w:cs="Segoe UI"/>
          <w:b/>
          <w:bCs/>
          <w:color w:val="0070C0"/>
          <w:sz w:val="22"/>
          <w:szCs w:val="22"/>
          <w:lang w:eastAsia="en-US"/>
        </w:rPr>
        <w:t>Ativos financeiros ao valor justo por meio de resultado</w:t>
      </w:r>
    </w:p>
    <w:p w14:paraId="44442E11" w14:textId="77777777"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Quaisquer ativos financeiros que não sejam classificados nas categorias de custo amortizado ou de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6A8095D" w14:textId="597F9660"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 xml:space="preserve">Eventuais ganhos ou perdas em um investimento em título de dívida que seja subsequentemente mensurado ao valor justo por meio do resultado são reconhecidos no resultado e apresentados líquidos </w:t>
      </w:r>
      <w:r w:rsidR="001B03F3">
        <w:rPr>
          <w:rFonts w:ascii="Segoe UI" w:hAnsi="Segoe UI" w:cs="Segoe UI"/>
          <w:sz w:val="22"/>
          <w:szCs w:val="22"/>
        </w:rPr>
        <w:t>no</w:t>
      </w:r>
      <w:r w:rsidRPr="000757BC">
        <w:rPr>
          <w:rFonts w:ascii="Segoe UI" w:hAnsi="Segoe UI" w:cs="Segoe UI"/>
          <w:sz w:val="22"/>
          <w:szCs w:val="22"/>
        </w:rPr>
        <w:t xml:space="preserve"> resultado financeiro, no período em que ocorrerem.</w:t>
      </w:r>
    </w:p>
    <w:p w14:paraId="777BD753" w14:textId="386E7AF5"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20E7B" w:rsidRPr="000757BC">
        <w:rPr>
          <w:rFonts w:ascii="Segoe UI" w:eastAsiaTheme="minorHAnsi" w:hAnsi="Segoe UI" w:cs="Segoe UI"/>
          <w:b/>
          <w:bCs/>
          <w:color w:val="0070C0"/>
          <w:sz w:val="22"/>
          <w:szCs w:val="22"/>
          <w:lang w:eastAsia="en-US"/>
        </w:rPr>
        <w:t xml:space="preserve">.2.3 - </w:t>
      </w:r>
      <w:r w:rsidR="00A0648E" w:rsidRPr="000757BC">
        <w:rPr>
          <w:rFonts w:ascii="Segoe UI" w:eastAsiaTheme="minorHAnsi" w:hAnsi="Segoe UI" w:cs="Segoe UI"/>
          <w:b/>
          <w:bCs/>
          <w:color w:val="0070C0"/>
          <w:sz w:val="22"/>
          <w:szCs w:val="22"/>
          <w:lang w:eastAsia="en-US"/>
        </w:rPr>
        <w:t xml:space="preserve">Passivos financeiros </w:t>
      </w:r>
    </w:p>
    <w:p w14:paraId="6500813D" w14:textId="77777777" w:rsidR="00A0648E" w:rsidRPr="000757BC" w:rsidRDefault="00A0648E" w:rsidP="00AE57D0">
      <w:pPr>
        <w:spacing w:before="240" w:after="120"/>
        <w:jc w:val="both"/>
        <w:rPr>
          <w:rFonts w:ascii="Segoe UI" w:hAnsi="Segoe UI" w:cs="Segoe UI"/>
        </w:rPr>
      </w:pPr>
      <w:r w:rsidRPr="000757BC">
        <w:rPr>
          <w:rFonts w:ascii="Segoe UI" w:hAnsi="Segoe UI" w:cs="Segoe UI"/>
        </w:rPr>
        <w:t>São classificados como “Passivos financeiros ao custo amortizado”.</w:t>
      </w:r>
    </w:p>
    <w:p w14:paraId="5F6AE530" w14:textId="14B8D374" w:rsidR="001A3CF3" w:rsidRDefault="00A0648E" w:rsidP="00AE57D0">
      <w:pPr>
        <w:spacing w:before="240" w:after="120"/>
        <w:jc w:val="both"/>
        <w:rPr>
          <w:rFonts w:ascii="Segoe UI" w:hAnsi="Segoe UI" w:cs="Segoe UI"/>
        </w:rPr>
      </w:pPr>
      <w:r w:rsidRPr="000757BC">
        <w:rPr>
          <w:rFonts w:ascii="Segoe UI" w:hAnsi="Segoe UI" w:cs="Segoe UI"/>
        </w:rPr>
        <w:t>Os saldos contábeis de certos ativos e passivos financeiros representam uma aproximação razoável do valor justo. A</w:t>
      </w:r>
      <w:r w:rsidR="00E52006">
        <w:rPr>
          <w:rFonts w:ascii="Segoe UI" w:hAnsi="Segoe UI" w:cs="Segoe UI"/>
        </w:rPr>
        <w:t xml:space="preserve"> </w:t>
      </w:r>
      <w:r w:rsidR="00E52006" w:rsidRPr="000757BC">
        <w:rPr>
          <w:rFonts w:ascii="Segoe UI" w:hAnsi="Segoe UI" w:cs="Segoe UI"/>
        </w:rPr>
        <w:t xml:space="preserve">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usa</w:t>
      </w:r>
      <w:r w:rsidR="0014417D" w:rsidRPr="000757BC">
        <w:rPr>
          <w:rFonts w:ascii="Segoe UI" w:hAnsi="Segoe UI" w:cs="Segoe UI"/>
        </w:rPr>
        <w:t>m</w:t>
      </w:r>
      <w:r w:rsidRPr="000757BC">
        <w:rPr>
          <w:rFonts w:ascii="Segoe UI" w:hAnsi="Segoe UI" w:cs="Segoe UI"/>
        </w:rPr>
        <w:t xml:space="preserve"> a seguinte classificação para enquadrar os seus instrumentos financeiros: </w:t>
      </w:r>
    </w:p>
    <w:p w14:paraId="779FFD9D" w14:textId="77777777" w:rsidR="00A0648E" w:rsidRDefault="00A0648E" w:rsidP="00C144BB">
      <w:pPr>
        <w:spacing w:after="0"/>
        <w:rPr>
          <w:rFonts w:ascii="Segoe UI" w:hAnsi="Segoe UI" w:cs="Segoe UI"/>
          <w:noProof/>
          <w:lang w:eastAsia="pt-BR"/>
        </w:rPr>
      </w:pPr>
    </w:p>
    <w:tbl>
      <w:tblPr>
        <w:tblW w:w="5000" w:type="pct"/>
        <w:tblCellMar>
          <w:left w:w="70" w:type="dxa"/>
          <w:right w:w="70" w:type="dxa"/>
        </w:tblCellMar>
        <w:tblLook w:val="04A0" w:firstRow="1" w:lastRow="0" w:firstColumn="1" w:lastColumn="0" w:noHBand="0" w:noVBand="1"/>
      </w:tblPr>
      <w:tblGrid>
        <w:gridCol w:w="5182"/>
        <w:gridCol w:w="1204"/>
        <w:gridCol w:w="1467"/>
        <w:gridCol w:w="190"/>
        <w:gridCol w:w="1454"/>
      </w:tblGrid>
      <w:tr w:rsidR="00F56D39" w:rsidRPr="00F56D39" w14:paraId="61D5E4EC" w14:textId="77777777" w:rsidTr="00F56D39">
        <w:trPr>
          <w:trHeight w:val="240"/>
        </w:trPr>
        <w:tc>
          <w:tcPr>
            <w:tcW w:w="2370" w:type="pct"/>
            <w:tcBorders>
              <w:top w:val="nil"/>
              <w:left w:val="nil"/>
              <w:bottom w:val="nil"/>
              <w:right w:val="nil"/>
            </w:tcBorders>
            <w:shd w:val="clear" w:color="auto" w:fill="auto"/>
            <w:noWrap/>
            <w:vAlign w:val="bottom"/>
            <w:hideMark/>
          </w:tcPr>
          <w:p w14:paraId="09F5186B" w14:textId="77777777" w:rsidR="00F56D39" w:rsidRPr="00F56D39" w:rsidRDefault="00F56D39" w:rsidP="00F56D39">
            <w:pPr>
              <w:spacing w:after="0" w:line="240" w:lineRule="auto"/>
              <w:rPr>
                <w:rFonts w:ascii="Times New Roman" w:eastAsia="Times New Roman" w:hAnsi="Times New Roman" w:cs="Times New Roman"/>
                <w:sz w:val="24"/>
                <w:szCs w:val="24"/>
                <w:lang w:eastAsia="pt-BR"/>
              </w:rPr>
            </w:pPr>
          </w:p>
        </w:tc>
        <w:tc>
          <w:tcPr>
            <w:tcW w:w="918" w:type="pct"/>
            <w:tcBorders>
              <w:top w:val="nil"/>
              <w:left w:val="nil"/>
              <w:bottom w:val="nil"/>
              <w:right w:val="nil"/>
            </w:tcBorders>
            <w:shd w:val="clear" w:color="auto" w:fill="auto"/>
            <w:noWrap/>
            <w:vAlign w:val="bottom"/>
            <w:hideMark/>
          </w:tcPr>
          <w:p w14:paraId="1AB665D0"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800" w:type="pct"/>
            <w:tcBorders>
              <w:top w:val="nil"/>
              <w:left w:val="nil"/>
              <w:bottom w:val="nil"/>
              <w:right w:val="nil"/>
            </w:tcBorders>
            <w:shd w:val="clear" w:color="000000" w:fill="1B80C4"/>
            <w:noWrap/>
            <w:vAlign w:val="bottom"/>
            <w:hideMark/>
          </w:tcPr>
          <w:p w14:paraId="626CA517"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 xml:space="preserve"> Controladora </w:t>
            </w:r>
          </w:p>
        </w:tc>
        <w:tc>
          <w:tcPr>
            <w:tcW w:w="112" w:type="pct"/>
            <w:tcBorders>
              <w:top w:val="nil"/>
              <w:left w:val="nil"/>
              <w:bottom w:val="nil"/>
              <w:right w:val="nil"/>
            </w:tcBorders>
            <w:shd w:val="clear" w:color="000000" w:fill="1B80C4"/>
            <w:noWrap/>
            <w:vAlign w:val="bottom"/>
            <w:hideMark/>
          </w:tcPr>
          <w:p w14:paraId="7D065CF6"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 </w:t>
            </w:r>
          </w:p>
        </w:tc>
        <w:tc>
          <w:tcPr>
            <w:tcW w:w="800" w:type="pct"/>
            <w:tcBorders>
              <w:top w:val="nil"/>
              <w:left w:val="nil"/>
              <w:bottom w:val="nil"/>
              <w:right w:val="nil"/>
            </w:tcBorders>
            <w:shd w:val="clear" w:color="000000" w:fill="1B80C4"/>
            <w:noWrap/>
            <w:vAlign w:val="bottom"/>
            <w:hideMark/>
          </w:tcPr>
          <w:p w14:paraId="78294200"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 xml:space="preserve"> Consolidado </w:t>
            </w:r>
          </w:p>
        </w:tc>
      </w:tr>
      <w:tr w:rsidR="00F56D39" w:rsidRPr="00F56D39" w14:paraId="2DAE3842" w14:textId="77777777" w:rsidTr="00F56D39">
        <w:trPr>
          <w:trHeight w:val="240"/>
        </w:trPr>
        <w:tc>
          <w:tcPr>
            <w:tcW w:w="2370" w:type="pct"/>
            <w:tcBorders>
              <w:top w:val="nil"/>
              <w:left w:val="nil"/>
              <w:bottom w:val="nil"/>
              <w:right w:val="nil"/>
            </w:tcBorders>
            <w:shd w:val="clear" w:color="auto" w:fill="auto"/>
            <w:noWrap/>
            <w:vAlign w:val="center"/>
            <w:hideMark/>
          </w:tcPr>
          <w:p w14:paraId="65BC135D"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p>
        </w:tc>
        <w:tc>
          <w:tcPr>
            <w:tcW w:w="918" w:type="pct"/>
            <w:tcBorders>
              <w:top w:val="nil"/>
              <w:left w:val="nil"/>
              <w:bottom w:val="nil"/>
              <w:right w:val="nil"/>
            </w:tcBorders>
            <w:shd w:val="clear" w:color="auto" w:fill="auto"/>
            <w:noWrap/>
            <w:vAlign w:val="center"/>
            <w:hideMark/>
          </w:tcPr>
          <w:p w14:paraId="7B3FCA9F"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800" w:type="pct"/>
            <w:tcBorders>
              <w:top w:val="single" w:sz="4" w:space="0" w:color="FFFFFF"/>
              <w:left w:val="nil"/>
              <w:bottom w:val="nil"/>
              <w:right w:val="nil"/>
            </w:tcBorders>
            <w:shd w:val="clear" w:color="000000" w:fill="1B80C4"/>
            <w:noWrap/>
            <w:vAlign w:val="center"/>
            <w:hideMark/>
          </w:tcPr>
          <w:p w14:paraId="594D2EEB"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31/12/2022</w:t>
            </w:r>
          </w:p>
        </w:tc>
        <w:tc>
          <w:tcPr>
            <w:tcW w:w="112" w:type="pct"/>
            <w:tcBorders>
              <w:top w:val="nil"/>
              <w:left w:val="nil"/>
              <w:bottom w:val="nil"/>
              <w:right w:val="nil"/>
            </w:tcBorders>
            <w:shd w:val="clear" w:color="000000" w:fill="1B80C4"/>
            <w:noWrap/>
            <w:vAlign w:val="bottom"/>
            <w:hideMark/>
          </w:tcPr>
          <w:p w14:paraId="010DE2A3"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 </w:t>
            </w:r>
          </w:p>
        </w:tc>
        <w:tc>
          <w:tcPr>
            <w:tcW w:w="800" w:type="pct"/>
            <w:tcBorders>
              <w:top w:val="single" w:sz="4" w:space="0" w:color="FFFFFF"/>
              <w:left w:val="nil"/>
              <w:bottom w:val="nil"/>
              <w:right w:val="nil"/>
            </w:tcBorders>
            <w:shd w:val="clear" w:color="000000" w:fill="1B80C4"/>
            <w:noWrap/>
            <w:vAlign w:val="center"/>
            <w:hideMark/>
          </w:tcPr>
          <w:p w14:paraId="0CBC44F6" w14:textId="77777777" w:rsidR="00F56D39" w:rsidRPr="00F56D39" w:rsidRDefault="00F56D39" w:rsidP="00F56D39">
            <w:pPr>
              <w:spacing w:after="0" w:line="240" w:lineRule="auto"/>
              <w:jc w:val="center"/>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31/12/2022</w:t>
            </w:r>
          </w:p>
        </w:tc>
      </w:tr>
      <w:tr w:rsidR="00F56D39" w:rsidRPr="00F56D39" w14:paraId="41B24588" w14:textId="77777777" w:rsidTr="00F56D39">
        <w:trPr>
          <w:trHeight w:val="240"/>
        </w:trPr>
        <w:tc>
          <w:tcPr>
            <w:tcW w:w="2370" w:type="pct"/>
            <w:tcBorders>
              <w:top w:val="nil"/>
              <w:left w:val="nil"/>
              <w:bottom w:val="nil"/>
              <w:right w:val="nil"/>
            </w:tcBorders>
            <w:shd w:val="clear" w:color="auto" w:fill="auto"/>
            <w:noWrap/>
            <w:vAlign w:val="center"/>
            <w:hideMark/>
          </w:tcPr>
          <w:p w14:paraId="0FB1055F"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ATIVOS FINANCEIROS</w:t>
            </w:r>
          </w:p>
        </w:tc>
        <w:tc>
          <w:tcPr>
            <w:tcW w:w="918" w:type="pct"/>
            <w:tcBorders>
              <w:top w:val="nil"/>
              <w:left w:val="nil"/>
              <w:bottom w:val="nil"/>
              <w:right w:val="nil"/>
            </w:tcBorders>
            <w:shd w:val="clear" w:color="auto" w:fill="auto"/>
            <w:noWrap/>
            <w:vAlign w:val="center"/>
            <w:hideMark/>
          </w:tcPr>
          <w:p w14:paraId="1527D0FD"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33892FF9" w14:textId="77777777" w:rsidR="00F56D39" w:rsidRPr="00F56D39" w:rsidRDefault="00F56D39" w:rsidP="00F56D39">
            <w:pPr>
              <w:spacing w:after="0" w:line="240" w:lineRule="auto"/>
              <w:jc w:val="center"/>
              <w:rPr>
                <w:rFonts w:ascii="Times New Roman" w:eastAsia="Times New Roman" w:hAnsi="Times New Roman" w:cs="Times New Roman"/>
                <w:sz w:val="20"/>
                <w:szCs w:val="20"/>
                <w:lang w:eastAsia="pt-BR"/>
              </w:rPr>
            </w:pPr>
          </w:p>
        </w:tc>
        <w:tc>
          <w:tcPr>
            <w:tcW w:w="112" w:type="pct"/>
            <w:tcBorders>
              <w:top w:val="nil"/>
              <w:left w:val="nil"/>
              <w:bottom w:val="nil"/>
              <w:right w:val="nil"/>
            </w:tcBorders>
            <w:shd w:val="clear" w:color="auto" w:fill="auto"/>
            <w:noWrap/>
            <w:vAlign w:val="bottom"/>
            <w:hideMark/>
          </w:tcPr>
          <w:p w14:paraId="31022C2D" w14:textId="77777777" w:rsidR="00F56D39" w:rsidRPr="00F56D39" w:rsidRDefault="00F56D39" w:rsidP="00F56D39">
            <w:pPr>
              <w:spacing w:after="0" w:line="240" w:lineRule="auto"/>
              <w:jc w:val="center"/>
              <w:rPr>
                <w:rFonts w:ascii="Times New Roman" w:eastAsia="Times New Roman" w:hAnsi="Times New Roman" w:cs="Times New Roman"/>
                <w:sz w:val="20"/>
                <w:szCs w:val="20"/>
                <w:lang w:eastAsia="pt-BR"/>
              </w:rPr>
            </w:pPr>
          </w:p>
        </w:tc>
        <w:tc>
          <w:tcPr>
            <w:tcW w:w="800" w:type="pct"/>
            <w:tcBorders>
              <w:top w:val="nil"/>
              <w:left w:val="nil"/>
              <w:bottom w:val="nil"/>
              <w:right w:val="nil"/>
            </w:tcBorders>
            <w:shd w:val="clear" w:color="auto" w:fill="auto"/>
            <w:noWrap/>
            <w:vAlign w:val="center"/>
            <w:hideMark/>
          </w:tcPr>
          <w:p w14:paraId="3B658BD5"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r>
      <w:tr w:rsidR="00F56D39" w:rsidRPr="00F56D39" w14:paraId="102BC614" w14:textId="77777777" w:rsidTr="00F56D39">
        <w:trPr>
          <w:trHeight w:val="240"/>
        </w:trPr>
        <w:tc>
          <w:tcPr>
            <w:tcW w:w="2370" w:type="pct"/>
            <w:tcBorders>
              <w:top w:val="nil"/>
              <w:left w:val="nil"/>
              <w:bottom w:val="single" w:sz="4" w:space="0" w:color="auto"/>
              <w:right w:val="nil"/>
            </w:tcBorders>
            <w:shd w:val="clear" w:color="auto" w:fill="auto"/>
            <w:noWrap/>
            <w:vAlign w:val="center"/>
            <w:hideMark/>
          </w:tcPr>
          <w:p w14:paraId="6F2237CA"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Custo amortizado</w:t>
            </w:r>
          </w:p>
        </w:tc>
        <w:tc>
          <w:tcPr>
            <w:tcW w:w="918" w:type="pct"/>
            <w:tcBorders>
              <w:top w:val="nil"/>
              <w:left w:val="nil"/>
              <w:bottom w:val="nil"/>
              <w:right w:val="nil"/>
            </w:tcBorders>
            <w:shd w:val="clear" w:color="auto" w:fill="auto"/>
            <w:noWrap/>
            <w:vAlign w:val="center"/>
            <w:hideMark/>
          </w:tcPr>
          <w:p w14:paraId="0EC321DE"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800" w:type="pct"/>
            <w:tcBorders>
              <w:top w:val="nil"/>
              <w:left w:val="nil"/>
              <w:bottom w:val="single" w:sz="4" w:space="0" w:color="1B80C4"/>
              <w:right w:val="nil"/>
            </w:tcBorders>
            <w:shd w:val="clear" w:color="auto" w:fill="auto"/>
            <w:noWrap/>
            <w:vAlign w:val="center"/>
            <w:hideMark/>
          </w:tcPr>
          <w:p w14:paraId="6EF70143"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5.799.761 </w:t>
            </w:r>
          </w:p>
        </w:tc>
        <w:tc>
          <w:tcPr>
            <w:tcW w:w="112" w:type="pct"/>
            <w:tcBorders>
              <w:top w:val="nil"/>
              <w:left w:val="nil"/>
              <w:bottom w:val="nil"/>
              <w:right w:val="nil"/>
            </w:tcBorders>
            <w:shd w:val="clear" w:color="auto" w:fill="auto"/>
            <w:noWrap/>
            <w:vAlign w:val="bottom"/>
            <w:hideMark/>
          </w:tcPr>
          <w:p w14:paraId="14F84959"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p>
        </w:tc>
        <w:tc>
          <w:tcPr>
            <w:tcW w:w="800" w:type="pct"/>
            <w:tcBorders>
              <w:top w:val="nil"/>
              <w:left w:val="nil"/>
              <w:bottom w:val="single" w:sz="4" w:space="0" w:color="1B80C4"/>
              <w:right w:val="nil"/>
            </w:tcBorders>
            <w:shd w:val="clear" w:color="auto" w:fill="auto"/>
            <w:noWrap/>
            <w:vAlign w:val="center"/>
            <w:hideMark/>
          </w:tcPr>
          <w:p w14:paraId="1422A54A"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7.170.437 </w:t>
            </w:r>
          </w:p>
        </w:tc>
      </w:tr>
      <w:tr w:rsidR="00F56D39" w:rsidRPr="00F56D39" w14:paraId="316E3688" w14:textId="77777777" w:rsidTr="00F56D39">
        <w:trPr>
          <w:trHeight w:val="240"/>
        </w:trPr>
        <w:tc>
          <w:tcPr>
            <w:tcW w:w="2370" w:type="pct"/>
            <w:tcBorders>
              <w:top w:val="nil"/>
              <w:left w:val="nil"/>
              <w:bottom w:val="nil"/>
              <w:right w:val="nil"/>
            </w:tcBorders>
            <w:shd w:val="clear" w:color="auto" w:fill="auto"/>
            <w:noWrap/>
            <w:vAlign w:val="center"/>
            <w:hideMark/>
          </w:tcPr>
          <w:p w14:paraId="7A5A9799"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Caixa e equivalentes de caixa</w:t>
            </w:r>
          </w:p>
        </w:tc>
        <w:tc>
          <w:tcPr>
            <w:tcW w:w="918" w:type="pct"/>
            <w:tcBorders>
              <w:top w:val="nil"/>
              <w:left w:val="nil"/>
              <w:bottom w:val="nil"/>
              <w:right w:val="nil"/>
            </w:tcBorders>
            <w:shd w:val="clear" w:color="auto" w:fill="auto"/>
            <w:noWrap/>
            <w:vAlign w:val="center"/>
            <w:hideMark/>
          </w:tcPr>
          <w:p w14:paraId="0076BA7A"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65DC9164"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2.361.031 </w:t>
            </w:r>
          </w:p>
        </w:tc>
        <w:tc>
          <w:tcPr>
            <w:tcW w:w="112" w:type="pct"/>
            <w:tcBorders>
              <w:top w:val="nil"/>
              <w:left w:val="nil"/>
              <w:bottom w:val="nil"/>
              <w:right w:val="nil"/>
            </w:tcBorders>
            <w:shd w:val="clear" w:color="auto" w:fill="auto"/>
            <w:noWrap/>
            <w:vAlign w:val="center"/>
            <w:hideMark/>
          </w:tcPr>
          <w:p w14:paraId="59C29693"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19176444"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3.162.546 </w:t>
            </w:r>
          </w:p>
        </w:tc>
      </w:tr>
      <w:tr w:rsidR="00F56D39" w:rsidRPr="00F56D39" w14:paraId="54A5B18B" w14:textId="77777777" w:rsidTr="00F56D39">
        <w:trPr>
          <w:trHeight w:val="240"/>
        </w:trPr>
        <w:tc>
          <w:tcPr>
            <w:tcW w:w="2370" w:type="pct"/>
            <w:tcBorders>
              <w:top w:val="nil"/>
              <w:left w:val="nil"/>
              <w:bottom w:val="nil"/>
              <w:right w:val="nil"/>
            </w:tcBorders>
            <w:shd w:val="clear" w:color="auto" w:fill="auto"/>
            <w:noWrap/>
            <w:vAlign w:val="center"/>
            <w:hideMark/>
          </w:tcPr>
          <w:p w14:paraId="6C2ED13A"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Clientes</w:t>
            </w:r>
          </w:p>
        </w:tc>
        <w:tc>
          <w:tcPr>
            <w:tcW w:w="918" w:type="pct"/>
            <w:tcBorders>
              <w:top w:val="nil"/>
              <w:left w:val="nil"/>
              <w:bottom w:val="nil"/>
              <w:right w:val="nil"/>
            </w:tcBorders>
            <w:shd w:val="clear" w:color="auto" w:fill="auto"/>
            <w:noWrap/>
            <w:vAlign w:val="center"/>
            <w:hideMark/>
          </w:tcPr>
          <w:p w14:paraId="5B1D8565"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1693601E"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3.438.095 </w:t>
            </w:r>
          </w:p>
        </w:tc>
        <w:tc>
          <w:tcPr>
            <w:tcW w:w="112" w:type="pct"/>
            <w:tcBorders>
              <w:top w:val="nil"/>
              <w:left w:val="nil"/>
              <w:bottom w:val="nil"/>
              <w:right w:val="nil"/>
            </w:tcBorders>
            <w:shd w:val="clear" w:color="auto" w:fill="auto"/>
            <w:noWrap/>
            <w:vAlign w:val="center"/>
            <w:hideMark/>
          </w:tcPr>
          <w:p w14:paraId="2EDB0C02"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2468698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3.916.591 </w:t>
            </w:r>
          </w:p>
        </w:tc>
      </w:tr>
      <w:tr w:rsidR="00F56D39" w:rsidRPr="00F56D39" w14:paraId="30786635" w14:textId="77777777" w:rsidTr="00F56D39">
        <w:trPr>
          <w:trHeight w:val="240"/>
        </w:trPr>
        <w:tc>
          <w:tcPr>
            <w:tcW w:w="2370" w:type="pct"/>
            <w:tcBorders>
              <w:top w:val="nil"/>
              <w:left w:val="nil"/>
              <w:bottom w:val="nil"/>
              <w:right w:val="nil"/>
            </w:tcBorders>
            <w:shd w:val="clear" w:color="auto" w:fill="auto"/>
            <w:noWrap/>
            <w:vAlign w:val="center"/>
            <w:hideMark/>
          </w:tcPr>
          <w:p w14:paraId="7398F63D"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Depósitos judiciais</w:t>
            </w:r>
          </w:p>
        </w:tc>
        <w:tc>
          <w:tcPr>
            <w:tcW w:w="918" w:type="pct"/>
            <w:tcBorders>
              <w:top w:val="nil"/>
              <w:left w:val="nil"/>
              <w:bottom w:val="nil"/>
              <w:right w:val="nil"/>
            </w:tcBorders>
            <w:shd w:val="clear" w:color="auto" w:fill="auto"/>
            <w:noWrap/>
            <w:vAlign w:val="center"/>
            <w:hideMark/>
          </w:tcPr>
          <w:p w14:paraId="4E2B6CB5"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72F640F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635 </w:t>
            </w:r>
          </w:p>
        </w:tc>
        <w:tc>
          <w:tcPr>
            <w:tcW w:w="112" w:type="pct"/>
            <w:tcBorders>
              <w:top w:val="nil"/>
              <w:left w:val="nil"/>
              <w:bottom w:val="nil"/>
              <w:right w:val="nil"/>
            </w:tcBorders>
            <w:shd w:val="clear" w:color="auto" w:fill="auto"/>
            <w:noWrap/>
            <w:vAlign w:val="center"/>
            <w:hideMark/>
          </w:tcPr>
          <w:p w14:paraId="6C27C63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4CECB8BF"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91.300 </w:t>
            </w:r>
          </w:p>
        </w:tc>
      </w:tr>
      <w:tr w:rsidR="00F56D39" w:rsidRPr="00F56D39" w14:paraId="33664229" w14:textId="77777777" w:rsidTr="00F56D39">
        <w:trPr>
          <w:trHeight w:val="240"/>
        </w:trPr>
        <w:tc>
          <w:tcPr>
            <w:tcW w:w="2370" w:type="pct"/>
            <w:tcBorders>
              <w:top w:val="nil"/>
              <w:left w:val="nil"/>
              <w:bottom w:val="nil"/>
              <w:right w:val="nil"/>
            </w:tcBorders>
            <w:shd w:val="clear" w:color="auto" w:fill="auto"/>
            <w:noWrap/>
            <w:vAlign w:val="center"/>
            <w:hideMark/>
          </w:tcPr>
          <w:p w14:paraId="15F5CB89"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918" w:type="pct"/>
            <w:tcBorders>
              <w:top w:val="nil"/>
              <w:left w:val="nil"/>
              <w:bottom w:val="nil"/>
              <w:right w:val="nil"/>
            </w:tcBorders>
            <w:shd w:val="clear" w:color="auto" w:fill="auto"/>
            <w:noWrap/>
            <w:vAlign w:val="center"/>
            <w:hideMark/>
          </w:tcPr>
          <w:p w14:paraId="118DF6CD"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800" w:type="pct"/>
            <w:tcBorders>
              <w:top w:val="nil"/>
              <w:left w:val="nil"/>
              <w:bottom w:val="nil"/>
              <w:right w:val="nil"/>
            </w:tcBorders>
            <w:shd w:val="clear" w:color="auto" w:fill="auto"/>
            <w:noWrap/>
            <w:vAlign w:val="center"/>
            <w:hideMark/>
          </w:tcPr>
          <w:p w14:paraId="0E41DA83"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112" w:type="pct"/>
            <w:tcBorders>
              <w:top w:val="nil"/>
              <w:left w:val="nil"/>
              <w:bottom w:val="nil"/>
              <w:right w:val="nil"/>
            </w:tcBorders>
            <w:shd w:val="clear" w:color="auto" w:fill="auto"/>
            <w:noWrap/>
            <w:vAlign w:val="center"/>
            <w:hideMark/>
          </w:tcPr>
          <w:p w14:paraId="0F68845F" w14:textId="77777777" w:rsidR="00F56D39" w:rsidRPr="00F56D39" w:rsidRDefault="00F56D39" w:rsidP="00F56D39">
            <w:pPr>
              <w:spacing w:after="0" w:line="240" w:lineRule="auto"/>
              <w:jc w:val="right"/>
              <w:rPr>
                <w:rFonts w:ascii="Times New Roman" w:eastAsia="Times New Roman" w:hAnsi="Times New Roman" w:cs="Times New Roman"/>
                <w:sz w:val="20"/>
                <w:szCs w:val="20"/>
                <w:lang w:eastAsia="pt-BR"/>
              </w:rPr>
            </w:pPr>
          </w:p>
        </w:tc>
        <w:tc>
          <w:tcPr>
            <w:tcW w:w="800" w:type="pct"/>
            <w:tcBorders>
              <w:top w:val="nil"/>
              <w:left w:val="nil"/>
              <w:bottom w:val="nil"/>
              <w:right w:val="nil"/>
            </w:tcBorders>
            <w:shd w:val="clear" w:color="auto" w:fill="auto"/>
            <w:noWrap/>
            <w:vAlign w:val="center"/>
            <w:hideMark/>
          </w:tcPr>
          <w:p w14:paraId="37AAED81"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r>
      <w:tr w:rsidR="00F56D39" w:rsidRPr="00F56D39" w14:paraId="6AE30D98" w14:textId="77777777" w:rsidTr="00F56D39">
        <w:trPr>
          <w:trHeight w:val="240"/>
        </w:trPr>
        <w:tc>
          <w:tcPr>
            <w:tcW w:w="2370" w:type="pct"/>
            <w:tcBorders>
              <w:top w:val="nil"/>
              <w:left w:val="nil"/>
              <w:bottom w:val="single" w:sz="4" w:space="0" w:color="auto"/>
              <w:right w:val="nil"/>
            </w:tcBorders>
            <w:shd w:val="clear" w:color="auto" w:fill="auto"/>
            <w:noWrap/>
            <w:vAlign w:val="center"/>
            <w:hideMark/>
          </w:tcPr>
          <w:p w14:paraId="7504DFA1"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Valor justo por meio do resultado</w:t>
            </w:r>
          </w:p>
        </w:tc>
        <w:tc>
          <w:tcPr>
            <w:tcW w:w="918" w:type="pct"/>
            <w:tcBorders>
              <w:top w:val="nil"/>
              <w:left w:val="nil"/>
              <w:bottom w:val="nil"/>
              <w:right w:val="nil"/>
            </w:tcBorders>
            <w:shd w:val="clear" w:color="auto" w:fill="auto"/>
            <w:noWrap/>
            <w:vAlign w:val="center"/>
            <w:hideMark/>
          </w:tcPr>
          <w:p w14:paraId="5704214B"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800" w:type="pct"/>
            <w:tcBorders>
              <w:top w:val="nil"/>
              <w:left w:val="nil"/>
              <w:bottom w:val="single" w:sz="4" w:space="0" w:color="1B80C4"/>
              <w:right w:val="nil"/>
            </w:tcBorders>
            <w:shd w:val="clear" w:color="auto" w:fill="auto"/>
            <w:noWrap/>
            <w:vAlign w:val="center"/>
            <w:hideMark/>
          </w:tcPr>
          <w:p w14:paraId="547E132F"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290.061 </w:t>
            </w:r>
          </w:p>
        </w:tc>
        <w:tc>
          <w:tcPr>
            <w:tcW w:w="112" w:type="pct"/>
            <w:tcBorders>
              <w:top w:val="nil"/>
              <w:left w:val="nil"/>
              <w:bottom w:val="nil"/>
              <w:right w:val="nil"/>
            </w:tcBorders>
            <w:shd w:val="clear" w:color="auto" w:fill="auto"/>
            <w:noWrap/>
            <w:vAlign w:val="center"/>
            <w:hideMark/>
          </w:tcPr>
          <w:p w14:paraId="03B2E338"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p>
        </w:tc>
        <w:tc>
          <w:tcPr>
            <w:tcW w:w="800" w:type="pct"/>
            <w:tcBorders>
              <w:top w:val="nil"/>
              <w:left w:val="nil"/>
              <w:bottom w:val="single" w:sz="4" w:space="0" w:color="1B80C4"/>
              <w:right w:val="nil"/>
            </w:tcBorders>
            <w:shd w:val="clear" w:color="auto" w:fill="auto"/>
            <w:noWrap/>
            <w:vAlign w:val="center"/>
            <w:hideMark/>
          </w:tcPr>
          <w:p w14:paraId="00C39977"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5.315.400 </w:t>
            </w:r>
          </w:p>
        </w:tc>
      </w:tr>
      <w:tr w:rsidR="00F56D39" w:rsidRPr="00F56D39" w14:paraId="742203E8" w14:textId="77777777" w:rsidTr="00F56D39">
        <w:trPr>
          <w:trHeight w:val="240"/>
        </w:trPr>
        <w:tc>
          <w:tcPr>
            <w:tcW w:w="2370" w:type="pct"/>
            <w:tcBorders>
              <w:top w:val="nil"/>
              <w:left w:val="nil"/>
              <w:bottom w:val="nil"/>
              <w:right w:val="nil"/>
            </w:tcBorders>
            <w:shd w:val="clear" w:color="auto" w:fill="auto"/>
            <w:noWrap/>
            <w:vAlign w:val="center"/>
            <w:hideMark/>
          </w:tcPr>
          <w:p w14:paraId="238D763C" w14:textId="55D12859"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Títulos e valores mobiliários</w:t>
            </w:r>
            <w:r w:rsidR="00D12011">
              <w:rPr>
                <w:rFonts w:ascii="Segoe UI" w:eastAsia="Times New Roman" w:hAnsi="Segoe UI" w:cs="Segoe UI"/>
                <w:color w:val="000000"/>
                <w:sz w:val="18"/>
                <w:szCs w:val="18"/>
                <w:lang w:eastAsia="pt-BR"/>
              </w:rPr>
              <w:t xml:space="preserve"> e </w:t>
            </w:r>
            <w:r w:rsidR="005237DA">
              <w:rPr>
                <w:rFonts w:ascii="Segoe UI" w:eastAsia="Times New Roman" w:hAnsi="Segoe UI" w:cs="Segoe UI"/>
                <w:color w:val="000000"/>
                <w:sz w:val="18"/>
                <w:szCs w:val="18"/>
                <w:lang w:eastAsia="pt-BR"/>
              </w:rPr>
              <w:t>fundo de descomissionamento</w:t>
            </w:r>
          </w:p>
        </w:tc>
        <w:tc>
          <w:tcPr>
            <w:tcW w:w="918" w:type="pct"/>
            <w:tcBorders>
              <w:top w:val="nil"/>
              <w:left w:val="nil"/>
              <w:bottom w:val="nil"/>
              <w:right w:val="nil"/>
            </w:tcBorders>
            <w:shd w:val="clear" w:color="auto" w:fill="auto"/>
            <w:noWrap/>
            <w:vAlign w:val="center"/>
            <w:hideMark/>
          </w:tcPr>
          <w:p w14:paraId="04FD9E1D"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10A76880"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290.061 </w:t>
            </w:r>
          </w:p>
        </w:tc>
        <w:tc>
          <w:tcPr>
            <w:tcW w:w="112" w:type="pct"/>
            <w:tcBorders>
              <w:top w:val="nil"/>
              <w:left w:val="nil"/>
              <w:bottom w:val="nil"/>
              <w:right w:val="nil"/>
            </w:tcBorders>
            <w:shd w:val="clear" w:color="auto" w:fill="auto"/>
            <w:noWrap/>
            <w:vAlign w:val="center"/>
            <w:hideMark/>
          </w:tcPr>
          <w:p w14:paraId="01609F31"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72C7C01D"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5.315.400 </w:t>
            </w:r>
          </w:p>
        </w:tc>
      </w:tr>
      <w:tr w:rsidR="00F56D39" w:rsidRPr="00F56D39" w14:paraId="6174B1A1" w14:textId="77777777" w:rsidTr="00F56D39">
        <w:trPr>
          <w:trHeight w:val="240"/>
        </w:trPr>
        <w:tc>
          <w:tcPr>
            <w:tcW w:w="2370" w:type="pct"/>
            <w:tcBorders>
              <w:top w:val="nil"/>
              <w:left w:val="nil"/>
              <w:bottom w:val="nil"/>
              <w:right w:val="nil"/>
            </w:tcBorders>
            <w:shd w:val="clear" w:color="auto" w:fill="auto"/>
            <w:noWrap/>
            <w:vAlign w:val="bottom"/>
            <w:hideMark/>
          </w:tcPr>
          <w:p w14:paraId="57FCCBE6"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918" w:type="pct"/>
            <w:tcBorders>
              <w:top w:val="nil"/>
              <w:left w:val="nil"/>
              <w:bottom w:val="nil"/>
              <w:right w:val="nil"/>
            </w:tcBorders>
            <w:shd w:val="clear" w:color="auto" w:fill="auto"/>
            <w:noWrap/>
            <w:vAlign w:val="bottom"/>
            <w:hideMark/>
          </w:tcPr>
          <w:p w14:paraId="182710B2"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800" w:type="pct"/>
            <w:tcBorders>
              <w:top w:val="nil"/>
              <w:left w:val="nil"/>
              <w:bottom w:val="nil"/>
              <w:right w:val="nil"/>
            </w:tcBorders>
            <w:shd w:val="clear" w:color="auto" w:fill="auto"/>
            <w:noWrap/>
            <w:vAlign w:val="bottom"/>
            <w:hideMark/>
          </w:tcPr>
          <w:p w14:paraId="2DB843D9"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112" w:type="pct"/>
            <w:tcBorders>
              <w:top w:val="nil"/>
              <w:left w:val="nil"/>
              <w:bottom w:val="nil"/>
              <w:right w:val="nil"/>
            </w:tcBorders>
            <w:shd w:val="clear" w:color="auto" w:fill="auto"/>
            <w:noWrap/>
            <w:vAlign w:val="bottom"/>
            <w:hideMark/>
          </w:tcPr>
          <w:p w14:paraId="110FA4BE"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800" w:type="pct"/>
            <w:tcBorders>
              <w:top w:val="nil"/>
              <w:left w:val="nil"/>
              <w:bottom w:val="nil"/>
              <w:right w:val="nil"/>
            </w:tcBorders>
            <w:shd w:val="clear" w:color="auto" w:fill="auto"/>
            <w:noWrap/>
            <w:vAlign w:val="bottom"/>
            <w:hideMark/>
          </w:tcPr>
          <w:p w14:paraId="202FB663"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r>
      <w:tr w:rsidR="00F56D39" w:rsidRPr="00F56D39" w14:paraId="65012728" w14:textId="77777777" w:rsidTr="00F56D39">
        <w:trPr>
          <w:trHeight w:val="240"/>
        </w:trPr>
        <w:tc>
          <w:tcPr>
            <w:tcW w:w="2370" w:type="pct"/>
            <w:tcBorders>
              <w:top w:val="nil"/>
              <w:left w:val="nil"/>
              <w:bottom w:val="nil"/>
              <w:right w:val="nil"/>
            </w:tcBorders>
            <w:shd w:val="clear" w:color="auto" w:fill="auto"/>
            <w:noWrap/>
            <w:vAlign w:val="center"/>
            <w:hideMark/>
          </w:tcPr>
          <w:p w14:paraId="54CF5A22"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PASSIVOS FINANCEIROS</w:t>
            </w:r>
          </w:p>
        </w:tc>
        <w:tc>
          <w:tcPr>
            <w:tcW w:w="918" w:type="pct"/>
            <w:tcBorders>
              <w:top w:val="nil"/>
              <w:left w:val="nil"/>
              <w:bottom w:val="nil"/>
              <w:right w:val="nil"/>
            </w:tcBorders>
            <w:shd w:val="clear" w:color="auto" w:fill="auto"/>
            <w:noWrap/>
            <w:vAlign w:val="center"/>
            <w:hideMark/>
          </w:tcPr>
          <w:p w14:paraId="31C1B2BA"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6EF26462" w14:textId="77777777" w:rsidR="00F56D39" w:rsidRPr="00F56D39" w:rsidRDefault="00F56D39" w:rsidP="00F56D39">
            <w:pPr>
              <w:spacing w:after="0" w:line="240" w:lineRule="auto"/>
              <w:jc w:val="center"/>
              <w:rPr>
                <w:rFonts w:ascii="Times New Roman" w:eastAsia="Times New Roman" w:hAnsi="Times New Roman" w:cs="Times New Roman"/>
                <w:sz w:val="20"/>
                <w:szCs w:val="20"/>
                <w:lang w:eastAsia="pt-BR"/>
              </w:rPr>
            </w:pPr>
          </w:p>
        </w:tc>
        <w:tc>
          <w:tcPr>
            <w:tcW w:w="112" w:type="pct"/>
            <w:tcBorders>
              <w:top w:val="nil"/>
              <w:left w:val="nil"/>
              <w:bottom w:val="nil"/>
              <w:right w:val="nil"/>
            </w:tcBorders>
            <w:shd w:val="clear" w:color="auto" w:fill="auto"/>
            <w:noWrap/>
            <w:vAlign w:val="center"/>
            <w:hideMark/>
          </w:tcPr>
          <w:p w14:paraId="6401E322" w14:textId="77777777" w:rsidR="00F56D39" w:rsidRPr="00F56D39" w:rsidRDefault="00F56D39" w:rsidP="00F56D39">
            <w:pPr>
              <w:spacing w:after="0" w:line="240" w:lineRule="auto"/>
              <w:jc w:val="center"/>
              <w:rPr>
                <w:rFonts w:ascii="Times New Roman" w:eastAsia="Times New Roman" w:hAnsi="Times New Roman" w:cs="Times New Roman"/>
                <w:sz w:val="20"/>
                <w:szCs w:val="20"/>
                <w:lang w:eastAsia="pt-BR"/>
              </w:rPr>
            </w:pPr>
          </w:p>
        </w:tc>
        <w:tc>
          <w:tcPr>
            <w:tcW w:w="800" w:type="pct"/>
            <w:tcBorders>
              <w:top w:val="nil"/>
              <w:left w:val="nil"/>
              <w:bottom w:val="nil"/>
              <w:right w:val="nil"/>
            </w:tcBorders>
            <w:shd w:val="clear" w:color="auto" w:fill="auto"/>
            <w:noWrap/>
            <w:vAlign w:val="center"/>
            <w:hideMark/>
          </w:tcPr>
          <w:p w14:paraId="37737FF8" w14:textId="77777777" w:rsidR="00F56D39" w:rsidRPr="00F56D39" w:rsidRDefault="00F56D39" w:rsidP="00F56D39">
            <w:pPr>
              <w:spacing w:after="0" w:line="240" w:lineRule="auto"/>
              <w:jc w:val="center"/>
              <w:rPr>
                <w:rFonts w:ascii="Times New Roman" w:eastAsia="Times New Roman" w:hAnsi="Times New Roman" w:cs="Times New Roman"/>
                <w:sz w:val="20"/>
                <w:szCs w:val="20"/>
                <w:lang w:eastAsia="pt-BR"/>
              </w:rPr>
            </w:pPr>
          </w:p>
        </w:tc>
      </w:tr>
      <w:tr w:rsidR="00F56D39" w:rsidRPr="00F56D39" w14:paraId="0641AFF1" w14:textId="77777777" w:rsidTr="00F56D39">
        <w:trPr>
          <w:trHeight w:val="240"/>
        </w:trPr>
        <w:tc>
          <w:tcPr>
            <w:tcW w:w="2370" w:type="pct"/>
            <w:tcBorders>
              <w:top w:val="nil"/>
              <w:left w:val="nil"/>
              <w:bottom w:val="single" w:sz="4" w:space="0" w:color="auto"/>
              <w:right w:val="nil"/>
            </w:tcBorders>
            <w:shd w:val="clear" w:color="auto" w:fill="auto"/>
            <w:noWrap/>
            <w:vAlign w:val="center"/>
            <w:hideMark/>
          </w:tcPr>
          <w:p w14:paraId="7848101B"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Custo amortizado</w:t>
            </w:r>
          </w:p>
        </w:tc>
        <w:tc>
          <w:tcPr>
            <w:tcW w:w="918" w:type="pct"/>
            <w:tcBorders>
              <w:top w:val="nil"/>
              <w:left w:val="nil"/>
              <w:bottom w:val="nil"/>
              <w:right w:val="nil"/>
            </w:tcBorders>
            <w:shd w:val="clear" w:color="auto" w:fill="auto"/>
            <w:noWrap/>
            <w:vAlign w:val="center"/>
            <w:hideMark/>
          </w:tcPr>
          <w:p w14:paraId="7F9ECF32"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800" w:type="pct"/>
            <w:tcBorders>
              <w:top w:val="nil"/>
              <w:left w:val="nil"/>
              <w:bottom w:val="single" w:sz="4" w:space="0" w:color="1B80C4"/>
              <w:right w:val="nil"/>
            </w:tcBorders>
            <w:shd w:val="clear" w:color="auto" w:fill="auto"/>
            <w:noWrap/>
            <w:vAlign w:val="center"/>
            <w:hideMark/>
          </w:tcPr>
          <w:p w14:paraId="0A7FA6E1"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5.116.153 </w:t>
            </w:r>
          </w:p>
        </w:tc>
        <w:tc>
          <w:tcPr>
            <w:tcW w:w="112" w:type="pct"/>
            <w:tcBorders>
              <w:top w:val="nil"/>
              <w:left w:val="nil"/>
              <w:bottom w:val="nil"/>
              <w:right w:val="nil"/>
            </w:tcBorders>
            <w:shd w:val="clear" w:color="auto" w:fill="auto"/>
            <w:noWrap/>
            <w:vAlign w:val="center"/>
            <w:hideMark/>
          </w:tcPr>
          <w:p w14:paraId="5E31C700"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p>
        </w:tc>
        <w:tc>
          <w:tcPr>
            <w:tcW w:w="800" w:type="pct"/>
            <w:tcBorders>
              <w:top w:val="nil"/>
              <w:left w:val="nil"/>
              <w:bottom w:val="single" w:sz="4" w:space="0" w:color="1B80C4"/>
              <w:right w:val="nil"/>
            </w:tcBorders>
            <w:shd w:val="clear" w:color="auto" w:fill="auto"/>
            <w:noWrap/>
            <w:vAlign w:val="center"/>
            <w:hideMark/>
          </w:tcPr>
          <w:p w14:paraId="36AC2CDB" w14:textId="77777777" w:rsidR="00F56D39" w:rsidRPr="00F56D39" w:rsidRDefault="00F56D39" w:rsidP="00F56D39">
            <w:pPr>
              <w:spacing w:after="0" w:line="240" w:lineRule="auto"/>
              <w:jc w:val="right"/>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 xml:space="preserve">      13.363.573 </w:t>
            </w:r>
          </w:p>
        </w:tc>
      </w:tr>
      <w:tr w:rsidR="00F56D39" w:rsidRPr="00F56D39" w14:paraId="2F7DB2B0" w14:textId="77777777" w:rsidTr="00F56D39">
        <w:trPr>
          <w:trHeight w:val="240"/>
        </w:trPr>
        <w:tc>
          <w:tcPr>
            <w:tcW w:w="2370" w:type="pct"/>
            <w:tcBorders>
              <w:top w:val="nil"/>
              <w:left w:val="nil"/>
              <w:bottom w:val="nil"/>
              <w:right w:val="nil"/>
            </w:tcBorders>
            <w:shd w:val="clear" w:color="auto" w:fill="auto"/>
            <w:noWrap/>
            <w:vAlign w:val="center"/>
            <w:hideMark/>
          </w:tcPr>
          <w:p w14:paraId="210776FC"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Fornecedores</w:t>
            </w:r>
          </w:p>
        </w:tc>
        <w:tc>
          <w:tcPr>
            <w:tcW w:w="918" w:type="pct"/>
            <w:tcBorders>
              <w:top w:val="nil"/>
              <w:left w:val="nil"/>
              <w:bottom w:val="nil"/>
              <w:right w:val="nil"/>
            </w:tcBorders>
            <w:shd w:val="clear" w:color="auto" w:fill="auto"/>
            <w:noWrap/>
            <w:vAlign w:val="center"/>
            <w:hideMark/>
          </w:tcPr>
          <w:p w14:paraId="366C717F"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794AE7B4"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3.814.216 </w:t>
            </w:r>
          </w:p>
        </w:tc>
        <w:tc>
          <w:tcPr>
            <w:tcW w:w="112" w:type="pct"/>
            <w:tcBorders>
              <w:top w:val="nil"/>
              <w:left w:val="nil"/>
              <w:bottom w:val="nil"/>
              <w:right w:val="nil"/>
            </w:tcBorders>
            <w:shd w:val="clear" w:color="auto" w:fill="auto"/>
            <w:noWrap/>
            <w:vAlign w:val="center"/>
            <w:hideMark/>
          </w:tcPr>
          <w:p w14:paraId="49A7EB09"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49F0A1D8"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4.852.166 </w:t>
            </w:r>
          </w:p>
        </w:tc>
      </w:tr>
      <w:tr w:rsidR="00F56D39" w:rsidRPr="00F56D39" w14:paraId="449EA78E" w14:textId="77777777" w:rsidTr="00F56D39">
        <w:trPr>
          <w:trHeight w:val="240"/>
        </w:trPr>
        <w:tc>
          <w:tcPr>
            <w:tcW w:w="2370" w:type="pct"/>
            <w:tcBorders>
              <w:top w:val="nil"/>
              <w:left w:val="nil"/>
              <w:bottom w:val="nil"/>
              <w:right w:val="nil"/>
            </w:tcBorders>
            <w:shd w:val="clear" w:color="auto" w:fill="auto"/>
            <w:noWrap/>
            <w:vAlign w:val="center"/>
            <w:hideMark/>
          </w:tcPr>
          <w:p w14:paraId="043CCDE7"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Empréstimos e financiamentos</w:t>
            </w:r>
          </w:p>
        </w:tc>
        <w:tc>
          <w:tcPr>
            <w:tcW w:w="918" w:type="pct"/>
            <w:tcBorders>
              <w:top w:val="nil"/>
              <w:left w:val="nil"/>
              <w:bottom w:val="nil"/>
              <w:right w:val="nil"/>
            </w:tcBorders>
            <w:shd w:val="clear" w:color="auto" w:fill="auto"/>
            <w:noWrap/>
            <w:vAlign w:val="center"/>
            <w:hideMark/>
          </w:tcPr>
          <w:p w14:paraId="2BB3C0BB"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29F5870C"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   </w:t>
            </w:r>
          </w:p>
        </w:tc>
        <w:tc>
          <w:tcPr>
            <w:tcW w:w="112" w:type="pct"/>
            <w:tcBorders>
              <w:top w:val="nil"/>
              <w:left w:val="nil"/>
              <w:bottom w:val="nil"/>
              <w:right w:val="nil"/>
            </w:tcBorders>
            <w:shd w:val="clear" w:color="auto" w:fill="auto"/>
            <w:noWrap/>
            <w:vAlign w:val="center"/>
            <w:hideMark/>
          </w:tcPr>
          <w:p w14:paraId="4B4AAB47"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0A99AD6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7.132.619 </w:t>
            </w:r>
          </w:p>
        </w:tc>
      </w:tr>
      <w:tr w:rsidR="00F56D39" w:rsidRPr="00F56D39" w14:paraId="109D134A" w14:textId="77777777" w:rsidTr="00F56D39">
        <w:trPr>
          <w:trHeight w:val="240"/>
        </w:trPr>
        <w:tc>
          <w:tcPr>
            <w:tcW w:w="2370" w:type="pct"/>
            <w:tcBorders>
              <w:top w:val="nil"/>
              <w:left w:val="nil"/>
              <w:bottom w:val="nil"/>
              <w:right w:val="nil"/>
            </w:tcBorders>
            <w:shd w:val="clear" w:color="auto" w:fill="auto"/>
            <w:noWrap/>
            <w:vAlign w:val="center"/>
            <w:hideMark/>
          </w:tcPr>
          <w:p w14:paraId="158EC995"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Arrendamentos</w:t>
            </w:r>
          </w:p>
        </w:tc>
        <w:tc>
          <w:tcPr>
            <w:tcW w:w="918" w:type="pct"/>
            <w:tcBorders>
              <w:top w:val="nil"/>
              <w:left w:val="nil"/>
              <w:bottom w:val="nil"/>
              <w:right w:val="nil"/>
            </w:tcBorders>
            <w:shd w:val="clear" w:color="auto" w:fill="auto"/>
            <w:noWrap/>
            <w:vAlign w:val="center"/>
            <w:hideMark/>
          </w:tcPr>
          <w:p w14:paraId="21D80830"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77BECF9C"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9.567 </w:t>
            </w:r>
          </w:p>
        </w:tc>
        <w:tc>
          <w:tcPr>
            <w:tcW w:w="112" w:type="pct"/>
            <w:tcBorders>
              <w:top w:val="nil"/>
              <w:left w:val="nil"/>
              <w:bottom w:val="nil"/>
              <w:right w:val="nil"/>
            </w:tcBorders>
            <w:shd w:val="clear" w:color="auto" w:fill="auto"/>
            <w:noWrap/>
            <w:vAlign w:val="center"/>
            <w:hideMark/>
          </w:tcPr>
          <w:p w14:paraId="6E2F7A05"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2E6916D1"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86.418 </w:t>
            </w:r>
          </w:p>
        </w:tc>
      </w:tr>
      <w:tr w:rsidR="00F56D39" w:rsidRPr="00F56D39" w14:paraId="26EA7E41" w14:textId="77777777" w:rsidTr="00F56D39">
        <w:trPr>
          <w:trHeight w:val="240"/>
        </w:trPr>
        <w:tc>
          <w:tcPr>
            <w:tcW w:w="2370" w:type="pct"/>
            <w:tcBorders>
              <w:top w:val="nil"/>
              <w:left w:val="nil"/>
              <w:bottom w:val="nil"/>
              <w:right w:val="nil"/>
            </w:tcBorders>
            <w:shd w:val="clear" w:color="auto" w:fill="auto"/>
            <w:noWrap/>
            <w:vAlign w:val="center"/>
            <w:hideMark/>
          </w:tcPr>
          <w:p w14:paraId="74F9BCAB"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Contas a pagar aquisição de investimentos</w:t>
            </w:r>
          </w:p>
        </w:tc>
        <w:tc>
          <w:tcPr>
            <w:tcW w:w="918" w:type="pct"/>
            <w:tcBorders>
              <w:top w:val="nil"/>
              <w:left w:val="nil"/>
              <w:bottom w:val="nil"/>
              <w:right w:val="nil"/>
            </w:tcBorders>
            <w:shd w:val="clear" w:color="auto" w:fill="auto"/>
            <w:noWrap/>
            <w:vAlign w:val="center"/>
            <w:hideMark/>
          </w:tcPr>
          <w:p w14:paraId="2BC7F491" w14:textId="77777777" w:rsidR="00F56D39" w:rsidRPr="00F56D39" w:rsidRDefault="00F56D39" w:rsidP="00F56D39">
            <w:pPr>
              <w:spacing w:after="0" w:line="240" w:lineRule="auto"/>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30FE2FAD"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1.292.370 </w:t>
            </w:r>
          </w:p>
        </w:tc>
        <w:tc>
          <w:tcPr>
            <w:tcW w:w="112" w:type="pct"/>
            <w:tcBorders>
              <w:top w:val="nil"/>
              <w:left w:val="nil"/>
              <w:bottom w:val="nil"/>
              <w:right w:val="nil"/>
            </w:tcBorders>
            <w:shd w:val="clear" w:color="auto" w:fill="auto"/>
            <w:noWrap/>
            <w:vAlign w:val="center"/>
            <w:hideMark/>
          </w:tcPr>
          <w:p w14:paraId="2277C0E3"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p>
        </w:tc>
        <w:tc>
          <w:tcPr>
            <w:tcW w:w="800" w:type="pct"/>
            <w:tcBorders>
              <w:top w:val="nil"/>
              <w:left w:val="nil"/>
              <w:bottom w:val="nil"/>
              <w:right w:val="nil"/>
            </w:tcBorders>
            <w:shd w:val="clear" w:color="auto" w:fill="auto"/>
            <w:noWrap/>
            <w:vAlign w:val="center"/>
            <w:hideMark/>
          </w:tcPr>
          <w:p w14:paraId="672F916A"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1.292.370 </w:t>
            </w:r>
          </w:p>
        </w:tc>
      </w:tr>
    </w:tbl>
    <w:p w14:paraId="79FD9239" w14:textId="77777777" w:rsidR="00F56D39" w:rsidRPr="000757BC" w:rsidRDefault="00F56D39" w:rsidP="00C144BB">
      <w:pPr>
        <w:spacing w:after="0"/>
        <w:rPr>
          <w:rFonts w:ascii="Segoe UI" w:hAnsi="Segoe UI" w:cs="Segoe UI"/>
          <w:noProof/>
          <w:lang w:eastAsia="pt-BR"/>
        </w:rPr>
      </w:pPr>
    </w:p>
    <w:p w14:paraId="4FD1776E" w14:textId="7699E513" w:rsidR="005525D1" w:rsidRPr="000757BC" w:rsidRDefault="00AD7DA9" w:rsidP="0057143E">
      <w:pPr>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5525D1" w:rsidRPr="000757BC">
        <w:rPr>
          <w:rFonts w:ascii="Segoe UI" w:hAnsi="Segoe UI" w:cs="Segoe UI"/>
          <w:b/>
          <w:bCs/>
          <w:color w:val="0070C0"/>
        </w:rPr>
        <w:t xml:space="preserve">.3 - Gestão de </w:t>
      </w:r>
      <w:r w:rsidR="006C4797">
        <w:rPr>
          <w:rFonts w:ascii="Segoe UI" w:hAnsi="Segoe UI" w:cs="Segoe UI"/>
          <w:b/>
          <w:bCs/>
          <w:color w:val="0070C0"/>
        </w:rPr>
        <w:t>r</w:t>
      </w:r>
      <w:r w:rsidR="005525D1" w:rsidRPr="000757BC">
        <w:rPr>
          <w:rFonts w:ascii="Segoe UI" w:hAnsi="Segoe UI" w:cs="Segoe UI"/>
          <w:b/>
          <w:bCs/>
          <w:color w:val="0070C0"/>
        </w:rPr>
        <w:t xml:space="preserve">iscos </w:t>
      </w:r>
      <w:r w:rsidR="006C4797">
        <w:rPr>
          <w:rFonts w:ascii="Segoe UI" w:hAnsi="Segoe UI" w:cs="Segoe UI"/>
          <w:b/>
          <w:bCs/>
          <w:color w:val="0070C0"/>
        </w:rPr>
        <w:t>f</w:t>
      </w:r>
      <w:r w:rsidR="005525D1" w:rsidRPr="000757BC">
        <w:rPr>
          <w:rFonts w:ascii="Segoe UI" w:hAnsi="Segoe UI" w:cs="Segoe UI"/>
          <w:b/>
          <w:bCs/>
          <w:color w:val="0070C0"/>
        </w:rPr>
        <w:t>inanceiros</w:t>
      </w:r>
    </w:p>
    <w:p w14:paraId="31DF997E" w14:textId="089494BF" w:rsidR="005525D1" w:rsidRPr="000757BC" w:rsidRDefault="005525D1" w:rsidP="00B06F0F">
      <w:pPr>
        <w:spacing w:before="240" w:after="120"/>
        <w:jc w:val="both"/>
        <w:rPr>
          <w:rFonts w:ascii="Segoe UI" w:hAnsi="Segoe UI" w:cs="Segoe UI"/>
        </w:rPr>
      </w:pPr>
      <w:r w:rsidRPr="000757BC">
        <w:rPr>
          <w:rFonts w:ascii="Segoe UI" w:hAnsi="Segoe UI" w:cs="Segoe UI"/>
        </w:rPr>
        <w:t xml:space="preserve">No exercício de suas atividades a Companhia </w:t>
      </w:r>
      <w:r w:rsidR="001B03F3">
        <w:rPr>
          <w:rFonts w:ascii="Segoe UI" w:hAnsi="Segoe UI" w:cs="Segoe UI"/>
        </w:rPr>
        <w:t>e suas controladas são</w:t>
      </w:r>
      <w:r w:rsidRPr="000757BC">
        <w:rPr>
          <w:rFonts w:ascii="Segoe UI" w:hAnsi="Segoe UI" w:cs="Segoe UI"/>
        </w:rPr>
        <w:t xml:space="preserve"> impactada</w:t>
      </w:r>
      <w:r w:rsidR="001B03F3">
        <w:rPr>
          <w:rFonts w:ascii="Segoe UI" w:hAnsi="Segoe UI" w:cs="Segoe UI"/>
        </w:rPr>
        <w:t>s</w:t>
      </w:r>
      <w:r w:rsidRPr="000757BC">
        <w:rPr>
          <w:rFonts w:ascii="Segoe UI" w:hAnsi="Segoe UI" w:cs="Segoe UI"/>
        </w:rPr>
        <w:t xml:space="preserve"> por eventos de riscos que podem comprometer os seus objetivos estratégicos. O gerenciamento de riscos tem como principal objetivo antecipar e minimizar os efeitos adversos de tais eventos nos negócios e resultados econômico-financeiros</w:t>
      </w:r>
      <w:r w:rsidR="001B03F3">
        <w:rPr>
          <w:rFonts w:ascii="Segoe UI" w:hAnsi="Segoe UI" w:cs="Segoe UI"/>
        </w:rPr>
        <w:t>.</w:t>
      </w:r>
    </w:p>
    <w:p w14:paraId="6A104B24" w14:textId="0C9AC681" w:rsidR="005525D1" w:rsidRPr="000757BC" w:rsidRDefault="005525D1" w:rsidP="00B06F0F">
      <w:pPr>
        <w:spacing w:before="240" w:after="120"/>
        <w:jc w:val="both"/>
        <w:rPr>
          <w:rFonts w:ascii="Segoe UI" w:hAnsi="Segoe UI" w:cs="Segoe UI"/>
        </w:rPr>
      </w:pPr>
      <w:r w:rsidRPr="000757BC">
        <w:rPr>
          <w:rFonts w:ascii="Segoe UI" w:hAnsi="Segoe UI" w:cs="Segoe UI"/>
        </w:rPr>
        <w:lastRenderedPageBreak/>
        <w:t xml:space="preserve">Para a gestão de riscos financeiros, a </w:t>
      </w:r>
      <w:r w:rsidR="00E52006" w:rsidRPr="000757BC">
        <w:rPr>
          <w:rFonts w:ascii="Segoe UI" w:hAnsi="Segoe UI" w:cs="Segoe UI"/>
        </w:rPr>
        <w:t xml:space="preserve">Companhia e suas </w:t>
      </w:r>
      <w:r w:rsidR="00E52006">
        <w:rPr>
          <w:rFonts w:ascii="Segoe UI" w:hAnsi="Segoe UI" w:cs="Segoe UI"/>
        </w:rPr>
        <w:t>controlada</w:t>
      </w:r>
      <w:r w:rsidR="00E52006" w:rsidRPr="000757BC">
        <w:rPr>
          <w:rFonts w:ascii="Segoe UI" w:hAnsi="Segoe UI" w:cs="Segoe UI"/>
        </w:rPr>
        <w:t xml:space="preserve">s </w:t>
      </w:r>
      <w:r w:rsidR="0014417D" w:rsidRPr="000757BC">
        <w:rPr>
          <w:rFonts w:ascii="Segoe UI" w:hAnsi="Segoe UI" w:cs="Segoe UI"/>
        </w:rPr>
        <w:t>definiram</w:t>
      </w:r>
      <w:r w:rsidRPr="000757BC">
        <w:rPr>
          <w:rFonts w:ascii="Segoe UI" w:hAnsi="Segoe UI" w:cs="Segoe UI"/>
        </w:rPr>
        <w:t xml:space="preserve">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041D97DE" w14:textId="3C8E7EC7" w:rsidR="005525D1" w:rsidRPr="000757BC" w:rsidRDefault="00AD7DA9" w:rsidP="00B06F0F">
      <w:pPr>
        <w:pStyle w:val="Default"/>
        <w:spacing w:before="240" w:after="120" w:line="259" w:lineRule="auto"/>
        <w:jc w:val="both"/>
        <w:rPr>
          <w:rFonts w:ascii="Segoe UI" w:eastAsiaTheme="minorHAnsi" w:hAnsi="Segoe UI" w:cs="Segoe UI"/>
          <w:b/>
          <w:bCs/>
          <w:color w:val="0070C0"/>
          <w:sz w:val="22"/>
          <w:szCs w:val="22"/>
          <w:lang w:eastAsia="en-US"/>
        </w:rPr>
      </w:pPr>
      <w:bookmarkStart w:id="14" w:name="_Hlk94194422"/>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5525D1" w:rsidRPr="000757BC">
        <w:rPr>
          <w:rFonts w:ascii="Segoe UI" w:eastAsiaTheme="minorHAnsi" w:hAnsi="Segoe UI" w:cs="Segoe UI"/>
          <w:b/>
          <w:bCs/>
          <w:color w:val="0070C0"/>
          <w:sz w:val="22"/>
          <w:szCs w:val="22"/>
          <w:lang w:eastAsia="en-US"/>
        </w:rPr>
        <w:t>.3.1 - Risco de taxa de câmbio</w:t>
      </w:r>
    </w:p>
    <w:p w14:paraId="7E57E002" w14:textId="77777777" w:rsidR="005525D1" w:rsidRPr="000757BC" w:rsidRDefault="005525D1" w:rsidP="00B06F0F">
      <w:pPr>
        <w:tabs>
          <w:tab w:val="left" w:pos="426"/>
          <w:tab w:val="left" w:pos="567"/>
          <w:tab w:val="left" w:pos="851"/>
          <w:tab w:val="left" w:pos="1134"/>
          <w:tab w:val="left" w:pos="1418"/>
          <w:tab w:val="left" w:pos="1702"/>
          <w:tab w:val="left" w:pos="1985"/>
          <w:tab w:val="left" w:pos="2269"/>
        </w:tabs>
        <w:spacing w:before="240" w:after="120"/>
        <w:jc w:val="both"/>
        <w:rPr>
          <w:rFonts w:ascii="Segoe UI" w:hAnsi="Segoe UI" w:cs="Segoe UI"/>
          <w:vanish/>
        </w:rPr>
      </w:pPr>
    </w:p>
    <w:p w14:paraId="0C39AE0E" w14:textId="77777777" w:rsidR="005525D1" w:rsidRPr="000757BC" w:rsidRDefault="005525D1" w:rsidP="00E03252">
      <w:pPr>
        <w:pStyle w:val="PargrafodaLista"/>
        <w:numPr>
          <w:ilvl w:val="1"/>
          <w:numId w:val="5"/>
        </w:numPr>
        <w:autoSpaceDE w:val="0"/>
        <w:autoSpaceDN w:val="0"/>
        <w:adjustRightInd w:val="0"/>
        <w:spacing w:before="240" w:after="120" w:line="259" w:lineRule="auto"/>
        <w:ind w:left="0"/>
        <w:rPr>
          <w:rFonts w:ascii="Segoe UI" w:hAnsi="Segoe UI" w:cs="Segoe UI"/>
          <w:vanish/>
          <w:szCs w:val="22"/>
        </w:rPr>
      </w:pPr>
    </w:p>
    <w:bookmarkEnd w:id="14"/>
    <w:p w14:paraId="1BD71658" w14:textId="2348F0E3" w:rsidR="005525D1" w:rsidRPr="000757BC" w:rsidRDefault="005525D1" w:rsidP="00B06F0F">
      <w:pPr>
        <w:spacing w:before="240" w:after="120"/>
        <w:jc w:val="both"/>
        <w:rPr>
          <w:rFonts w:ascii="Segoe UI" w:hAnsi="Segoe UI" w:cs="Segoe UI"/>
        </w:rPr>
      </w:pPr>
      <w:r w:rsidRPr="000757BC">
        <w:rPr>
          <w:rFonts w:ascii="Segoe UI" w:hAnsi="Segoe UI" w:cs="Segoe UI"/>
        </w:rPr>
        <w:t>Esse risco decorre da possibilidade de a Companhia</w:t>
      </w:r>
      <w:r w:rsidR="00FA4206" w:rsidRPr="000757BC">
        <w:rPr>
          <w:rFonts w:ascii="Segoe UI" w:hAnsi="Segoe UI" w:cs="Segoe UI"/>
        </w:rPr>
        <w:t xml:space="preserve"> e suas </w:t>
      </w:r>
      <w:r w:rsidR="00546002">
        <w:rPr>
          <w:rFonts w:ascii="Segoe UI" w:hAnsi="Segoe UI" w:cs="Segoe UI"/>
        </w:rPr>
        <w:t>controlada</w:t>
      </w:r>
      <w:r w:rsidR="00FA4206" w:rsidRPr="000757BC">
        <w:rPr>
          <w:rFonts w:ascii="Segoe UI" w:hAnsi="Segoe UI" w:cs="Segoe UI"/>
        </w:rPr>
        <w:t>s</w:t>
      </w:r>
      <w:r w:rsidRPr="000757BC">
        <w:rPr>
          <w:rFonts w:ascii="Segoe UI" w:hAnsi="Segoe UI" w:cs="Segoe UI"/>
        </w:rPr>
        <w:t xml:space="preserve"> ter</w:t>
      </w:r>
      <w:r w:rsidR="00FA4206" w:rsidRPr="000757BC">
        <w:rPr>
          <w:rFonts w:ascii="Segoe UI" w:hAnsi="Segoe UI" w:cs="Segoe UI"/>
        </w:rPr>
        <w:t>em</w:t>
      </w:r>
      <w:r w:rsidRPr="000757BC">
        <w:rPr>
          <w:rFonts w:ascii="Segoe UI" w:hAnsi="Segoe UI" w:cs="Segoe UI"/>
        </w:rPr>
        <w:t xml:space="preserve"> seus demonstrativos econômico-financeiros impactados por flutuações nas taxas de câmbio. A Companhia apresenta exposição entre ativos e passivos indexados à moeda estrangeira, em especial ao dólar norte americano e euro, que causam volatilidade nos seus resultados bem como em seu fluxo de caixa. </w:t>
      </w:r>
    </w:p>
    <w:p w14:paraId="2580FDD8" w14:textId="77777777" w:rsidR="005525D1" w:rsidRPr="000757BC" w:rsidRDefault="005525D1" w:rsidP="00B06F0F">
      <w:pPr>
        <w:spacing w:before="240" w:after="120"/>
        <w:jc w:val="both"/>
        <w:rPr>
          <w:rFonts w:ascii="Segoe UI" w:hAnsi="Segoe UI" w:cs="Segoe UI"/>
        </w:rPr>
      </w:pPr>
      <w:r w:rsidRPr="000757BC">
        <w:rPr>
          <w:rFonts w:ascii="Segoe UI" w:hAnsi="Segoe UI" w:cs="Segoe UI"/>
        </w:rPr>
        <w:t xml:space="preserve">A </w:t>
      </w:r>
      <w:r w:rsidR="00E12154" w:rsidRPr="000757BC">
        <w:rPr>
          <w:rFonts w:ascii="Segoe UI" w:hAnsi="Segoe UI" w:cs="Segoe UI"/>
        </w:rPr>
        <w:t>Eletronuclear</w:t>
      </w:r>
      <w:r w:rsidRPr="000757BC">
        <w:rPr>
          <w:rFonts w:ascii="Segoe UI" w:hAnsi="Segoe UI" w:cs="Segoe UI"/>
        </w:rPr>
        <w:t xml:space="preserve"> possui uma Política de</w:t>
      </w:r>
      <w:r w:rsidRPr="000757BC">
        <w:rPr>
          <w:rFonts w:ascii="Segoe UI" w:hAnsi="Segoe UI" w:cs="Segoe UI"/>
          <w:i/>
          <w:iCs/>
        </w:rPr>
        <w:t xml:space="preserve"> Hedge</w:t>
      </w:r>
      <w:r w:rsidRPr="000757BC">
        <w:rPr>
          <w:rFonts w:ascii="Segoe UI" w:hAnsi="Segoe UI" w:cs="Segoe UI"/>
        </w:rPr>
        <w:t xml:space="preserve"> Financeiro cujo objetivo é monitorar e mitigar a exposição às variáveis de mercado que impactem seus ativos e passivos, reduzindo assim os efeitos de flutuações indesejáveis destas variáveis em suas demonstrações financeiras.</w:t>
      </w:r>
    </w:p>
    <w:p w14:paraId="60971312" w14:textId="77777777" w:rsidR="005525D1" w:rsidRPr="000757BC" w:rsidRDefault="005525D1" w:rsidP="00B06F0F">
      <w:pPr>
        <w:spacing w:before="240" w:after="120"/>
        <w:jc w:val="both"/>
        <w:rPr>
          <w:rFonts w:ascii="Segoe UI" w:hAnsi="Segoe UI" w:cs="Segoe UI"/>
        </w:rPr>
      </w:pPr>
      <w:r w:rsidRPr="000757BC">
        <w:rPr>
          <w:rFonts w:ascii="Segoe UI" w:hAnsi="Segoe UI" w:cs="Segoe UI"/>
        </w:rPr>
        <w:t>A referida política, portanto, visa que os resultados da Companhia reflitam fielmente o seu real desempenho operacional e que o seu fluxo de caixa projetado apresente menor volatilidade.</w:t>
      </w:r>
    </w:p>
    <w:p w14:paraId="1EC37DF2" w14:textId="77777777" w:rsidR="00A610F5" w:rsidRPr="000757BC" w:rsidRDefault="00C144BB" w:rsidP="00B06F0F">
      <w:pPr>
        <w:spacing w:before="240" w:after="120"/>
        <w:jc w:val="both"/>
        <w:rPr>
          <w:rFonts w:ascii="Segoe UI" w:hAnsi="Segoe UI" w:cs="Segoe UI"/>
        </w:rPr>
      </w:pPr>
      <w:r w:rsidRPr="000757BC">
        <w:rPr>
          <w:rFonts w:ascii="Segoe UI" w:hAnsi="Segoe UI" w:cs="Segoe UI"/>
        </w:rPr>
        <w:t>A</w:t>
      </w:r>
      <w:r w:rsidR="00A610F5" w:rsidRPr="000757BC">
        <w:rPr>
          <w:rFonts w:ascii="Segoe UI" w:hAnsi="Segoe UI" w:cs="Segoe UI"/>
        </w:rPr>
        <w:t xml:space="preserve"> Controladora </w:t>
      </w:r>
      <w:r w:rsidRPr="000757BC">
        <w:rPr>
          <w:rFonts w:ascii="Segoe UI" w:hAnsi="Segoe UI" w:cs="Segoe UI"/>
        </w:rPr>
        <w:t xml:space="preserve">possui operações passivas relevantes </w:t>
      </w:r>
      <w:r w:rsidR="00A610F5" w:rsidRPr="000757BC">
        <w:rPr>
          <w:rFonts w:ascii="Segoe UI" w:hAnsi="Segoe UI" w:cs="Segoe UI"/>
        </w:rPr>
        <w:t>em dólar,</w:t>
      </w:r>
      <w:r w:rsidRPr="000757BC">
        <w:rPr>
          <w:rFonts w:ascii="Segoe UI" w:hAnsi="Segoe UI" w:cs="Segoe UI"/>
        </w:rPr>
        <w:t xml:space="preserve"> porém há, para grande parcela desse compromisso,</w:t>
      </w:r>
      <w:r w:rsidR="00A610F5" w:rsidRPr="000757BC">
        <w:rPr>
          <w:rFonts w:ascii="Segoe UI" w:hAnsi="Segoe UI" w:cs="Segoe UI"/>
        </w:rPr>
        <w:t xml:space="preserve"> um hedge</w:t>
      </w:r>
      <w:r w:rsidRPr="000757BC">
        <w:rPr>
          <w:rFonts w:ascii="Segoe UI" w:hAnsi="Segoe UI" w:cs="Segoe UI"/>
        </w:rPr>
        <w:t xml:space="preserve"> natural</w:t>
      </w:r>
      <w:r w:rsidR="00A610F5" w:rsidRPr="000757BC">
        <w:rPr>
          <w:rFonts w:ascii="Segoe UI" w:hAnsi="Segoe UI" w:cs="Segoe UI"/>
        </w:rPr>
        <w:t xml:space="preserve">, </w:t>
      </w:r>
      <w:r w:rsidRPr="000757BC">
        <w:rPr>
          <w:rFonts w:ascii="Segoe UI" w:hAnsi="Segoe UI" w:cs="Segoe UI"/>
        </w:rPr>
        <w:t>referente aos recursos de remuneração de capital e ressarcimento de encargos de administração e supervisão recebidos de Itaipu que, também, são em dólar.</w:t>
      </w:r>
    </w:p>
    <w:p w14:paraId="4CC36FAD" w14:textId="2A35331F" w:rsidR="005525D1" w:rsidRPr="000757BC" w:rsidRDefault="005525D1" w:rsidP="00B06F0F">
      <w:pPr>
        <w:spacing w:before="240" w:after="120"/>
        <w:jc w:val="both"/>
        <w:rPr>
          <w:rFonts w:ascii="Segoe UI" w:hAnsi="Segoe UI" w:cs="Segoe UI"/>
        </w:rPr>
      </w:pPr>
      <w:r w:rsidRPr="000757BC">
        <w:rPr>
          <w:rFonts w:ascii="Segoe UI" w:hAnsi="Segoe UI" w:cs="Segoe UI"/>
        </w:rPr>
        <w:t>Considerando as diferentes formas de se realizar o</w:t>
      </w:r>
      <w:r w:rsidRPr="000757BC">
        <w:rPr>
          <w:rFonts w:ascii="Segoe UI" w:hAnsi="Segoe UI" w:cs="Segoe UI"/>
          <w:i/>
          <w:iCs/>
        </w:rPr>
        <w:t xml:space="preserve"> hedge</w:t>
      </w:r>
      <w:r w:rsidRPr="000757BC">
        <w:rPr>
          <w:rFonts w:ascii="Segoe UI" w:hAnsi="Segoe UI" w:cs="Segoe UI"/>
        </w:rPr>
        <w:t xml:space="preserve"> dos descasamentos apresentados pela Companhia, a Política elenca uma escala de prioridades, priorizando a solução estrutural, e, apenas para os casos residuais, adoção de operações com instrumentos financeiros derivativos.</w:t>
      </w:r>
    </w:p>
    <w:p w14:paraId="00A0139F" w14:textId="53E9521F" w:rsidR="00D8472E" w:rsidRPr="000757BC" w:rsidRDefault="00AD7DA9" w:rsidP="00B06F0F">
      <w:pPr>
        <w:pStyle w:val="Default"/>
        <w:spacing w:before="240" w:after="120" w:line="259" w:lineRule="auto"/>
        <w:jc w:val="both"/>
        <w:rPr>
          <w:rFonts w:ascii="Segoe UI" w:eastAsiaTheme="minorHAnsi" w:hAnsi="Segoe UI" w:cs="Segoe UI"/>
          <w:b/>
          <w:bCs/>
          <w:color w:val="0070C0"/>
          <w:sz w:val="22"/>
          <w:szCs w:val="22"/>
          <w:lang w:eastAsia="en-US"/>
        </w:rPr>
      </w:pPr>
      <w:bookmarkStart w:id="15" w:name="_Hlk101973281"/>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D8472E" w:rsidRPr="000757BC">
        <w:rPr>
          <w:rFonts w:ascii="Segoe UI" w:eastAsiaTheme="minorHAnsi" w:hAnsi="Segoe UI" w:cs="Segoe UI"/>
          <w:b/>
          <w:bCs/>
          <w:color w:val="0070C0"/>
          <w:sz w:val="22"/>
          <w:szCs w:val="22"/>
          <w:lang w:eastAsia="en-US"/>
        </w:rPr>
        <w:t>.3.2 - Risco de taxa de juros</w:t>
      </w:r>
    </w:p>
    <w:p w14:paraId="181D7116" w14:textId="0C28FB30" w:rsidR="00D8472E" w:rsidRPr="000757BC" w:rsidRDefault="00D8472E" w:rsidP="00B06F0F">
      <w:pPr>
        <w:spacing w:before="240" w:after="120"/>
        <w:jc w:val="both"/>
        <w:rPr>
          <w:rFonts w:ascii="Segoe UI" w:hAnsi="Segoe UI" w:cs="Segoe UI"/>
        </w:rPr>
      </w:pPr>
      <w:r w:rsidRPr="000757BC">
        <w:rPr>
          <w:rFonts w:ascii="Segoe UI" w:hAnsi="Segoe UI" w:cs="Segoe UI"/>
        </w:rPr>
        <w:t xml:space="preserve">A Administração da </w:t>
      </w:r>
      <w:r w:rsidR="00397D36" w:rsidRPr="000757BC">
        <w:rPr>
          <w:rFonts w:ascii="Segoe UI" w:hAnsi="Segoe UI" w:cs="Segoe UI"/>
        </w:rPr>
        <w:t>Companhia</w:t>
      </w:r>
      <w:r w:rsidR="0014417D" w:rsidRPr="000757BC">
        <w:rPr>
          <w:rFonts w:ascii="Segoe UI" w:hAnsi="Segoe UI" w:cs="Segoe UI"/>
        </w:rPr>
        <w:t xml:space="preserve"> e </w:t>
      </w:r>
      <w:r w:rsidR="0077578A" w:rsidRPr="000757BC">
        <w:rPr>
          <w:rFonts w:ascii="Segoe UI" w:hAnsi="Segoe UI" w:cs="Segoe UI"/>
        </w:rPr>
        <w:t xml:space="preserve">suas </w:t>
      </w:r>
      <w:r w:rsidR="00546002">
        <w:rPr>
          <w:rFonts w:ascii="Segoe UI" w:hAnsi="Segoe UI" w:cs="Segoe UI"/>
        </w:rPr>
        <w:t>controlada</w:t>
      </w:r>
      <w:r w:rsidR="0077578A" w:rsidRPr="000757BC">
        <w:rPr>
          <w:rFonts w:ascii="Segoe UI" w:hAnsi="Segoe UI" w:cs="Segoe UI"/>
        </w:rPr>
        <w:t>s</w:t>
      </w:r>
      <w:r w:rsidR="0014417D" w:rsidRPr="000757BC">
        <w:rPr>
          <w:rFonts w:ascii="Segoe UI" w:hAnsi="Segoe UI" w:cs="Segoe UI"/>
        </w:rPr>
        <w:t xml:space="preserve"> </w:t>
      </w:r>
      <w:r w:rsidRPr="000757BC">
        <w:rPr>
          <w:rFonts w:ascii="Segoe UI" w:hAnsi="Segoe UI" w:cs="Segoe UI"/>
        </w:rPr>
        <w:t>entende</w:t>
      </w:r>
      <w:r w:rsidR="0014417D" w:rsidRPr="000757BC">
        <w:rPr>
          <w:rFonts w:ascii="Segoe UI" w:hAnsi="Segoe UI" w:cs="Segoe UI"/>
        </w:rPr>
        <w:t>m</w:t>
      </w:r>
      <w:r w:rsidRPr="000757BC">
        <w:rPr>
          <w:rFonts w:ascii="Segoe UI" w:hAnsi="Segoe UI" w:cs="Segoe UI"/>
        </w:rPr>
        <w:t xml:space="preserve"> que a exposição </w:t>
      </w:r>
      <w:r w:rsidR="004F352C" w:rsidRPr="000757BC">
        <w:rPr>
          <w:rFonts w:ascii="Segoe UI" w:hAnsi="Segoe UI" w:cs="Segoe UI"/>
        </w:rPr>
        <w:t>ao</w:t>
      </w:r>
      <w:r w:rsidRPr="000757BC">
        <w:rPr>
          <w:rFonts w:ascii="Segoe UI" w:hAnsi="Segoe UI" w:cs="Segoe UI"/>
        </w:rPr>
        <w:t xml:space="preserve"> risco de juros não é significativa, visto que os empréstimos e financiamentos contratados estão indexados, principalmente, à Unidade </w:t>
      </w:r>
      <w:r w:rsidR="007D30EE">
        <w:rPr>
          <w:rFonts w:ascii="Segoe UI" w:hAnsi="Segoe UI" w:cs="Segoe UI"/>
        </w:rPr>
        <w:t>Fiscal</w:t>
      </w:r>
      <w:r w:rsidRPr="000757BC">
        <w:rPr>
          <w:rFonts w:ascii="Segoe UI" w:hAnsi="Segoe UI" w:cs="Segoe UI"/>
        </w:rPr>
        <w:t xml:space="preserve"> de Referência </w:t>
      </w:r>
      <w:r w:rsidR="001B03F3">
        <w:rPr>
          <w:rFonts w:ascii="Segoe UI" w:hAnsi="Segoe UI" w:cs="Segoe UI"/>
        </w:rPr>
        <w:t>–</w:t>
      </w:r>
      <w:r w:rsidRPr="000757BC">
        <w:rPr>
          <w:rFonts w:ascii="Segoe UI" w:hAnsi="Segoe UI" w:cs="Segoe UI"/>
        </w:rPr>
        <w:t xml:space="preserve"> </w:t>
      </w:r>
      <w:r w:rsidR="001B03F3">
        <w:rPr>
          <w:rFonts w:ascii="Segoe UI" w:hAnsi="Segoe UI" w:cs="Segoe UI"/>
        </w:rPr>
        <w:t>(“</w:t>
      </w:r>
      <w:r w:rsidRPr="000757BC">
        <w:rPr>
          <w:rFonts w:ascii="Segoe UI" w:hAnsi="Segoe UI" w:cs="Segoe UI"/>
        </w:rPr>
        <w:t>UFIR</w:t>
      </w:r>
      <w:r w:rsidR="001B03F3">
        <w:rPr>
          <w:rFonts w:ascii="Segoe UI" w:hAnsi="Segoe UI" w:cs="Segoe UI"/>
        </w:rPr>
        <w:t>”)</w:t>
      </w:r>
      <w:r w:rsidRPr="000757BC">
        <w:rPr>
          <w:rFonts w:ascii="Segoe UI" w:hAnsi="Segoe UI" w:cs="Segoe UI"/>
        </w:rPr>
        <w:t xml:space="preserve"> e à Taxa de Juros de Longo Prazo </w:t>
      </w:r>
      <w:r w:rsidR="001B03F3">
        <w:rPr>
          <w:rFonts w:ascii="Segoe UI" w:hAnsi="Segoe UI" w:cs="Segoe UI"/>
        </w:rPr>
        <w:t>–</w:t>
      </w:r>
      <w:r w:rsidRPr="000757BC">
        <w:rPr>
          <w:rFonts w:ascii="Segoe UI" w:hAnsi="Segoe UI" w:cs="Segoe UI"/>
        </w:rPr>
        <w:t xml:space="preserve"> </w:t>
      </w:r>
      <w:r w:rsidR="001B03F3">
        <w:rPr>
          <w:rFonts w:ascii="Segoe UI" w:hAnsi="Segoe UI" w:cs="Segoe UI"/>
        </w:rPr>
        <w:t>(“</w:t>
      </w:r>
      <w:r w:rsidRPr="000757BC">
        <w:rPr>
          <w:rFonts w:ascii="Segoe UI" w:hAnsi="Segoe UI" w:cs="Segoe UI"/>
        </w:rPr>
        <w:t>TJLP</w:t>
      </w:r>
      <w:r w:rsidR="001B03F3">
        <w:rPr>
          <w:rFonts w:ascii="Segoe UI" w:hAnsi="Segoe UI" w:cs="Segoe UI"/>
        </w:rPr>
        <w:t>”)</w:t>
      </w:r>
      <w:r w:rsidRPr="000757BC">
        <w:rPr>
          <w:rFonts w:ascii="Segoe UI" w:hAnsi="Segoe UI" w:cs="Segoe UI"/>
        </w:rPr>
        <w:t xml:space="preserve"> ou não possuem qualquer indexador, como é o caso do contrato de financiamento com a CEF, que possui taxa de juros fixa ao longo do contrato.  Além disso, todos os recursos são captados em moeda nacional, o que reduz a exposição cambial. </w:t>
      </w:r>
    </w:p>
    <w:p w14:paraId="3C8826EB" w14:textId="411081CC" w:rsidR="00D8472E" w:rsidRPr="000757BC" w:rsidRDefault="00D8472E" w:rsidP="00B06F0F">
      <w:pPr>
        <w:spacing w:before="240" w:after="120"/>
        <w:jc w:val="both"/>
        <w:rPr>
          <w:rFonts w:ascii="Segoe UI" w:hAnsi="Segoe UI" w:cs="Segoe UI"/>
        </w:rPr>
      </w:pPr>
      <w:r w:rsidRPr="000757BC">
        <w:rPr>
          <w:rFonts w:ascii="Segoe UI" w:hAnsi="Segoe UI" w:cs="Segoe UI"/>
        </w:rPr>
        <w:t xml:space="preserve">A UFIR não sofreu qualquer variação no período, visto que foi extinta em 2000 e está congelada desde então. A TJLP, que é divulgada, trimestralmente pelo CMN, foi elevada para 6,82 a.a. para o </w:t>
      </w:r>
      <w:r w:rsidR="007B0836" w:rsidRPr="000757BC">
        <w:rPr>
          <w:rFonts w:ascii="Segoe UI" w:hAnsi="Segoe UI" w:cs="Segoe UI"/>
        </w:rPr>
        <w:t>terceiro</w:t>
      </w:r>
      <w:r w:rsidRPr="000757BC">
        <w:rPr>
          <w:rFonts w:ascii="Segoe UI" w:hAnsi="Segoe UI" w:cs="Segoe UI"/>
        </w:rPr>
        <w:t xml:space="preserve"> trimestre de 2022. O impacto para a </w:t>
      </w:r>
      <w:r w:rsidR="004A4B03">
        <w:rPr>
          <w:rFonts w:ascii="Segoe UI" w:hAnsi="Segoe UI" w:cs="Segoe UI"/>
        </w:rPr>
        <w:t xml:space="preserve">Eletronuclear </w:t>
      </w:r>
      <w:r w:rsidRPr="000757BC">
        <w:rPr>
          <w:rFonts w:ascii="Segoe UI" w:hAnsi="Segoe UI" w:cs="Segoe UI"/>
        </w:rPr>
        <w:t xml:space="preserve">proveniente de mudanças da TJLP é suavizado pelo fato do contrato de financiamento com o BNDES prever que qualquer valor da TJLP que exceda o patamar de 6,00% a.a. </w:t>
      </w:r>
      <w:r w:rsidR="004F352C" w:rsidRPr="000757BC">
        <w:rPr>
          <w:rFonts w:ascii="Segoe UI" w:hAnsi="Segoe UI" w:cs="Segoe UI"/>
        </w:rPr>
        <w:t>será</w:t>
      </w:r>
      <w:r w:rsidRPr="000757BC">
        <w:rPr>
          <w:rFonts w:ascii="Segoe UI" w:hAnsi="Segoe UI" w:cs="Segoe UI"/>
        </w:rPr>
        <w:t xml:space="preserve"> capitalizado ao saldo devedor. Além da taxa referente à TJLP, o contrato com o BNDES prevê o pagamento de um </w:t>
      </w:r>
      <w:r w:rsidRPr="00A80098">
        <w:rPr>
          <w:rFonts w:ascii="Segoe UI" w:hAnsi="Segoe UI" w:cs="Segoe UI"/>
          <w:i/>
        </w:rPr>
        <w:t xml:space="preserve">spread </w:t>
      </w:r>
      <w:r w:rsidRPr="000757BC">
        <w:rPr>
          <w:rFonts w:ascii="Segoe UI" w:hAnsi="Segoe UI" w:cs="Segoe UI"/>
        </w:rPr>
        <w:t>fixo de 1,72% a.a.</w:t>
      </w:r>
    </w:p>
    <w:p w14:paraId="4E49E71D" w14:textId="0A32DFC0" w:rsidR="00D8472E" w:rsidRPr="000757BC" w:rsidRDefault="00D8472E" w:rsidP="00B06F0F">
      <w:pPr>
        <w:spacing w:before="240" w:after="120"/>
        <w:jc w:val="both"/>
        <w:rPr>
          <w:rFonts w:ascii="Segoe UI" w:hAnsi="Segoe UI" w:cs="Segoe UI"/>
        </w:rPr>
      </w:pPr>
      <w:r w:rsidRPr="000757BC">
        <w:rPr>
          <w:rFonts w:ascii="Segoe UI" w:hAnsi="Segoe UI" w:cs="Segoe UI"/>
        </w:rPr>
        <w:lastRenderedPageBreak/>
        <w:t xml:space="preserve">Aproximadamente </w:t>
      </w:r>
      <w:r w:rsidR="00400C92">
        <w:rPr>
          <w:rFonts w:ascii="Segoe UI" w:hAnsi="Segoe UI" w:cs="Segoe UI"/>
        </w:rPr>
        <w:t>46</w:t>
      </w:r>
      <w:r w:rsidRPr="000757BC">
        <w:rPr>
          <w:rFonts w:ascii="Segoe UI" w:hAnsi="Segoe UI" w:cs="Segoe UI"/>
        </w:rPr>
        <w:t xml:space="preserve">% da dívida total da </w:t>
      </w:r>
      <w:r w:rsidR="004A4B03">
        <w:rPr>
          <w:rFonts w:ascii="Segoe UI" w:hAnsi="Segoe UI" w:cs="Segoe UI"/>
        </w:rPr>
        <w:t xml:space="preserve">Eletronuclear </w:t>
      </w:r>
      <w:r w:rsidRPr="000757BC">
        <w:rPr>
          <w:rFonts w:ascii="Segoe UI" w:hAnsi="Segoe UI" w:cs="Segoe UI"/>
        </w:rPr>
        <w:t>está indexada à TJLP. No caso da dívida com taxas pré-fixadas, esse montante representa cerca de 41% do total. A dívida que está indexada à UFIR que está congelada</w:t>
      </w:r>
      <w:r w:rsidR="001B03F3">
        <w:rPr>
          <w:rFonts w:ascii="Segoe UI" w:hAnsi="Segoe UI" w:cs="Segoe UI"/>
        </w:rPr>
        <w:t xml:space="preserve"> e</w:t>
      </w:r>
      <w:r w:rsidRPr="000757BC">
        <w:rPr>
          <w:rFonts w:ascii="Segoe UI" w:hAnsi="Segoe UI" w:cs="Segoe UI"/>
        </w:rPr>
        <w:t xml:space="preserve"> representa cerca de 8% do total.</w:t>
      </w:r>
    </w:p>
    <w:p w14:paraId="04342EB0" w14:textId="4D9E9069" w:rsidR="00D8472E" w:rsidRPr="000757BC" w:rsidRDefault="00D8472E" w:rsidP="00B06F0F">
      <w:pPr>
        <w:spacing w:before="240" w:after="120"/>
        <w:jc w:val="both"/>
        <w:rPr>
          <w:rFonts w:ascii="Segoe UI" w:hAnsi="Segoe UI" w:cs="Segoe UI"/>
        </w:rPr>
      </w:pPr>
      <w:r w:rsidRPr="000757BC">
        <w:rPr>
          <w:rFonts w:ascii="Segoe UI" w:hAnsi="Segoe UI" w:cs="Segoe UI"/>
        </w:rPr>
        <w:t>Outra fração</w:t>
      </w:r>
      <w:r w:rsidR="001B03F3">
        <w:rPr>
          <w:rFonts w:ascii="Segoe UI" w:hAnsi="Segoe UI" w:cs="Segoe UI"/>
        </w:rPr>
        <w:t>,</w:t>
      </w:r>
      <w:r w:rsidRPr="000757BC">
        <w:rPr>
          <w:rFonts w:ascii="Segoe UI" w:hAnsi="Segoe UI" w:cs="Segoe UI"/>
        </w:rPr>
        <w:t xml:space="preserve"> de aproximadamente </w:t>
      </w:r>
      <w:r w:rsidR="00C915F3">
        <w:rPr>
          <w:rFonts w:ascii="Segoe UI" w:hAnsi="Segoe UI" w:cs="Segoe UI"/>
        </w:rPr>
        <w:t>3,9</w:t>
      </w:r>
      <w:r w:rsidRPr="000757BC">
        <w:rPr>
          <w:rFonts w:ascii="Segoe UI" w:hAnsi="Segoe UI" w:cs="Segoe UI"/>
        </w:rPr>
        <w:t xml:space="preserve">% do total da dívida da </w:t>
      </w:r>
      <w:r w:rsidR="004A4B03">
        <w:rPr>
          <w:rFonts w:ascii="Segoe UI" w:hAnsi="Segoe UI" w:cs="Segoe UI"/>
        </w:rPr>
        <w:t xml:space="preserve">Eletronuclear </w:t>
      </w:r>
      <w:r w:rsidRPr="000757BC">
        <w:rPr>
          <w:rFonts w:ascii="Segoe UI" w:hAnsi="Segoe UI" w:cs="Segoe UI"/>
        </w:rPr>
        <w:t>está indexada ao Índice IPCA. Com a liquidação do Subcrédito D do BNDES não há mais nenhuma dívida indexada à taxa SELIC.</w:t>
      </w:r>
    </w:p>
    <w:bookmarkEnd w:id="15"/>
    <w:p w14:paraId="306C5F30" w14:textId="493718F5" w:rsidR="00771747" w:rsidRPr="00771747" w:rsidRDefault="00771747" w:rsidP="00771747">
      <w:pPr>
        <w:pStyle w:val="Corpo"/>
        <w:shd w:val="clear" w:color="auto" w:fill="FFFFFF"/>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pPr>
      <w:r w:rsidRPr="00771747">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A E</w:t>
      </w:r>
      <w:r>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letronuclear</w:t>
      </w:r>
      <w:r w:rsidRPr="00771747">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 firmou, em 08 de junho de 2022, o “</w:t>
      </w:r>
      <w:r w:rsidRPr="00F61DCE">
        <w:rPr>
          <w:rFonts w:ascii="Segoe UI" w:eastAsiaTheme="minorHAnsi" w:hAnsi="Segoe UI" w:cs="Segoe UI"/>
          <w:i/>
          <w:iCs/>
          <w:color w:val="auto"/>
          <w:bdr w:val="none" w:sz="0" w:space="0" w:color="auto"/>
          <w:lang w:val="pt-BR" w:eastAsia="en-US"/>
          <w14:textOutline w14:w="0" w14:cap="rnd" w14:cmpd="sng" w14:algn="ctr">
            <w14:noFill/>
            <w14:prstDash w14:val="solid"/>
            <w14:bevel/>
          </w14:textOutline>
        </w:rPr>
        <w:t>Credit Agreement</w:t>
      </w:r>
      <w:r w:rsidRPr="00771747">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 no valor de USD 22,2 milhões </w:t>
      </w:r>
      <w:r w:rsidR="00F61DCE">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N</w:t>
      </w:r>
      <w:r w:rsidRPr="00771747">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ota </w:t>
      </w:r>
      <w:r w:rsidR="00403741">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explicativa</w:t>
      </w:r>
      <w:r w:rsidRPr="00771747">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xml:space="preserve"> 1</w:t>
      </w:r>
      <w:r w:rsidR="00403741">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6</w:t>
      </w:r>
      <w:r w:rsidRPr="00771747">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com o Banco Santander S.A., representando aproximadamente 1,06% da dívida total da E</w:t>
      </w:r>
      <w:r>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letronuclear</w:t>
      </w:r>
      <w:r w:rsidRPr="00771747">
        <w:rPr>
          <w:rFonts w:ascii="Segoe UI" w:eastAsiaTheme="minorHAnsi" w:hAnsi="Segoe UI" w:cs="Segoe UI"/>
          <w:color w:val="auto"/>
          <w:bdr w:val="none" w:sz="0" w:space="0" w:color="auto"/>
          <w:lang w:val="pt-BR" w:eastAsia="en-US"/>
          <w14:textOutline w14:w="0" w14:cap="rnd" w14:cmpd="sng" w14:algn="ctr">
            <w14:noFill/>
            <w14:prstDash w14:val="solid"/>
            <w14:bevel/>
          </w14:textOutline>
        </w:rPr>
        <w:t>. A taxa contratual SOFR TERM6M foi cotada em 3,42% para a data de liberação do primeiro desembolso, ocorrido em 9 de setembro de 2022. Para o segundo desembolso, ocorrido em 15 de dezembro do mesmo ano, a taxa fixada foi de 4,53%. Conforme cláusula contratual, será com esta taxa acrescida do spread fixo de 1,05% a.a. que será calculado os juros a serem pagos na primeira prestação contratual, somando então uma taxa de 4,47% para este desembolso.</w:t>
      </w:r>
    </w:p>
    <w:p w14:paraId="60EFBFAC" w14:textId="19676031" w:rsidR="00D8472E" w:rsidRDefault="00D8472E" w:rsidP="00B06F0F">
      <w:pPr>
        <w:spacing w:before="240" w:after="120"/>
        <w:jc w:val="both"/>
        <w:rPr>
          <w:rFonts w:ascii="Segoe UI" w:hAnsi="Segoe UI" w:cs="Segoe UI"/>
        </w:rPr>
      </w:pPr>
      <w:r w:rsidRPr="000757BC">
        <w:rPr>
          <w:rFonts w:ascii="Segoe UI" w:hAnsi="Segoe UI" w:cs="Segoe UI"/>
        </w:rPr>
        <w:t xml:space="preserve">Segue, abaixo, a exposição total do risco de juros dos </w:t>
      </w:r>
      <w:r w:rsidR="0023401C">
        <w:rPr>
          <w:rFonts w:ascii="Segoe UI" w:hAnsi="Segoe UI" w:cs="Segoe UI"/>
        </w:rPr>
        <w:t>f</w:t>
      </w:r>
      <w:r w:rsidRPr="000757BC">
        <w:rPr>
          <w:rFonts w:ascii="Segoe UI" w:hAnsi="Segoe UI" w:cs="Segoe UI"/>
        </w:rPr>
        <w:t xml:space="preserve">inanciamentos e </w:t>
      </w:r>
      <w:r w:rsidR="0023401C">
        <w:rPr>
          <w:rFonts w:ascii="Segoe UI" w:hAnsi="Segoe UI" w:cs="Segoe UI"/>
        </w:rPr>
        <w:t>e</w:t>
      </w:r>
      <w:r w:rsidRPr="000757BC">
        <w:rPr>
          <w:rFonts w:ascii="Segoe UI" w:hAnsi="Segoe UI" w:cs="Segoe UI"/>
        </w:rPr>
        <w:t xml:space="preserve">mpréstimos: </w:t>
      </w:r>
    </w:p>
    <w:p w14:paraId="20BEC99D" w14:textId="7E6F4FD6" w:rsidR="00402349" w:rsidRDefault="00402349" w:rsidP="00B06F0F">
      <w:pPr>
        <w:spacing w:before="240" w:after="120"/>
        <w:jc w:val="both"/>
        <w:rPr>
          <w:rFonts w:ascii="Segoe UI" w:hAnsi="Segoe UI" w:cs="Segoe UI"/>
        </w:rPr>
      </w:pPr>
    </w:p>
    <w:tbl>
      <w:tblPr>
        <w:tblW w:w="5294" w:type="pct"/>
        <w:tblInd w:w="-142" w:type="dxa"/>
        <w:tblLayout w:type="fixed"/>
        <w:tblCellMar>
          <w:left w:w="70" w:type="dxa"/>
          <w:right w:w="70" w:type="dxa"/>
        </w:tblCellMar>
        <w:tblLook w:val="04A0" w:firstRow="1" w:lastRow="0" w:firstColumn="1" w:lastColumn="0" w:noHBand="0" w:noVBand="1"/>
      </w:tblPr>
      <w:tblGrid>
        <w:gridCol w:w="4252"/>
        <w:gridCol w:w="708"/>
        <w:gridCol w:w="1396"/>
        <w:gridCol w:w="686"/>
        <w:gridCol w:w="1014"/>
        <w:gridCol w:w="1008"/>
        <w:gridCol w:w="991"/>
      </w:tblGrid>
      <w:tr w:rsidR="00F61DCE" w:rsidRPr="00F61DCE" w14:paraId="47AAE7E5" w14:textId="77777777" w:rsidTr="00D5058F">
        <w:trPr>
          <w:trHeight w:val="300"/>
        </w:trPr>
        <w:tc>
          <w:tcPr>
            <w:tcW w:w="2115" w:type="pct"/>
            <w:tcBorders>
              <w:top w:val="nil"/>
              <w:left w:val="nil"/>
              <w:bottom w:val="nil"/>
              <w:right w:val="nil"/>
            </w:tcBorders>
            <w:shd w:val="clear" w:color="auto" w:fill="auto"/>
            <w:noWrap/>
            <w:vAlign w:val="bottom"/>
            <w:hideMark/>
          </w:tcPr>
          <w:p w14:paraId="55F6A8B4" w14:textId="77777777" w:rsidR="00F61DCE" w:rsidRPr="00F61DCE" w:rsidRDefault="00F61DCE" w:rsidP="00F61DCE">
            <w:pPr>
              <w:spacing w:after="0" w:line="240" w:lineRule="auto"/>
              <w:rPr>
                <w:rFonts w:ascii="Times New Roman" w:eastAsia="Times New Roman" w:hAnsi="Times New Roman" w:cs="Times New Roman"/>
                <w:sz w:val="24"/>
                <w:szCs w:val="24"/>
                <w:lang w:eastAsia="pt-BR"/>
              </w:rPr>
            </w:pPr>
          </w:p>
        </w:tc>
        <w:tc>
          <w:tcPr>
            <w:tcW w:w="352" w:type="pct"/>
            <w:vMerge w:val="restart"/>
            <w:tcBorders>
              <w:top w:val="nil"/>
              <w:left w:val="nil"/>
              <w:bottom w:val="nil"/>
              <w:right w:val="nil"/>
            </w:tcBorders>
            <w:shd w:val="clear" w:color="000000" w:fill="1B80C4"/>
            <w:noWrap/>
            <w:vAlign w:val="center"/>
            <w:hideMark/>
          </w:tcPr>
          <w:p w14:paraId="72B2F407" w14:textId="5A45B96D" w:rsidR="00F61DCE" w:rsidRPr="00F61DCE" w:rsidRDefault="00F61DCE" w:rsidP="00F61DCE">
            <w:pPr>
              <w:spacing w:after="0" w:line="240" w:lineRule="auto"/>
              <w:jc w:val="center"/>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6"/>
                <w:szCs w:val="16"/>
                <w:lang w:eastAsia="pt-BR"/>
              </w:rPr>
              <w:t>Moeda</w:t>
            </w:r>
          </w:p>
        </w:tc>
        <w:tc>
          <w:tcPr>
            <w:tcW w:w="694" w:type="pct"/>
            <w:vMerge w:val="restart"/>
            <w:tcBorders>
              <w:top w:val="nil"/>
              <w:left w:val="nil"/>
              <w:bottom w:val="nil"/>
              <w:right w:val="nil"/>
            </w:tcBorders>
            <w:shd w:val="clear" w:color="000000" w:fill="1B80C4"/>
            <w:noWrap/>
            <w:vAlign w:val="center"/>
            <w:hideMark/>
          </w:tcPr>
          <w:p w14:paraId="5648AD4C" w14:textId="2F23DEE6" w:rsidR="00F61DCE" w:rsidRPr="00F61DCE" w:rsidRDefault="00F61DCE" w:rsidP="00F61DCE">
            <w:pPr>
              <w:spacing w:after="0" w:line="240" w:lineRule="auto"/>
              <w:jc w:val="center"/>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Indexador</w:t>
            </w:r>
          </w:p>
        </w:tc>
        <w:tc>
          <w:tcPr>
            <w:tcW w:w="341" w:type="pct"/>
            <w:vMerge w:val="restart"/>
            <w:tcBorders>
              <w:top w:val="nil"/>
              <w:left w:val="nil"/>
              <w:bottom w:val="nil"/>
              <w:right w:val="nil"/>
            </w:tcBorders>
            <w:shd w:val="clear" w:color="000000" w:fill="1B80C4"/>
            <w:noWrap/>
            <w:vAlign w:val="center"/>
            <w:hideMark/>
          </w:tcPr>
          <w:p w14:paraId="3D2D2715" w14:textId="4C2C235B" w:rsidR="00F61DCE" w:rsidRPr="00F61DCE" w:rsidRDefault="00F61DCE" w:rsidP="00F61DCE">
            <w:pPr>
              <w:spacing w:after="0" w:line="240" w:lineRule="auto"/>
              <w:jc w:val="center"/>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Taxa média</w:t>
            </w:r>
          </w:p>
        </w:tc>
        <w:tc>
          <w:tcPr>
            <w:tcW w:w="1499" w:type="pct"/>
            <w:gridSpan w:val="3"/>
            <w:tcBorders>
              <w:top w:val="nil"/>
              <w:left w:val="nil"/>
              <w:bottom w:val="single" w:sz="4" w:space="0" w:color="FFFFFF"/>
              <w:right w:val="nil"/>
            </w:tcBorders>
            <w:shd w:val="clear" w:color="000000" w:fill="1B80C4"/>
            <w:noWrap/>
            <w:vAlign w:val="bottom"/>
            <w:hideMark/>
          </w:tcPr>
          <w:p w14:paraId="08412EBE" w14:textId="77777777" w:rsidR="00F61DCE" w:rsidRPr="00F61DCE" w:rsidRDefault="00F61DCE" w:rsidP="00F61DCE">
            <w:pPr>
              <w:spacing w:after="0" w:line="240" w:lineRule="auto"/>
              <w:jc w:val="center"/>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31/12/2022</w:t>
            </w:r>
          </w:p>
        </w:tc>
      </w:tr>
      <w:tr w:rsidR="00D5058F" w:rsidRPr="00F61DCE" w14:paraId="3B221EA6" w14:textId="77777777" w:rsidTr="00D5058F">
        <w:trPr>
          <w:trHeight w:val="439"/>
        </w:trPr>
        <w:tc>
          <w:tcPr>
            <w:tcW w:w="2115" w:type="pct"/>
            <w:tcBorders>
              <w:top w:val="nil"/>
              <w:left w:val="nil"/>
              <w:bottom w:val="nil"/>
              <w:right w:val="nil"/>
            </w:tcBorders>
            <w:shd w:val="clear" w:color="auto" w:fill="auto"/>
            <w:noWrap/>
            <w:vAlign w:val="bottom"/>
            <w:hideMark/>
          </w:tcPr>
          <w:p w14:paraId="028F10DD" w14:textId="77777777" w:rsidR="00F61DCE" w:rsidRPr="00F61DCE" w:rsidRDefault="00F61DCE" w:rsidP="00F61DCE">
            <w:pPr>
              <w:spacing w:after="0" w:line="240" w:lineRule="auto"/>
              <w:jc w:val="center"/>
              <w:rPr>
                <w:rFonts w:ascii="Segoe UI" w:eastAsia="Times New Roman" w:hAnsi="Segoe UI" w:cs="Segoe UI"/>
                <w:b/>
                <w:bCs/>
                <w:color w:val="FFFFFF"/>
                <w:sz w:val="18"/>
                <w:szCs w:val="18"/>
                <w:lang w:eastAsia="pt-BR"/>
              </w:rPr>
            </w:pPr>
          </w:p>
        </w:tc>
        <w:tc>
          <w:tcPr>
            <w:tcW w:w="352" w:type="pct"/>
            <w:vMerge/>
            <w:tcBorders>
              <w:top w:val="nil"/>
              <w:left w:val="nil"/>
              <w:bottom w:val="nil"/>
              <w:right w:val="nil"/>
            </w:tcBorders>
            <w:vAlign w:val="center"/>
            <w:hideMark/>
          </w:tcPr>
          <w:p w14:paraId="4586AB80" w14:textId="77777777" w:rsidR="00F61DCE" w:rsidRPr="00F61DCE" w:rsidRDefault="00F61DCE" w:rsidP="00F61DCE">
            <w:pPr>
              <w:spacing w:after="0" w:line="240" w:lineRule="auto"/>
              <w:rPr>
                <w:rFonts w:ascii="Segoe UI" w:eastAsia="Times New Roman" w:hAnsi="Segoe UI" w:cs="Segoe UI"/>
                <w:b/>
                <w:bCs/>
                <w:color w:val="FFFFFF"/>
                <w:sz w:val="18"/>
                <w:szCs w:val="18"/>
                <w:lang w:eastAsia="pt-BR"/>
              </w:rPr>
            </w:pPr>
          </w:p>
        </w:tc>
        <w:tc>
          <w:tcPr>
            <w:tcW w:w="694" w:type="pct"/>
            <w:vMerge/>
            <w:tcBorders>
              <w:top w:val="nil"/>
              <w:left w:val="nil"/>
              <w:bottom w:val="nil"/>
              <w:right w:val="nil"/>
            </w:tcBorders>
            <w:vAlign w:val="center"/>
            <w:hideMark/>
          </w:tcPr>
          <w:p w14:paraId="5A6E36B3" w14:textId="77777777" w:rsidR="00F61DCE" w:rsidRPr="00F61DCE" w:rsidRDefault="00F61DCE" w:rsidP="00F61DCE">
            <w:pPr>
              <w:spacing w:after="0" w:line="240" w:lineRule="auto"/>
              <w:rPr>
                <w:rFonts w:ascii="Segoe UI" w:eastAsia="Times New Roman" w:hAnsi="Segoe UI" w:cs="Segoe UI"/>
                <w:b/>
                <w:bCs/>
                <w:color w:val="FFFFFF"/>
                <w:sz w:val="18"/>
                <w:szCs w:val="18"/>
                <w:lang w:eastAsia="pt-BR"/>
              </w:rPr>
            </w:pPr>
          </w:p>
        </w:tc>
        <w:tc>
          <w:tcPr>
            <w:tcW w:w="341" w:type="pct"/>
            <w:vMerge/>
            <w:tcBorders>
              <w:top w:val="nil"/>
              <w:left w:val="nil"/>
              <w:bottom w:val="nil"/>
              <w:right w:val="nil"/>
            </w:tcBorders>
            <w:vAlign w:val="center"/>
            <w:hideMark/>
          </w:tcPr>
          <w:p w14:paraId="513562C5" w14:textId="77777777" w:rsidR="00F61DCE" w:rsidRPr="00F61DCE" w:rsidRDefault="00F61DCE" w:rsidP="00F61DCE">
            <w:pPr>
              <w:spacing w:after="0" w:line="240" w:lineRule="auto"/>
              <w:rPr>
                <w:rFonts w:ascii="Segoe UI" w:eastAsia="Times New Roman" w:hAnsi="Segoe UI" w:cs="Segoe UI"/>
                <w:color w:val="FFFFFF"/>
                <w:sz w:val="18"/>
                <w:szCs w:val="18"/>
                <w:lang w:eastAsia="pt-BR"/>
              </w:rPr>
            </w:pPr>
          </w:p>
        </w:tc>
        <w:tc>
          <w:tcPr>
            <w:tcW w:w="504" w:type="pct"/>
            <w:tcBorders>
              <w:top w:val="nil"/>
              <w:left w:val="nil"/>
              <w:bottom w:val="nil"/>
              <w:right w:val="nil"/>
            </w:tcBorders>
            <w:shd w:val="clear" w:color="000000" w:fill="1B80C4"/>
            <w:noWrap/>
            <w:vAlign w:val="center"/>
            <w:hideMark/>
          </w:tcPr>
          <w:p w14:paraId="081AEF12" w14:textId="4BF64FDE" w:rsidR="00F61DCE" w:rsidRPr="00F61DCE" w:rsidRDefault="00F61DCE" w:rsidP="00D5058F">
            <w:pPr>
              <w:spacing w:after="0" w:line="240" w:lineRule="auto"/>
              <w:jc w:val="center"/>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Circulante</w:t>
            </w:r>
          </w:p>
        </w:tc>
        <w:tc>
          <w:tcPr>
            <w:tcW w:w="501" w:type="pct"/>
            <w:tcBorders>
              <w:top w:val="nil"/>
              <w:left w:val="nil"/>
              <w:bottom w:val="nil"/>
              <w:right w:val="nil"/>
            </w:tcBorders>
            <w:shd w:val="clear" w:color="000000" w:fill="1B80C4"/>
            <w:noWrap/>
            <w:vAlign w:val="bottom"/>
            <w:hideMark/>
          </w:tcPr>
          <w:p w14:paraId="0C522E4E" w14:textId="69CF2E32" w:rsidR="00F61DCE" w:rsidRPr="00F61DCE" w:rsidRDefault="00F61DCE" w:rsidP="00D5058F">
            <w:pPr>
              <w:spacing w:after="0" w:line="240" w:lineRule="auto"/>
              <w:jc w:val="center"/>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Não</w:t>
            </w:r>
            <w:r>
              <w:rPr>
                <w:rFonts w:ascii="Segoe UI" w:eastAsia="Times New Roman" w:hAnsi="Segoe UI" w:cs="Segoe UI"/>
                <w:b/>
                <w:bCs/>
                <w:color w:val="FFFFFF"/>
                <w:sz w:val="18"/>
                <w:szCs w:val="18"/>
                <w:lang w:eastAsia="pt-BR"/>
              </w:rPr>
              <w:t xml:space="preserve"> </w:t>
            </w:r>
            <w:r w:rsidRPr="00F61DCE">
              <w:rPr>
                <w:rFonts w:ascii="Segoe UI" w:eastAsia="Times New Roman" w:hAnsi="Segoe UI" w:cs="Segoe UI"/>
                <w:b/>
                <w:bCs/>
                <w:color w:val="FFFFFF"/>
                <w:sz w:val="18"/>
                <w:szCs w:val="18"/>
                <w:lang w:eastAsia="pt-BR"/>
              </w:rPr>
              <w:t>Circulante</w:t>
            </w:r>
          </w:p>
        </w:tc>
        <w:tc>
          <w:tcPr>
            <w:tcW w:w="493" w:type="pct"/>
            <w:tcBorders>
              <w:top w:val="nil"/>
              <w:left w:val="nil"/>
              <w:bottom w:val="nil"/>
              <w:right w:val="nil"/>
            </w:tcBorders>
            <w:shd w:val="clear" w:color="000000" w:fill="1B80C4"/>
            <w:noWrap/>
            <w:vAlign w:val="center"/>
            <w:hideMark/>
          </w:tcPr>
          <w:p w14:paraId="47C7129E" w14:textId="665519E4" w:rsidR="00F61DCE" w:rsidRPr="00F61DCE" w:rsidRDefault="00F61DCE" w:rsidP="00D5058F">
            <w:pPr>
              <w:spacing w:after="0" w:line="240" w:lineRule="auto"/>
              <w:jc w:val="center"/>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Juros*</w:t>
            </w:r>
          </w:p>
        </w:tc>
      </w:tr>
      <w:tr w:rsidR="00F61DCE" w:rsidRPr="00F61DCE" w14:paraId="4DCB21BF" w14:textId="77777777" w:rsidTr="00D5058F">
        <w:trPr>
          <w:trHeight w:val="240"/>
        </w:trPr>
        <w:tc>
          <w:tcPr>
            <w:tcW w:w="2115" w:type="pct"/>
            <w:tcBorders>
              <w:top w:val="nil"/>
              <w:left w:val="nil"/>
              <w:bottom w:val="nil"/>
              <w:right w:val="nil"/>
            </w:tcBorders>
            <w:shd w:val="clear" w:color="auto" w:fill="auto"/>
            <w:noWrap/>
            <w:vAlign w:val="bottom"/>
            <w:hideMark/>
          </w:tcPr>
          <w:p w14:paraId="26FEABAF" w14:textId="77777777" w:rsidR="00F61DCE" w:rsidRPr="00F61DCE" w:rsidRDefault="00F61DCE" w:rsidP="00F61DCE">
            <w:pPr>
              <w:spacing w:after="0" w:line="240" w:lineRule="auto"/>
              <w:rPr>
                <w:rFonts w:ascii="Segoe UI" w:eastAsia="Times New Roman" w:hAnsi="Segoe UI" w:cs="Segoe UI"/>
                <w:b/>
                <w:bCs/>
                <w:color w:val="000000"/>
                <w:sz w:val="18"/>
                <w:szCs w:val="18"/>
                <w:lang w:eastAsia="pt-BR"/>
              </w:rPr>
            </w:pPr>
            <w:r w:rsidRPr="00F61DCE">
              <w:rPr>
                <w:rFonts w:ascii="Segoe UI" w:eastAsia="Times New Roman" w:hAnsi="Segoe UI" w:cs="Segoe UI"/>
                <w:b/>
                <w:bCs/>
                <w:color w:val="000000"/>
                <w:sz w:val="18"/>
                <w:szCs w:val="18"/>
                <w:lang w:eastAsia="pt-BR"/>
              </w:rPr>
              <w:t xml:space="preserve"> ANGRAS 1 e 2:  </w:t>
            </w:r>
          </w:p>
        </w:tc>
        <w:tc>
          <w:tcPr>
            <w:tcW w:w="352" w:type="pct"/>
            <w:tcBorders>
              <w:top w:val="nil"/>
              <w:left w:val="nil"/>
              <w:bottom w:val="nil"/>
              <w:right w:val="nil"/>
            </w:tcBorders>
            <w:shd w:val="clear" w:color="auto" w:fill="auto"/>
            <w:noWrap/>
            <w:vAlign w:val="bottom"/>
            <w:hideMark/>
          </w:tcPr>
          <w:p w14:paraId="130D2933" w14:textId="77777777" w:rsidR="00F61DCE" w:rsidRPr="00F61DCE" w:rsidRDefault="00F61DCE" w:rsidP="00F61DCE">
            <w:pPr>
              <w:spacing w:after="0" w:line="240" w:lineRule="auto"/>
              <w:rPr>
                <w:rFonts w:ascii="Segoe UI" w:eastAsia="Times New Roman" w:hAnsi="Segoe UI" w:cs="Segoe UI"/>
                <w:b/>
                <w:bCs/>
                <w:color w:val="000000"/>
                <w:sz w:val="18"/>
                <w:szCs w:val="18"/>
                <w:lang w:eastAsia="pt-BR"/>
              </w:rPr>
            </w:pPr>
          </w:p>
        </w:tc>
        <w:tc>
          <w:tcPr>
            <w:tcW w:w="694" w:type="pct"/>
            <w:tcBorders>
              <w:top w:val="nil"/>
              <w:left w:val="nil"/>
              <w:bottom w:val="nil"/>
              <w:right w:val="nil"/>
            </w:tcBorders>
            <w:shd w:val="clear" w:color="auto" w:fill="auto"/>
            <w:noWrap/>
            <w:vAlign w:val="bottom"/>
            <w:hideMark/>
          </w:tcPr>
          <w:p w14:paraId="7AF24E15" w14:textId="77777777" w:rsidR="00F61DCE" w:rsidRPr="00F61DCE" w:rsidRDefault="00F61DCE" w:rsidP="00F61DCE">
            <w:pPr>
              <w:spacing w:after="0" w:line="240" w:lineRule="auto"/>
              <w:rPr>
                <w:rFonts w:ascii="Times New Roman" w:eastAsia="Times New Roman" w:hAnsi="Times New Roman" w:cs="Times New Roman"/>
                <w:sz w:val="20"/>
                <w:szCs w:val="20"/>
                <w:lang w:eastAsia="pt-BR"/>
              </w:rPr>
            </w:pPr>
          </w:p>
        </w:tc>
        <w:tc>
          <w:tcPr>
            <w:tcW w:w="341" w:type="pct"/>
            <w:tcBorders>
              <w:top w:val="nil"/>
              <w:left w:val="nil"/>
              <w:bottom w:val="nil"/>
              <w:right w:val="nil"/>
            </w:tcBorders>
            <w:shd w:val="clear" w:color="auto" w:fill="auto"/>
            <w:noWrap/>
            <w:vAlign w:val="bottom"/>
            <w:hideMark/>
          </w:tcPr>
          <w:p w14:paraId="3CAA838D"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504" w:type="pct"/>
            <w:tcBorders>
              <w:top w:val="nil"/>
              <w:left w:val="nil"/>
              <w:bottom w:val="nil"/>
              <w:right w:val="nil"/>
            </w:tcBorders>
            <w:shd w:val="clear" w:color="auto" w:fill="auto"/>
            <w:noWrap/>
            <w:vAlign w:val="bottom"/>
            <w:hideMark/>
          </w:tcPr>
          <w:p w14:paraId="74857EE1"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501" w:type="pct"/>
            <w:tcBorders>
              <w:top w:val="nil"/>
              <w:left w:val="nil"/>
              <w:bottom w:val="nil"/>
              <w:right w:val="nil"/>
            </w:tcBorders>
            <w:shd w:val="clear" w:color="auto" w:fill="auto"/>
            <w:noWrap/>
            <w:vAlign w:val="bottom"/>
            <w:hideMark/>
          </w:tcPr>
          <w:p w14:paraId="40616298"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493" w:type="pct"/>
            <w:tcBorders>
              <w:top w:val="nil"/>
              <w:left w:val="nil"/>
              <w:bottom w:val="nil"/>
              <w:right w:val="nil"/>
            </w:tcBorders>
            <w:shd w:val="clear" w:color="auto" w:fill="auto"/>
            <w:noWrap/>
            <w:vAlign w:val="bottom"/>
            <w:hideMark/>
          </w:tcPr>
          <w:p w14:paraId="73102793"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r>
      <w:tr w:rsidR="00F61DCE" w:rsidRPr="00F61DCE" w14:paraId="56E4C13D" w14:textId="77777777" w:rsidTr="00D5058F">
        <w:trPr>
          <w:trHeight w:val="285"/>
        </w:trPr>
        <w:tc>
          <w:tcPr>
            <w:tcW w:w="2115" w:type="pct"/>
            <w:tcBorders>
              <w:top w:val="nil"/>
              <w:left w:val="nil"/>
              <w:bottom w:val="nil"/>
              <w:right w:val="nil"/>
            </w:tcBorders>
            <w:shd w:val="clear" w:color="auto" w:fill="auto"/>
            <w:noWrap/>
            <w:vAlign w:val="bottom"/>
            <w:hideMark/>
          </w:tcPr>
          <w:p w14:paraId="04DA733C"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 xml:space="preserve"> ELETROBRAS - RGR  ECF 2278/ ECF 2507/ ECF 2579 </w:t>
            </w:r>
          </w:p>
        </w:tc>
        <w:tc>
          <w:tcPr>
            <w:tcW w:w="352" w:type="pct"/>
            <w:tcBorders>
              <w:top w:val="nil"/>
              <w:left w:val="nil"/>
              <w:bottom w:val="nil"/>
              <w:right w:val="nil"/>
            </w:tcBorders>
            <w:shd w:val="clear" w:color="auto" w:fill="auto"/>
            <w:noWrap/>
            <w:vAlign w:val="bottom"/>
            <w:hideMark/>
          </w:tcPr>
          <w:p w14:paraId="4B8365EA" w14:textId="5E8653F3"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R$</w:t>
            </w:r>
          </w:p>
        </w:tc>
        <w:tc>
          <w:tcPr>
            <w:tcW w:w="694" w:type="pct"/>
            <w:tcBorders>
              <w:top w:val="nil"/>
              <w:left w:val="nil"/>
              <w:bottom w:val="nil"/>
              <w:right w:val="nil"/>
            </w:tcBorders>
            <w:shd w:val="clear" w:color="auto" w:fill="auto"/>
            <w:noWrap/>
            <w:vAlign w:val="bottom"/>
            <w:hideMark/>
          </w:tcPr>
          <w:p w14:paraId="0AE9A6CA" w14:textId="1D06817A"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UFIR</w:t>
            </w:r>
          </w:p>
        </w:tc>
        <w:tc>
          <w:tcPr>
            <w:tcW w:w="341" w:type="pct"/>
            <w:tcBorders>
              <w:top w:val="nil"/>
              <w:left w:val="nil"/>
              <w:bottom w:val="nil"/>
              <w:right w:val="nil"/>
            </w:tcBorders>
            <w:shd w:val="clear" w:color="auto" w:fill="auto"/>
            <w:noWrap/>
            <w:vAlign w:val="center"/>
            <w:hideMark/>
          </w:tcPr>
          <w:p w14:paraId="40B0529F" w14:textId="77777777"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5,00%</w:t>
            </w:r>
          </w:p>
        </w:tc>
        <w:tc>
          <w:tcPr>
            <w:tcW w:w="504" w:type="pct"/>
            <w:tcBorders>
              <w:top w:val="nil"/>
              <w:left w:val="nil"/>
              <w:bottom w:val="nil"/>
              <w:right w:val="nil"/>
            </w:tcBorders>
            <w:shd w:val="clear" w:color="auto" w:fill="auto"/>
            <w:noWrap/>
            <w:vAlign w:val="bottom"/>
            <w:hideMark/>
          </w:tcPr>
          <w:p w14:paraId="475E834A" w14:textId="75773286"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37.787</w:t>
            </w:r>
          </w:p>
        </w:tc>
        <w:tc>
          <w:tcPr>
            <w:tcW w:w="501" w:type="pct"/>
            <w:tcBorders>
              <w:top w:val="nil"/>
              <w:left w:val="nil"/>
              <w:bottom w:val="nil"/>
              <w:right w:val="nil"/>
            </w:tcBorders>
            <w:shd w:val="clear" w:color="auto" w:fill="auto"/>
            <w:noWrap/>
            <w:vAlign w:val="bottom"/>
            <w:hideMark/>
          </w:tcPr>
          <w:p w14:paraId="0FDF8C72" w14:textId="6B094823"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96.575</w:t>
            </w:r>
          </w:p>
        </w:tc>
        <w:tc>
          <w:tcPr>
            <w:tcW w:w="493" w:type="pct"/>
            <w:tcBorders>
              <w:top w:val="nil"/>
              <w:left w:val="nil"/>
              <w:bottom w:val="nil"/>
              <w:right w:val="nil"/>
            </w:tcBorders>
            <w:shd w:val="clear" w:color="auto" w:fill="auto"/>
            <w:noWrap/>
            <w:vAlign w:val="bottom"/>
            <w:hideMark/>
          </w:tcPr>
          <w:p w14:paraId="0E1BADBC" w14:textId="3761A74A"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18.324</w:t>
            </w:r>
          </w:p>
        </w:tc>
      </w:tr>
      <w:tr w:rsidR="00F61DCE" w:rsidRPr="00F61DCE" w14:paraId="07A1781B" w14:textId="77777777" w:rsidTr="00D5058F">
        <w:trPr>
          <w:trHeight w:val="285"/>
        </w:trPr>
        <w:tc>
          <w:tcPr>
            <w:tcW w:w="2115" w:type="pct"/>
            <w:tcBorders>
              <w:top w:val="nil"/>
              <w:left w:val="nil"/>
              <w:bottom w:val="nil"/>
              <w:right w:val="nil"/>
            </w:tcBorders>
            <w:shd w:val="clear" w:color="auto" w:fill="auto"/>
            <w:noWrap/>
            <w:vAlign w:val="bottom"/>
            <w:hideMark/>
          </w:tcPr>
          <w:p w14:paraId="20D626FD"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 xml:space="preserve"> FURNAS - Instrumento de confissão de dívida </w:t>
            </w:r>
          </w:p>
        </w:tc>
        <w:tc>
          <w:tcPr>
            <w:tcW w:w="352" w:type="pct"/>
            <w:tcBorders>
              <w:top w:val="nil"/>
              <w:left w:val="nil"/>
              <w:bottom w:val="nil"/>
              <w:right w:val="nil"/>
            </w:tcBorders>
            <w:shd w:val="clear" w:color="auto" w:fill="auto"/>
            <w:noWrap/>
            <w:vAlign w:val="bottom"/>
            <w:hideMark/>
          </w:tcPr>
          <w:p w14:paraId="52A28BFB" w14:textId="66A1E949"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R$</w:t>
            </w:r>
          </w:p>
        </w:tc>
        <w:tc>
          <w:tcPr>
            <w:tcW w:w="694" w:type="pct"/>
            <w:tcBorders>
              <w:top w:val="nil"/>
              <w:left w:val="nil"/>
              <w:bottom w:val="nil"/>
              <w:right w:val="nil"/>
            </w:tcBorders>
            <w:shd w:val="clear" w:color="auto" w:fill="auto"/>
            <w:noWrap/>
            <w:vAlign w:val="bottom"/>
            <w:hideMark/>
          </w:tcPr>
          <w:p w14:paraId="40E0EE61" w14:textId="737AA494"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IPCA</w:t>
            </w:r>
          </w:p>
        </w:tc>
        <w:tc>
          <w:tcPr>
            <w:tcW w:w="341" w:type="pct"/>
            <w:tcBorders>
              <w:top w:val="nil"/>
              <w:left w:val="nil"/>
              <w:bottom w:val="nil"/>
              <w:right w:val="nil"/>
            </w:tcBorders>
            <w:shd w:val="clear" w:color="auto" w:fill="auto"/>
            <w:noWrap/>
            <w:vAlign w:val="center"/>
            <w:hideMark/>
          </w:tcPr>
          <w:p w14:paraId="1025E30C" w14:textId="77777777"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7,85%</w:t>
            </w:r>
          </w:p>
        </w:tc>
        <w:tc>
          <w:tcPr>
            <w:tcW w:w="504" w:type="pct"/>
            <w:tcBorders>
              <w:top w:val="nil"/>
              <w:left w:val="nil"/>
              <w:bottom w:val="nil"/>
              <w:right w:val="nil"/>
            </w:tcBorders>
            <w:shd w:val="clear" w:color="auto" w:fill="auto"/>
            <w:noWrap/>
            <w:vAlign w:val="bottom"/>
            <w:hideMark/>
          </w:tcPr>
          <w:p w14:paraId="1883F4BD" w14:textId="32519EA4"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40.805</w:t>
            </w:r>
          </w:p>
        </w:tc>
        <w:tc>
          <w:tcPr>
            <w:tcW w:w="501" w:type="pct"/>
            <w:tcBorders>
              <w:top w:val="nil"/>
              <w:left w:val="nil"/>
              <w:bottom w:val="nil"/>
              <w:right w:val="nil"/>
            </w:tcBorders>
            <w:shd w:val="clear" w:color="auto" w:fill="auto"/>
            <w:noWrap/>
            <w:vAlign w:val="bottom"/>
            <w:hideMark/>
          </w:tcPr>
          <w:p w14:paraId="1950C50A" w14:textId="3F1A02BD"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238.026</w:t>
            </w:r>
          </w:p>
        </w:tc>
        <w:tc>
          <w:tcPr>
            <w:tcW w:w="493" w:type="pct"/>
            <w:tcBorders>
              <w:top w:val="nil"/>
              <w:left w:val="nil"/>
              <w:bottom w:val="nil"/>
              <w:right w:val="nil"/>
            </w:tcBorders>
            <w:shd w:val="clear" w:color="auto" w:fill="auto"/>
            <w:noWrap/>
            <w:vAlign w:val="bottom"/>
            <w:hideMark/>
          </w:tcPr>
          <w:p w14:paraId="4AA3C3F5" w14:textId="0A7495A1"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77.733</w:t>
            </w:r>
          </w:p>
        </w:tc>
      </w:tr>
      <w:tr w:rsidR="00F61DCE" w:rsidRPr="00F61DCE" w14:paraId="53021D79" w14:textId="77777777" w:rsidTr="00D5058F">
        <w:trPr>
          <w:trHeight w:val="285"/>
        </w:trPr>
        <w:tc>
          <w:tcPr>
            <w:tcW w:w="2115" w:type="pct"/>
            <w:tcBorders>
              <w:top w:val="nil"/>
              <w:left w:val="nil"/>
              <w:bottom w:val="nil"/>
              <w:right w:val="nil"/>
            </w:tcBorders>
            <w:shd w:val="clear" w:color="auto" w:fill="auto"/>
            <w:noWrap/>
            <w:vAlign w:val="bottom"/>
            <w:hideMark/>
          </w:tcPr>
          <w:p w14:paraId="58895F13"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 xml:space="preserve"> SANTANDER - LTO Angra 1 </w:t>
            </w:r>
          </w:p>
        </w:tc>
        <w:tc>
          <w:tcPr>
            <w:tcW w:w="352" w:type="pct"/>
            <w:tcBorders>
              <w:top w:val="nil"/>
              <w:left w:val="nil"/>
              <w:bottom w:val="nil"/>
              <w:right w:val="nil"/>
            </w:tcBorders>
            <w:shd w:val="clear" w:color="auto" w:fill="auto"/>
            <w:noWrap/>
            <w:vAlign w:val="bottom"/>
            <w:hideMark/>
          </w:tcPr>
          <w:p w14:paraId="29114FBE" w14:textId="3F31B96E"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USD</w:t>
            </w:r>
          </w:p>
        </w:tc>
        <w:tc>
          <w:tcPr>
            <w:tcW w:w="694" w:type="pct"/>
            <w:tcBorders>
              <w:top w:val="nil"/>
              <w:left w:val="nil"/>
              <w:bottom w:val="nil"/>
              <w:right w:val="nil"/>
            </w:tcBorders>
            <w:shd w:val="clear" w:color="auto" w:fill="auto"/>
            <w:noWrap/>
            <w:vAlign w:val="bottom"/>
            <w:hideMark/>
          </w:tcPr>
          <w:p w14:paraId="182CFED2" w14:textId="24B3263D"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TERM</w:t>
            </w:r>
            <w:r>
              <w:rPr>
                <w:rFonts w:ascii="Segoe UI" w:eastAsia="Times New Roman" w:hAnsi="Segoe UI" w:cs="Segoe UI"/>
                <w:color w:val="000000"/>
                <w:sz w:val="18"/>
                <w:szCs w:val="18"/>
                <w:lang w:eastAsia="pt-BR"/>
              </w:rPr>
              <w:t xml:space="preserve"> </w:t>
            </w:r>
            <w:r w:rsidRPr="00F61DCE">
              <w:rPr>
                <w:rFonts w:ascii="Segoe UI" w:eastAsia="Times New Roman" w:hAnsi="Segoe UI" w:cs="Segoe UI"/>
                <w:color w:val="000000"/>
                <w:sz w:val="18"/>
                <w:szCs w:val="18"/>
                <w:lang w:eastAsia="pt-BR"/>
              </w:rPr>
              <w:t>SOFR</w:t>
            </w:r>
            <w:r>
              <w:rPr>
                <w:rFonts w:ascii="Segoe UI" w:eastAsia="Times New Roman" w:hAnsi="Segoe UI" w:cs="Segoe UI"/>
                <w:color w:val="000000"/>
                <w:sz w:val="18"/>
                <w:szCs w:val="18"/>
                <w:lang w:eastAsia="pt-BR"/>
              </w:rPr>
              <w:t xml:space="preserve"> </w:t>
            </w:r>
            <w:r w:rsidRPr="00F61DCE">
              <w:rPr>
                <w:rFonts w:ascii="Segoe UI" w:eastAsia="Times New Roman" w:hAnsi="Segoe UI" w:cs="Segoe UI"/>
                <w:color w:val="000000"/>
                <w:sz w:val="18"/>
                <w:szCs w:val="18"/>
                <w:lang w:eastAsia="pt-BR"/>
              </w:rPr>
              <w:t>6M</w:t>
            </w:r>
          </w:p>
        </w:tc>
        <w:tc>
          <w:tcPr>
            <w:tcW w:w="341" w:type="pct"/>
            <w:tcBorders>
              <w:top w:val="nil"/>
              <w:left w:val="nil"/>
              <w:bottom w:val="nil"/>
              <w:right w:val="nil"/>
            </w:tcBorders>
            <w:shd w:val="clear" w:color="auto" w:fill="auto"/>
            <w:noWrap/>
            <w:vAlign w:val="center"/>
            <w:hideMark/>
          </w:tcPr>
          <w:p w14:paraId="11388D1E" w14:textId="77777777"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4,78%</w:t>
            </w:r>
          </w:p>
        </w:tc>
        <w:tc>
          <w:tcPr>
            <w:tcW w:w="504" w:type="pct"/>
            <w:tcBorders>
              <w:top w:val="nil"/>
              <w:left w:val="nil"/>
              <w:bottom w:val="nil"/>
              <w:right w:val="nil"/>
            </w:tcBorders>
            <w:shd w:val="clear" w:color="auto" w:fill="auto"/>
            <w:noWrap/>
            <w:vAlign w:val="bottom"/>
            <w:hideMark/>
          </w:tcPr>
          <w:p w14:paraId="418A6EAC" w14:textId="20E1B08B"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21.563</w:t>
            </w:r>
          </w:p>
        </w:tc>
        <w:tc>
          <w:tcPr>
            <w:tcW w:w="501" w:type="pct"/>
            <w:tcBorders>
              <w:top w:val="nil"/>
              <w:left w:val="nil"/>
              <w:bottom w:val="nil"/>
              <w:right w:val="nil"/>
            </w:tcBorders>
            <w:shd w:val="clear" w:color="auto" w:fill="auto"/>
            <w:noWrap/>
            <w:vAlign w:val="bottom"/>
            <w:hideMark/>
          </w:tcPr>
          <w:p w14:paraId="76C48DDA" w14:textId="67F9DA61"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81.830</w:t>
            </w:r>
          </w:p>
        </w:tc>
        <w:tc>
          <w:tcPr>
            <w:tcW w:w="493" w:type="pct"/>
            <w:tcBorders>
              <w:top w:val="nil"/>
              <w:left w:val="nil"/>
              <w:bottom w:val="nil"/>
              <w:right w:val="nil"/>
            </w:tcBorders>
            <w:shd w:val="clear" w:color="auto" w:fill="auto"/>
            <w:noWrap/>
            <w:vAlign w:val="bottom"/>
            <w:hideMark/>
          </w:tcPr>
          <w:p w14:paraId="6D82EE70" w14:textId="535A9821"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15.752</w:t>
            </w:r>
          </w:p>
        </w:tc>
      </w:tr>
      <w:tr w:rsidR="00F61DCE" w:rsidRPr="00F61DCE" w14:paraId="5233965E" w14:textId="77777777" w:rsidTr="00D5058F">
        <w:trPr>
          <w:trHeight w:val="240"/>
        </w:trPr>
        <w:tc>
          <w:tcPr>
            <w:tcW w:w="2115" w:type="pct"/>
            <w:tcBorders>
              <w:top w:val="nil"/>
              <w:left w:val="nil"/>
              <w:bottom w:val="nil"/>
              <w:right w:val="nil"/>
            </w:tcBorders>
            <w:shd w:val="clear" w:color="auto" w:fill="auto"/>
            <w:noWrap/>
            <w:vAlign w:val="bottom"/>
            <w:hideMark/>
          </w:tcPr>
          <w:p w14:paraId="13317C42"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p>
        </w:tc>
        <w:tc>
          <w:tcPr>
            <w:tcW w:w="352" w:type="pct"/>
            <w:tcBorders>
              <w:top w:val="nil"/>
              <w:left w:val="nil"/>
              <w:bottom w:val="nil"/>
              <w:right w:val="nil"/>
            </w:tcBorders>
            <w:shd w:val="clear" w:color="auto" w:fill="auto"/>
            <w:noWrap/>
            <w:vAlign w:val="bottom"/>
            <w:hideMark/>
          </w:tcPr>
          <w:p w14:paraId="6C78A686" w14:textId="77777777" w:rsidR="00F61DCE" w:rsidRPr="00F61DCE" w:rsidRDefault="00F61DCE" w:rsidP="00F61DCE">
            <w:pPr>
              <w:spacing w:after="0" w:line="240" w:lineRule="auto"/>
              <w:rPr>
                <w:rFonts w:ascii="Times New Roman" w:eastAsia="Times New Roman" w:hAnsi="Times New Roman" w:cs="Times New Roman"/>
                <w:sz w:val="20"/>
                <w:szCs w:val="20"/>
                <w:lang w:eastAsia="pt-BR"/>
              </w:rPr>
            </w:pPr>
          </w:p>
        </w:tc>
        <w:tc>
          <w:tcPr>
            <w:tcW w:w="694" w:type="pct"/>
            <w:tcBorders>
              <w:top w:val="nil"/>
              <w:left w:val="nil"/>
              <w:bottom w:val="nil"/>
              <w:right w:val="nil"/>
            </w:tcBorders>
            <w:shd w:val="clear" w:color="auto" w:fill="auto"/>
            <w:noWrap/>
            <w:vAlign w:val="bottom"/>
            <w:hideMark/>
          </w:tcPr>
          <w:p w14:paraId="6B994582" w14:textId="77777777" w:rsidR="00F61DCE" w:rsidRPr="00F61DCE" w:rsidRDefault="00F61DCE" w:rsidP="00F61DCE">
            <w:pPr>
              <w:spacing w:after="0" w:line="240" w:lineRule="auto"/>
              <w:rPr>
                <w:rFonts w:ascii="Times New Roman" w:eastAsia="Times New Roman" w:hAnsi="Times New Roman" w:cs="Times New Roman"/>
                <w:sz w:val="20"/>
                <w:szCs w:val="20"/>
                <w:lang w:eastAsia="pt-BR"/>
              </w:rPr>
            </w:pPr>
          </w:p>
        </w:tc>
        <w:tc>
          <w:tcPr>
            <w:tcW w:w="341" w:type="pct"/>
            <w:tcBorders>
              <w:top w:val="nil"/>
              <w:left w:val="nil"/>
              <w:bottom w:val="nil"/>
              <w:right w:val="nil"/>
            </w:tcBorders>
            <w:shd w:val="clear" w:color="auto" w:fill="auto"/>
            <w:noWrap/>
            <w:vAlign w:val="bottom"/>
            <w:hideMark/>
          </w:tcPr>
          <w:p w14:paraId="720C7C8B"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504" w:type="pct"/>
            <w:tcBorders>
              <w:top w:val="nil"/>
              <w:left w:val="nil"/>
              <w:bottom w:val="nil"/>
              <w:right w:val="nil"/>
            </w:tcBorders>
            <w:shd w:val="clear" w:color="auto" w:fill="auto"/>
            <w:noWrap/>
            <w:vAlign w:val="bottom"/>
            <w:hideMark/>
          </w:tcPr>
          <w:p w14:paraId="6412C51F"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501" w:type="pct"/>
            <w:tcBorders>
              <w:top w:val="nil"/>
              <w:left w:val="nil"/>
              <w:bottom w:val="nil"/>
              <w:right w:val="nil"/>
            </w:tcBorders>
            <w:shd w:val="clear" w:color="auto" w:fill="auto"/>
            <w:noWrap/>
            <w:vAlign w:val="bottom"/>
            <w:hideMark/>
          </w:tcPr>
          <w:p w14:paraId="3F21345E"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493" w:type="pct"/>
            <w:tcBorders>
              <w:top w:val="nil"/>
              <w:left w:val="nil"/>
              <w:bottom w:val="nil"/>
              <w:right w:val="nil"/>
            </w:tcBorders>
            <w:shd w:val="clear" w:color="auto" w:fill="auto"/>
            <w:noWrap/>
            <w:vAlign w:val="bottom"/>
            <w:hideMark/>
          </w:tcPr>
          <w:p w14:paraId="77E2C885"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r>
      <w:tr w:rsidR="00F61DCE" w:rsidRPr="00F61DCE" w14:paraId="18921839" w14:textId="77777777" w:rsidTr="00D5058F">
        <w:trPr>
          <w:trHeight w:val="240"/>
        </w:trPr>
        <w:tc>
          <w:tcPr>
            <w:tcW w:w="2115" w:type="pct"/>
            <w:tcBorders>
              <w:top w:val="nil"/>
              <w:left w:val="nil"/>
              <w:bottom w:val="nil"/>
              <w:right w:val="nil"/>
            </w:tcBorders>
            <w:shd w:val="clear" w:color="auto" w:fill="auto"/>
            <w:noWrap/>
            <w:vAlign w:val="bottom"/>
            <w:hideMark/>
          </w:tcPr>
          <w:p w14:paraId="201C7E53" w14:textId="77777777" w:rsidR="00F61DCE" w:rsidRPr="00F61DCE" w:rsidRDefault="00F61DCE" w:rsidP="00F61DCE">
            <w:pPr>
              <w:spacing w:after="0" w:line="240" w:lineRule="auto"/>
              <w:rPr>
                <w:rFonts w:ascii="Segoe UI" w:eastAsia="Times New Roman" w:hAnsi="Segoe UI" w:cs="Segoe UI"/>
                <w:b/>
                <w:bCs/>
                <w:color w:val="000000"/>
                <w:sz w:val="18"/>
                <w:szCs w:val="18"/>
                <w:lang w:eastAsia="pt-BR"/>
              </w:rPr>
            </w:pPr>
            <w:r w:rsidRPr="00F61DCE">
              <w:rPr>
                <w:rFonts w:ascii="Segoe UI" w:eastAsia="Times New Roman" w:hAnsi="Segoe UI" w:cs="Segoe UI"/>
                <w:b/>
                <w:bCs/>
                <w:color w:val="000000"/>
                <w:sz w:val="18"/>
                <w:szCs w:val="18"/>
                <w:lang w:eastAsia="pt-BR"/>
              </w:rPr>
              <w:t xml:space="preserve"> ANGRAS 3:  </w:t>
            </w:r>
          </w:p>
        </w:tc>
        <w:tc>
          <w:tcPr>
            <w:tcW w:w="352" w:type="pct"/>
            <w:tcBorders>
              <w:top w:val="nil"/>
              <w:left w:val="nil"/>
              <w:bottom w:val="nil"/>
              <w:right w:val="nil"/>
            </w:tcBorders>
            <w:shd w:val="clear" w:color="auto" w:fill="auto"/>
            <w:noWrap/>
            <w:vAlign w:val="bottom"/>
            <w:hideMark/>
          </w:tcPr>
          <w:p w14:paraId="0026F865" w14:textId="77777777" w:rsidR="00F61DCE" w:rsidRPr="00F61DCE" w:rsidRDefault="00F61DCE" w:rsidP="00F61DCE">
            <w:pPr>
              <w:spacing w:after="0" w:line="240" w:lineRule="auto"/>
              <w:rPr>
                <w:rFonts w:ascii="Segoe UI" w:eastAsia="Times New Roman" w:hAnsi="Segoe UI" w:cs="Segoe UI"/>
                <w:b/>
                <w:bCs/>
                <w:color w:val="000000"/>
                <w:sz w:val="18"/>
                <w:szCs w:val="18"/>
                <w:lang w:eastAsia="pt-BR"/>
              </w:rPr>
            </w:pPr>
          </w:p>
        </w:tc>
        <w:tc>
          <w:tcPr>
            <w:tcW w:w="694" w:type="pct"/>
            <w:tcBorders>
              <w:top w:val="nil"/>
              <w:left w:val="nil"/>
              <w:bottom w:val="nil"/>
              <w:right w:val="nil"/>
            </w:tcBorders>
            <w:shd w:val="clear" w:color="auto" w:fill="auto"/>
            <w:noWrap/>
            <w:vAlign w:val="bottom"/>
            <w:hideMark/>
          </w:tcPr>
          <w:p w14:paraId="7213DDAE" w14:textId="77777777" w:rsidR="00F61DCE" w:rsidRPr="00F61DCE" w:rsidRDefault="00F61DCE" w:rsidP="00F61DCE">
            <w:pPr>
              <w:spacing w:after="0" w:line="240" w:lineRule="auto"/>
              <w:rPr>
                <w:rFonts w:ascii="Times New Roman" w:eastAsia="Times New Roman" w:hAnsi="Times New Roman" w:cs="Times New Roman"/>
                <w:sz w:val="20"/>
                <w:szCs w:val="20"/>
                <w:lang w:eastAsia="pt-BR"/>
              </w:rPr>
            </w:pPr>
          </w:p>
        </w:tc>
        <w:tc>
          <w:tcPr>
            <w:tcW w:w="341" w:type="pct"/>
            <w:tcBorders>
              <w:top w:val="nil"/>
              <w:left w:val="nil"/>
              <w:bottom w:val="nil"/>
              <w:right w:val="nil"/>
            </w:tcBorders>
            <w:shd w:val="clear" w:color="auto" w:fill="auto"/>
            <w:noWrap/>
            <w:vAlign w:val="bottom"/>
            <w:hideMark/>
          </w:tcPr>
          <w:p w14:paraId="7F2C55BE"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504" w:type="pct"/>
            <w:tcBorders>
              <w:top w:val="nil"/>
              <w:left w:val="nil"/>
              <w:bottom w:val="nil"/>
              <w:right w:val="nil"/>
            </w:tcBorders>
            <w:shd w:val="clear" w:color="auto" w:fill="auto"/>
            <w:noWrap/>
            <w:vAlign w:val="bottom"/>
            <w:hideMark/>
          </w:tcPr>
          <w:p w14:paraId="62E25A13"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501" w:type="pct"/>
            <w:tcBorders>
              <w:top w:val="nil"/>
              <w:left w:val="nil"/>
              <w:bottom w:val="nil"/>
              <w:right w:val="nil"/>
            </w:tcBorders>
            <w:shd w:val="clear" w:color="auto" w:fill="auto"/>
            <w:noWrap/>
            <w:vAlign w:val="bottom"/>
            <w:hideMark/>
          </w:tcPr>
          <w:p w14:paraId="20A67514"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493" w:type="pct"/>
            <w:tcBorders>
              <w:top w:val="nil"/>
              <w:left w:val="nil"/>
              <w:bottom w:val="nil"/>
              <w:right w:val="nil"/>
            </w:tcBorders>
            <w:shd w:val="clear" w:color="auto" w:fill="auto"/>
            <w:noWrap/>
            <w:vAlign w:val="bottom"/>
            <w:hideMark/>
          </w:tcPr>
          <w:p w14:paraId="2CE64281"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r>
      <w:tr w:rsidR="00F61DCE" w:rsidRPr="00F61DCE" w14:paraId="370CC21B" w14:textId="77777777" w:rsidTr="00D5058F">
        <w:trPr>
          <w:trHeight w:val="285"/>
        </w:trPr>
        <w:tc>
          <w:tcPr>
            <w:tcW w:w="2115" w:type="pct"/>
            <w:tcBorders>
              <w:top w:val="nil"/>
              <w:left w:val="nil"/>
              <w:bottom w:val="nil"/>
              <w:right w:val="nil"/>
            </w:tcBorders>
            <w:shd w:val="clear" w:color="auto" w:fill="auto"/>
            <w:noWrap/>
            <w:vAlign w:val="bottom"/>
            <w:hideMark/>
          </w:tcPr>
          <w:p w14:paraId="37B7EF84"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 xml:space="preserve">  ELETROBRAS - RGR- ECF 2878 </w:t>
            </w:r>
          </w:p>
        </w:tc>
        <w:tc>
          <w:tcPr>
            <w:tcW w:w="352" w:type="pct"/>
            <w:tcBorders>
              <w:top w:val="nil"/>
              <w:left w:val="nil"/>
              <w:bottom w:val="nil"/>
              <w:right w:val="nil"/>
            </w:tcBorders>
            <w:shd w:val="clear" w:color="auto" w:fill="auto"/>
            <w:noWrap/>
            <w:vAlign w:val="bottom"/>
            <w:hideMark/>
          </w:tcPr>
          <w:p w14:paraId="266C6642" w14:textId="5C76768F"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R$</w:t>
            </w:r>
          </w:p>
        </w:tc>
        <w:tc>
          <w:tcPr>
            <w:tcW w:w="694" w:type="pct"/>
            <w:tcBorders>
              <w:top w:val="nil"/>
              <w:left w:val="nil"/>
              <w:bottom w:val="nil"/>
              <w:right w:val="nil"/>
            </w:tcBorders>
            <w:shd w:val="clear" w:color="auto" w:fill="auto"/>
            <w:noWrap/>
            <w:vAlign w:val="bottom"/>
            <w:hideMark/>
          </w:tcPr>
          <w:p w14:paraId="279BBA82" w14:textId="26E49590"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UFIR</w:t>
            </w:r>
          </w:p>
        </w:tc>
        <w:tc>
          <w:tcPr>
            <w:tcW w:w="341" w:type="pct"/>
            <w:tcBorders>
              <w:top w:val="nil"/>
              <w:left w:val="nil"/>
              <w:bottom w:val="nil"/>
              <w:right w:val="nil"/>
            </w:tcBorders>
            <w:shd w:val="clear" w:color="auto" w:fill="auto"/>
            <w:noWrap/>
            <w:vAlign w:val="center"/>
            <w:hideMark/>
          </w:tcPr>
          <w:p w14:paraId="1C4EE079" w14:textId="77777777"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5,00%</w:t>
            </w:r>
          </w:p>
        </w:tc>
        <w:tc>
          <w:tcPr>
            <w:tcW w:w="504" w:type="pct"/>
            <w:tcBorders>
              <w:top w:val="nil"/>
              <w:left w:val="nil"/>
              <w:bottom w:val="nil"/>
              <w:right w:val="nil"/>
            </w:tcBorders>
            <w:shd w:val="clear" w:color="auto" w:fill="auto"/>
            <w:noWrap/>
            <w:vAlign w:val="bottom"/>
            <w:hideMark/>
          </w:tcPr>
          <w:p w14:paraId="1906543B" w14:textId="59D0E00B"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34.254</w:t>
            </w:r>
          </w:p>
        </w:tc>
        <w:tc>
          <w:tcPr>
            <w:tcW w:w="501" w:type="pct"/>
            <w:tcBorders>
              <w:top w:val="nil"/>
              <w:left w:val="nil"/>
              <w:bottom w:val="nil"/>
              <w:right w:val="nil"/>
            </w:tcBorders>
            <w:shd w:val="clear" w:color="auto" w:fill="auto"/>
            <w:noWrap/>
            <w:vAlign w:val="bottom"/>
            <w:hideMark/>
          </w:tcPr>
          <w:p w14:paraId="22DA1FD8" w14:textId="6C33A84A"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418.450</w:t>
            </w:r>
          </w:p>
        </w:tc>
        <w:tc>
          <w:tcPr>
            <w:tcW w:w="493" w:type="pct"/>
            <w:tcBorders>
              <w:top w:val="nil"/>
              <w:left w:val="nil"/>
              <w:bottom w:val="nil"/>
              <w:right w:val="nil"/>
            </w:tcBorders>
            <w:shd w:val="clear" w:color="auto" w:fill="auto"/>
            <w:noWrap/>
            <w:vAlign w:val="bottom"/>
            <w:hideMark/>
          </w:tcPr>
          <w:p w14:paraId="25047517" w14:textId="48FFC828"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186.921</w:t>
            </w:r>
          </w:p>
        </w:tc>
      </w:tr>
      <w:tr w:rsidR="00F61DCE" w:rsidRPr="00F61DCE" w14:paraId="71532970" w14:textId="77777777" w:rsidTr="00D5058F">
        <w:trPr>
          <w:trHeight w:val="285"/>
        </w:trPr>
        <w:tc>
          <w:tcPr>
            <w:tcW w:w="2115" w:type="pct"/>
            <w:tcBorders>
              <w:top w:val="nil"/>
              <w:left w:val="nil"/>
              <w:bottom w:val="nil"/>
              <w:right w:val="nil"/>
            </w:tcBorders>
            <w:shd w:val="clear" w:color="auto" w:fill="auto"/>
            <w:noWrap/>
            <w:vAlign w:val="bottom"/>
            <w:hideMark/>
          </w:tcPr>
          <w:p w14:paraId="7F7F5BF9"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 xml:space="preserve">  BNDES  - Nº 10.2.2032.1 - Subcréditos A e B </w:t>
            </w:r>
          </w:p>
        </w:tc>
        <w:tc>
          <w:tcPr>
            <w:tcW w:w="352" w:type="pct"/>
            <w:tcBorders>
              <w:top w:val="nil"/>
              <w:left w:val="nil"/>
              <w:bottom w:val="nil"/>
              <w:right w:val="nil"/>
            </w:tcBorders>
            <w:shd w:val="clear" w:color="auto" w:fill="auto"/>
            <w:noWrap/>
            <w:vAlign w:val="bottom"/>
            <w:hideMark/>
          </w:tcPr>
          <w:p w14:paraId="53F85B50" w14:textId="073D958B"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R$</w:t>
            </w:r>
          </w:p>
        </w:tc>
        <w:tc>
          <w:tcPr>
            <w:tcW w:w="694" w:type="pct"/>
            <w:tcBorders>
              <w:top w:val="nil"/>
              <w:left w:val="nil"/>
              <w:bottom w:val="nil"/>
              <w:right w:val="nil"/>
            </w:tcBorders>
            <w:shd w:val="clear" w:color="auto" w:fill="auto"/>
            <w:noWrap/>
            <w:vAlign w:val="bottom"/>
            <w:hideMark/>
          </w:tcPr>
          <w:p w14:paraId="79D3EFA4" w14:textId="44ADA8A2"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TJLP</w:t>
            </w:r>
          </w:p>
        </w:tc>
        <w:tc>
          <w:tcPr>
            <w:tcW w:w="341" w:type="pct"/>
            <w:tcBorders>
              <w:top w:val="nil"/>
              <w:left w:val="nil"/>
              <w:bottom w:val="nil"/>
              <w:right w:val="nil"/>
            </w:tcBorders>
            <w:shd w:val="clear" w:color="auto" w:fill="auto"/>
            <w:noWrap/>
            <w:vAlign w:val="center"/>
            <w:hideMark/>
          </w:tcPr>
          <w:p w14:paraId="529D4FC7" w14:textId="77777777"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7,73%</w:t>
            </w:r>
          </w:p>
        </w:tc>
        <w:tc>
          <w:tcPr>
            <w:tcW w:w="504" w:type="pct"/>
            <w:tcBorders>
              <w:top w:val="nil"/>
              <w:left w:val="nil"/>
              <w:bottom w:val="nil"/>
              <w:right w:val="nil"/>
            </w:tcBorders>
            <w:shd w:val="clear" w:color="auto" w:fill="auto"/>
            <w:noWrap/>
            <w:vAlign w:val="bottom"/>
            <w:hideMark/>
          </w:tcPr>
          <w:p w14:paraId="780A6007" w14:textId="38125CC9"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154.981</w:t>
            </w:r>
          </w:p>
        </w:tc>
        <w:tc>
          <w:tcPr>
            <w:tcW w:w="501" w:type="pct"/>
            <w:tcBorders>
              <w:top w:val="nil"/>
              <w:left w:val="nil"/>
              <w:bottom w:val="nil"/>
              <w:right w:val="nil"/>
            </w:tcBorders>
            <w:shd w:val="clear" w:color="auto" w:fill="auto"/>
            <w:noWrap/>
            <w:vAlign w:val="bottom"/>
            <w:hideMark/>
          </w:tcPr>
          <w:p w14:paraId="4112EB79" w14:textId="78312976"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3.100.495</w:t>
            </w:r>
          </w:p>
        </w:tc>
        <w:tc>
          <w:tcPr>
            <w:tcW w:w="493" w:type="pct"/>
            <w:tcBorders>
              <w:top w:val="nil"/>
              <w:left w:val="nil"/>
              <w:bottom w:val="nil"/>
              <w:right w:val="nil"/>
            </w:tcBorders>
            <w:shd w:val="clear" w:color="auto" w:fill="auto"/>
            <w:noWrap/>
            <w:vAlign w:val="bottom"/>
            <w:hideMark/>
          </w:tcPr>
          <w:p w14:paraId="0DE04F69" w14:textId="059EE18A"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2.040.170</w:t>
            </w:r>
          </w:p>
        </w:tc>
      </w:tr>
      <w:tr w:rsidR="00F61DCE" w:rsidRPr="00F61DCE" w14:paraId="237AD5D5" w14:textId="77777777" w:rsidTr="00D5058F">
        <w:trPr>
          <w:trHeight w:val="330"/>
        </w:trPr>
        <w:tc>
          <w:tcPr>
            <w:tcW w:w="2115" w:type="pct"/>
            <w:tcBorders>
              <w:top w:val="nil"/>
              <w:left w:val="nil"/>
              <w:bottom w:val="nil"/>
              <w:right w:val="nil"/>
            </w:tcBorders>
            <w:shd w:val="clear" w:color="auto" w:fill="auto"/>
            <w:noWrap/>
            <w:vAlign w:val="bottom"/>
            <w:hideMark/>
          </w:tcPr>
          <w:p w14:paraId="1E6993AB"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 xml:space="preserve">  CEF - N° 0410.351-27/13 </w:t>
            </w:r>
          </w:p>
        </w:tc>
        <w:tc>
          <w:tcPr>
            <w:tcW w:w="352" w:type="pct"/>
            <w:tcBorders>
              <w:top w:val="nil"/>
              <w:left w:val="nil"/>
              <w:bottom w:val="nil"/>
              <w:right w:val="nil"/>
            </w:tcBorders>
            <w:shd w:val="clear" w:color="auto" w:fill="auto"/>
            <w:noWrap/>
            <w:vAlign w:val="bottom"/>
            <w:hideMark/>
          </w:tcPr>
          <w:p w14:paraId="5352C2D7" w14:textId="74B934FA"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R$</w:t>
            </w:r>
          </w:p>
        </w:tc>
        <w:tc>
          <w:tcPr>
            <w:tcW w:w="694" w:type="pct"/>
            <w:tcBorders>
              <w:top w:val="nil"/>
              <w:left w:val="nil"/>
              <w:bottom w:val="nil"/>
              <w:right w:val="nil"/>
            </w:tcBorders>
            <w:shd w:val="clear" w:color="auto" w:fill="auto"/>
            <w:noWrap/>
            <w:vAlign w:val="bottom"/>
            <w:hideMark/>
          </w:tcPr>
          <w:p w14:paraId="29098308" w14:textId="07CEA723" w:rsidR="00F61DCE" w:rsidRPr="00F61DCE" w:rsidRDefault="00F61DCE" w:rsidP="00F61DCE">
            <w:pPr>
              <w:spacing w:after="0" w:line="240" w:lineRule="auto"/>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Sem</w:t>
            </w:r>
            <w:r>
              <w:rPr>
                <w:rFonts w:ascii="Segoe UI" w:eastAsia="Times New Roman" w:hAnsi="Segoe UI" w:cs="Segoe UI"/>
                <w:color w:val="000000"/>
                <w:sz w:val="18"/>
                <w:szCs w:val="18"/>
                <w:lang w:eastAsia="pt-BR"/>
              </w:rPr>
              <w:t xml:space="preserve"> </w:t>
            </w:r>
            <w:r w:rsidRPr="00F61DCE">
              <w:rPr>
                <w:rFonts w:ascii="Segoe UI" w:eastAsia="Times New Roman" w:hAnsi="Segoe UI" w:cs="Segoe UI"/>
                <w:color w:val="000000"/>
                <w:sz w:val="18"/>
                <w:szCs w:val="18"/>
                <w:lang w:eastAsia="pt-BR"/>
              </w:rPr>
              <w:t>Indexador</w:t>
            </w:r>
          </w:p>
        </w:tc>
        <w:tc>
          <w:tcPr>
            <w:tcW w:w="341" w:type="pct"/>
            <w:tcBorders>
              <w:top w:val="nil"/>
              <w:left w:val="nil"/>
              <w:bottom w:val="nil"/>
              <w:right w:val="nil"/>
            </w:tcBorders>
            <w:shd w:val="clear" w:color="auto" w:fill="auto"/>
            <w:noWrap/>
            <w:vAlign w:val="center"/>
            <w:hideMark/>
          </w:tcPr>
          <w:p w14:paraId="6CF483F9" w14:textId="77777777"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6,50%</w:t>
            </w:r>
          </w:p>
        </w:tc>
        <w:tc>
          <w:tcPr>
            <w:tcW w:w="504" w:type="pct"/>
            <w:tcBorders>
              <w:top w:val="nil"/>
              <w:left w:val="nil"/>
              <w:bottom w:val="nil"/>
              <w:right w:val="nil"/>
            </w:tcBorders>
            <w:shd w:val="clear" w:color="auto" w:fill="auto"/>
            <w:noWrap/>
            <w:vAlign w:val="bottom"/>
            <w:hideMark/>
          </w:tcPr>
          <w:p w14:paraId="7B77DEE4" w14:textId="4E9E068A"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125.045</w:t>
            </w:r>
          </w:p>
        </w:tc>
        <w:tc>
          <w:tcPr>
            <w:tcW w:w="501" w:type="pct"/>
            <w:tcBorders>
              <w:top w:val="nil"/>
              <w:left w:val="nil"/>
              <w:bottom w:val="nil"/>
              <w:right w:val="nil"/>
            </w:tcBorders>
            <w:shd w:val="clear" w:color="auto" w:fill="auto"/>
            <w:noWrap/>
            <w:vAlign w:val="bottom"/>
            <w:hideMark/>
          </w:tcPr>
          <w:p w14:paraId="40AEBF59" w14:textId="0248EF83"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2.782.808</w:t>
            </w:r>
          </w:p>
        </w:tc>
        <w:tc>
          <w:tcPr>
            <w:tcW w:w="493" w:type="pct"/>
            <w:tcBorders>
              <w:top w:val="nil"/>
              <w:left w:val="nil"/>
              <w:bottom w:val="single" w:sz="4" w:space="0" w:color="1B80C4"/>
              <w:right w:val="nil"/>
            </w:tcBorders>
            <w:shd w:val="clear" w:color="auto" w:fill="auto"/>
            <w:noWrap/>
            <w:vAlign w:val="bottom"/>
            <w:hideMark/>
          </w:tcPr>
          <w:p w14:paraId="0AEF902D" w14:textId="654886FA" w:rsidR="00F61DCE" w:rsidRPr="00F61DCE" w:rsidRDefault="00F61DCE" w:rsidP="00F61DCE">
            <w:pPr>
              <w:spacing w:after="0" w:line="240" w:lineRule="auto"/>
              <w:jc w:val="right"/>
              <w:rPr>
                <w:rFonts w:ascii="Segoe UI" w:eastAsia="Times New Roman" w:hAnsi="Segoe UI" w:cs="Segoe UI"/>
                <w:color w:val="000000"/>
                <w:sz w:val="18"/>
                <w:szCs w:val="18"/>
                <w:lang w:eastAsia="pt-BR"/>
              </w:rPr>
            </w:pPr>
            <w:r w:rsidRPr="00F61DCE">
              <w:rPr>
                <w:rFonts w:ascii="Segoe UI" w:eastAsia="Times New Roman" w:hAnsi="Segoe UI" w:cs="Segoe UI"/>
                <w:color w:val="000000"/>
                <w:sz w:val="18"/>
                <w:szCs w:val="18"/>
                <w:lang w:eastAsia="pt-BR"/>
              </w:rPr>
              <w:t>1.706.272</w:t>
            </w:r>
          </w:p>
        </w:tc>
      </w:tr>
      <w:tr w:rsidR="00F61DCE" w:rsidRPr="00F61DCE" w14:paraId="2A075E25" w14:textId="77777777" w:rsidTr="00D5058F">
        <w:trPr>
          <w:trHeight w:val="300"/>
        </w:trPr>
        <w:tc>
          <w:tcPr>
            <w:tcW w:w="2115" w:type="pct"/>
            <w:tcBorders>
              <w:top w:val="nil"/>
              <w:left w:val="nil"/>
              <w:bottom w:val="nil"/>
              <w:right w:val="nil"/>
            </w:tcBorders>
            <w:shd w:val="clear" w:color="auto" w:fill="auto"/>
            <w:noWrap/>
            <w:vAlign w:val="center"/>
            <w:hideMark/>
          </w:tcPr>
          <w:p w14:paraId="3A6A0ACB" w14:textId="77777777" w:rsidR="00F61DCE" w:rsidRPr="00F61DCE" w:rsidRDefault="00F61DCE" w:rsidP="00F61DCE">
            <w:pPr>
              <w:spacing w:after="0" w:line="240" w:lineRule="auto"/>
              <w:rPr>
                <w:rFonts w:ascii="Segoe UI" w:eastAsia="Times New Roman" w:hAnsi="Segoe UI" w:cs="Segoe UI"/>
                <w:color w:val="000000"/>
                <w:sz w:val="18"/>
                <w:szCs w:val="18"/>
                <w:lang w:eastAsia="pt-BR"/>
              </w:rPr>
            </w:pPr>
          </w:p>
        </w:tc>
        <w:tc>
          <w:tcPr>
            <w:tcW w:w="352" w:type="pct"/>
            <w:tcBorders>
              <w:top w:val="nil"/>
              <w:left w:val="nil"/>
              <w:bottom w:val="nil"/>
              <w:right w:val="nil"/>
            </w:tcBorders>
            <w:shd w:val="clear" w:color="auto" w:fill="auto"/>
            <w:noWrap/>
            <w:vAlign w:val="center"/>
            <w:hideMark/>
          </w:tcPr>
          <w:p w14:paraId="112CF35A" w14:textId="77777777" w:rsidR="00F61DCE" w:rsidRPr="00F61DCE" w:rsidRDefault="00F61DCE" w:rsidP="00F61DCE">
            <w:pPr>
              <w:spacing w:after="0" w:line="240" w:lineRule="auto"/>
              <w:rPr>
                <w:rFonts w:ascii="Times New Roman" w:eastAsia="Times New Roman" w:hAnsi="Times New Roman" w:cs="Times New Roman"/>
                <w:sz w:val="20"/>
                <w:szCs w:val="20"/>
                <w:lang w:eastAsia="pt-BR"/>
              </w:rPr>
            </w:pPr>
          </w:p>
        </w:tc>
        <w:tc>
          <w:tcPr>
            <w:tcW w:w="694" w:type="pct"/>
            <w:tcBorders>
              <w:top w:val="nil"/>
              <w:left w:val="nil"/>
              <w:bottom w:val="nil"/>
              <w:right w:val="nil"/>
            </w:tcBorders>
            <w:shd w:val="clear" w:color="auto" w:fill="auto"/>
            <w:noWrap/>
            <w:vAlign w:val="center"/>
            <w:hideMark/>
          </w:tcPr>
          <w:p w14:paraId="048082DD" w14:textId="77777777" w:rsidR="00F61DCE" w:rsidRPr="00F61DCE" w:rsidRDefault="00F61DCE" w:rsidP="00F61DCE">
            <w:pPr>
              <w:spacing w:after="0" w:line="240" w:lineRule="auto"/>
              <w:rPr>
                <w:rFonts w:ascii="Times New Roman" w:eastAsia="Times New Roman" w:hAnsi="Times New Roman" w:cs="Times New Roman"/>
                <w:sz w:val="20"/>
                <w:szCs w:val="20"/>
                <w:lang w:eastAsia="pt-BR"/>
              </w:rPr>
            </w:pPr>
          </w:p>
        </w:tc>
        <w:tc>
          <w:tcPr>
            <w:tcW w:w="341" w:type="pct"/>
            <w:tcBorders>
              <w:top w:val="nil"/>
              <w:left w:val="nil"/>
              <w:bottom w:val="nil"/>
              <w:right w:val="nil"/>
            </w:tcBorders>
            <w:shd w:val="clear" w:color="auto" w:fill="auto"/>
            <w:noWrap/>
            <w:vAlign w:val="center"/>
            <w:hideMark/>
          </w:tcPr>
          <w:p w14:paraId="5129107B" w14:textId="77777777" w:rsidR="00F61DCE" w:rsidRPr="00F61DCE" w:rsidRDefault="00F61DCE" w:rsidP="00F61DCE">
            <w:pPr>
              <w:spacing w:after="0" w:line="240" w:lineRule="auto"/>
              <w:jc w:val="right"/>
              <w:rPr>
                <w:rFonts w:ascii="Times New Roman" w:eastAsia="Times New Roman" w:hAnsi="Times New Roman" w:cs="Times New Roman"/>
                <w:sz w:val="20"/>
                <w:szCs w:val="20"/>
                <w:lang w:eastAsia="pt-BR"/>
              </w:rPr>
            </w:pPr>
          </w:p>
        </w:tc>
        <w:tc>
          <w:tcPr>
            <w:tcW w:w="504" w:type="pct"/>
            <w:tcBorders>
              <w:top w:val="single" w:sz="4" w:space="0" w:color="1B80C4"/>
              <w:left w:val="nil"/>
              <w:bottom w:val="double" w:sz="6" w:space="0" w:color="1B80C4"/>
              <w:right w:val="nil"/>
            </w:tcBorders>
            <w:shd w:val="clear" w:color="auto" w:fill="auto"/>
            <w:noWrap/>
            <w:vAlign w:val="center"/>
            <w:hideMark/>
          </w:tcPr>
          <w:p w14:paraId="2F6A215E" w14:textId="481A53F8" w:rsidR="00F61DCE" w:rsidRPr="00F61DCE" w:rsidRDefault="00F61DCE" w:rsidP="00F61DCE">
            <w:pPr>
              <w:spacing w:after="0" w:line="240" w:lineRule="auto"/>
              <w:jc w:val="right"/>
              <w:rPr>
                <w:rFonts w:ascii="Segoe UI" w:eastAsia="Times New Roman" w:hAnsi="Segoe UI" w:cs="Segoe UI"/>
                <w:b/>
                <w:bCs/>
                <w:color w:val="000000"/>
                <w:sz w:val="18"/>
                <w:szCs w:val="18"/>
                <w:lang w:eastAsia="pt-BR"/>
              </w:rPr>
            </w:pPr>
            <w:r w:rsidRPr="00F61DCE">
              <w:rPr>
                <w:rFonts w:ascii="Segoe UI" w:eastAsia="Times New Roman" w:hAnsi="Segoe UI" w:cs="Segoe UI"/>
                <w:b/>
                <w:bCs/>
                <w:color w:val="000000"/>
                <w:sz w:val="18"/>
                <w:szCs w:val="18"/>
                <w:lang w:eastAsia="pt-BR"/>
              </w:rPr>
              <w:t>414.435</w:t>
            </w:r>
          </w:p>
        </w:tc>
        <w:tc>
          <w:tcPr>
            <w:tcW w:w="501" w:type="pct"/>
            <w:tcBorders>
              <w:top w:val="single" w:sz="4" w:space="0" w:color="1B80C4"/>
              <w:left w:val="nil"/>
              <w:bottom w:val="double" w:sz="6" w:space="0" w:color="1B80C4"/>
              <w:right w:val="nil"/>
            </w:tcBorders>
            <w:shd w:val="clear" w:color="auto" w:fill="auto"/>
            <w:noWrap/>
            <w:vAlign w:val="center"/>
            <w:hideMark/>
          </w:tcPr>
          <w:p w14:paraId="158ECF18" w14:textId="715CC5B0" w:rsidR="00F61DCE" w:rsidRPr="00F61DCE" w:rsidRDefault="00F61DCE" w:rsidP="00F61DCE">
            <w:pPr>
              <w:spacing w:after="0" w:line="240" w:lineRule="auto"/>
              <w:jc w:val="right"/>
              <w:rPr>
                <w:rFonts w:ascii="Segoe UI" w:eastAsia="Times New Roman" w:hAnsi="Segoe UI" w:cs="Segoe UI"/>
                <w:b/>
                <w:bCs/>
                <w:color w:val="000000"/>
                <w:sz w:val="18"/>
                <w:szCs w:val="18"/>
                <w:lang w:eastAsia="pt-BR"/>
              </w:rPr>
            </w:pPr>
            <w:r w:rsidRPr="00F61DCE">
              <w:rPr>
                <w:rFonts w:ascii="Segoe UI" w:eastAsia="Times New Roman" w:hAnsi="Segoe UI" w:cs="Segoe UI"/>
                <w:b/>
                <w:bCs/>
                <w:color w:val="000000"/>
                <w:sz w:val="18"/>
                <w:szCs w:val="18"/>
                <w:lang w:eastAsia="pt-BR"/>
              </w:rPr>
              <w:t>6.718.184</w:t>
            </w:r>
          </w:p>
        </w:tc>
        <w:tc>
          <w:tcPr>
            <w:tcW w:w="493" w:type="pct"/>
            <w:tcBorders>
              <w:top w:val="nil"/>
              <w:left w:val="nil"/>
              <w:bottom w:val="double" w:sz="6" w:space="0" w:color="1B80C4"/>
              <w:right w:val="nil"/>
            </w:tcBorders>
            <w:shd w:val="clear" w:color="auto" w:fill="auto"/>
            <w:noWrap/>
            <w:vAlign w:val="center"/>
            <w:hideMark/>
          </w:tcPr>
          <w:p w14:paraId="22AB8B2F" w14:textId="4AE07DBC" w:rsidR="00F61DCE" w:rsidRPr="00F61DCE" w:rsidRDefault="00F61DCE" w:rsidP="00F61DCE">
            <w:pPr>
              <w:spacing w:after="0" w:line="240" w:lineRule="auto"/>
              <w:jc w:val="right"/>
              <w:rPr>
                <w:rFonts w:ascii="Segoe UI" w:eastAsia="Times New Roman" w:hAnsi="Segoe UI" w:cs="Segoe UI"/>
                <w:b/>
                <w:bCs/>
                <w:color w:val="000000"/>
                <w:sz w:val="18"/>
                <w:szCs w:val="18"/>
                <w:lang w:eastAsia="pt-BR"/>
              </w:rPr>
            </w:pPr>
            <w:r w:rsidRPr="00F61DCE">
              <w:rPr>
                <w:rFonts w:ascii="Segoe UI" w:eastAsia="Times New Roman" w:hAnsi="Segoe UI" w:cs="Segoe UI"/>
                <w:b/>
                <w:bCs/>
                <w:color w:val="000000"/>
                <w:sz w:val="18"/>
                <w:szCs w:val="18"/>
                <w:lang w:eastAsia="pt-BR"/>
              </w:rPr>
              <w:t>4.045.172</w:t>
            </w:r>
          </w:p>
        </w:tc>
      </w:tr>
    </w:tbl>
    <w:p w14:paraId="7090CF58" w14:textId="77777777" w:rsidR="00F61DCE" w:rsidRDefault="00F61DCE" w:rsidP="004A1E74">
      <w:pPr>
        <w:rPr>
          <w:rFonts w:ascii="Segoe UI" w:hAnsi="Segoe UI" w:cs="Segoe UI"/>
          <w:noProof/>
          <w:sz w:val="17"/>
          <w:szCs w:val="17"/>
          <w:lang w:eastAsia="pt-BR"/>
        </w:rPr>
      </w:pPr>
    </w:p>
    <w:p w14:paraId="7D6EAE3C" w14:textId="3813F452" w:rsidR="00C40278" w:rsidRPr="000757BC" w:rsidRDefault="003E20E8" w:rsidP="004A1E74">
      <w:pPr>
        <w:rPr>
          <w:rFonts w:ascii="Segoe UI" w:hAnsi="Segoe UI" w:cs="Segoe UI"/>
          <w:noProof/>
          <w:sz w:val="17"/>
          <w:szCs w:val="17"/>
          <w:lang w:eastAsia="pt-BR"/>
        </w:rPr>
      </w:pPr>
      <w:r w:rsidRPr="000757BC">
        <w:rPr>
          <w:rFonts w:ascii="Segoe UI" w:hAnsi="Segoe UI" w:cs="Segoe UI"/>
          <w:noProof/>
          <w:sz w:val="17"/>
          <w:szCs w:val="17"/>
          <w:lang w:eastAsia="pt-BR"/>
        </w:rPr>
        <w:t>* Montante de juros até o término das amortizações dos empréstimos calculado conforme taxa contratuais</w:t>
      </w:r>
      <w:r w:rsidR="00DF7F22" w:rsidRPr="000757BC">
        <w:rPr>
          <w:rFonts w:ascii="Segoe UI" w:hAnsi="Segoe UI" w:cs="Segoe UI"/>
          <w:noProof/>
          <w:sz w:val="17"/>
          <w:szCs w:val="17"/>
          <w:lang w:eastAsia="pt-BR"/>
        </w:rPr>
        <w:t>.</w:t>
      </w:r>
    </w:p>
    <w:p w14:paraId="6354E560" w14:textId="77777777" w:rsidR="00402349" w:rsidRDefault="00402349">
      <w:pPr>
        <w:rPr>
          <w:rFonts w:ascii="Segoe UI" w:hAnsi="Segoe UI" w:cs="Segoe UI"/>
          <w:b/>
          <w:bCs/>
          <w:color w:val="0070C0"/>
        </w:rPr>
      </w:pPr>
      <w:r>
        <w:rPr>
          <w:rFonts w:ascii="Segoe UI" w:hAnsi="Segoe UI" w:cs="Segoe UI"/>
          <w:b/>
          <w:bCs/>
          <w:color w:val="0070C0"/>
        </w:rPr>
        <w:br w:type="page"/>
      </w:r>
    </w:p>
    <w:p w14:paraId="1A1F3E32" w14:textId="645ACC95" w:rsidR="00DB59B8" w:rsidRPr="000757BC" w:rsidRDefault="00DB59B8" w:rsidP="0064781A">
      <w:pPr>
        <w:rPr>
          <w:rFonts w:ascii="Segoe UI" w:hAnsi="Segoe UI" w:cs="Segoe UI"/>
          <w:b/>
          <w:color w:val="0070C0"/>
        </w:rPr>
      </w:pPr>
      <w:r w:rsidRPr="000757BC">
        <w:rPr>
          <w:rFonts w:ascii="Segoe UI" w:hAnsi="Segoe UI" w:cs="Segoe UI"/>
          <w:b/>
          <w:bCs/>
          <w:color w:val="0070C0"/>
        </w:rPr>
        <w:lastRenderedPageBreak/>
        <w:t>Indexadores nacionais:</w:t>
      </w:r>
    </w:p>
    <w:p w14:paraId="3BA1BB16" w14:textId="77777777" w:rsidR="00DB59B8" w:rsidRPr="000757BC" w:rsidRDefault="00DB59B8" w:rsidP="005C2926">
      <w:pPr>
        <w:pStyle w:val="Default"/>
        <w:spacing w:after="160"/>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a.1) Risco de apreciação das taxas de juros:</w:t>
      </w:r>
    </w:p>
    <w:tbl>
      <w:tblPr>
        <w:tblW w:w="5000" w:type="pct"/>
        <w:tblCellMar>
          <w:left w:w="70" w:type="dxa"/>
          <w:right w:w="70" w:type="dxa"/>
        </w:tblCellMar>
        <w:tblLook w:val="04A0" w:firstRow="1" w:lastRow="0" w:firstColumn="1" w:lastColumn="0" w:noHBand="0" w:noVBand="1"/>
      </w:tblPr>
      <w:tblGrid>
        <w:gridCol w:w="1379"/>
        <w:gridCol w:w="2954"/>
        <w:gridCol w:w="1535"/>
        <w:gridCol w:w="1175"/>
        <w:gridCol w:w="1226"/>
        <w:gridCol w:w="1228"/>
      </w:tblGrid>
      <w:tr w:rsidR="00D324DC" w:rsidRPr="00D324DC" w14:paraId="5100B700" w14:textId="77777777" w:rsidTr="00D324DC">
        <w:trPr>
          <w:trHeight w:val="315"/>
        </w:trPr>
        <w:tc>
          <w:tcPr>
            <w:tcW w:w="688" w:type="pct"/>
            <w:tcBorders>
              <w:top w:val="nil"/>
              <w:left w:val="nil"/>
              <w:bottom w:val="nil"/>
              <w:right w:val="nil"/>
            </w:tcBorders>
            <w:shd w:val="clear" w:color="auto" w:fill="auto"/>
            <w:noWrap/>
            <w:vAlign w:val="bottom"/>
            <w:hideMark/>
          </w:tcPr>
          <w:p w14:paraId="3340B35D" w14:textId="77777777" w:rsidR="00D324DC" w:rsidRPr="00D324DC" w:rsidRDefault="00D324DC" w:rsidP="00D324DC">
            <w:pPr>
              <w:spacing w:after="0" w:line="240" w:lineRule="auto"/>
              <w:rPr>
                <w:rFonts w:ascii="Times New Roman" w:eastAsia="Times New Roman" w:hAnsi="Times New Roman" w:cs="Times New Roman"/>
                <w:sz w:val="24"/>
                <w:szCs w:val="24"/>
                <w:lang w:eastAsia="pt-BR"/>
              </w:rPr>
            </w:pPr>
          </w:p>
        </w:tc>
        <w:tc>
          <w:tcPr>
            <w:tcW w:w="1563" w:type="pct"/>
            <w:tcBorders>
              <w:top w:val="nil"/>
              <w:left w:val="nil"/>
              <w:bottom w:val="nil"/>
              <w:right w:val="nil"/>
            </w:tcBorders>
            <w:shd w:val="clear" w:color="auto" w:fill="auto"/>
            <w:noWrap/>
            <w:vAlign w:val="bottom"/>
            <w:hideMark/>
          </w:tcPr>
          <w:p w14:paraId="542DD305" w14:textId="77777777" w:rsidR="00D324DC" w:rsidRPr="00D324DC" w:rsidRDefault="00D324DC" w:rsidP="00D324DC">
            <w:pPr>
              <w:spacing w:after="0" w:line="240" w:lineRule="auto"/>
              <w:rPr>
                <w:rFonts w:ascii="Times New Roman" w:eastAsia="Times New Roman" w:hAnsi="Times New Roman" w:cs="Times New Roman"/>
                <w:sz w:val="20"/>
                <w:szCs w:val="20"/>
                <w:lang w:eastAsia="pt-BR"/>
              </w:rPr>
            </w:pPr>
          </w:p>
        </w:tc>
        <w:tc>
          <w:tcPr>
            <w:tcW w:w="2749" w:type="pct"/>
            <w:gridSpan w:val="4"/>
            <w:tcBorders>
              <w:top w:val="nil"/>
              <w:left w:val="nil"/>
              <w:bottom w:val="single" w:sz="4" w:space="0" w:color="FFFFFF"/>
              <w:right w:val="nil"/>
            </w:tcBorders>
            <w:shd w:val="clear" w:color="000000" w:fill="1B80C4"/>
            <w:vAlign w:val="bottom"/>
            <w:hideMark/>
          </w:tcPr>
          <w:p w14:paraId="7D0557A8" w14:textId="77777777" w:rsidR="00D324DC" w:rsidRPr="00D324DC" w:rsidRDefault="00D324DC" w:rsidP="00D324DC">
            <w:pPr>
              <w:spacing w:after="0" w:line="240" w:lineRule="auto"/>
              <w:jc w:val="center"/>
              <w:rPr>
                <w:rFonts w:ascii="Segoe UI" w:eastAsia="Times New Roman" w:hAnsi="Segoe UI" w:cs="Segoe UI"/>
                <w:b/>
                <w:bCs/>
                <w:color w:val="FFFFFF"/>
                <w:sz w:val="18"/>
                <w:szCs w:val="18"/>
                <w:lang w:eastAsia="pt-BR"/>
              </w:rPr>
            </w:pPr>
            <w:r w:rsidRPr="00D324DC">
              <w:rPr>
                <w:rFonts w:ascii="Segoe UI" w:eastAsia="Times New Roman" w:hAnsi="Segoe UI" w:cs="Segoe UI"/>
                <w:b/>
                <w:bCs/>
                <w:color w:val="FFFFFF"/>
                <w:sz w:val="18"/>
                <w:szCs w:val="18"/>
                <w:lang w:eastAsia="pt-BR"/>
              </w:rPr>
              <w:t xml:space="preserve"> Efeitos no resultado </w:t>
            </w:r>
          </w:p>
        </w:tc>
      </w:tr>
      <w:tr w:rsidR="00D324DC" w:rsidRPr="00D324DC" w14:paraId="69DFCB70" w14:textId="77777777" w:rsidTr="00D324DC">
        <w:trPr>
          <w:trHeight w:val="720"/>
        </w:trPr>
        <w:tc>
          <w:tcPr>
            <w:tcW w:w="688" w:type="pct"/>
            <w:tcBorders>
              <w:top w:val="nil"/>
              <w:left w:val="nil"/>
              <w:bottom w:val="nil"/>
              <w:right w:val="nil"/>
            </w:tcBorders>
            <w:shd w:val="clear" w:color="auto" w:fill="auto"/>
            <w:noWrap/>
            <w:vAlign w:val="bottom"/>
            <w:hideMark/>
          </w:tcPr>
          <w:p w14:paraId="2379554A" w14:textId="77777777" w:rsidR="00D324DC" w:rsidRPr="00D324DC" w:rsidRDefault="00D324DC" w:rsidP="00D324DC">
            <w:pPr>
              <w:spacing w:after="0" w:line="240" w:lineRule="auto"/>
              <w:jc w:val="center"/>
              <w:rPr>
                <w:rFonts w:ascii="Segoe UI" w:eastAsia="Times New Roman" w:hAnsi="Segoe UI" w:cs="Segoe UI"/>
                <w:b/>
                <w:bCs/>
                <w:color w:val="FFFFFF"/>
                <w:sz w:val="18"/>
                <w:szCs w:val="18"/>
                <w:lang w:eastAsia="pt-BR"/>
              </w:rPr>
            </w:pPr>
          </w:p>
        </w:tc>
        <w:tc>
          <w:tcPr>
            <w:tcW w:w="1563" w:type="pct"/>
            <w:tcBorders>
              <w:top w:val="nil"/>
              <w:left w:val="nil"/>
              <w:bottom w:val="nil"/>
              <w:right w:val="nil"/>
            </w:tcBorders>
            <w:shd w:val="clear" w:color="auto" w:fill="auto"/>
            <w:noWrap/>
            <w:vAlign w:val="bottom"/>
            <w:hideMark/>
          </w:tcPr>
          <w:p w14:paraId="00C9CD01" w14:textId="77777777" w:rsidR="00D324DC" w:rsidRPr="00D324DC" w:rsidRDefault="00D324DC" w:rsidP="00D324DC">
            <w:pPr>
              <w:spacing w:after="0" w:line="240" w:lineRule="auto"/>
              <w:rPr>
                <w:rFonts w:ascii="Times New Roman" w:eastAsia="Times New Roman" w:hAnsi="Times New Roman" w:cs="Times New Roman"/>
                <w:sz w:val="20"/>
                <w:szCs w:val="20"/>
                <w:lang w:eastAsia="pt-BR"/>
              </w:rPr>
            </w:pPr>
          </w:p>
        </w:tc>
        <w:tc>
          <w:tcPr>
            <w:tcW w:w="816" w:type="pct"/>
            <w:tcBorders>
              <w:top w:val="nil"/>
              <w:left w:val="nil"/>
              <w:bottom w:val="nil"/>
              <w:right w:val="nil"/>
            </w:tcBorders>
            <w:shd w:val="clear" w:color="000000" w:fill="1B80C4"/>
            <w:vAlign w:val="center"/>
            <w:hideMark/>
          </w:tcPr>
          <w:p w14:paraId="58CA6006" w14:textId="77777777" w:rsidR="00D324DC" w:rsidRPr="00D324DC" w:rsidRDefault="00D324DC" w:rsidP="00D324DC">
            <w:pPr>
              <w:spacing w:after="0" w:line="240" w:lineRule="auto"/>
              <w:jc w:val="center"/>
              <w:rPr>
                <w:rFonts w:ascii="Segoe UI" w:eastAsia="Times New Roman" w:hAnsi="Segoe UI" w:cs="Segoe UI"/>
                <w:b/>
                <w:bCs/>
                <w:color w:val="FFFFFF"/>
                <w:sz w:val="18"/>
                <w:szCs w:val="18"/>
                <w:lang w:eastAsia="pt-BR"/>
              </w:rPr>
            </w:pPr>
            <w:r w:rsidRPr="00D324DC">
              <w:rPr>
                <w:rFonts w:ascii="Segoe UI" w:eastAsia="Times New Roman" w:hAnsi="Segoe UI" w:cs="Segoe UI"/>
                <w:b/>
                <w:bCs/>
                <w:color w:val="FFFFFF"/>
                <w:sz w:val="18"/>
                <w:szCs w:val="18"/>
                <w:lang w:eastAsia="pt-BR"/>
              </w:rPr>
              <w:t xml:space="preserve"> Saldo em 31/12/2022 </w:t>
            </w:r>
          </w:p>
        </w:tc>
        <w:tc>
          <w:tcPr>
            <w:tcW w:w="626" w:type="pct"/>
            <w:tcBorders>
              <w:top w:val="nil"/>
              <w:left w:val="nil"/>
              <w:bottom w:val="nil"/>
              <w:right w:val="nil"/>
            </w:tcBorders>
            <w:shd w:val="clear" w:color="000000" w:fill="1B80C4"/>
            <w:vAlign w:val="bottom"/>
            <w:hideMark/>
          </w:tcPr>
          <w:p w14:paraId="66D2BD04" w14:textId="77777777" w:rsidR="00D324DC" w:rsidRPr="00D324DC" w:rsidRDefault="00D324DC" w:rsidP="00D324DC">
            <w:pPr>
              <w:spacing w:after="0" w:line="240" w:lineRule="auto"/>
              <w:jc w:val="center"/>
              <w:rPr>
                <w:rFonts w:ascii="Segoe UI" w:eastAsia="Times New Roman" w:hAnsi="Segoe UI" w:cs="Segoe UI"/>
                <w:b/>
                <w:bCs/>
                <w:color w:val="FFFFFF"/>
                <w:sz w:val="18"/>
                <w:szCs w:val="18"/>
                <w:lang w:eastAsia="pt-BR"/>
              </w:rPr>
            </w:pPr>
            <w:r w:rsidRPr="00D324DC">
              <w:rPr>
                <w:rFonts w:ascii="Segoe UI" w:eastAsia="Times New Roman" w:hAnsi="Segoe UI" w:cs="Segoe UI"/>
                <w:b/>
                <w:bCs/>
                <w:color w:val="FFFFFF"/>
                <w:sz w:val="18"/>
                <w:szCs w:val="18"/>
                <w:lang w:eastAsia="pt-BR"/>
              </w:rPr>
              <w:t xml:space="preserve"> Cenário I Provável 2022* </w:t>
            </w:r>
          </w:p>
        </w:tc>
        <w:tc>
          <w:tcPr>
            <w:tcW w:w="653" w:type="pct"/>
            <w:tcBorders>
              <w:top w:val="nil"/>
              <w:left w:val="nil"/>
              <w:bottom w:val="nil"/>
              <w:right w:val="nil"/>
            </w:tcBorders>
            <w:shd w:val="clear" w:color="000000" w:fill="1B80C4"/>
            <w:vAlign w:val="center"/>
            <w:hideMark/>
          </w:tcPr>
          <w:p w14:paraId="3DAA2AE7" w14:textId="77777777" w:rsidR="00D324DC" w:rsidRPr="00D324DC" w:rsidRDefault="00D324DC" w:rsidP="00D324DC">
            <w:pPr>
              <w:spacing w:after="0" w:line="240" w:lineRule="auto"/>
              <w:jc w:val="center"/>
              <w:rPr>
                <w:rFonts w:ascii="Segoe UI" w:eastAsia="Times New Roman" w:hAnsi="Segoe UI" w:cs="Segoe UI"/>
                <w:b/>
                <w:bCs/>
                <w:color w:val="FFFFFF"/>
                <w:sz w:val="18"/>
                <w:szCs w:val="18"/>
                <w:lang w:eastAsia="pt-BR"/>
              </w:rPr>
            </w:pPr>
            <w:r w:rsidRPr="00D324DC">
              <w:rPr>
                <w:rFonts w:ascii="Segoe UI" w:eastAsia="Times New Roman" w:hAnsi="Segoe UI" w:cs="Segoe UI"/>
                <w:b/>
                <w:bCs/>
                <w:color w:val="FFFFFF"/>
                <w:sz w:val="18"/>
                <w:szCs w:val="18"/>
                <w:lang w:eastAsia="pt-BR"/>
              </w:rPr>
              <w:t xml:space="preserve"> Cenário II (+25%)* </w:t>
            </w:r>
          </w:p>
        </w:tc>
        <w:tc>
          <w:tcPr>
            <w:tcW w:w="653" w:type="pct"/>
            <w:tcBorders>
              <w:top w:val="nil"/>
              <w:left w:val="nil"/>
              <w:bottom w:val="nil"/>
              <w:right w:val="nil"/>
            </w:tcBorders>
            <w:shd w:val="clear" w:color="000000" w:fill="1B80C4"/>
            <w:vAlign w:val="center"/>
            <w:hideMark/>
          </w:tcPr>
          <w:p w14:paraId="443CC1B3" w14:textId="77777777" w:rsidR="00D324DC" w:rsidRPr="00D324DC" w:rsidRDefault="00D324DC" w:rsidP="00D324DC">
            <w:pPr>
              <w:spacing w:after="0" w:line="240" w:lineRule="auto"/>
              <w:jc w:val="center"/>
              <w:rPr>
                <w:rFonts w:ascii="Segoe UI" w:eastAsia="Times New Roman" w:hAnsi="Segoe UI" w:cs="Segoe UI"/>
                <w:b/>
                <w:bCs/>
                <w:color w:val="FFFFFF"/>
                <w:sz w:val="18"/>
                <w:szCs w:val="18"/>
                <w:lang w:eastAsia="pt-BR"/>
              </w:rPr>
            </w:pPr>
            <w:r w:rsidRPr="00D324DC">
              <w:rPr>
                <w:rFonts w:ascii="Segoe UI" w:eastAsia="Times New Roman" w:hAnsi="Segoe UI" w:cs="Segoe UI"/>
                <w:b/>
                <w:bCs/>
                <w:color w:val="FFFFFF"/>
                <w:sz w:val="18"/>
                <w:szCs w:val="18"/>
                <w:lang w:eastAsia="pt-BR"/>
              </w:rPr>
              <w:t xml:space="preserve"> Cenário III (+50%)* </w:t>
            </w:r>
          </w:p>
        </w:tc>
      </w:tr>
      <w:tr w:rsidR="00D324DC" w:rsidRPr="00D324DC" w14:paraId="3DE06E01" w14:textId="77777777" w:rsidTr="00D324DC">
        <w:trPr>
          <w:trHeight w:val="255"/>
        </w:trPr>
        <w:tc>
          <w:tcPr>
            <w:tcW w:w="688" w:type="pct"/>
            <w:tcBorders>
              <w:top w:val="nil"/>
              <w:left w:val="nil"/>
              <w:bottom w:val="single" w:sz="8" w:space="0" w:color="1B80C4"/>
              <w:right w:val="nil"/>
            </w:tcBorders>
            <w:shd w:val="clear" w:color="auto" w:fill="auto"/>
            <w:noWrap/>
            <w:vAlign w:val="center"/>
            <w:hideMark/>
          </w:tcPr>
          <w:p w14:paraId="498C789B"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IPCA</w:t>
            </w:r>
          </w:p>
        </w:tc>
        <w:tc>
          <w:tcPr>
            <w:tcW w:w="1563" w:type="pct"/>
            <w:tcBorders>
              <w:top w:val="nil"/>
              <w:left w:val="nil"/>
              <w:bottom w:val="single" w:sz="8" w:space="0" w:color="1B80C4"/>
              <w:right w:val="nil"/>
            </w:tcBorders>
            <w:shd w:val="clear" w:color="auto" w:fill="auto"/>
            <w:noWrap/>
            <w:vAlign w:val="center"/>
            <w:hideMark/>
          </w:tcPr>
          <w:p w14:paraId="2CFBA1E2"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Empréstimos e financiamentos</w:t>
            </w:r>
          </w:p>
        </w:tc>
        <w:tc>
          <w:tcPr>
            <w:tcW w:w="816" w:type="pct"/>
            <w:tcBorders>
              <w:top w:val="nil"/>
              <w:left w:val="nil"/>
              <w:bottom w:val="single" w:sz="8" w:space="0" w:color="1B80C4"/>
              <w:right w:val="nil"/>
            </w:tcBorders>
            <w:shd w:val="clear" w:color="auto" w:fill="auto"/>
            <w:noWrap/>
            <w:vAlign w:val="center"/>
            <w:hideMark/>
          </w:tcPr>
          <w:p w14:paraId="4C7E3132" w14:textId="01046B05"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(278.831)</w:t>
            </w:r>
          </w:p>
        </w:tc>
        <w:tc>
          <w:tcPr>
            <w:tcW w:w="626" w:type="pct"/>
            <w:tcBorders>
              <w:top w:val="nil"/>
              <w:left w:val="nil"/>
              <w:bottom w:val="single" w:sz="8" w:space="0" w:color="1B80C4"/>
              <w:right w:val="nil"/>
            </w:tcBorders>
            <w:shd w:val="clear" w:color="auto" w:fill="auto"/>
            <w:noWrap/>
            <w:vAlign w:val="center"/>
            <w:hideMark/>
          </w:tcPr>
          <w:p w14:paraId="203219B1" w14:textId="3CD89E64"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(28.233)</w:t>
            </w:r>
          </w:p>
        </w:tc>
        <w:tc>
          <w:tcPr>
            <w:tcW w:w="653" w:type="pct"/>
            <w:tcBorders>
              <w:top w:val="nil"/>
              <w:left w:val="nil"/>
              <w:bottom w:val="single" w:sz="8" w:space="0" w:color="1B80C4"/>
              <w:right w:val="nil"/>
            </w:tcBorders>
            <w:shd w:val="clear" w:color="auto" w:fill="auto"/>
            <w:noWrap/>
            <w:vAlign w:val="center"/>
            <w:hideMark/>
          </w:tcPr>
          <w:p w14:paraId="3D105C90" w14:textId="26849264"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(31.499)</w:t>
            </w:r>
          </w:p>
        </w:tc>
        <w:tc>
          <w:tcPr>
            <w:tcW w:w="653" w:type="pct"/>
            <w:tcBorders>
              <w:top w:val="nil"/>
              <w:left w:val="nil"/>
              <w:bottom w:val="single" w:sz="8" w:space="0" w:color="1B80C4"/>
              <w:right w:val="nil"/>
            </w:tcBorders>
            <w:shd w:val="clear" w:color="auto" w:fill="auto"/>
            <w:noWrap/>
            <w:vAlign w:val="center"/>
            <w:hideMark/>
          </w:tcPr>
          <w:p w14:paraId="37BBE22B" w14:textId="43040B0B"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(34.761)</w:t>
            </w:r>
          </w:p>
        </w:tc>
      </w:tr>
      <w:tr w:rsidR="00D324DC" w:rsidRPr="00D324DC" w14:paraId="28E95536" w14:textId="77777777" w:rsidTr="00D324DC">
        <w:trPr>
          <w:trHeight w:val="240"/>
        </w:trPr>
        <w:tc>
          <w:tcPr>
            <w:tcW w:w="688" w:type="pct"/>
            <w:tcBorders>
              <w:top w:val="nil"/>
              <w:left w:val="nil"/>
              <w:bottom w:val="nil"/>
              <w:right w:val="nil"/>
            </w:tcBorders>
            <w:shd w:val="clear" w:color="auto" w:fill="auto"/>
            <w:noWrap/>
            <w:vAlign w:val="center"/>
            <w:hideMark/>
          </w:tcPr>
          <w:p w14:paraId="65E8E2CB" w14:textId="77777777" w:rsidR="00D324DC" w:rsidRPr="00D324DC" w:rsidRDefault="00D324DC" w:rsidP="00D324DC">
            <w:pPr>
              <w:spacing w:after="0" w:line="240" w:lineRule="auto"/>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center"/>
            <w:hideMark/>
          </w:tcPr>
          <w:p w14:paraId="32517C0F"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Impacto no resultado</w:t>
            </w:r>
          </w:p>
        </w:tc>
        <w:tc>
          <w:tcPr>
            <w:tcW w:w="816" w:type="pct"/>
            <w:tcBorders>
              <w:top w:val="nil"/>
              <w:left w:val="nil"/>
              <w:bottom w:val="nil"/>
              <w:right w:val="nil"/>
            </w:tcBorders>
            <w:shd w:val="clear" w:color="auto" w:fill="auto"/>
            <w:noWrap/>
            <w:vAlign w:val="center"/>
            <w:hideMark/>
          </w:tcPr>
          <w:p w14:paraId="7B111E04" w14:textId="313B3931"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(278.831)</w:t>
            </w:r>
          </w:p>
        </w:tc>
        <w:tc>
          <w:tcPr>
            <w:tcW w:w="626" w:type="pct"/>
            <w:tcBorders>
              <w:top w:val="nil"/>
              <w:left w:val="nil"/>
              <w:bottom w:val="nil"/>
              <w:right w:val="nil"/>
            </w:tcBorders>
            <w:shd w:val="clear" w:color="auto" w:fill="auto"/>
            <w:noWrap/>
            <w:vAlign w:val="center"/>
            <w:hideMark/>
          </w:tcPr>
          <w:p w14:paraId="5AB98619" w14:textId="1359670D"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(28.233)</w:t>
            </w:r>
          </w:p>
        </w:tc>
        <w:tc>
          <w:tcPr>
            <w:tcW w:w="653" w:type="pct"/>
            <w:tcBorders>
              <w:top w:val="nil"/>
              <w:left w:val="nil"/>
              <w:bottom w:val="nil"/>
              <w:right w:val="nil"/>
            </w:tcBorders>
            <w:shd w:val="clear" w:color="auto" w:fill="auto"/>
            <w:noWrap/>
            <w:vAlign w:val="center"/>
            <w:hideMark/>
          </w:tcPr>
          <w:p w14:paraId="1A5A56A9" w14:textId="7091DB25"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(31.499)</w:t>
            </w:r>
          </w:p>
        </w:tc>
        <w:tc>
          <w:tcPr>
            <w:tcW w:w="653" w:type="pct"/>
            <w:tcBorders>
              <w:top w:val="nil"/>
              <w:left w:val="nil"/>
              <w:bottom w:val="nil"/>
              <w:right w:val="nil"/>
            </w:tcBorders>
            <w:shd w:val="clear" w:color="auto" w:fill="auto"/>
            <w:noWrap/>
            <w:vAlign w:val="center"/>
            <w:hideMark/>
          </w:tcPr>
          <w:p w14:paraId="16BB4240" w14:textId="5B24D40B"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(34.761)</w:t>
            </w:r>
          </w:p>
        </w:tc>
      </w:tr>
      <w:tr w:rsidR="00D324DC" w:rsidRPr="00D324DC" w14:paraId="59C6917D" w14:textId="77777777" w:rsidTr="00D324DC">
        <w:trPr>
          <w:trHeight w:val="240"/>
        </w:trPr>
        <w:tc>
          <w:tcPr>
            <w:tcW w:w="688" w:type="pct"/>
            <w:tcBorders>
              <w:top w:val="nil"/>
              <w:left w:val="nil"/>
              <w:bottom w:val="nil"/>
              <w:right w:val="nil"/>
            </w:tcBorders>
            <w:shd w:val="clear" w:color="auto" w:fill="auto"/>
            <w:noWrap/>
            <w:vAlign w:val="bottom"/>
            <w:hideMark/>
          </w:tcPr>
          <w:p w14:paraId="1A76C8CB" w14:textId="77777777" w:rsidR="00D324DC" w:rsidRPr="00D324DC" w:rsidRDefault="00D324DC" w:rsidP="00D324DC">
            <w:pPr>
              <w:spacing w:after="0" w:line="240" w:lineRule="auto"/>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bottom"/>
            <w:hideMark/>
          </w:tcPr>
          <w:p w14:paraId="5A01D4DC" w14:textId="77777777" w:rsidR="00D324DC" w:rsidRPr="00D324DC" w:rsidRDefault="00D324DC" w:rsidP="00D324DC">
            <w:pPr>
              <w:spacing w:after="0" w:line="240" w:lineRule="auto"/>
              <w:rPr>
                <w:rFonts w:ascii="Times New Roman" w:eastAsia="Times New Roman" w:hAnsi="Times New Roman" w:cs="Times New Roman"/>
                <w:sz w:val="20"/>
                <w:szCs w:val="20"/>
                <w:lang w:eastAsia="pt-BR"/>
              </w:rPr>
            </w:pPr>
          </w:p>
        </w:tc>
        <w:tc>
          <w:tcPr>
            <w:tcW w:w="816" w:type="pct"/>
            <w:tcBorders>
              <w:top w:val="nil"/>
              <w:left w:val="nil"/>
              <w:bottom w:val="nil"/>
              <w:right w:val="nil"/>
            </w:tcBorders>
            <w:shd w:val="clear" w:color="auto" w:fill="auto"/>
            <w:noWrap/>
            <w:vAlign w:val="bottom"/>
            <w:hideMark/>
          </w:tcPr>
          <w:p w14:paraId="134FCFD8"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26" w:type="pct"/>
            <w:tcBorders>
              <w:top w:val="nil"/>
              <w:left w:val="nil"/>
              <w:bottom w:val="nil"/>
              <w:right w:val="nil"/>
            </w:tcBorders>
            <w:shd w:val="clear" w:color="auto" w:fill="auto"/>
            <w:noWrap/>
            <w:vAlign w:val="bottom"/>
            <w:hideMark/>
          </w:tcPr>
          <w:p w14:paraId="77E555BA"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3416AC9E"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64E9008A"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r>
      <w:tr w:rsidR="00D324DC" w:rsidRPr="00D324DC" w14:paraId="1575F512" w14:textId="77777777" w:rsidTr="00D324DC">
        <w:trPr>
          <w:trHeight w:val="255"/>
        </w:trPr>
        <w:tc>
          <w:tcPr>
            <w:tcW w:w="688" w:type="pct"/>
            <w:tcBorders>
              <w:top w:val="nil"/>
              <w:left w:val="nil"/>
              <w:bottom w:val="single" w:sz="8" w:space="0" w:color="1B80C4"/>
              <w:right w:val="nil"/>
            </w:tcBorders>
            <w:shd w:val="clear" w:color="auto" w:fill="auto"/>
            <w:noWrap/>
            <w:vAlign w:val="center"/>
            <w:hideMark/>
          </w:tcPr>
          <w:p w14:paraId="31C83CB5"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TJLP</w:t>
            </w:r>
          </w:p>
        </w:tc>
        <w:tc>
          <w:tcPr>
            <w:tcW w:w="1563" w:type="pct"/>
            <w:tcBorders>
              <w:top w:val="nil"/>
              <w:left w:val="nil"/>
              <w:bottom w:val="single" w:sz="8" w:space="0" w:color="1B80C4"/>
              <w:right w:val="nil"/>
            </w:tcBorders>
            <w:shd w:val="clear" w:color="auto" w:fill="auto"/>
            <w:noWrap/>
            <w:vAlign w:val="center"/>
            <w:hideMark/>
          </w:tcPr>
          <w:p w14:paraId="69CDAC7D"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Empréstimos e financiamentos</w:t>
            </w:r>
          </w:p>
        </w:tc>
        <w:tc>
          <w:tcPr>
            <w:tcW w:w="816" w:type="pct"/>
            <w:tcBorders>
              <w:top w:val="nil"/>
              <w:left w:val="nil"/>
              <w:bottom w:val="single" w:sz="8" w:space="0" w:color="1B80C4"/>
              <w:right w:val="nil"/>
            </w:tcBorders>
            <w:shd w:val="clear" w:color="auto" w:fill="auto"/>
            <w:noWrap/>
            <w:vAlign w:val="center"/>
            <w:hideMark/>
          </w:tcPr>
          <w:p w14:paraId="125F3538" w14:textId="0ABD354F"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(3.255.476)</w:t>
            </w:r>
          </w:p>
        </w:tc>
        <w:tc>
          <w:tcPr>
            <w:tcW w:w="626" w:type="pct"/>
            <w:tcBorders>
              <w:top w:val="nil"/>
              <w:left w:val="nil"/>
              <w:bottom w:val="single" w:sz="8" w:space="0" w:color="1B80C4"/>
              <w:right w:val="nil"/>
            </w:tcBorders>
            <w:shd w:val="clear" w:color="auto" w:fill="auto"/>
            <w:noWrap/>
            <w:vAlign w:val="center"/>
            <w:hideMark/>
          </w:tcPr>
          <w:p w14:paraId="698957D8" w14:textId="095AB62D"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(281.426)</w:t>
            </w:r>
          </w:p>
        </w:tc>
        <w:tc>
          <w:tcPr>
            <w:tcW w:w="653" w:type="pct"/>
            <w:tcBorders>
              <w:top w:val="nil"/>
              <w:left w:val="nil"/>
              <w:bottom w:val="single" w:sz="8" w:space="0" w:color="1B80C4"/>
              <w:right w:val="nil"/>
            </w:tcBorders>
            <w:shd w:val="clear" w:color="auto" w:fill="auto"/>
            <w:noWrap/>
            <w:vAlign w:val="center"/>
            <w:hideMark/>
          </w:tcPr>
          <w:p w14:paraId="54FBE3A4" w14:textId="17D24E25"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(340.256)</w:t>
            </w:r>
          </w:p>
        </w:tc>
        <w:tc>
          <w:tcPr>
            <w:tcW w:w="653" w:type="pct"/>
            <w:tcBorders>
              <w:top w:val="nil"/>
              <w:left w:val="nil"/>
              <w:bottom w:val="single" w:sz="8" w:space="0" w:color="1B80C4"/>
              <w:right w:val="nil"/>
            </w:tcBorders>
            <w:shd w:val="clear" w:color="auto" w:fill="auto"/>
            <w:noWrap/>
            <w:vAlign w:val="center"/>
            <w:hideMark/>
          </w:tcPr>
          <w:p w14:paraId="5E58F32D" w14:textId="4EBC59E4"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(399.593)</w:t>
            </w:r>
          </w:p>
        </w:tc>
      </w:tr>
      <w:tr w:rsidR="00D324DC" w:rsidRPr="00D324DC" w14:paraId="625C89E3" w14:textId="77777777" w:rsidTr="00D324DC">
        <w:trPr>
          <w:trHeight w:val="240"/>
        </w:trPr>
        <w:tc>
          <w:tcPr>
            <w:tcW w:w="688" w:type="pct"/>
            <w:tcBorders>
              <w:top w:val="nil"/>
              <w:left w:val="nil"/>
              <w:bottom w:val="nil"/>
              <w:right w:val="nil"/>
            </w:tcBorders>
            <w:shd w:val="clear" w:color="auto" w:fill="auto"/>
            <w:noWrap/>
            <w:vAlign w:val="center"/>
            <w:hideMark/>
          </w:tcPr>
          <w:p w14:paraId="69476058" w14:textId="77777777" w:rsidR="00D324DC" w:rsidRPr="00D324DC" w:rsidRDefault="00D324DC" w:rsidP="00D324DC">
            <w:pPr>
              <w:spacing w:after="0" w:line="240" w:lineRule="auto"/>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center"/>
            <w:hideMark/>
          </w:tcPr>
          <w:p w14:paraId="724801A2"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Impacto no resultado</w:t>
            </w:r>
          </w:p>
        </w:tc>
        <w:tc>
          <w:tcPr>
            <w:tcW w:w="816" w:type="pct"/>
            <w:tcBorders>
              <w:top w:val="nil"/>
              <w:left w:val="nil"/>
              <w:bottom w:val="nil"/>
              <w:right w:val="nil"/>
            </w:tcBorders>
            <w:shd w:val="clear" w:color="auto" w:fill="auto"/>
            <w:noWrap/>
            <w:vAlign w:val="center"/>
            <w:hideMark/>
          </w:tcPr>
          <w:p w14:paraId="4F7392BF" w14:textId="06B5C9A9"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(3.255.476)</w:t>
            </w:r>
          </w:p>
        </w:tc>
        <w:tc>
          <w:tcPr>
            <w:tcW w:w="626" w:type="pct"/>
            <w:tcBorders>
              <w:top w:val="nil"/>
              <w:left w:val="nil"/>
              <w:bottom w:val="nil"/>
              <w:right w:val="nil"/>
            </w:tcBorders>
            <w:shd w:val="clear" w:color="auto" w:fill="auto"/>
            <w:noWrap/>
            <w:vAlign w:val="center"/>
            <w:hideMark/>
          </w:tcPr>
          <w:p w14:paraId="1FD17CA2" w14:textId="6DFF205D"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(281.426)</w:t>
            </w:r>
          </w:p>
        </w:tc>
        <w:tc>
          <w:tcPr>
            <w:tcW w:w="653" w:type="pct"/>
            <w:tcBorders>
              <w:top w:val="nil"/>
              <w:left w:val="nil"/>
              <w:bottom w:val="nil"/>
              <w:right w:val="nil"/>
            </w:tcBorders>
            <w:shd w:val="clear" w:color="auto" w:fill="auto"/>
            <w:noWrap/>
            <w:vAlign w:val="center"/>
            <w:hideMark/>
          </w:tcPr>
          <w:p w14:paraId="42A7251F" w14:textId="148AAD25"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(340.256)</w:t>
            </w:r>
          </w:p>
        </w:tc>
        <w:tc>
          <w:tcPr>
            <w:tcW w:w="653" w:type="pct"/>
            <w:tcBorders>
              <w:top w:val="nil"/>
              <w:left w:val="nil"/>
              <w:bottom w:val="nil"/>
              <w:right w:val="nil"/>
            </w:tcBorders>
            <w:shd w:val="clear" w:color="auto" w:fill="auto"/>
            <w:noWrap/>
            <w:vAlign w:val="center"/>
            <w:hideMark/>
          </w:tcPr>
          <w:p w14:paraId="21480109" w14:textId="1192F4E2"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(399.593)</w:t>
            </w:r>
          </w:p>
        </w:tc>
      </w:tr>
      <w:tr w:rsidR="00D324DC" w:rsidRPr="00D324DC" w14:paraId="2FEB933C" w14:textId="77777777" w:rsidTr="00D324DC">
        <w:trPr>
          <w:trHeight w:val="240"/>
        </w:trPr>
        <w:tc>
          <w:tcPr>
            <w:tcW w:w="688" w:type="pct"/>
            <w:tcBorders>
              <w:top w:val="nil"/>
              <w:left w:val="nil"/>
              <w:bottom w:val="nil"/>
              <w:right w:val="nil"/>
            </w:tcBorders>
            <w:shd w:val="clear" w:color="auto" w:fill="auto"/>
            <w:noWrap/>
            <w:vAlign w:val="bottom"/>
            <w:hideMark/>
          </w:tcPr>
          <w:p w14:paraId="1322BE95" w14:textId="77777777" w:rsidR="00D324DC" w:rsidRPr="00D324DC" w:rsidRDefault="00D324DC" w:rsidP="00D324DC">
            <w:pPr>
              <w:spacing w:after="0" w:line="240" w:lineRule="auto"/>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bottom"/>
            <w:hideMark/>
          </w:tcPr>
          <w:p w14:paraId="36F609EF" w14:textId="77777777" w:rsidR="00D324DC" w:rsidRPr="00D324DC" w:rsidRDefault="00D324DC" w:rsidP="00D324DC">
            <w:pPr>
              <w:spacing w:after="0" w:line="240" w:lineRule="auto"/>
              <w:rPr>
                <w:rFonts w:ascii="Times New Roman" w:eastAsia="Times New Roman" w:hAnsi="Times New Roman" w:cs="Times New Roman"/>
                <w:sz w:val="20"/>
                <w:szCs w:val="20"/>
                <w:lang w:eastAsia="pt-BR"/>
              </w:rPr>
            </w:pPr>
          </w:p>
        </w:tc>
        <w:tc>
          <w:tcPr>
            <w:tcW w:w="816" w:type="pct"/>
            <w:tcBorders>
              <w:top w:val="nil"/>
              <w:left w:val="nil"/>
              <w:bottom w:val="nil"/>
              <w:right w:val="nil"/>
            </w:tcBorders>
            <w:shd w:val="clear" w:color="auto" w:fill="auto"/>
            <w:noWrap/>
            <w:vAlign w:val="bottom"/>
            <w:hideMark/>
          </w:tcPr>
          <w:p w14:paraId="17E7EB52"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26" w:type="pct"/>
            <w:tcBorders>
              <w:top w:val="nil"/>
              <w:left w:val="nil"/>
              <w:bottom w:val="nil"/>
              <w:right w:val="nil"/>
            </w:tcBorders>
            <w:shd w:val="clear" w:color="auto" w:fill="auto"/>
            <w:noWrap/>
            <w:vAlign w:val="bottom"/>
            <w:hideMark/>
          </w:tcPr>
          <w:p w14:paraId="373B65EE"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7CC23DB0"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42C58E29"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r>
      <w:tr w:rsidR="00D324DC" w:rsidRPr="00D324DC" w14:paraId="1E90B9BD" w14:textId="77777777" w:rsidTr="00D324DC">
        <w:trPr>
          <w:trHeight w:val="255"/>
        </w:trPr>
        <w:tc>
          <w:tcPr>
            <w:tcW w:w="688" w:type="pct"/>
            <w:tcBorders>
              <w:top w:val="nil"/>
              <w:left w:val="nil"/>
              <w:bottom w:val="single" w:sz="8" w:space="0" w:color="1B80C4"/>
              <w:right w:val="nil"/>
            </w:tcBorders>
            <w:shd w:val="clear" w:color="auto" w:fill="auto"/>
            <w:noWrap/>
            <w:vAlign w:val="center"/>
            <w:hideMark/>
          </w:tcPr>
          <w:p w14:paraId="7B7C448D"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TERM SOFR 6M</w:t>
            </w:r>
          </w:p>
        </w:tc>
        <w:tc>
          <w:tcPr>
            <w:tcW w:w="1563" w:type="pct"/>
            <w:tcBorders>
              <w:top w:val="nil"/>
              <w:left w:val="nil"/>
              <w:bottom w:val="single" w:sz="8" w:space="0" w:color="1B80C4"/>
              <w:right w:val="nil"/>
            </w:tcBorders>
            <w:shd w:val="clear" w:color="auto" w:fill="auto"/>
            <w:noWrap/>
            <w:vAlign w:val="center"/>
            <w:hideMark/>
          </w:tcPr>
          <w:p w14:paraId="695EDAAB"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Empréstimos e financiamentos</w:t>
            </w:r>
          </w:p>
        </w:tc>
        <w:tc>
          <w:tcPr>
            <w:tcW w:w="816" w:type="pct"/>
            <w:tcBorders>
              <w:top w:val="nil"/>
              <w:left w:val="nil"/>
              <w:bottom w:val="single" w:sz="8" w:space="0" w:color="1B80C4"/>
              <w:right w:val="nil"/>
            </w:tcBorders>
            <w:shd w:val="clear" w:color="auto" w:fill="auto"/>
            <w:noWrap/>
            <w:vAlign w:val="center"/>
            <w:hideMark/>
          </w:tcPr>
          <w:p w14:paraId="76F7BF4A" w14:textId="6E1D156D"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(103.392)</w:t>
            </w:r>
          </w:p>
        </w:tc>
        <w:tc>
          <w:tcPr>
            <w:tcW w:w="626" w:type="pct"/>
            <w:tcBorders>
              <w:top w:val="nil"/>
              <w:left w:val="nil"/>
              <w:bottom w:val="single" w:sz="8" w:space="0" w:color="1B80C4"/>
              <w:right w:val="nil"/>
            </w:tcBorders>
            <w:shd w:val="clear" w:color="auto" w:fill="auto"/>
            <w:noWrap/>
            <w:vAlign w:val="center"/>
            <w:hideMark/>
          </w:tcPr>
          <w:p w14:paraId="19726CAD" w14:textId="0C394942"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(4.656)</w:t>
            </w:r>
          </w:p>
        </w:tc>
        <w:tc>
          <w:tcPr>
            <w:tcW w:w="653" w:type="pct"/>
            <w:tcBorders>
              <w:top w:val="nil"/>
              <w:left w:val="nil"/>
              <w:bottom w:val="single" w:sz="8" w:space="0" w:color="1B80C4"/>
              <w:right w:val="nil"/>
            </w:tcBorders>
            <w:shd w:val="clear" w:color="auto" w:fill="auto"/>
            <w:noWrap/>
            <w:vAlign w:val="center"/>
            <w:hideMark/>
          </w:tcPr>
          <w:p w14:paraId="55BFE6D0" w14:textId="6D14AF02"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(5.216)</w:t>
            </w:r>
          </w:p>
        </w:tc>
        <w:tc>
          <w:tcPr>
            <w:tcW w:w="653" w:type="pct"/>
            <w:tcBorders>
              <w:top w:val="nil"/>
              <w:left w:val="nil"/>
              <w:bottom w:val="single" w:sz="8" w:space="0" w:color="1B80C4"/>
              <w:right w:val="nil"/>
            </w:tcBorders>
            <w:shd w:val="clear" w:color="auto" w:fill="auto"/>
            <w:noWrap/>
            <w:vAlign w:val="center"/>
            <w:hideMark/>
          </w:tcPr>
          <w:p w14:paraId="3E069BB8" w14:textId="1147151F"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(5.776)</w:t>
            </w:r>
          </w:p>
        </w:tc>
      </w:tr>
      <w:tr w:rsidR="00D324DC" w:rsidRPr="00D324DC" w14:paraId="4B3BA42A" w14:textId="77777777" w:rsidTr="00D324DC">
        <w:trPr>
          <w:trHeight w:val="240"/>
        </w:trPr>
        <w:tc>
          <w:tcPr>
            <w:tcW w:w="688" w:type="pct"/>
            <w:tcBorders>
              <w:top w:val="nil"/>
              <w:left w:val="nil"/>
              <w:bottom w:val="nil"/>
              <w:right w:val="nil"/>
            </w:tcBorders>
            <w:shd w:val="clear" w:color="auto" w:fill="auto"/>
            <w:noWrap/>
            <w:vAlign w:val="center"/>
            <w:hideMark/>
          </w:tcPr>
          <w:p w14:paraId="31323D9C" w14:textId="77777777" w:rsidR="00D324DC" w:rsidRPr="00D324DC" w:rsidRDefault="00D324DC" w:rsidP="00D324DC">
            <w:pPr>
              <w:spacing w:after="0" w:line="240" w:lineRule="auto"/>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center"/>
            <w:hideMark/>
          </w:tcPr>
          <w:p w14:paraId="6F725B1E"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Impacto no resultado</w:t>
            </w:r>
          </w:p>
        </w:tc>
        <w:tc>
          <w:tcPr>
            <w:tcW w:w="816" w:type="pct"/>
            <w:tcBorders>
              <w:top w:val="nil"/>
              <w:left w:val="nil"/>
              <w:bottom w:val="nil"/>
              <w:right w:val="nil"/>
            </w:tcBorders>
            <w:shd w:val="clear" w:color="auto" w:fill="auto"/>
            <w:noWrap/>
            <w:vAlign w:val="center"/>
            <w:hideMark/>
          </w:tcPr>
          <w:p w14:paraId="111E78C0" w14:textId="51683B4C"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(103.392)</w:t>
            </w:r>
          </w:p>
        </w:tc>
        <w:tc>
          <w:tcPr>
            <w:tcW w:w="626" w:type="pct"/>
            <w:tcBorders>
              <w:top w:val="nil"/>
              <w:left w:val="nil"/>
              <w:bottom w:val="nil"/>
              <w:right w:val="nil"/>
            </w:tcBorders>
            <w:shd w:val="clear" w:color="auto" w:fill="auto"/>
            <w:noWrap/>
            <w:vAlign w:val="center"/>
            <w:hideMark/>
          </w:tcPr>
          <w:p w14:paraId="590B1220" w14:textId="5EA414DB"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(4.656)</w:t>
            </w:r>
          </w:p>
        </w:tc>
        <w:tc>
          <w:tcPr>
            <w:tcW w:w="653" w:type="pct"/>
            <w:tcBorders>
              <w:top w:val="nil"/>
              <w:left w:val="nil"/>
              <w:bottom w:val="nil"/>
              <w:right w:val="nil"/>
            </w:tcBorders>
            <w:shd w:val="clear" w:color="auto" w:fill="auto"/>
            <w:noWrap/>
            <w:vAlign w:val="center"/>
            <w:hideMark/>
          </w:tcPr>
          <w:p w14:paraId="18C32E31" w14:textId="2AD25B5E"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(5.216)</w:t>
            </w:r>
          </w:p>
        </w:tc>
        <w:tc>
          <w:tcPr>
            <w:tcW w:w="653" w:type="pct"/>
            <w:tcBorders>
              <w:top w:val="nil"/>
              <w:left w:val="nil"/>
              <w:bottom w:val="nil"/>
              <w:right w:val="nil"/>
            </w:tcBorders>
            <w:shd w:val="clear" w:color="auto" w:fill="auto"/>
            <w:noWrap/>
            <w:vAlign w:val="center"/>
            <w:hideMark/>
          </w:tcPr>
          <w:p w14:paraId="12CFDC1B" w14:textId="4088F40C"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(5.776)</w:t>
            </w:r>
          </w:p>
        </w:tc>
      </w:tr>
      <w:tr w:rsidR="00D324DC" w:rsidRPr="00D324DC" w14:paraId="6A6275A5" w14:textId="77777777" w:rsidTr="00D324DC">
        <w:trPr>
          <w:trHeight w:val="255"/>
        </w:trPr>
        <w:tc>
          <w:tcPr>
            <w:tcW w:w="688" w:type="pct"/>
            <w:tcBorders>
              <w:top w:val="nil"/>
              <w:left w:val="nil"/>
              <w:bottom w:val="nil"/>
              <w:right w:val="nil"/>
            </w:tcBorders>
            <w:shd w:val="clear" w:color="auto" w:fill="auto"/>
            <w:noWrap/>
            <w:vAlign w:val="bottom"/>
            <w:hideMark/>
          </w:tcPr>
          <w:p w14:paraId="4A15CD7A" w14:textId="77777777" w:rsidR="00D324DC" w:rsidRPr="00D324DC" w:rsidRDefault="00D324DC" w:rsidP="00D324DC">
            <w:pPr>
              <w:spacing w:after="0" w:line="240" w:lineRule="auto"/>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bottom"/>
            <w:hideMark/>
          </w:tcPr>
          <w:p w14:paraId="4178A294" w14:textId="77777777" w:rsidR="00D324DC" w:rsidRPr="00D324DC" w:rsidRDefault="00D324DC" w:rsidP="00D324DC">
            <w:pPr>
              <w:spacing w:after="0" w:line="240" w:lineRule="auto"/>
              <w:rPr>
                <w:rFonts w:ascii="Times New Roman" w:eastAsia="Times New Roman" w:hAnsi="Times New Roman" w:cs="Times New Roman"/>
                <w:sz w:val="20"/>
                <w:szCs w:val="20"/>
                <w:lang w:eastAsia="pt-BR"/>
              </w:rPr>
            </w:pPr>
          </w:p>
        </w:tc>
        <w:tc>
          <w:tcPr>
            <w:tcW w:w="816" w:type="pct"/>
            <w:tcBorders>
              <w:top w:val="nil"/>
              <w:left w:val="nil"/>
              <w:bottom w:val="nil"/>
              <w:right w:val="nil"/>
            </w:tcBorders>
            <w:shd w:val="clear" w:color="auto" w:fill="auto"/>
            <w:noWrap/>
            <w:vAlign w:val="bottom"/>
            <w:hideMark/>
          </w:tcPr>
          <w:p w14:paraId="4C01D8C3"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26" w:type="pct"/>
            <w:tcBorders>
              <w:top w:val="nil"/>
              <w:left w:val="nil"/>
              <w:bottom w:val="nil"/>
              <w:right w:val="nil"/>
            </w:tcBorders>
            <w:shd w:val="clear" w:color="auto" w:fill="auto"/>
            <w:noWrap/>
            <w:vAlign w:val="bottom"/>
            <w:hideMark/>
          </w:tcPr>
          <w:p w14:paraId="7DE5983D"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6C0E4F79"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7C0BC3C6"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r>
      <w:tr w:rsidR="00D324DC" w:rsidRPr="00D324DC" w14:paraId="10769DAC" w14:textId="77777777" w:rsidTr="00240CE9">
        <w:trPr>
          <w:trHeight w:val="46"/>
        </w:trPr>
        <w:tc>
          <w:tcPr>
            <w:tcW w:w="2251" w:type="pct"/>
            <w:gridSpan w:val="2"/>
            <w:tcBorders>
              <w:top w:val="nil"/>
              <w:left w:val="nil"/>
              <w:bottom w:val="nil"/>
              <w:right w:val="nil"/>
            </w:tcBorders>
            <w:shd w:val="clear" w:color="auto" w:fill="auto"/>
            <w:noWrap/>
            <w:vAlign w:val="bottom"/>
            <w:hideMark/>
          </w:tcPr>
          <w:p w14:paraId="5E481860" w14:textId="35304DA2" w:rsidR="00D324DC" w:rsidRPr="00D324DC" w:rsidRDefault="00D324DC" w:rsidP="00D324DC">
            <w:pPr>
              <w:spacing w:after="0" w:line="240" w:lineRule="auto"/>
              <w:rPr>
                <w:rFonts w:ascii="Segoe UI" w:eastAsia="Times New Roman" w:hAnsi="Segoe UI" w:cs="Segoe UI"/>
                <w:b/>
                <w:bCs/>
                <w:color w:val="000000"/>
                <w:sz w:val="18"/>
                <w:szCs w:val="18"/>
                <w:lang w:eastAsia="pt-BR"/>
              </w:rPr>
            </w:pPr>
            <w:r w:rsidRPr="00D324DC">
              <w:rPr>
                <w:rFonts w:ascii="Segoe UI" w:eastAsia="Times New Roman" w:hAnsi="Segoe UI" w:cs="Segoe UI"/>
                <w:b/>
                <w:bCs/>
                <w:color w:val="000000"/>
                <w:sz w:val="18"/>
                <w:szCs w:val="18"/>
                <w:lang w:eastAsia="pt-BR"/>
              </w:rPr>
              <w:t>Impacto no resultado dos índices</w:t>
            </w:r>
          </w:p>
        </w:tc>
        <w:tc>
          <w:tcPr>
            <w:tcW w:w="816" w:type="pct"/>
            <w:tcBorders>
              <w:top w:val="nil"/>
              <w:left w:val="nil"/>
              <w:bottom w:val="nil"/>
              <w:right w:val="nil"/>
            </w:tcBorders>
            <w:shd w:val="clear" w:color="auto" w:fill="auto"/>
            <w:noWrap/>
            <w:vAlign w:val="bottom"/>
            <w:hideMark/>
          </w:tcPr>
          <w:p w14:paraId="0EDC0820" w14:textId="77777777" w:rsidR="00D324DC" w:rsidRPr="00D324DC" w:rsidRDefault="00D324DC" w:rsidP="00D324DC">
            <w:pPr>
              <w:spacing w:after="0" w:line="240" w:lineRule="auto"/>
              <w:jc w:val="right"/>
              <w:rPr>
                <w:rFonts w:ascii="Segoe UI" w:eastAsia="Times New Roman" w:hAnsi="Segoe UI" w:cs="Segoe UI"/>
                <w:b/>
                <w:bCs/>
                <w:color w:val="000000"/>
                <w:sz w:val="18"/>
                <w:szCs w:val="18"/>
                <w:lang w:eastAsia="pt-BR"/>
              </w:rPr>
            </w:pPr>
          </w:p>
        </w:tc>
        <w:tc>
          <w:tcPr>
            <w:tcW w:w="626" w:type="pct"/>
            <w:tcBorders>
              <w:top w:val="single" w:sz="8" w:space="0" w:color="1B80C4"/>
              <w:left w:val="nil"/>
              <w:bottom w:val="double" w:sz="6" w:space="0" w:color="1B80C4"/>
              <w:right w:val="nil"/>
            </w:tcBorders>
            <w:shd w:val="clear" w:color="auto" w:fill="auto"/>
            <w:noWrap/>
            <w:vAlign w:val="center"/>
            <w:hideMark/>
          </w:tcPr>
          <w:p w14:paraId="2A3060A9" w14:textId="28681016" w:rsidR="00D324DC" w:rsidRPr="00D324DC" w:rsidRDefault="00D324DC" w:rsidP="00D324DC">
            <w:pPr>
              <w:spacing w:after="0" w:line="240" w:lineRule="auto"/>
              <w:jc w:val="right"/>
              <w:rPr>
                <w:rFonts w:ascii="Segoe UI" w:eastAsia="Times New Roman" w:hAnsi="Segoe UI" w:cs="Segoe UI"/>
                <w:b/>
                <w:bCs/>
                <w:color w:val="000000"/>
                <w:sz w:val="18"/>
                <w:szCs w:val="18"/>
                <w:lang w:eastAsia="pt-BR"/>
              </w:rPr>
            </w:pPr>
            <w:r w:rsidRPr="00D324DC">
              <w:rPr>
                <w:rFonts w:ascii="Segoe UI" w:eastAsia="Times New Roman" w:hAnsi="Segoe UI" w:cs="Segoe UI"/>
                <w:b/>
                <w:bCs/>
                <w:color w:val="000000"/>
                <w:sz w:val="18"/>
                <w:szCs w:val="18"/>
                <w:lang w:eastAsia="pt-BR"/>
              </w:rPr>
              <w:t>(314.315)</w:t>
            </w:r>
          </w:p>
        </w:tc>
        <w:tc>
          <w:tcPr>
            <w:tcW w:w="653" w:type="pct"/>
            <w:tcBorders>
              <w:top w:val="single" w:sz="8" w:space="0" w:color="1B80C4"/>
              <w:left w:val="nil"/>
              <w:bottom w:val="double" w:sz="6" w:space="0" w:color="1B80C4"/>
              <w:right w:val="nil"/>
            </w:tcBorders>
            <w:shd w:val="clear" w:color="auto" w:fill="auto"/>
            <w:noWrap/>
            <w:vAlign w:val="center"/>
            <w:hideMark/>
          </w:tcPr>
          <w:p w14:paraId="1CF8ED3E" w14:textId="4EEC5591" w:rsidR="00D324DC" w:rsidRPr="00D324DC" w:rsidRDefault="00D324DC" w:rsidP="00D324DC">
            <w:pPr>
              <w:spacing w:after="0" w:line="240" w:lineRule="auto"/>
              <w:jc w:val="right"/>
              <w:rPr>
                <w:rFonts w:ascii="Segoe UI" w:eastAsia="Times New Roman" w:hAnsi="Segoe UI" w:cs="Segoe UI"/>
                <w:b/>
                <w:bCs/>
                <w:color w:val="000000"/>
                <w:sz w:val="18"/>
                <w:szCs w:val="18"/>
                <w:lang w:eastAsia="pt-BR"/>
              </w:rPr>
            </w:pPr>
            <w:r w:rsidRPr="00D324DC">
              <w:rPr>
                <w:rFonts w:ascii="Segoe UI" w:eastAsia="Times New Roman" w:hAnsi="Segoe UI" w:cs="Segoe UI"/>
                <w:b/>
                <w:bCs/>
                <w:color w:val="000000"/>
                <w:sz w:val="18"/>
                <w:szCs w:val="18"/>
                <w:lang w:eastAsia="pt-BR"/>
              </w:rPr>
              <w:t>(376.971)</w:t>
            </w:r>
          </w:p>
        </w:tc>
        <w:tc>
          <w:tcPr>
            <w:tcW w:w="653" w:type="pct"/>
            <w:tcBorders>
              <w:top w:val="single" w:sz="8" w:space="0" w:color="1B80C4"/>
              <w:left w:val="nil"/>
              <w:bottom w:val="double" w:sz="6" w:space="0" w:color="1B80C4"/>
              <w:right w:val="nil"/>
            </w:tcBorders>
            <w:shd w:val="clear" w:color="auto" w:fill="auto"/>
            <w:noWrap/>
            <w:vAlign w:val="center"/>
            <w:hideMark/>
          </w:tcPr>
          <w:p w14:paraId="14B21FB2" w14:textId="7D7F1FEE" w:rsidR="00D324DC" w:rsidRPr="00D324DC" w:rsidRDefault="00D324DC" w:rsidP="00D324DC">
            <w:pPr>
              <w:spacing w:after="0" w:line="240" w:lineRule="auto"/>
              <w:jc w:val="right"/>
              <w:rPr>
                <w:rFonts w:ascii="Segoe UI" w:eastAsia="Times New Roman" w:hAnsi="Segoe UI" w:cs="Segoe UI"/>
                <w:b/>
                <w:bCs/>
                <w:color w:val="000000"/>
                <w:sz w:val="18"/>
                <w:szCs w:val="18"/>
                <w:lang w:eastAsia="pt-BR"/>
              </w:rPr>
            </w:pPr>
            <w:r w:rsidRPr="00D324DC">
              <w:rPr>
                <w:rFonts w:ascii="Segoe UI" w:eastAsia="Times New Roman" w:hAnsi="Segoe UI" w:cs="Segoe UI"/>
                <w:b/>
                <w:bCs/>
                <w:color w:val="000000"/>
                <w:sz w:val="18"/>
                <w:szCs w:val="18"/>
                <w:lang w:eastAsia="pt-BR"/>
              </w:rPr>
              <w:t>(440.130)</w:t>
            </w:r>
          </w:p>
        </w:tc>
      </w:tr>
      <w:tr w:rsidR="00D324DC" w:rsidRPr="00D324DC" w14:paraId="3E8B5BF9" w14:textId="77777777" w:rsidTr="00D324DC">
        <w:trPr>
          <w:trHeight w:val="255"/>
        </w:trPr>
        <w:tc>
          <w:tcPr>
            <w:tcW w:w="688" w:type="pct"/>
            <w:tcBorders>
              <w:top w:val="nil"/>
              <w:left w:val="nil"/>
              <w:bottom w:val="nil"/>
              <w:right w:val="nil"/>
            </w:tcBorders>
            <w:shd w:val="clear" w:color="auto" w:fill="auto"/>
            <w:noWrap/>
            <w:vAlign w:val="bottom"/>
            <w:hideMark/>
          </w:tcPr>
          <w:p w14:paraId="318B9731" w14:textId="77777777" w:rsidR="00D324DC" w:rsidRPr="00D324DC" w:rsidRDefault="00D324DC" w:rsidP="00D324DC">
            <w:pPr>
              <w:spacing w:after="0" w:line="240" w:lineRule="auto"/>
              <w:jc w:val="right"/>
              <w:rPr>
                <w:rFonts w:ascii="Segoe UI" w:eastAsia="Times New Roman" w:hAnsi="Segoe UI" w:cs="Segoe UI"/>
                <w:b/>
                <w:bCs/>
                <w:color w:val="000000"/>
                <w:sz w:val="18"/>
                <w:szCs w:val="18"/>
                <w:lang w:eastAsia="pt-BR"/>
              </w:rPr>
            </w:pPr>
          </w:p>
        </w:tc>
        <w:tc>
          <w:tcPr>
            <w:tcW w:w="1563" w:type="pct"/>
            <w:tcBorders>
              <w:top w:val="nil"/>
              <w:left w:val="nil"/>
              <w:bottom w:val="nil"/>
              <w:right w:val="nil"/>
            </w:tcBorders>
            <w:shd w:val="clear" w:color="auto" w:fill="auto"/>
            <w:noWrap/>
            <w:vAlign w:val="bottom"/>
            <w:hideMark/>
          </w:tcPr>
          <w:p w14:paraId="5334061F" w14:textId="77777777" w:rsidR="00D324DC" w:rsidRPr="00D324DC" w:rsidRDefault="00D324DC" w:rsidP="00D324DC">
            <w:pPr>
              <w:spacing w:after="0" w:line="240" w:lineRule="auto"/>
              <w:rPr>
                <w:rFonts w:ascii="Times New Roman" w:eastAsia="Times New Roman" w:hAnsi="Times New Roman" w:cs="Times New Roman"/>
                <w:sz w:val="20"/>
                <w:szCs w:val="20"/>
                <w:lang w:eastAsia="pt-BR"/>
              </w:rPr>
            </w:pPr>
          </w:p>
        </w:tc>
        <w:tc>
          <w:tcPr>
            <w:tcW w:w="816" w:type="pct"/>
            <w:tcBorders>
              <w:top w:val="nil"/>
              <w:left w:val="nil"/>
              <w:bottom w:val="nil"/>
              <w:right w:val="nil"/>
            </w:tcBorders>
            <w:shd w:val="clear" w:color="auto" w:fill="auto"/>
            <w:noWrap/>
            <w:vAlign w:val="bottom"/>
            <w:hideMark/>
          </w:tcPr>
          <w:p w14:paraId="0DDBAC81"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26" w:type="pct"/>
            <w:tcBorders>
              <w:top w:val="nil"/>
              <w:left w:val="nil"/>
              <w:bottom w:val="nil"/>
              <w:right w:val="nil"/>
            </w:tcBorders>
            <w:shd w:val="clear" w:color="auto" w:fill="auto"/>
            <w:noWrap/>
            <w:vAlign w:val="bottom"/>
            <w:hideMark/>
          </w:tcPr>
          <w:p w14:paraId="3F759127"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1C4E592A"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c>
          <w:tcPr>
            <w:tcW w:w="653" w:type="pct"/>
            <w:tcBorders>
              <w:top w:val="nil"/>
              <w:left w:val="nil"/>
              <w:bottom w:val="nil"/>
              <w:right w:val="nil"/>
            </w:tcBorders>
            <w:shd w:val="clear" w:color="auto" w:fill="auto"/>
            <w:noWrap/>
            <w:vAlign w:val="bottom"/>
            <w:hideMark/>
          </w:tcPr>
          <w:p w14:paraId="04BF6B7D" w14:textId="77777777" w:rsidR="00D324DC" w:rsidRPr="00D324DC" w:rsidRDefault="00D324DC" w:rsidP="00D324DC">
            <w:pPr>
              <w:spacing w:after="0" w:line="240" w:lineRule="auto"/>
              <w:jc w:val="right"/>
              <w:rPr>
                <w:rFonts w:ascii="Times New Roman" w:eastAsia="Times New Roman" w:hAnsi="Times New Roman" w:cs="Times New Roman"/>
                <w:sz w:val="20"/>
                <w:szCs w:val="20"/>
                <w:lang w:eastAsia="pt-BR"/>
              </w:rPr>
            </w:pPr>
          </w:p>
        </w:tc>
      </w:tr>
      <w:tr w:rsidR="00D324DC" w:rsidRPr="00D324DC" w14:paraId="73532CE2" w14:textId="77777777" w:rsidTr="00D324DC">
        <w:trPr>
          <w:trHeight w:val="255"/>
        </w:trPr>
        <w:tc>
          <w:tcPr>
            <w:tcW w:w="2251" w:type="pct"/>
            <w:gridSpan w:val="2"/>
            <w:tcBorders>
              <w:top w:val="nil"/>
              <w:left w:val="nil"/>
              <w:bottom w:val="nil"/>
              <w:right w:val="nil"/>
            </w:tcBorders>
            <w:shd w:val="clear" w:color="auto" w:fill="auto"/>
            <w:noWrap/>
            <w:vAlign w:val="center"/>
            <w:hideMark/>
          </w:tcPr>
          <w:p w14:paraId="035436D4" w14:textId="77777777" w:rsidR="00D324DC" w:rsidRPr="00D324DC" w:rsidRDefault="00D324DC" w:rsidP="00D324DC">
            <w:pPr>
              <w:spacing w:after="0" w:line="240" w:lineRule="auto"/>
              <w:rPr>
                <w:rFonts w:ascii="Segoe UI" w:eastAsia="Times New Roman" w:hAnsi="Segoe UI" w:cs="Segoe UI"/>
                <w:b/>
                <w:bCs/>
                <w:sz w:val="18"/>
                <w:szCs w:val="18"/>
                <w:lang w:eastAsia="pt-BR"/>
              </w:rPr>
            </w:pPr>
            <w:r w:rsidRPr="00D324DC">
              <w:rPr>
                <w:rFonts w:ascii="Segoe UI" w:eastAsia="Times New Roman" w:hAnsi="Segoe UI" w:cs="Segoe UI"/>
                <w:b/>
                <w:bCs/>
                <w:sz w:val="18"/>
                <w:szCs w:val="18"/>
                <w:lang w:eastAsia="pt-BR"/>
              </w:rPr>
              <w:t xml:space="preserve">(*) Premissas adotadas: </w:t>
            </w:r>
          </w:p>
        </w:tc>
        <w:tc>
          <w:tcPr>
            <w:tcW w:w="816" w:type="pct"/>
            <w:tcBorders>
              <w:top w:val="nil"/>
              <w:left w:val="nil"/>
              <w:bottom w:val="single" w:sz="8" w:space="0" w:color="auto"/>
              <w:right w:val="nil"/>
            </w:tcBorders>
            <w:shd w:val="clear" w:color="auto" w:fill="auto"/>
            <w:noWrap/>
            <w:vAlign w:val="center"/>
            <w:hideMark/>
          </w:tcPr>
          <w:p w14:paraId="50C80E8C" w14:textId="77777777" w:rsidR="00D324DC" w:rsidRPr="00D324DC" w:rsidRDefault="00D324DC" w:rsidP="00D324DC">
            <w:pPr>
              <w:spacing w:after="0" w:line="240" w:lineRule="auto"/>
              <w:jc w:val="right"/>
              <w:rPr>
                <w:rFonts w:ascii="Segoe UI" w:eastAsia="Times New Roman" w:hAnsi="Segoe UI" w:cs="Segoe UI"/>
                <w:b/>
                <w:bCs/>
                <w:sz w:val="18"/>
                <w:szCs w:val="18"/>
                <w:lang w:eastAsia="pt-BR"/>
              </w:rPr>
            </w:pPr>
            <w:r w:rsidRPr="00D324DC">
              <w:rPr>
                <w:rFonts w:ascii="Segoe UI" w:eastAsia="Times New Roman" w:hAnsi="Segoe UI" w:cs="Segoe UI"/>
                <w:b/>
                <w:bCs/>
                <w:sz w:val="18"/>
                <w:szCs w:val="18"/>
                <w:lang w:eastAsia="pt-BR"/>
              </w:rPr>
              <w:t>31/12/2022</w:t>
            </w:r>
          </w:p>
        </w:tc>
        <w:tc>
          <w:tcPr>
            <w:tcW w:w="626" w:type="pct"/>
            <w:tcBorders>
              <w:top w:val="nil"/>
              <w:left w:val="nil"/>
              <w:bottom w:val="single" w:sz="8" w:space="0" w:color="auto"/>
              <w:right w:val="nil"/>
            </w:tcBorders>
            <w:shd w:val="clear" w:color="auto" w:fill="auto"/>
            <w:noWrap/>
            <w:vAlign w:val="center"/>
            <w:hideMark/>
          </w:tcPr>
          <w:p w14:paraId="25E2FF28" w14:textId="77777777" w:rsidR="00D324DC" w:rsidRPr="00D324DC" w:rsidRDefault="00D324DC" w:rsidP="00D324DC">
            <w:pPr>
              <w:spacing w:after="0" w:line="240" w:lineRule="auto"/>
              <w:jc w:val="right"/>
              <w:rPr>
                <w:rFonts w:ascii="Segoe UI" w:eastAsia="Times New Roman" w:hAnsi="Segoe UI" w:cs="Segoe UI"/>
                <w:b/>
                <w:bCs/>
                <w:sz w:val="18"/>
                <w:szCs w:val="18"/>
                <w:lang w:eastAsia="pt-BR"/>
              </w:rPr>
            </w:pPr>
            <w:r w:rsidRPr="00D324DC">
              <w:rPr>
                <w:rFonts w:ascii="Segoe UI" w:eastAsia="Times New Roman" w:hAnsi="Segoe UI" w:cs="Segoe UI"/>
                <w:b/>
                <w:bCs/>
                <w:sz w:val="18"/>
                <w:szCs w:val="18"/>
                <w:lang w:eastAsia="pt-BR"/>
              </w:rPr>
              <w:t>Provável</w:t>
            </w:r>
          </w:p>
        </w:tc>
        <w:tc>
          <w:tcPr>
            <w:tcW w:w="653" w:type="pct"/>
            <w:tcBorders>
              <w:top w:val="nil"/>
              <w:left w:val="nil"/>
              <w:bottom w:val="single" w:sz="8" w:space="0" w:color="auto"/>
              <w:right w:val="nil"/>
            </w:tcBorders>
            <w:shd w:val="clear" w:color="auto" w:fill="auto"/>
            <w:noWrap/>
            <w:vAlign w:val="center"/>
            <w:hideMark/>
          </w:tcPr>
          <w:p w14:paraId="10637A66" w14:textId="77777777" w:rsidR="00D324DC" w:rsidRPr="00D324DC" w:rsidRDefault="00D324DC" w:rsidP="00D324DC">
            <w:pPr>
              <w:spacing w:after="0" w:line="240" w:lineRule="auto"/>
              <w:jc w:val="right"/>
              <w:rPr>
                <w:rFonts w:ascii="Segoe UI" w:eastAsia="Times New Roman" w:hAnsi="Segoe UI" w:cs="Segoe UI"/>
                <w:b/>
                <w:bCs/>
                <w:sz w:val="18"/>
                <w:szCs w:val="18"/>
                <w:lang w:eastAsia="pt-BR"/>
              </w:rPr>
            </w:pPr>
            <w:r w:rsidRPr="00D324DC">
              <w:rPr>
                <w:rFonts w:ascii="Segoe UI" w:eastAsia="Times New Roman" w:hAnsi="Segoe UI" w:cs="Segoe UI"/>
                <w:b/>
                <w:bCs/>
                <w:sz w:val="18"/>
                <w:szCs w:val="18"/>
                <w:lang w:eastAsia="pt-BR"/>
              </w:rPr>
              <w:t>25%</w:t>
            </w:r>
          </w:p>
        </w:tc>
        <w:tc>
          <w:tcPr>
            <w:tcW w:w="653" w:type="pct"/>
            <w:tcBorders>
              <w:top w:val="nil"/>
              <w:left w:val="nil"/>
              <w:bottom w:val="single" w:sz="8" w:space="0" w:color="auto"/>
              <w:right w:val="nil"/>
            </w:tcBorders>
            <w:shd w:val="clear" w:color="auto" w:fill="auto"/>
            <w:noWrap/>
            <w:vAlign w:val="center"/>
            <w:hideMark/>
          </w:tcPr>
          <w:p w14:paraId="535B5EDD" w14:textId="77777777" w:rsidR="00D324DC" w:rsidRPr="00D324DC" w:rsidRDefault="00D324DC" w:rsidP="00D324DC">
            <w:pPr>
              <w:spacing w:after="0" w:line="240" w:lineRule="auto"/>
              <w:jc w:val="right"/>
              <w:rPr>
                <w:rFonts w:ascii="Segoe UI" w:eastAsia="Times New Roman" w:hAnsi="Segoe UI" w:cs="Segoe UI"/>
                <w:b/>
                <w:bCs/>
                <w:sz w:val="18"/>
                <w:szCs w:val="18"/>
                <w:lang w:eastAsia="pt-BR"/>
              </w:rPr>
            </w:pPr>
            <w:r w:rsidRPr="00D324DC">
              <w:rPr>
                <w:rFonts w:ascii="Segoe UI" w:eastAsia="Times New Roman" w:hAnsi="Segoe UI" w:cs="Segoe UI"/>
                <w:b/>
                <w:bCs/>
                <w:sz w:val="18"/>
                <w:szCs w:val="18"/>
                <w:lang w:eastAsia="pt-BR"/>
              </w:rPr>
              <w:t>50%</w:t>
            </w:r>
          </w:p>
        </w:tc>
      </w:tr>
      <w:tr w:rsidR="00D324DC" w:rsidRPr="00D324DC" w14:paraId="3183DADD" w14:textId="77777777" w:rsidTr="00D324DC">
        <w:trPr>
          <w:trHeight w:val="240"/>
        </w:trPr>
        <w:tc>
          <w:tcPr>
            <w:tcW w:w="688" w:type="pct"/>
            <w:tcBorders>
              <w:top w:val="nil"/>
              <w:left w:val="nil"/>
              <w:bottom w:val="nil"/>
              <w:right w:val="nil"/>
            </w:tcBorders>
            <w:shd w:val="clear" w:color="auto" w:fill="auto"/>
            <w:noWrap/>
            <w:vAlign w:val="bottom"/>
            <w:hideMark/>
          </w:tcPr>
          <w:p w14:paraId="58EDC9D2" w14:textId="77777777" w:rsidR="00D324DC" w:rsidRPr="00D324DC" w:rsidRDefault="00D324DC" w:rsidP="00D324DC">
            <w:pPr>
              <w:spacing w:after="0" w:line="240" w:lineRule="auto"/>
              <w:jc w:val="center"/>
              <w:rPr>
                <w:rFonts w:ascii="Segoe UI" w:eastAsia="Times New Roman" w:hAnsi="Segoe UI" w:cs="Segoe UI"/>
                <w:b/>
                <w:bCs/>
                <w:sz w:val="18"/>
                <w:szCs w:val="18"/>
                <w:lang w:eastAsia="pt-BR"/>
              </w:rPr>
            </w:pPr>
          </w:p>
        </w:tc>
        <w:tc>
          <w:tcPr>
            <w:tcW w:w="1563" w:type="pct"/>
            <w:tcBorders>
              <w:top w:val="nil"/>
              <w:left w:val="nil"/>
              <w:bottom w:val="nil"/>
              <w:right w:val="nil"/>
            </w:tcBorders>
            <w:shd w:val="clear" w:color="auto" w:fill="auto"/>
            <w:noWrap/>
            <w:vAlign w:val="center"/>
            <w:hideMark/>
          </w:tcPr>
          <w:p w14:paraId="35645089"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IPCA</w:t>
            </w:r>
          </w:p>
        </w:tc>
        <w:tc>
          <w:tcPr>
            <w:tcW w:w="816" w:type="pct"/>
            <w:tcBorders>
              <w:top w:val="nil"/>
              <w:left w:val="nil"/>
              <w:bottom w:val="nil"/>
              <w:right w:val="nil"/>
            </w:tcBorders>
            <w:shd w:val="clear" w:color="auto" w:fill="auto"/>
            <w:noWrap/>
            <w:vAlign w:val="center"/>
            <w:hideMark/>
          </w:tcPr>
          <w:p w14:paraId="64726A0A"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5,79%</w:t>
            </w:r>
          </w:p>
        </w:tc>
        <w:tc>
          <w:tcPr>
            <w:tcW w:w="626" w:type="pct"/>
            <w:tcBorders>
              <w:top w:val="nil"/>
              <w:left w:val="nil"/>
              <w:bottom w:val="nil"/>
              <w:right w:val="nil"/>
            </w:tcBorders>
            <w:shd w:val="clear" w:color="auto" w:fill="auto"/>
            <w:noWrap/>
            <w:vAlign w:val="center"/>
            <w:hideMark/>
          </w:tcPr>
          <w:p w14:paraId="145AEC69"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5,74%</w:t>
            </w:r>
          </w:p>
        </w:tc>
        <w:tc>
          <w:tcPr>
            <w:tcW w:w="653" w:type="pct"/>
            <w:tcBorders>
              <w:top w:val="nil"/>
              <w:left w:val="nil"/>
              <w:bottom w:val="nil"/>
              <w:right w:val="nil"/>
            </w:tcBorders>
            <w:shd w:val="clear" w:color="auto" w:fill="auto"/>
            <w:noWrap/>
            <w:vAlign w:val="center"/>
            <w:hideMark/>
          </w:tcPr>
          <w:p w14:paraId="7F2C2566"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7,18%</w:t>
            </w:r>
          </w:p>
        </w:tc>
        <w:tc>
          <w:tcPr>
            <w:tcW w:w="653" w:type="pct"/>
            <w:tcBorders>
              <w:top w:val="nil"/>
              <w:left w:val="nil"/>
              <w:bottom w:val="nil"/>
              <w:right w:val="nil"/>
            </w:tcBorders>
            <w:shd w:val="clear" w:color="auto" w:fill="auto"/>
            <w:noWrap/>
            <w:vAlign w:val="center"/>
            <w:hideMark/>
          </w:tcPr>
          <w:p w14:paraId="5BA3AF2B"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8,61%</w:t>
            </w:r>
          </w:p>
        </w:tc>
      </w:tr>
      <w:tr w:rsidR="00D324DC" w:rsidRPr="00D324DC" w14:paraId="297D2A85" w14:textId="77777777" w:rsidTr="00D324DC">
        <w:trPr>
          <w:trHeight w:val="240"/>
        </w:trPr>
        <w:tc>
          <w:tcPr>
            <w:tcW w:w="688" w:type="pct"/>
            <w:tcBorders>
              <w:top w:val="nil"/>
              <w:left w:val="nil"/>
              <w:bottom w:val="nil"/>
              <w:right w:val="nil"/>
            </w:tcBorders>
            <w:shd w:val="clear" w:color="auto" w:fill="auto"/>
            <w:noWrap/>
            <w:vAlign w:val="bottom"/>
            <w:hideMark/>
          </w:tcPr>
          <w:p w14:paraId="2A702CC0" w14:textId="77777777" w:rsidR="00D324DC" w:rsidRPr="00D324DC" w:rsidRDefault="00D324DC" w:rsidP="00D324DC">
            <w:pPr>
              <w:spacing w:after="0" w:line="240" w:lineRule="auto"/>
              <w:jc w:val="center"/>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center"/>
            <w:hideMark/>
          </w:tcPr>
          <w:p w14:paraId="2C717AC6" w14:textId="77777777" w:rsidR="00D324DC" w:rsidRPr="00D324DC" w:rsidRDefault="00D324DC" w:rsidP="00D324DC">
            <w:pPr>
              <w:spacing w:after="0" w:line="240" w:lineRule="auto"/>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TJLP</w:t>
            </w:r>
          </w:p>
        </w:tc>
        <w:tc>
          <w:tcPr>
            <w:tcW w:w="816" w:type="pct"/>
            <w:tcBorders>
              <w:top w:val="nil"/>
              <w:left w:val="nil"/>
              <w:bottom w:val="nil"/>
              <w:right w:val="nil"/>
            </w:tcBorders>
            <w:shd w:val="clear" w:color="auto" w:fill="auto"/>
            <w:noWrap/>
            <w:vAlign w:val="center"/>
            <w:hideMark/>
          </w:tcPr>
          <w:p w14:paraId="187FBA2D"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7,20%</w:t>
            </w:r>
          </w:p>
        </w:tc>
        <w:tc>
          <w:tcPr>
            <w:tcW w:w="626" w:type="pct"/>
            <w:tcBorders>
              <w:top w:val="nil"/>
              <w:left w:val="nil"/>
              <w:bottom w:val="nil"/>
              <w:right w:val="nil"/>
            </w:tcBorders>
            <w:shd w:val="clear" w:color="auto" w:fill="auto"/>
            <w:noWrap/>
            <w:vAlign w:val="center"/>
            <w:hideMark/>
          </w:tcPr>
          <w:p w14:paraId="77160552"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7,37%</w:t>
            </w:r>
          </w:p>
        </w:tc>
        <w:tc>
          <w:tcPr>
            <w:tcW w:w="653" w:type="pct"/>
            <w:tcBorders>
              <w:top w:val="nil"/>
              <w:left w:val="nil"/>
              <w:bottom w:val="nil"/>
              <w:right w:val="nil"/>
            </w:tcBorders>
            <w:shd w:val="clear" w:color="auto" w:fill="auto"/>
            <w:noWrap/>
            <w:vAlign w:val="center"/>
            <w:hideMark/>
          </w:tcPr>
          <w:p w14:paraId="22D704BD"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9,21%</w:t>
            </w:r>
          </w:p>
        </w:tc>
        <w:tc>
          <w:tcPr>
            <w:tcW w:w="653" w:type="pct"/>
            <w:tcBorders>
              <w:top w:val="nil"/>
              <w:left w:val="nil"/>
              <w:bottom w:val="nil"/>
              <w:right w:val="nil"/>
            </w:tcBorders>
            <w:shd w:val="clear" w:color="auto" w:fill="auto"/>
            <w:noWrap/>
            <w:vAlign w:val="center"/>
            <w:hideMark/>
          </w:tcPr>
          <w:p w14:paraId="2DDD9A82"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11,06%</w:t>
            </w:r>
          </w:p>
        </w:tc>
      </w:tr>
      <w:tr w:rsidR="00D324DC" w:rsidRPr="00D324DC" w14:paraId="51DDB8E1" w14:textId="77777777" w:rsidTr="00D324DC">
        <w:trPr>
          <w:trHeight w:val="240"/>
        </w:trPr>
        <w:tc>
          <w:tcPr>
            <w:tcW w:w="688" w:type="pct"/>
            <w:tcBorders>
              <w:top w:val="nil"/>
              <w:left w:val="nil"/>
              <w:bottom w:val="nil"/>
              <w:right w:val="nil"/>
            </w:tcBorders>
            <w:shd w:val="clear" w:color="auto" w:fill="auto"/>
            <w:noWrap/>
            <w:vAlign w:val="bottom"/>
            <w:hideMark/>
          </w:tcPr>
          <w:p w14:paraId="41D4FA1F" w14:textId="77777777" w:rsidR="00D324DC" w:rsidRPr="00D324DC" w:rsidRDefault="00D324DC" w:rsidP="00D324DC">
            <w:pPr>
              <w:spacing w:after="0" w:line="240" w:lineRule="auto"/>
              <w:jc w:val="center"/>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bottom"/>
            <w:hideMark/>
          </w:tcPr>
          <w:p w14:paraId="228C4DE2" w14:textId="3BEE211F" w:rsidR="00D324DC" w:rsidRPr="00D324DC" w:rsidRDefault="00D22E34" w:rsidP="00D324DC">
            <w:pPr>
              <w:spacing w:after="0" w:line="240" w:lineRule="auto"/>
              <w:rPr>
                <w:rFonts w:ascii="Times New Roman" w:eastAsia="Times New Roman" w:hAnsi="Times New Roman" w:cs="Times New Roman"/>
                <w:sz w:val="20"/>
                <w:szCs w:val="20"/>
                <w:lang w:eastAsia="pt-BR"/>
              </w:rPr>
            </w:pPr>
            <w:r w:rsidRPr="001A0A24">
              <w:rPr>
                <w:rFonts w:ascii="Segoe UI" w:eastAsia="Times New Roman" w:hAnsi="Segoe UI" w:cs="Segoe UI"/>
                <w:sz w:val="18"/>
                <w:szCs w:val="18"/>
                <w:lang w:eastAsia="pt-BR"/>
              </w:rPr>
              <w:t>T</w:t>
            </w:r>
            <w:r w:rsidR="001A0A24" w:rsidRPr="001A0A24">
              <w:rPr>
                <w:rFonts w:ascii="Segoe UI" w:eastAsia="Times New Roman" w:hAnsi="Segoe UI" w:cs="Segoe UI"/>
                <w:sz w:val="18"/>
                <w:szCs w:val="18"/>
                <w:lang w:eastAsia="pt-BR"/>
              </w:rPr>
              <w:t>ERM SOFR 6M</w:t>
            </w:r>
          </w:p>
        </w:tc>
        <w:tc>
          <w:tcPr>
            <w:tcW w:w="816" w:type="pct"/>
            <w:tcBorders>
              <w:top w:val="nil"/>
              <w:left w:val="nil"/>
              <w:bottom w:val="nil"/>
              <w:right w:val="nil"/>
            </w:tcBorders>
            <w:shd w:val="clear" w:color="auto" w:fill="auto"/>
            <w:noWrap/>
            <w:vAlign w:val="center"/>
            <w:hideMark/>
          </w:tcPr>
          <w:p w14:paraId="7B9489AD"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4,78%</w:t>
            </w:r>
          </w:p>
        </w:tc>
        <w:tc>
          <w:tcPr>
            <w:tcW w:w="626" w:type="pct"/>
            <w:tcBorders>
              <w:top w:val="nil"/>
              <w:left w:val="nil"/>
              <w:bottom w:val="nil"/>
              <w:right w:val="nil"/>
            </w:tcBorders>
            <w:shd w:val="clear" w:color="auto" w:fill="auto"/>
            <w:noWrap/>
            <w:vAlign w:val="center"/>
            <w:hideMark/>
          </w:tcPr>
          <w:p w14:paraId="0C72A2FE"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4,82%</w:t>
            </w:r>
          </w:p>
        </w:tc>
        <w:tc>
          <w:tcPr>
            <w:tcW w:w="653" w:type="pct"/>
            <w:tcBorders>
              <w:top w:val="nil"/>
              <w:left w:val="nil"/>
              <w:bottom w:val="nil"/>
              <w:right w:val="nil"/>
            </w:tcBorders>
            <w:shd w:val="clear" w:color="auto" w:fill="auto"/>
            <w:noWrap/>
            <w:vAlign w:val="center"/>
            <w:hideMark/>
          </w:tcPr>
          <w:p w14:paraId="24E3A88A"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6,03%</w:t>
            </w:r>
          </w:p>
        </w:tc>
        <w:tc>
          <w:tcPr>
            <w:tcW w:w="653" w:type="pct"/>
            <w:tcBorders>
              <w:top w:val="nil"/>
              <w:left w:val="nil"/>
              <w:bottom w:val="nil"/>
              <w:right w:val="nil"/>
            </w:tcBorders>
            <w:shd w:val="clear" w:color="auto" w:fill="auto"/>
            <w:noWrap/>
            <w:vAlign w:val="center"/>
            <w:hideMark/>
          </w:tcPr>
          <w:p w14:paraId="4CC58DCC" w14:textId="77777777" w:rsidR="00D324DC" w:rsidRPr="00D324DC" w:rsidRDefault="00D324DC" w:rsidP="00D324DC">
            <w:pPr>
              <w:spacing w:after="0" w:line="240" w:lineRule="auto"/>
              <w:jc w:val="right"/>
              <w:rPr>
                <w:rFonts w:ascii="Segoe UI" w:eastAsia="Times New Roman" w:hAnsi="Segoe UI" w:cs="Segoe UI"/>
                <w:sz w:val="18"/>
                <w:szCs w:val="18"/>
                <w:lang w:eastAsia="pt-BR"/>
              </w:rPr>
            </w:pPr>
            <w:r w:rsidRPr="00D324DC">
              <w:rPr>
                <w:rFonts w:ascii="Segoe UI" w:eastAsia="Times New Roman" w:hAnsi="Segoe UI" w:cs="Segoe UI"/>
                <w:sz w:val="18"/>
                <w:szCs w:val="18"/>
                <w:lang w:eastAsia="pt-BR"/>
              </w:rPr>
              <w:t>7,24%</w:t>
            </w:r>
          </w:p>
        </w:tc>
      </w:tr>
      <w:tr w:rsidR="00343472" w:rsidRPr="00D324DC" w14:paraId="669095E0" w14:textId="77777777" w:rsidTr="00D324DC">
        <w:trPr>
          <w:trHeight w:val="240"/>
        </w:trPr>
        <w:tc>
          <w:tcPr>
            <w:tcW w:w="688" w:type="pct"/>
            <w:tcBorders>
              <w:top w:val="nil"/>
              <w:left w:val="nil"/>
              <w:bottom w:val="nil"/>
              <w:right w:val="nil"/>
            </w:tcBorders>
            <w:shd w:val="clear" w:color="auto" w:fill="auto"/>
            <w:noWrap/>
            <w:vAlign w:val="bottom"/>
          </w:tcPr>
          <w:p w14:paraId="03E918A3" w14:textId="77777777" w:rsidR="00343472" w:rsidRPr="00D324DC" w:rsidRDefault="00343472" w:rsidP="00D324DC">
            <w:pPr>
              <w:spacing w:after="0" w:line="240" w:lineRule="auto"/>
              <w:jc w:val="center"/>
              <w:rPr>
                <w:rFonts w:ascii="Segoe UI" w:eastAsia="Times New Roman" w:hAnsi="Segoe UI" w:cs="Segoe UI"/>
                <w:sz w:val="18"/>
                <w:szCs w:val="18"/>
                <w:lang w:eastAsia="pt-BR"/>
              </w:rPr>
            </w:pPr>
          </w:p>
        </w:tc>
        <w:tc>
          <w:tcPr>
            <w:tcW w:w="1563" w:type="pct"/>
            <w:tcBorders>
              <w:top w:val="nil"/>
              <w:left w:val="nil"/>
              <w:bottom w:val="nil"/>
              <w:right w:val="nil"/>
            </w:tcBorders>
            <w:shd w:val="clear" w:color="auto" w:fill="auto"/>
            <w:noWrap/>
            <w:vAlign w:val="bottom"/>
          </w:tcPr>
          <w:p w14:paraId="2062D0AD" w14:textId="77777777" w:rsidR="00343472" w:rsidRPr="001A0A24" w:rsidRDefault="00343472" w:rsidP="00D324DC">
            <w:pPr>
              <w:spacing w:after="0" w:line="240" w:lineRule="auto"/>
              <w:rPr>
                <w:rFonts w:ascii="Segoe UI" w:eastAsia="Times New Roman" w:hAnsi="Segoe UI" w:cs="Segoe UI"/>
                <w:sz w:val="18"/>
                <w:szCs w:val="18"/>
                <w:lang w:eastAsia="pt-BR"/>
              </w:rPr>
            </w:pPr>
          </w:p>
        </w:tc>
        <w:tc>
          <w:tcPr>
            <w:tcW w:w="816" w:type="pct"/>
            <w:tcBorders>
              <w:top w:val="nil"/>
              <w:left w:val="nil"/>
              <w:bottom w:val="nil"/>
              <w:right w:val="nil"/>
            </w:tcBorders>
            <w:shd w:val="clear" w:color="auto" w:fill="auto"/>
            <w:noWrap/>
            <w:vAlign w:val="center"/>
          </w:tcPr>
          <w:p w14:paraId="09EC3DD0" w14:textId="77777777" w:rsidR="00343472" w:rsidRPr="00D324DC" w:rsidRDefault="00343472" w:rsidP="00D324DC">
            <w:pPr>
              <w:spacing w:after="0" w:line="240" w:lineRule="auto"/>
              <w:jc w:val="right"/>
              <w:rPr>
                <w:rFonts w:ascii="Segoe UI" w:eastAsia="Times New Roman" w:hAnsi="Segoe UI" w:cs="Segoe UI"/>
                <w:sz w:val="18"/>
                <w:szCs w:val="18"/>
                <w:lang w:eastAsia="pt-BR"/>
              </w:rPr>
            </w:pPr>
          </w:p>
        </w:tc>
        <w:tc>
          <w:tcPr>
            <w:tcW w:w="626" w:type="pct"/>
            <w:tcBorders>
              <w:top w:val="nil"/>
              <w:left w:val="nil"/>
              <w:bottom w:val="nil"/>
              <w:right w:val="nil"/>
            </w:tcBorders>
            <w:shd w:val="clear" w:color="auto" w:fill="auto"/>
            <w:noWrap/>
            <w:vAlign w:val="center"/>
          </w:tcPr>
          <w:p w14:paraId="470C1A8C" w14:textId="77777777" w:rsidR="00343472" w:rsidRPr="00D324DC" w:rsidRDefault="00343472" w:rsidP="00D324DC">
            <w:pPr>
              <w:spacing w:after="0" w:line="240" w:lineRule="auto"/>
              <w:jc w:val="right"/>
              <w:rPr>
                <w:rFonts w:ascii="Segoe UI" w:eastAsia="Times New Roman" w:hAnsi="Segoe UI" w:cs="Segoe UI"/>
                <w:sz w:val="18"/>
                <w:szCs w:val="18"/>
                <w:lang w:eastAsia="pt-BR"/>
              </w:rPr>
            </w:pPr>
          </w:p>
        </w:tc>
        <w:tc>
          <w:tcPr>
            <w:tcW w:w="653" w:type="pct"/>
            <w:tcBorders>
              <w:top w:val="nil"/>
              <w:left w:val="nil"/>
              <w:bottom w:val="nil"/>
              <w:right w:val="nil"/>
            </w:tcBorders>
            <w:shd w:val="clear" w:color="auto" w:fill="auto"/>
            <w:noWrap/>
            <w:vAlign w:val="center"/>
          </w:tcPr>
          <w:p w14:paraId="3663395D" w14:textId="77777777" w:rsidR="00343472" w:rsidRPr="00D324DC" w:rsidRDefault="00343472" w:rsidP="00D324DC">
            <w:pPr>
              <w:spacing w:after="0" w:line="240" w:lineRule="auto"/>
              <w:jc w:val="right"/>
              <w:rPr>
                <w:rFonts w:ascii="Segoe UI" w:eastAsia="Times New Roman" w:hAnsi="Segoe UI" w:cs="Segoe UI"/>
                <w:sz w:val="18"/>
                <w:szCs w:val="18"/>
                <w:lang w:eastAsia="pt-BR"/>
              </w:rPr>
            </w:pPr>
          </w:p>
        </w:tc>
        <w:tc>
          <w:tcPr>
            <w:tcW w:w="653" w:type="pct"/>
            <w:tcBorders>
              <w:top w:val="nil"/>
              <w:left w:val="nil"/>
              <w:bottom w:val="nil"/>
              <w:right w:val="nil"/>
            </w:tcBorders>
            <w:shd w:val="clear" w:color="auto" w:fill="auto"/>
            <w:noWrap/>
            <w:vAlign w:val="center"/>
          </w:tcPr>
          <w:p w14:paraId="179C69B9" w14:textId="77777777" w:rsidR="00343472" w:rsidRPr="00D324DC" w:rsidRDefault="00343472" w:rsidP="00D324DC">
            <w:pPr>
              <w:spacing w:after="0" w:line="240" w:lineRule="auto"/>
              <w:jc w:val="right"/>
              <w:rPr>
                <w:rFonts w:ascii="Segoe UI" w:eastAsia="Times New Roman" w:hAnsi="Segoe UI" w:cs="Segoe UI"/>
                <w:sz w:val="18"/>
                <w:szCs w:val="18"/>
                <w:lang w:eastAsia="pt-BR"/>
              </w:rPr>
            </w:pPr>
          </w:p>
        </w:tc>
      </w:tr>
    </w:tbl>
    <w:p w14:paraId="0998402A" w14:textId="17134332" w:rsidR="00DB59B8" w:rsidRPr="000757BC" w:rsidRDefault="00AD7DA9" w:rsidP="00402349">
      <w:pPr>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DB59B8" w:rsidRPr="000757BC">
        <w:rPr>
          <w:rFonts w:ascii="Segoe UI" w:hAnsi="Segoe UI" w:cs="Segoe UI"/>
          <w:b/>
          <w:bCs/>
          <w:color w:val="0070C0"/>
        </w:rPr>
        <w:t>.3.3 - Risco de crédito</w:t>
      </w:r>
      <w:r w:rsidR="00DB59B8" w:rsidRPr="000757BC">
        <w:rPr>
          <w:rFonts w:ascii="Segoe UI" w:hAnsi="Segoe UI" w:cs="Segoe UI"/>
          <w:b/>
          <w:bCs/>
          <w:color w:val="0070C0"/>
        </w:rPr>
        <w:tab/>
      </w:r>
      <w:r w:rsidR="00DB59B8" w:rsidRPr="000757BC">
        <w:rPr>
          <w:rFonts w:ascii="Segoe UI" w:hAnsi="Segoe UI" w:cs="Segoe UI"/>
          <w:b/>
          <w:bCs/>
          <w:color w:val="0070C0"/>
        </w:rPr>
        <w:tab/>
      </w:r>
    </w:p>
    <w:p w14:paraId="30E24E8B" w14:textId="45817D9E" w:rsidR="00DB59B8" w:rsidRPr="000757BC" w:rsidRDefault="00DB59B8" w:rsidP="00545B0A">
      <w:pPr>
        <w:spacing w:before="240" w:after="120"/>
        <w:jc w:val="both"/>
        <w:rPr>
          <w:rFonts w:ascii="Segoe UI" w:hAnsi="Segoe UI" w:cs="Segoe UI"/>
        </w:rPr>
      </w:pPr>
      <w:r w:rsidRPr="000757BC">
        <w:rPr>
          <w:rFonts w:ascii="Segoe UI" w:hAnsi="Segoe UI" w:cs="Segoe UI"/>
        </w:rPr>
        <w:t>Risco de crédito é o risco de a Companhia</w:t>
      </w:r>
      <w:r w:rsidR="00FA4206" w:rsidRPr="000757BC">
        <w:rPr>
          <w:rFonts w:ascii="Segoe UI" w:hAnsi="Segoe UI" w:cs="Segoe UI"/>
        </w:rPr>
        <w:t xml:space="preserve"> e suas </w:t>
      </w:r>
      <w:r w:rsidR="00546002">
        <w:rPr>
          <w:rFonts w:ascii="Segoe UI" w:hAnsi="Segoe UI" w:cs="Segoe UI"/>
        </w:rPr>
        <w:t>controlada</w:t>
      </w:r>
      <w:r w:rsidR="00FA4206" w:rsidRPr="000757BC">
        <w:rPr>
          <w:rFonts w:ascii="Segoe UI" w:hAnsi="Segoe UI" w:cs="Segoe UI"/>
        </w:rPr>
        <w:t>s</w:t>
      </w:r>
      <w:r w:rsidRPr="000757BC">
        <w:rPr>
          <w:rFonts w:ascii="Segoe UI" w:hAnsi="Segoe UI" w:cs="Segoe UI"/>
        </w:rPr>
        <w:t xml:space="preserve"> incorrer</w:t>
      </w:r>
      <w:r w:rsidR="00FA4206" w:rsidRPr="000757BC">
        <w:rPr>
          <w:rFonts w:ascii="Segoe UI" w:hAnsi="Segoe UI" w:cs="Segoe UI"/>
        </w:rPr>
        <w:t>em</w:t>
      </w:r>
      <w:r w:rsidRPr="000757BC">
        <w:rPr>
          <w:rFonts w:ascii="Segoe UI" w:hAnsi="Segoe UI" w:cs="Segoe UI"/>
        </w:rPr>
        <w:t xml:space="preserve">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74EC08AE" w14:textId="6220ABED" w:rsidR="00DB59B8" w:rsidRPr="000757BC" w:rsidRDefault="00DB59B8" w:rsidP="00545B0A">
      <w:pPr>
        <w:spacing w:before="240" w:after="120"/>
        <w:jc w:val="both"/>
        <w:rPr>
          <w:rFonts w:ascii="Segoe UI" w:hAnsi="Segoe UI" w:cs="Segoe UI"/>
        </w:rPr>
      </w:pPr>
      <w:r w:rsidRPr="000757BC">
        <w:rPr>
          <w:rFonts w:ascii="Segoe UI" w:hAnsi="Segoe UI" w:cs="Segoe UI"/>
        </w:rPr>
        <w:t xml:space="preserve">Conforme descrito na </w:t>
      </w:r>
      <w:r w:rsidR="00D5058F">
        <w:rPr>
          <w:rFonts w:ascii="Segoe UI" w:hAnsi="Segoe UI" w:cs="Segoe UI"/>
        </w:rPr>
        <w:t>N</w:t>
      </w:r>
      <w:r w:rsidRPr="000757BC">
        <w:rPr>
          <w:rFonts w:ascii="Segoe UI" w:hAnsi="Segoe UI" w:cs="Segoe UI"/>
        </w:rPr>
        <w:t>ota</w:t>
      </w:r>
      <w:r w:rsidR="00AC42F1">
        <w:rPr>
          <w:rFonts w:ascii="Segoe UI" w:hAnsi="Segoe UI" w:cs="Segoe UI"/>
        </w:rPr>
        <w:t xml:space="preserve"> explicativa</w:t>
      </w:r>
      <w:r w:rsidRPr="000757BC">
        <w:rPr>
          <w:rFonts w:ascii="Segoe UI" w:hAnsi="Segoe UI" w:cs="Segoe UI"/>
        </w:rPr>
        <w:t xml:space="preserve"> 1, a </w:t>
      </w:r>
      <w:r w:rsidR="004A4B03">
        <w:rPr>
          <w:rFonts w:ascii="Segoe UI" w:hAnsi="Segoe UI" w:cs="Segoe UI"/>
        </w:rPr>
        <w:t xml:space="preserve">Eletronuclear </w:t>
      </w:r>
      <w:r w:rsidRPr="000757BC">
        <w:rPr>
          <w:rFonts w:ascii="Segoe UI" w:hAnsi="Segoe UI" w:cs="Segoe UI"/>
        </w:rPr>
        <w:t>tem a totalidade da sua geração de energia elétrica a partir de janeiro de 2013 comercializada através da CCEE, com todas as distribuidoras do SIN.</w:t>
      </w:r>
    </w:p>
    <w:p w14:paraId="0E50BFA2" w14:textId="77777777" w:rsidR="00D61D6D" w:rsidRPr="000757BC" w:rsidRDefault="00D61D6D" w:rsidP="00D61D6D">
      <w:pPr>
        <w:spacing w:before="240" w:after="120"/>
        <w:jc w:val="both"/>
        <w:rPr>
          <w:rFonts w:ascii="Segoe UI" w:hAnsi="Segoe UI" w:cs="Segoe UI"/>
          <w:iCs/>
        </w:rPr>
      </w:pPr>
      <w:r w:rsidRPr="000757BC">
        <w:rPr>
          <w:rFonts w:ascii="Segoe UI" w:hAnsi="Segoe UI" w:cs="Segoe UI"/>
          <w:iCs/>
        </w:rPr>
        <w:t xml:space="preserve">Toda a energia produzida por essas usinas tem fornecimento contratual de longo prazo firmado com as distribuidoras de energia elétrica; contratos esses regidos pela CCEE. A </w:t>
      </w:r>
      <w:r>
        <w:rPr>
          <w:rFonts w:ascii="Segoe UI" w:hAnsi="Segoe UI" w:cs="Segoe UI"/>
          <w:iCs/>
        </w:rPr>
        <w:t xml:space="preserve">Eletronuclear </w:t>
      </w:r>
      <w:r w:rsidRPr="000757BC">
        <w:rPr>
          <w:rFonts w:ascii="Segoe UI" w:hAnsi="Segoe UI" w:cs="Segoe UI"/>
          <w:iCs/>
        </w:rPr>
        <w:t>entende que o risco de inadimplência fica mitigado na quitação desse faturamento, face à atividade de administração financeira estar sob o controle da CCEE, que possui autonomia sobre os recursos reservados pelas distribuidoras para esse fim.</w:t>
      </w:r>
    </w:p>
    <w:p w14:paraId="4AD4626C" w14:textId="77777777" w:rsidR="00D61D6D" w:rsidRPr="000757BC" w:rsidRDefault="00D61D6D" w:rsidP="00D61D6D">
      <w:pPr>
        <w:spacing w:before="240" w:after="120"/>
        <w:jc w:val="both"/>
        <w:rPr>
          <w:rFonts w:ascii="Segoe UI" w:hAnsi="Segoe UI" w:cs="Segoe UI"/>
          <w:iCs/>
        </w:rPr>
      </w:pPr>
      <w:r w:rsidRPr="00E46AA9">
        <w:rPr>
          <w:rFonts w:ascii="Segoe UI" w:hAnsi="Segoe UI" w:cs="Segoe UI"/>
          <w:iCs/>
        </w:rPr>
        <w:t xml:space="preserve">A receita fixa das </w:t>
      </w:r>
      <w:r>
        <w:rPr>
          <w:rFonts w:ascii="Segoe UI" w:hAnsi="Segoe UI" w:cs="Segoe UI"/>
          <w:iCs/>
        </w:rPr>
        <w:t>u</w:t>
      </w:r>
      <w:r w:rsidRPr="00E46AA9">
        <w:rPr>
          <w:rFonts w:ascii="Segoe UI" w:hAnsi="Segoe UI" w:cs="Segoe UI"/>
          <w:iCs/>
        </w:rPr>
        <w:t>sinas Angra 1 e 2 é regulada pela A</w:t>
      </w:r>
      <w:r>
        <w:rPr>
          <w:rFonts w:ascii="Segoe UI" w:hAnsi="Segoe UI" w:cs="Segoe UI"/>
          <w:iCs/>
        </w:rPr>
        <w:t>NEEL</w:t>
      </w:r>
      <w:r w:rsidRPr="00E46AA9">
        <w:rPr>
          <w:rFonts w:ascii="Segoe UI" w:hAnsi="Segoe UI" w:cs="Segoe UI"/>
          <w:iCs/>
        </w:rPr>
        <w:t xml:space="preserve">, através do modelo do Procedimento de Regulação Tarifária </w:t>
      </w:r>
      <w:r>
        <w:rPr>
          <w:rFonts w:ascii="Segoe UI" w:hAnsi="Segoe UI" w:cs="Segoe UI"/>
          <w:iCs/>
        </w:rPr>
        <w:t>–</w:t>
      </w:r>
      <w:r w:rsidRPr="00E46AA9">
        <w:rPr>
          <w:rFonts w:ascii="Segoe UI" w:hAnsi="Segoe UI" w:cs="Segoe UI"/>
          <w:iCs/>
        </w:rPr>
        <w:t xml:space="preserve"> </w:t>
      </w:r>
      <w:r>
        <w:rPr>
          <w:rFonts w:ascii="Segoe UI" w:hAnsi="Segoe UI" w:cs="Segoe UI"/>
          <w:iCs/>
        </w:rPr>
        <w:t>(“</w:t>
      </w:r>
      <w:r w:rsidRPr="00E46AA9">
        <w:rPr>
          <w:rFonts w:ascii="Segoe UI" w:hAnsi="Segoe UI" w:cs="Segoe UI"/>
          <w:iCs/>
        </w:rPr>
        <w:t>PRORET</w:t>
      </w:r>
      <w:r>
        <w:rPr>
          <w:rFonts w:ascii="Segoe UI" w:hAnsi="Segoe UI" w:cs="Segoe UI"/>
          <w:iCs/>
        </w:rPr>
        <w:t>”)</w:t>
      </w:r>
      <w:r w:rsidRPr="00E46AA9">
        <w:rPr>
          <w:rFonts w:ascii="Segoe UI" w:hAnsi="Segoe UI" w:cs="Segoe UI"/>
          <w:iCs/>
        </w:rPr>
        <w:t>: Módulo 6, Submódulo 6.7, com reajustes anuais e revisões quinquenais. A</w:t>
      </w:r>
      <w:r w:rsidRPr="007F1B21">
        <w:rPr>
          <w:rFonts w:ascii="Segoe UI" w:hAnsi="Segoe UI" w:cs="Segoe UI"/>
        </w:rPr>
        <w:t xml:space="preserve"> receita fixa para o ano de 2022 foi definida pela Resolução Homologatória nº 3.002 de 14 de dezembro de 2021 - DOU 21 de dezembro de 2021, no montante de R$ 4.672.327.</w:t>
      </w:r>
    </w:p>
    <w:p w14:paraId="1E15E16A" w14:textId="30AD947C" w:rsidR="00DB59B8" w:rsidRPr="000757BC" w:rsidRDefault="00DB59B8" w:rsidP="00545B0A">
      <w:pPr>
        <w:spacing w:before="240" w:after="120"/>
        <w:jc w:val="both"/>
        <w:rPr>
          <w:rFonts w:ascii="Segoe UI" w:hAnsi="Segoe UI" w:cs="Segoe UI"/>
        </w:rPr>
      </w:pPr>
      <w:r w:rsidRPr="000757BC">
        <w:rPr>
          <w:rFonts w:ascii="Segoe UI" w:hAnsi="Segoe UI" w:cs="Segoe UI"/>
        </w:rPr>
        <w:lastRenderedPageBreak/>
        <w:t>A Resolução Normativa nº 1.009, de 22 de março de 2022, evidencia que, apesar de o faturamento ser repassado pela CCEE, o risco de crédito final é da</w:t>
      </w:r>
      <w:r w:rsidR="00397D36" w:rsidRPr="000757BC">
        <w:rPr>
          <w:rFonts w:ascii="Segoe UI" w:hAnsi="Segoe UI" w:cs="Segoe UI"/>
        </w:rPr>
        <w:t xml:space="preserve"> Eletronuclear</w:t>
      </w:r>
      <w:r w:rsidRPr="000757BC">
        <w:rPr>
          <w:rFonts w:ascii="Segoe UI" w:hAnsi="Segoe UI" w:cs="Segoe UI"/>
        </w:rPr>
        <w:t xml:space="preserve">. </w:t>
      </w:r>
    </w:p>
    <w:p w14:paraId="4875700E" w14:textId="26DEC78C" w:rsidR="00DB59B8" w:rsidRPr="000757BC" w:rsidRDefault="00DB59B8" w:rsidP="00545B0A">
      <w:pPr>
        <w:spacing w:before="240" w:after="120"/>
        <w:jc w:val="both"/>
        <w:rPr>
          <w:rFonts w:ascii="Segoe UI" w:hAnsi="Segoe UI" w:cs="Segoe UI"/>
        </w:rPr>
      </w:pPr>
      <w:r w:rsidRPr="000757BC">
        <w:rPr>
          <w:rFonts w:ascii="Segoe UI" w:hAnsi="Segoe UI" w:cs="Segoe UI"/>
        </w:rPr>
        <w:t xml:space="preserve">Dessa forma, a </w:t>
      </w:r>
      <w:r w:rsidR="004A4B03">
        <w:rPr>
          <w:rFonts w:ascii="Segoe UI" w:hAnsi="Segoe UI" w:cs="Segoe UI"/>
        </w:rPr>
        <w:t xml:space="preserve">Eletronuclear </w:t>
      </w:r>
      <w:r w:rsidRPr="000757BC">
        <w:rPr>
          <w:rFonts w:ascii="Segoe UI" w:hAnsi="Segoe UI" w:cs="Segoe UI"/>
        </w:rPr>
        <w:t xml:space="preserve">monitora constantemente os possíveis efeitos e a eventual necessidade de contratação de instrumentos de proteção. </w:t>
      </w:r>
    </w:p>
    <w:p w14:paraId="5C58AD0A" w14:textId="089651BA" w:rsidR="001A3CF3" w:rsidRDefault="00DB59B8" w:rsidP="0057143E">
      <w:pPr>
        <w:rPr>
          <w:rFonts w:ascii="Segoe UI" w:hAnsi="Segoe UI" w:cs="Segoe UI"/>
        </w:rPr>
      </w:pPr>
      <w:r w:rsidRPr="000757BC">
        <w:rPr>
          <w:rFonts w:ascii="Segoe UI" w:hAnsi="Segoe UI" w:cs="Segoe UI"/>
        </w:rPr>
        <w:t>Abaixo, apresentamos as principais contas sujeitas a risco de crédito:</w:t>
      </w:r>
    </w:p>
    <w:tbl>
      <w:tblPr>
        <w:tblW w:w="5000" w:type="pct"/>
        <w:tblCellMar>
          <w:left w:w="70" w:type="dxa"/>
          <w:right w:w="70" w:type="dxa"/>
        </w:tblCellMar>
        <w:tblLook w:val="04A0" w:firstRow="1" w:lastRow="0" w:firstColumn="1" w:lastColumn="0" w:noHBand="0" w:noVBand="1"/>
      </w:tblPr>
      <w:tblGrid>
        <w:gridCol w:w="5214"/>
        <w:gridCol w:w="541"/>
        <w:gridCol w:w="1924"/>
        <w:gridCol w:w="194"/>
        <w:gridCol w:w="1624"/>
      </w:tblGrid>
      <w:tr w:rsidR="00441392" w:rsidRPr="00737408" w14:paraId="0BBA0CFD" w14:textId="77777777" w:rsidTr="00441392">
        <w:trPr>
          <w:trHeight w:val="240"/>
        </w:trPr>
        <w:tc>
          <w:tcPr>
            <w:tcW w:w="2745" w:type="pct"/>
            <w:tcBorders>
              <w:top w:val="nil"/>
              <w:left w:val="nil"/>
              <w:bottom w:val="nil"/>
              <w:right w:val="nil"/>
            </w:tcBorders>
            <w:shd w:val="clear" w:color="auto" w:fill="auto"/>
            <w:noWrap/>
            <w:vAlign w:val="bottom"/>
            <w:hideMark/>
          </w:tcPr>
          <w:p w14:paraId="19F0DA2B" w14:textId="77777777" w:rsidR="00737408" w:rsidRPr="00737408" w:rsidRDefault="00737408" w:rsidP="00737408">
            <w:pPr>
              <w:spacing w:after="0" w:line="240" w:lineRule="auto"/>
              <w:rPr>
                <w:rFonts w:ascii="Times New Roman" w:eastAsia="Times New Roman" w:hAnsi="Times New Roman" w:cs="Times New Roman"/>
                <w:sz w:val="24"/>
                <w:szCs w:val="24"/>
                <w:lang w:eastAsia="pt-BR"/>
              </w:rPr>
            </w:pPr>
          </w:p>
        </w:tc>
        <w:tc>
          <w:tcPr>
            <w:tcW w:w="285" w:type="pct"/>
            <w:tcBorders>
              <w:top w:val="nil"/>
              <w:left w:val="nil"/>
              <w:bottom w:val="nil"/>
              <w:right w:val="nil"/>
            </w:tcBorders>
            <w:shd w:val="clear" w:color="auto" w:fill="auto"/>
            <w:noWrap/>
            <w:vAlign w:val="bottom"/>
            <w:hideMark/>
          </w:tcPr>
          <w:p w14:paraId="47EE7418" w14:textId="77777777" w:rsidR="00737408" w:rsidRPr="00737408" w:rsidRDefault="00737408" w:rsidP="00737408">
            <w:pPr>
              <w:spacing w:after="0" w:line="240" w:lineRule="auto"/>
              <w:rPr>
                <w:rFonts w:ascii="Times New Roman" w:eastAsia="Times New Roman" w:hAnsi="Times New Roman" w:cs="Times New Roman"/>
                <w:sz w:val="20"/>
                <w:szCs w:val="20"/>
                <w:lang w:eastAsia="pt-BR"/>
              </w:rPr>
            </w:pPr>
          </w:p>
        </w:tc>
        <w:tc>
          <w:tcPr>
            <w:tcW w:w="1013" w:type="pct"/>
            <w:tcBorders>
              <w:top w:val="nil"/>
              <w:left w:val="nil"/>
              <w:bottom w:val="nil"/>
              <w:right w:val="nil"/>
            </w:tcBorders>
            <w:shd w:val="clear" w:color="000000" w:fill="1B80C4"/>
            <w:noWrap/>
            <w:vAlign w:val="bottom"/>
            <w:hideMark/>
          </w:tcPr>
          <w:p w14:paraId="21E899B5" w14:textId="77777777" w:rsidR="00737408" w:rsidRPr="00737408" w:rsidRDefault="00737408" w:rsidP="00737408">
            <w:pPr>
              <w:spacing w:after="0" w:line="240" w:lineRule="auto"/>
              <w:jc w:val="center"/>
              <w:rPr>
                <w:rFonts w:ascii="Segoe UI" w:eastAsia="Times New Roman" w:hAnsi="Segoe UI" w:cs="Segoe UI"/>
                <w:b/>
                <w:bCs/>
                <w:color w:val="FFFFFF"/>
                <w:sz w:val="18"/>
                <w:szCs w:val="18"/>
                <w:lang w:eastAsia="pt-BR"/>
              </w:rPr>
            </w:pPr>
            <w:r w:rsidRPr="00737408">
              <w:rPr>
                <w:rFonts w:ascii="Segoe UI" w:eastAsia="Times New Roman" w:hAnsi="Segoe UI" w:cs="Segoe UI"/>
                <w:b/>
                <w:bCs/>
                <w:color w:val="FFFFFF"/>
                <w:sz w:val="18"/>
                <w:szCs w:val="18"/>
                <w:lang w:eastAsia="pt-BR"/>
              </w:rPr>
              <w:t xml:space="preserve"> Controladora </w:t>
            </w:r>
          </w:p>
        </w:tc>
        <w:tc>
          <w:tcPr>
            <w:tcW w:w="102" w:type="pct"/>
            <w:tcBorders>
              <w:top w:val="nil"/>
              <w:left w:val="nil"/>
              <w:bottom w:val="nil"/>
              <w:right w:val="nil"/>
            </w:tcBorders>
            <w:shd w:val="clear" w:color="000000" w:fill="1B80C4"/>
            <w:noWrap/>
            <w:vAlign w:val="bottom"/>
            <w:hideMark/>
          </w:tcPr>
          <w:p w14:paraId="735D7830" w14:textId="77777777" w:rsidR="00737408" w:rsidRPr="00737408" w:rsidRDefault="00737408" w:rsidP="00737408">
            <w:pPr>
              <w:spacing w:after="0" w:line="240" w:lineRule="auto"/>
              <w:jc w:val="center"/>
              <w:rPr>
                <w:rFonts w:ascii="Segoe UI" w:eastAsia="Times New Roman" w:hAnsi="Segoe UI" w:cs="Segoe UI"/>
                <w:b/>
                <w:bCs/>
                <w:color w:val="FFFFFF"/>
                <w:sz w:val="18"/>
                <w:szCs w:val="18"/>
                <w:lang w:eastAsia="pt-BR"/>
              </w:rPr>
            </w:pPr>
            <w:r w:rsidRPr="00737408">
              <w:rPr>
                <w:rFonts w:ascii="Segoe UI" w:eastAsia="Times New Roman" w:hAnsi="Segoe UI" w:cs="Segoe UI"/>
                <w:b/>
                <w:bCs/>
                <w:color w:val="FFFFFF"/>
                <w:sz w:val="18"/>
                <w:szCs w:val="18"/>
                <w:lang w:eastAsia="pt-BR"/>
              </w:rPr>
              <w:t> </w:t>
            </w:r>
          </w:p>
        </w:tc>
        <w:tc>
          <w:tcPr>
            <w:tcW w:w="855" w:type="pct"/>
            <w:tcBorders>
              <w:top w:val="nil"/>
              <w:left w:val="nil"/>
              <w:bottom w:val="nil"/>
              <w:right w:val="nil"/>
            </w:tcBorders>
            <w:shd w:val="clear" w:color="000000" w:fill="1B80C4"/>
            <w:noWrap/>
            <w:vAlign w:val="bottom"/>
            <w:hideMark/>
          </w:tcPr>
          <w:p w14:paraId="63D8B58F" w14:textId="77777777" w:rsidR="00737408" w:rsidRPr="00737408" w:rsidRDefault="00737408" w:rsidP="00737408">
            <w:pPr>
              <w:spacing w:after="0" w:line="240" w:lineRule="auto"/>
              <w:jc w:val="center"/>
              <w:rPr>
                <w:rFonts w:ascii="Segoe UI" w:eastAsia="Times New Roman" w:hAnsi="Segoe UI" w:cs="Segoe UI"/>
                <w:b/>
                <w:bCs/>
                <w:color w:val="FFFFFF"/>
                <w:sz w:val="18"/>
                <w:szCs w:val="18"/>
                <w:lang w:eastAsia="pt-BR"/>
              </w:rPr>
            </w:pPr>
            <w:r w:rsidRPr="00737408">
              <w:rPr>
                <w:rFonts w:ascii="Segoe UI" w:eastAsia="Times New Roman" w:hAnsi="Segoe UI" w:cs="Segoe UI"/>
                <w:b/>
                <w:bCs/>
                <w:color w:val="FFFFFF"/>
                <w:sz w:val="18"/>
                <w:szCs w:val="18"/>
                <w:lang w:eastAsia="pt-BR"/>
              </w:rPr>
              <w:t xml:space="preserve"> Consolidado </w:t>
            </w:r>
          </w:p>
        </w:tc>
      </w:tr>
      <w:tr w:rsidR="00441392" w:rsidRPr="00737408" w14:paraId="70EA5CE6" w14:textId="77777777" w:rsidTr="00441392">
        <w:trPr>
          <w:trHeight w:val="240"/>
        </w:trPr>
        <w:tc>
          <w:tcPr>
            <w:tcW w:w="2745" w:type="pct"/>
            <w:tcBorders>
              <w:top w:val="nil"/>
              <w:left w:val="nil"/>
              <w:bottom w:val="nil"/>
              <w:right w:val="nil"/>
            </w:tcBorders>
            <w:shd w:val="clear" w:color="auto" w:fill="auto"/>
            <w:noWrap/>
            <w:vAlign w:val="center"/>
            <w:hideMark/>
          </w:tcPr>
          <w:p w14:paraId="7B90F7CF" w14:textId="77777777" w:rsidR="00737408" w:rsidRPr="00737408" w:rsidRDefault="00737408" w:rsidP="00737408">
            <w:pPr>
              <w:spacing w:after="0" w:line="240" w:lineRule="auto"/>
              <w:jc w:val="center"/>
              <w:rPr>
                <w:rFonts w:ascii="Segoe UI" w:eastAsia="Times New Roman" w:hAnsi="Segoe UI" w:cs="Segoe UI"/>
                <w:b/>
                <w:bCs/>
                <w:color w:val="FFFFFF"/>
                <w:sz w:val="18"/>
                <w:szCs w:val="18"/>
                <w:lang w:eastAsia="pt-BR"/>
              </w:rPr>
            </w:pPr>
          </w:p>
        </w:tc>
        <w:tc>
          <w:tcPr>
            <w:tcW w:w="285" w:type="pct"/>
            <w:tcBorders>
              <w:top w:val="nil"/>
              <w:left w:val="nil"/>
              <w:bottom w:val="nil"/>
              <w:right w:val="nil"/>
            </w:tcBorders>
            <w:shd w:val="clear" w:color="auto" w:fill="auto"/>
            <w:noWrap/>
            <w:vAlign w:val="center"/>
            <w:hideMark/>
          </w:tcPr>
          <w:p w14:paraId="037FBF5B" w14:textId="77777777" w:rsidR="00737408" w:rsidRPr="00737408" w:rsidRDefault="00737408" w:rsidP="00737408">
            <w:pPr>
              <w:spacing w:after="0" w:line="240" w:lineRule="auto"/>
              <w:rPr>
                <w:rFonts w:ascii="Times New Roman" w:eastAsia="Times New Roman" w:hAnsi="Times New Roman" w:cs="Times New Roman"/>
                <w:sz w:val="20"/>
                <w:szCs w:val="20"/>
                <w:lang w:eastAsia="pt-BR"/>
              </w:rPr>
            </w:pPr>
          </w:p>
        </w:tc>
        <w:tc>
          <w:tcPr>
            <w:tcW w:w="1013" w:type="pct"/>
            <w:tcBorders>
              <w:top w:val="single" w:sz="4" w:space="0" w:color="FFFFFF"/>
              <w:left w:val="nil"/>
              <w:bottom w:val="single" w:sz="4" w:space="0" w:color="FFFFFF"/>
              <w:right w:val="nil"/>
            </w:tcBorders>
            <w:shd w:val="clear" w:color="000000" w:fill="1B80C4"/>
            <w:noWrap/>
            <w:vAlign w:val="center"/>
            <w:hideMark/>
          </w:tcPr>
          <w:p w14:paraId="56DCC2F9" w14:textId="77777777" w:rsidR="00737408" w:rsidRPr="00737408" w:rsidRDefault="00737408" w:rsidP="00737408">
            <w:pPr>
              <w:spacing w:after="0" w:line="240" w:lineRule="auto"/>
              <w:jc w:val="center"/>
              <w:rPr>
                <w:rFonts w:ascii="Segoe UI" w:eastAsia="Times New Roman" w:hAnsi="Segoe UI" w:cs="Segoe UI"/>
                <w:b/>
                <w:bCs/>
                <w:color w:val="FFFFFF"/>
                <w:sz w:val="18"/>
                <w:szCs w:val="18"/>
                <w:lang w:eastAsia="pt-BR"/>
              </w:rPr>
            </w:pPr>
            <w:r w:rsidRPr="00737408">
              <w:rPr>
                <w:rFonts w:ascii="Segoe UI" w:eastAsia="Times New Roman" w:hAnsi="Segoe UI" w:cs="Segoe UI"/>
                <w:b/>
                <w:bCs/>
                <w:color w:val="FFFFFF"/>
                <w:sz w:val="18"/>
                <w:szCs w:val="18"/>
                <w:lang w:eastAsia="pt-BR"/>
              </w:rPr>
              <w:t>31/12/2022</w:t>
            </w:r>
          </w:p>
        </w:tc>
        <w:tc>
          <w:tcPr>
            <w:tcW w:w="102" w:type="pct"/>
            <w:tcBorders>
              <w:top w:val="nil"/>
              <w:left w:val="nil"/>
              <w:bottom w:val="nil"/>
              <w:right w:val="nil"/>
            </w:tcBorders>
            <w:shd w:val="clear" w:color="000000" w:fill="1B80C4"/>
            <w:noWrap/>
            <w:vAlign w:val="bottom"/>
            <w:hideMark/>
          </w:tcPr>
          <w:p w14:paraId="6E30BE25" w14:textId="77777777" w:rsidR="00737408" w:rsidRPr="00737408" w:rsidRDefault="00737408" w:rsidP="00737408">
            <w:pPr>
              <w:spacing w:after="0" w:line="240" w:lineRule="auto"/>
              <w:jc w:val="center"/>
              <w:rPr>
                <w:rFonts w:ascii="Segoe UI" w:eastAsia="Times New Roman" w:hAnsi="Segoe UI" w:cs="Segoe UI"/>
                <w:b/>
                <w:bCs/>
                <w:color w:val="FFFFFF"/>
                <w:sz w:val="18"/>
                <w:szCs w:val="18"/>
                <w:lang w:eastAsia="pt-BR"/>
              </w:rPr>
            </w:pPr>
            <w:r w:rsidRPr="00737408">
              <w:rPr>
                <w:rFonts w:ascii="Segoe UI" w:eastAsia="Times New Roman" w:hAnsi="Segoe UI" w:cs="Segoe UI"/>
                <w:b/>
                <w:bCs/>
                <w:color w:val="FFFFFF"/>
                <w:sz w:val="18"/>
                <w:szCs w:val="18"/>
                <w:lang w:eastAsia="pt-BR"/>
              </w:rPr>
              <w:t> </w:t>
            </w:r>
          </w:p>
        </w:tc>
        <w:tc>
          <w:tcPr>
            <w:tcW w:w="855" w:type="pct"/>
            <w:tcBorders>
              <w:top w:val="single" w:sz="4" w:space="0" w:color="FFFFFF"/>
              <w:left w:val="nil"/>
              <w:bottom w:val="single" w:sz="4" w:space="0" w:color="FFFFFF"/>
              <w:right w:val="nil"/>
            </w:tcBorders>
            <w:shd w:val="clear" w:color="000000" w:fill="1B80C4"/>
            <w:noWrap/>
            <w:vAlign w:val="center"/>
            <w:hideMark/>
          </w:tcPr>
          <w:p w14:paraId="5EFB7CAA" w14:textId="77777777" w:rsidR="00737408" w:rsidRPr="00737408" w:rsidRDefault="00737408" w:rsidP="00737408">
            <w:pPr>
              <w:spacing w:after="0" w:line="240" w:lineRule="auto"/>
              <w:jc w:val="center"/>
              <w:rPr>
                <w:rFonts w:ascii="Segoe UI" w:eastAsia="Times New Roman" w:hAnsi="Segoe UI" w:cs="Segoe UI"/>
                <w:b/>
                <w:bCs/>
                <w:color w:val="FFFFFF"/>
                <w:sz w:val="18"/>
                <w:szCs w:val="18"/>
                <w:lang w:eastAsia="pt-BR"/>
              </w:rPr>
            </w:pPr>
            <w:r w:rsidRPr="00737408">
              <w:rPr>
                <w:rFonts w:ascii="Segoe UI" w:eastAsia="Times New Roman" w:hAnsi="Segoe UI" w:cs="Segoe UI"/>
                <w:b/>
                <w:bCs/>
                <w:color w:val="FFFFFF"/>
                <w:sz w:val="18"/>
                <w:szCs w:val="18"/>
                <w:lang w:eastAsia="pt-BR"/>
              </w:rPr>
              <w:t>31/12/2022</w:t>
            </w:r>
          </w:p>
        </w:tc>
      </w:tr>
      <w:tr w:rsidR="00441392" w:rsidRPr="00737408" w14:paraId="7536575D" w14:textId="77777777" w:rsidTr="00441392">
        <w:trPr>
          <w:trHeight w:val="240"/>
        </w:trPr>
        <w:tc>
          <w:tcPr>
            <w:tcW w:w="2745" w:type="pct"/>
            <w:tcBorders>
              <w:top w:val="nil"/>
              <w:left w:val="nil"/>
              <w:bottom w:val="nil"/>
              <w:right w:val="nil"/>
            </w:tcBorders>
            <w:shd w:val="clear" w:color="auto" w:fill="auto"/>
            <w:noWrap/>
            <w:vAlign w:val="center"/>
            <w:hideMark/>
          </w:tcPr>
          <w:p w14:paraId="69FAC6E8" w14:textId="77777777" w:rsidR="00737408" w:rsidRPr="00737408" w:rsidRDefault="00737408" w:rsidP="00737408">
            <w:pPr>
              <w:spacing w:after="0" w:line="240" w:lineRule="auto"/>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Caixa e equivalentes de caixa</w:t>
            </w:r>
          </w:p>
        </w:tc>
        <w:tc>
          <w:tcPr>
            <w:tcW w:w="285" w:type="pct"/>
            <w:tcBorders>
              <w:top w:val="nil"/>
              <w:left w:val="nil"/>
              <w:bottom w:val="nil"/>
              <w:right w:val="nil"/>
            </w:tcBorders>
            <w:shd w:val="clear" w:color="auto" w:fill="auto"/>
            <w:noWrap/>
            <w:vAlign w:val="center"/>
            <w:hideMark/>
          </w:tcPr>
          <w:p w14:paraId="54ADAD16" w14:textId="77777777" w:rsidR="00737408" w:rsidRPr="00737408" w:rsidRDefault="00737408" w:rsidP="00737408">
            <w:pPr>
              <w:spacing w:after="0" w:line="240" w:lineRule="auto"/>
              <w:rPr>
                <w:rFonts w:ascii="Segoe UI" w:eastAsia="Times New Roman" w:hAnsi="Segoe UI" w:cs="Segoe UI"/>
                <w:color w:val="000000"/>
                <w:sz w:val="18"/>
                <w:szCs w:val="18"/>
                <w:lang w:eastAsia="pt-BR"/>
              </w:rPr>
            </w:pPr>
          </w:p>
        </w:tc>
        <w:tc>
          <w:tcPr>
            <w:tcW w:w="1013" w:type="pct"/>
            <w:tcBorders>
              <w:top w:val="nil"/>
              <w:left w:val="nil"/>
              <w:bottom w:val="nil"/>
              <w:right w:val="nil"/>
            </w:tcBorders>
            <w:shd w:val="clear" w:color="auto" w:fill="auto"/>
            <w:noWrap/>
            <w:vAlign w:val="center"/>
            <w:hideMark/>
          </w:tcPr>
          <w:p w14:paraId="25D61A08"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2.361.031</w:t>
            </w:r>
          </w:p>
        </w:tc>
        <w:tc>
          <w:tcPr>
            <w:tcW w:w="102" w:type="pct"/>
            <w:tcBorders>
              <w:top w:val="nil"/>
              <w:left w:val="nil"/>
              <w:bottom w:val="nil"/>
              <w:right w:val="nil"/>
            </w:tcBorders>
            <w:shd w:val="clear" w:color="auto" w:fill="auto"/>
            <w:noWrap/>
            <w:vAlign w:val="center"/>
            <w:hideMark/>
          </w:tcPr>
          <w:p w14:paraId="21B1741C"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p>
        </w:tc>
        <w:tc>
          <w:tcPr>
            <w:tcW w:w="855" w:type="pct"/>
            <w:tcBorders>
              <w:top w:val="nil"/>
              <w:left w:val="nil"/>
              <w:bottom w:val="nil"/>
              <w:right w:val="nil"/>
            </w:tcBorders>
            <w:shd w:val="clear" w:color="auto" w:fill="auto"/>
            <w:noWrap/>
            <w:vAlign w:val="center"/>
            <w:hideMark/>
          </w:tcPr>
          <w:p w14:paraId="2FC0096D"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3.162.546</w:t>
            </w:r>
          </w:p>
        </w:tc>
      </w:tr>
      <w:tr w:rsidR="00441392" w:rsidRPr="00737408" w14:paraId="794AADC5" w14:textId="77777777" w:rsidTr="00441392">
        <w:trPr>
          <w:trHeight w:val="240"/>
        </w:trPr>
        <w:tc>
          <w:tcPr>
            <w:tcW w:w="2745" w:type="pct"/>
            <w:tcBorders>
              <w:top w:val="nil"/>
              <w:left w:val="nil"/>
              <w:bottom w:val="nil"/>
              <w:right w:val="nil"/>
            </w:tcBorders>
            <w:shd w:val="clear" w:color="auto" w:fill="auto"/>
            <w:noWrap/>
            <w:vAlign w:val="center"/>
            <w:hideMark/>
          </w:tcPr>
          <w:p w14:paraId="40C2708A" w14:textId="77777777" w:rsidR="00737408" w:rsidRPr="00737408" w:rsidRDefault="00737408" w:rsidP="00737408">
            <w:pPr>
              <w:spacing w:after="0" w:line="240" w:lineRule="auto"/>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Clientes</w:t>
            </w:r>
          </w:p>
        </w:tc>
        <w:tc>
          <w:tcPr>
            <w:tcW w:w="285" w:type="pct"/>
            <w:tcBorders>
              <w:top w:val="nil"/>
              <w:left w:val="nil"/>
              <w:bottom w:val="nil"/>
              <w:right w:val="nil"/>
            </w:tcBorders>
            <w:shd w:val="clear" w:color="auto" w:fill="auto"/>
            <w:noWrap/>
            <w:vAlign w:val="center"/>
            <w:hideMark/>
          </w:tcPr>
          <w:p w14:paraId="7E642B61" w14:textId="77777777" w:rsidR="00737408" w:rsidRPr="00737408" w:rsidRDefault="00737408" w:rsidP="00737408">
            <w:pPr>
              <w:spacing w:after="0" w:line="240" w:lineRule="auto"/>
              <w:rPr>
                <w:rFonts w:ascii="Segoe UI" w:eastAsia="Times New Roman" w:hAnsi="Segoe UI" w:cs="Segoe UI"/>
                <w:color w:val="000000"/>
                <w:sz w:val="18"/>
                <w:szCs w:val="18"/>
                <w:lang w:eastAsia="pt-BR"/>
              </w:rPr>
            </w:pPr>
          </w:p>
        </w:tc>
        <w:tc>
          <w:tcPr>
            <w:tcW w:w="1013" w:type="pct"/>
            <w:tcBorders>
              <w:top w:val="nil"/>
              <w:left w:val="nil"/>
              <w:bottom w:val="nil"/>
              <w:right w:val="nil"/>
            </w:tcBorders>
            <w:shd w:val="clear" w:color="auto" w:fill="auto"/>
            <w:noWrap/>
            <w:vAlign w:val="center"/>
            <w:hideMark/>
          </w:tcPr>
          <w:p w14:paraId="63E132DB"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3.438.095</w:t>
            </w:r>
          </w:p>
        </w:tc>
        <w:tc>
          <w:tcPr>
            <w:tcW w:w="102" w:type="pct"/>
            <w:tcBorders>
              <w:top w:val="nil"/>
              <w:left w:val="nil"/>
              <w:bottom w:val="nil"/>
              <w:right w:val="nil"/>
            </w:tcBorders>
            <w:shd w:val="clear" w:color="auto" w:fill="auto"/>
            <w:noWrap/>
            <w:vAlign w:val="center"/>
            <w:hideMark/>
          </w:tcPr>
          <w:p w14:paraId="5168D6E5"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p>
        </w:tc>
        <w:tc>
          <w:tcPr>
            <w:tcW w:w="855" w:type="pct"/>
            <w:tcBorders>
              <w:top w:val="nil"/>
              <w:left w:val="nil"/>
              <w:bottom w:val="nil"/>
              <w:right w:val="nil"/>
            </w:tcBorders>
            <w:shd w:val="clear" w:color="auto" w:fill="auto"/>
            <w:noWrap/>
            <w:vAlign w:val="center"/>
            <w:hideMark/>
          </w:tcPr>
          <w:p w14:paraId="3E08F924"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3.916.591</w:t>
            </w:r>
          </w:p>
        </w:tc>
      </w:tr>
      <w:tr w:rsidR="00441392" w:rsidRPr="00737408" w14:paraId="06BEFD88" w14:textId="77777777" w:rsidTr="00441392">
        <w:trPr>
          <w:trHeight w:val="240"/>
        </w:trPr>
        <w:tc>
          <w:tcPr>
            <w:tcW w:w="2745" w:type="pct"/>
            <w:tcBorders>
              <w:top w:val="nil"/>
              <w:left w:val="nil"/>
              <w:bottom w:val="nil"/>
              <w:right w:val="nil"/>
            </w:tcBorders>
            <w:shd w:val="clear" w:color="auto" w:fill="auto"/>
            <w:noWrap/>
            <w:vAlign w:val="center"/>
            <w:hideMark/>
          </w:tcPr>
          <w:p w14:paraId="40F95AA6" w14:textId="7B96B4B8" w:rsidR="00737408" w:rsidRPr="00737408" w:rsidRDefault="00737408" w:rsidP="00737408">
            <w:pPr>
              <w:spacing w:after="0" w:line="240" w:lineRule="auto"/>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Títulos e valores mobiliários</w:t>
            </w:r>
            <w:r w:rsidR="004E0367">
              <w:rPr>
                <w:rFonts w:ascii="Segoe UI" w:eastAsia="Times New Roman" w:hAnsi="Segoe UI" w:cs="Segoe UI"/>
                <w:color w:val="000000"/>
                <w:sz w:val="18"/>
                <w:szCs w:val="18"/>
                <w:lang w:eastAsia="pt-BR"/>
              </w:rPr>
              <w:t xml:space="preserve"> e </w:t>
            </w:r>
            <w:r w:rsidR="005237DA">
              <w:rPr>
                <w:rFonts w:ascii="Segoe UI" w:eastAsia="Times New Roman" w:hAnsi="Segoe UI" w:cs="Segoe UI"/>
                <w:color w:val="000000"/>
                <w:sz w:val="18"/>
                <w:szCs w:val="18"/>
                <w:lang w:eastAsia="pt-BR"/>
              </w:rPr>
              <w:t>fundo de descomissionamento</w:t>
            </w:r>
          </w:p>
        </w:tc>
        <w:tc>
          <w:tcPr>
            <w:tcW w:w="285" w:type="pct"/>
            <w:tcBorders>
              <w:top w:val="nil"/>
              <w:left w:val="nil"/>
              <w:bottom w:val="nil"/>
              <w:right w:val="nil"/>
            </w:tcBorders>
            <w:shd w:val="clear" w:color="auto" w:fill="auto"/>
            <w:noWrap/>
            <w:vAlign w:val="center"/>
            <w:hideMark/>
          </w:tcPr>
          <w:p w14:paraId="3917645A" w14:textId="77777777" w:rsidR="00737408" w:rsidRPr="00737408" w:rsidRDefault="00737408" w:rsidP="00737408">
            <w:pPr>
              <w:spacing w:after="0" w:line="240" w:lineRule="auto"/>
              <w:rPr>
                <w:rFonts w:ascii="Segoe UI" w:eastAsia="Times New Roman" w:hAnsi="Segoe UI" w:cs="Segoe UI"/>
                <w:color w:val="000000"/>
                <w:sz w:val="18"/>
                <w:szCs w:val="18"/>
                <w:lang w:eastAsia="pt-BR"/>
              </w:rPr>
            </w:pPr>
          </w:p>
        </w:tc>
        <w:tc>
          <w:tcPr>
            <w:tcW w:w="1013" w:type="pct"/>
            <w:tcBorders>
              <w:top w:val="nil"/>
              <w:left w:val="nil"/>
              <w:bottom w:val="nil"/>
              <w:right w:val="nil"/>
            </w:tcBorders>
            <w:shd w:val="clear" w:color="auto" w:fill="auto"/>
            <w:noWrap/>
            <w:vAlign w:val="center"/>
            <w:hideMark/>
          </w:tcPr>
          <w:p w14:paraId="5171A690"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 xml:space="preserve">                       290.061 </w:t>
            </w:r>
          </w:p>
        </w:tc>
        <w:tc>
          <w:tcPr>
            <w:tcW w:w="102" w:type="pct"/>
            <w:tcBorders>
              <w:top w:val="nil"/>
              <w:left w:val="nil"/>
              <w:bottom w:val="nil"/>
              <w:right w:val="nil"/>
            </w:tcBorders>
            <w:shd w:val="clear" w:color="auto" w:fill="auto"/>
            <w:noWrap/>
            <w:vAlign w:val="center"/>
            <w:hideMark/>
          </w:tcPr>
          <w:p w14:paraId="100FC24D"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p>
        </w:tc>
        <w:tc>
          <w:tcPr>
            <w:tcW w:w="855" w:type="pct"/>
            <w:tcBorders>
              <w:top w:val="nil"/>
              <w:left w:val="nil"/>
              <w:bottom w:val="nil"/>
              <w:right w:val="nil"/>
            </w:tcBorders>
            <w:shd w:val="clear" w:color="auto" w:fill="auto"/>
            <w:noWrap/>
            <w:vAlign w:val="center"/>
            <w:hideMark/>
          </w:tcPr>
          <w:p w14:paraId="479DAB3C" w14:textId="77777777" w:rsidR="00737408" w:rsidRPr="00737408" w:rsidRDefault="00737408" w:rsidP="00737408">
            <w:pPr>
              <w:spacing w:after="0" w:line="240" w:lineRule="auto"/>
              <w:jc w:val="right"/>
              <w:rPr>
                <w:rFonts w:ascii="Segoe UI" w:eastAsia="Times New Roman" w:hAnsi="Segoe UI" w:cs="Segoe UI"/>
                <w:color w:val="000000"/>
                <w:sz w:val="18"/>
                <w:szCs w:val="18"/>
                <w:lang w:eastAsia="pt-BR"/>
              </w:rPr>
            </w:pPr>
            <w:r w:rsidRPr="00737408">
              <w:rPr>
                <w:rFonts w:ascii="Segoe UI" w:eastAsia="Times New Roman" w:hAnsi="Segoe UI" w:cs="Segoe UI"/>
                <w:color w:val="000000"/>
                <w:sz w:val="18"/>
                <w:szCs w:val="18"/>
                <w:lang w:eastAsia="pt-BR"/>
              </w:rPr>
              <w:t>5.315.400</w:t>
            </w:r>
          </w:p>
        </w:tc>
      </w:tr>
    </w:tbl>
    <w:p w14:paraId="0A95D158" w14:textId="5FDCCA7E" w:rsidR="00DB59B8" w:rsidRPr="000757BC" w:rsidRDefault="00DB59B8" w:rsidP="004A1E74">
      <w:pPr>
        <w:rPr>
          <w:rFonts w:ascii="Segoe UI" w:hAnsi="Segoe UI" w:cs="Segoe UI"/>
          <w:noProof/>
          <w:lang w:eastAsia="pt-BR"/>
        </w:rPr>
      </w:pPr>
    </w:p>
    <w:p w14:paraId="18E1FFF3" w14:textId="6DCB376D" w:rsidR="007D718C" w:rsidRPr="00515246" w:rsidRDefault="007D718C" w:rsidP="00545B0A">
      <w:pPr>
        <w:spacing w:before="240" w:after="120"/>
        <w:jc w:val="both"/>
        <w:rPr>
          <w:rFonts w:ascii="Segoe UI" w:hAnsi="Segoe UI" w:cs="Segoe UI"/>
        </w:rPr>
      </w:pPr>
      <w:r w:rsidRPr="00515246">
        <w:rPr>
          <w:rFonts w:ascii="Segoe UI" w:hAnsi="Segoe UI" w:cs="Segoe UI"/>
        </w:rPr>
        <w:t xml:space="preserve">Conforme descrito na </w:t>
      </w:r>
      <w:r w:rsidR="00D5058F">
        <w:rPr>
          <w:rFonts w:ascii="Segoe UI" w:hAnsi="Segoe UI" w:cs="Segoe UI"/>
        </w:rPr>
        <w:t>N</w:t>
      </w:r>
      <w:r w:rsidRPr="00515246">
        <w:rPr>
          <w:rFonts w:ascii="Segoe UI" w:hAnsi="Segoe UI" w:cs="Segoe UI"/>
        </w:rPr>
        <w:t>ota</w:t>
      </w:r>
      <w:r w:rsidR="00AC42F1" w:rsidRPr="00AC42F1">
        <w:rPr>
          <w:rFonts w:ascii="Segoe UI" w:hAnsi="Segoe UI" w:cs="Segoe UI"/>
        </w:rPr>
        <w:t xml:space="preserve"> </w:t>
      </w:r>
      <w:r w:rsidR="00AC42F1">
        <w:rPr>
          <w:rFonts w:ascii="Segoe UI" w:hAnsi="Segoe UI" w:cs="Segoe UI"/>
        </w:rPr>
        <w:t>explicativa</w:t>
      </w:r>
      <w:r w:rsidRPr="00515246">
        <w:rPr>
          <w:rFonts w:ascii="Segoe UI" w:hAnsi="Segoe UI" w:cs="Segoe UI"/>
        </w:rPr>
        <w:t xml:space="preserve"> 1, </w:t>
      </w:r>
      <w:r w:rsidR="00227C33" w:rsidRPr="00515246">
        <w:rPr>
          <w:rFonts w:ascii="Segoe UI" w:hAnsi="Segoe UI" w:cs="Segoe UI"/>
        </w:rPr>
        <w:t>a</w:t>
      </w:r>
      <w:r w:rsidRPr="00515246">
        <w:rPr>
          <w:rFonts w:ascii="Segoe UI" w:hAnsi="Segoe UI" w:cs="Segoe UI"/>
        </w:rPr>
        <w:t xml:space="preserve"> </w:t>
      </w:r>
      <w:r w:rsidR="00B44937">
        <w:rPr>
          <w:rFonts w:ascii="Segoe UI" w:hAnsi="Segoe UI" w:cs="Segoe UI"/>
        </w:rPr>
        <w:t xml:space="preserve">INB </w:t>
      </w:r>
      <w:r w:rsidRPr="00515246">
        <w:rPr>
          <w:rFonts w:ascii="Segoe UI" w:hAnsi="Segoe UI" w:cs="Segoe UI"/>
        </w:rPr>
        <w:t>está exposta ao risco de crédito, em função da baixa distribuição de sua carteira de clientes</w:t>
      </w:r>
      <w:r w:rsidR="00FA4206" w:rsidRPr="00515246">
        <w:rPr>
          <w:rFonts w:ascii="Segoe UI" w:hAnsi="Segoe UI" w:cs="Segoe UI"/>
        </w:rPr>
        <w:t>, que</w:t>
      </w:r>
      <w:r w:rsidRPr="00515246">
        <w:rPr>
          <w:rFonts w:ascii="Segoe UI" w:hAnsi="Segoe UI" w:cs="Segoe UI"/>
        </w:rPr>
        <w:t xml:space="preserve"> concentra 95% de seu faturamento próprio em um único cliente, a Eletronuclear. Na gestão deste risco a Companhia tem realizado interações junto à própria Eletronuclear, ao </w:t>
      </w:r>
      <w:r w:rsidR="00E12B51">
        <w:rPr>
          <w:rFonts w:ascii="Segoe UI" w:hAnsi="Segoe UI" w:cs="Segoe UI"/>
        </w:rPr>
        <w:t>MME</w:t>
      </w:r>
      <w:r w:rsidRPr="00515246">
        <w:rPr>
          <w:rFonts w:ascii="Segoe UI" w:hAnsi="Segoe UI" w:cs="Segoe UI"/>
        </w:rPr>
        <w:t xml:space="preserve"> e à ANEEL, de forma a garantir o recebimento dos valores faturados em dia.</w:t>
      </w:r>
    </w:p>
    <w:p w14:paraId="3124D822" w14:textId="281A4F61" w:rsidR="007D718C" w:rsidRPr="00515246" w:rsidRDefault="007D718C" w:rsidP="00545B0A">
      <w:pPr>
        <w:spacing w:before="240" w:after="120"/>
        <w:jc w:val="both"/>
        <w:rPr>
          <w:rFonts w:ascii="Segoe UI" w:hAnsi="Segoe UI" w:cs="Segoe UI"/>
        </w:rPr>
      </w:pPr>
      <w:r w:rsidRPr="00515246">
        <w:rPr>
          <w:rFonts w:ascii="Segoe UI" w:hAnsi="Segoe UI" w:cs="Segoe UI"/>
        </w:rPr>
        <w:t>Dentro das ações para a expansão da carteira de clientes destaca-se a implantação, ora em curso, do Projeto Santa Quitéria em parceria com a iniciativa privada, o qual permitirá à INB ofertar excedente de Concentrado de Urânio ao mercado internacional. Outra frente de ampliação da carteira de clientes está na prestação de serviços de engenharia para diversas empresas no exterior, vendas de bocais inferiores e superiores de Elementos Combustíveis (</w:t>
      </w:r>
      <w:r w:rsidR="005F7FC6">
        <w:rPr>
          <w:rFonts w:ascii="Segoe UI" w:hAnsi="Segoe UI" w:cs="Segoe UI"/>
        </w:rPr>
        <w:t>“</w:t>
      </w:r>
      <w:r w:rsidRPr="00515246">
        <w:rPr>
          <w:rFonts w:ascii="Segoe UI" w:hAnsi="Segoe UI" w:cs="Segoe UI"/>
        </w:rPr>
        <w:t>EC</w:t>
      </w:r>
      <w:r w:rsidR="005F7FC6">
        <w:rPr>
          <w:rFonts w:ascii="Segoe UI" w:hAnsi="Segoe UI" w:cs="Segoe UI"/>
        </w:rPr>
        <w:t>”</w:t>
      </w:r>
      <w:r w:rsidRPr="00515246">
        <w:rPr>
          <w:rFonts w:ascii="Segoe UI" w:hAnsi="Segoe UI" w:cs="Segoe UI"/>
        </w:rPr>
        <w:t>) para a</w:t>
      </w:r>
      <w:r w:rsidR="00D5058F">
        <w:rPr>
          <w:rFonts w:ascii="Segoe UI" w:hAnsi="Segoe UI" w:cs="Segoe UI"/>
        </w:rPr>
        <w:t>s</w:t>
      </w:r>
      <w:r w:rsidR="005F7FC6">
        <w:rPr>
          <w:rFonts w:ascii="Segoe UI" w:hAnsi="Segoe UI" w:cs="Segoe UI"/>
        </w:rPr>
        <w:t xml:space="preserve"> empresas</w:t>
      </w:r>
      <w:r w:rsidRPr="00515246">
        <w:rPr>
          <w:rFonts w:ascii="Segoe UI" w:hAnsi="Segoe UI" w:cs="Segoe UI"/>
        </w:rPr>
        <w:t xml:space="preserve"> KNF - Korea e de urânio enriquecido para a CONUAR - Argentina.</w:t>
      </w:r>
    </w:p>
    <w:p w14:paraId="6D8460EF" w14:textId="77777777" w:rsidR="007D718C" w:rsidRPr="000757BC" w:rsidRDefault="007D718C" w:rsidP="00545B0A">
      <w:pPr>
        <w:spacing w:before="240" w:after="120"/>
        <w:jc w:val="both"/>
        <w:rPr>
          <w:rFonts w:ascii="Segoe UI" w:hAnsi="Segoe UI" w:cs="Segoe UI"/>
        </w:rPr>
      </w:pPr>
      <w:r w:rsidRPr="00515246">
        <w:rPr>
          <w:rFonts w:ascii="Segoe UI" w:hAnsi="Segoe UI" w:cs="Segoe UI"/>
        </w:rPr>
        <w:t>A INB não realiza operações de desconto ou captação de crédito no sistema bancário.</w:t>
      </w:r>
    </w:p>
    <w:p w14:paraId="308CC86E" w14:textId="139B3030" w:rsidR="006009AC" w:rsidRPr="000757BC" w:rsidRDefault="00AD7D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6009AC" w:rsidRPr="000757BC">
        <w:rPr>
          <w:rFonts w:ascii="Segoe UI" w:hAnsi="Segoe UI" w:cs="Segoe UI"/>
          <w:b/>
          <w:bCs/>
          <w:color w:val="0070C0"/>
        </w:rPr>
        <w:t>.3.4 - Risco de liquidez</w:t>
      </w:r>
    </w:p>
    <w:p w14:paraId="23F1E4ED" w14:textId="6ADCC5F4" w:rsidR="006009AC" w:rsidRPr="000757BC" w:rsidRDefault="006009AC" w:rsidP="00545B0A">
      <w:pPr>
        <w:spacing w:before="240" w:after="120"/>
        <w:jc w:val="both"/>
        <w:rPr>
          <w:rFonts w:ascii="Segoe UI" w:hAnsi="Segoe UI" w:cs="Segoe UI"/>
        </w:rPr>
      </w:pPr>
      <w:r w:rsidRPr="000757BC">
        <w:rPr>
          <w:rFonts w:ascii="Segoe UI" w:hAnsi="Segoe UI" w:cs="Segoe UI"/>
        </w:rPr>
        <w:t xml:space="preserve">As necessidades de liquidez da Companhia </w:t>
      </w:r>
      <w:r w:rsidR="00534AB8">
        <w:rPr>
          <w:rFonts w:ascii="Segoe UI" w:hAnsi="Segoe UI" w:cs="Segoe UI"/>
        </w:rPr>
        <w:t xml:space="preserve">e suas controladas </w:t>
      </w:r>
      <w:r w:rsidRPr="000757BC">
        <w:rPr>
          <w:rFonts w:ascii="Segoe UI" w:hAnsi="Segoe UI" w:cs="Segoe UI"/>
        </w:rPr>
        <w:t>são de responsabilidade das</w:t>
      </w:r>
      <w:r w:rsidR="00534AB8">
        <w:rPr>
          <w:rFonts w:ascii="Segoe UI" w:hAnsi="Segoe UI" w:cs="Segoe UI"/>
        </w:rPr>
        <w:t xml:space="preserve"> suas respectivas</w:t>
      </w:r>
      <w:r w:rsidRPr="000757BC">
        <w:rPr>
          <w:rFonts w:ascii="Segoe UI" w:hAnsi="Segoe UI" w:cs="Segoe UI"/>
        </w:rPr>
        <w:t xml:space="preserve"> áreas financeira</w:t>
      </w:r>
      <w:r w:rsidR="00534AB8">
        <w:rPr>
          <w:rFonts w:ascii="Segoe UI" w:hAnsi="Segoe UI" w:cs="Segoe UI"/>
        </w:rPr>
        <w:t>s</w:t>
      </w:r>
      <w:r w:rsidRPr="000757BC">
        <w:rPr>
          <w:rFonts w:ascii="Segoe UI" w:hAnsi="Segoe UI" w:cs="Segoe UI"/>
        </w:rPr>
        <w:t xml:space="preserve">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58AAF8F" w14:textId="6F010D63" w:rsidR="006009AC" w:rsidRPr="000757BC" w:rsidRDefault="006009AC" w:rsidP="00545B0A">
      <w:pPr>
        <w:spacing w:before="240" w:after="120"/>
        <w:jc w:val="both"/>
        <w:rPr>
          <w:rFonts w:ascii="Segoe UI" w:hAnsi="Segoe UI" w:cs="Segoe UI"/>
        </w:rPr>
      </w:pPr>
      <w:r w:rsidRPr="000757BC">
        <w:rPr>
          <w:rFonts w:ascii="Segoe UI" w:hAnsi="Segoe UI" w:cs="Segoe UI"/>
        </w:rPr>
        <w:t xml:space="preserve">A administração da </w:t>
      </w:r>
      <w:r w:rsidR="00397D36" w:rsidRPr="000757BC">
        <w:rPr>
          <w:rFonts w:ascii="Segoe UI" w:hAnsi="Segoe UI" w:cs="Segoe UI"/>
        </w:rPr>
        <w:t>Companhia</w:t>
      </w:r>
      <w:r w:rsidRPr="000757BC">
        <w:rPr>
          <w:rFonts w:ascii="Segoe UI" w:hAnsi="Segoe UI" w:cs="Segoe UI"/>
        </w:rPr>
        <w:t xml:space="preserve"> </w:t>
      </w:r>
      <w:r w:rsidR="00901054">
        <w:rPr>
          <w:rFonts w:ascii="Segoe UI" w:hAnsi="Segoe UI" w:cs="Segoe UI"/>
        </w:rPr>
        <w:t xml:space="preserve">e </w:t>
      </w:r>
      <w:r w:rsidR="005F7FC6">
        <w:rPr>
          <w:rFonts w:ascii="Segoe UI" w:hAnsi="Segoe UI" w:cs="Segoe UI"/>
        </w:rPr>
        <w:t xml:space="preserve">das </w:t>
      </w:r>
      <w:r w:rsidR="00901054">
        <w:rPr>
          <w:rFonts w:ascii="Segoe UI" w:hAnsi="Segoe UI" w:cs="Segoe UI"/>
        </w:rPr>
        <w:t xml:space="preserve">suas </w:t>
      </w:r>
      <w:r w:rsidR="00546002">
        <w:rPr>
          <w:rFonts w:ascii="Segoe UI" w:hAnsi="Segoe UI" w:cs="Segoe UI"/>
        </w:rPr>
        <w:t>controlada</w:t>
      </w:r>
      <w:r w:rsidR="00901054">
        <w:rPr>
          <w:rFonts w:ascii="Segoe UI" w:hAnsi="Segoe UI" w:cs="Segoe UI"/>
        </w:rPr>
        <w:t xml:space="preserve">s </w:t>
      </w:r>
      <w:r w:rsidRPr="000757BC">
        <w:rPr>
          <w:rFonts w:ascii="Segoe UI" w:hAnsi="Segoe UI" w:cs="Segoe UI"/>
        </w:rPr>
        <w:t xml:space="preserve">entende que os riscos de liquidez corrente estão administrados. O índice de liquidez geral está afetado pelos financiamentos das obras da </w:t>
      </w:r>
      <w:r w:rsidR="0023401C">
        <w:rPr>
          <w:rFonts w:ascii="Segoe UI" w:hAnsi="Segoe UI" w:cs="Segoe UI"/>
        </w:rPr>
        <w:t>u</w:t>
      </w:r>
      <w:r w:rsidRPr="000757BC">
        <w:rPr>
          <w:rFonts w:ascii="Segoe UI" w:hAnsi="Segoe UI" w:cs="Segoe UI"/>
        </w:rPr>
        <w:t xml:space="preserve">sina Angra 3, cuja entrada em operação, aprovada internamente, tem como cronograma o início de geração de receita a partir de </w:t>
      </w:r>
      <w:r w:rsidR="00E522D6">
        <w:rPr>
          <w:rFonts w:ascii="Segoe UI" w:hAnsi="Segoe UI" w:cs="Segoe UI"/>
        </w:rPr>
        <w:t>2029.</w:t>
      </w:r>
    </w:p>
    <w:p w14:paraId="047DB2DB" w14:textId="69CC45D7" w:rsidR="006009AC" w:rsidRDefault="006009AC" w:rsidP="00545B0A">
      <w:pPr>
        <w:spacing w:before="240" w:after="120"/>
        <w:jc w:val="both"/>
        <w:rPr>
          <w:rFonts w:ascii="Segoe UI" w:hAnsi="Segoe UI" w:cs="Segoe UI"/>
        </w:rPr>
      </w:pPr>
      <w:r w:rsidRPr="000757BC">
        <w:rPr>
          <w:rFonts w:ascii="Segoe UI" w:hAnsi="Segoe UI" w:cs="Segoe UI"/>
        </w:rPr>
        <w:t>A tabela abaixo analisa os passivos financeiros da</w:t>
      </w:r>
      <w:r w:rsidR="0014417D" w:rsidRPr="000757BC">
        <w:rPr>
          <w:rFonts w:ascii="Segoe UI" w:hAnsi="Segoe UI" w:cs="Segoe UI"/>
        </w:rPr>
        <w:t xml:space="preserve"> </w:t>
      </w:r>
      <w:r w:rsidR="00E52006" w:rsidRPr="000757BC">
        <w:rPr>
          <w:rFonts w:ascii="Segoe UI" w:hAnsi="Segoe UI" w:cs="Segoe UI"/>
        </w:rPr>
        <w:t xml:space="preserve">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 xml:space="preserve">por faixas de vencimento, correspondentes ao período remanescente no balanço patrimonial até a data </w:t>
      </w:r>
      <w:r w:rsidRPr="000757BC">
        <w:rPr>
          <w:rFonts w:ascii="Segoe UI" w:hAnsi="Segoe UI" w:cs="Segoe UI"/>
        </w:rPr>
        <w:lastRenderedPageBreak/>
        <w:t>contratual do vencimento. O vencimento contratual baseia-se na data mais recente em que deve</w:t>
      </w:r>
      <w:r w:rsidR="0014417D" w:rsidRPr="000757BC">
        <w:rPr>
          <w:rFonts w:ascii="Segoe UI" w:hAnsi="Segoe UI" w:cs="Segoe UI"/>
        </w:rPr>
        <w:t xml:space="preserve">m ser quitadas as </w:t>
      </w:r>
      <w:r w:rsidRPr="000757BC">
        <w:rPr>
          <w:rFonts w:ascii="Segoe UI" w:hAnsi="Segoe UI" w:cs="Segoe UI"/>
        </w:rPr>
        <w:t>obrigações e inclui os respectivos juros contratuais relacionados, quando aplicável. Os valores divulgados no quadro são os fluxos de caixa não descontados contratados:</w:t>
      </w:r>
    </w:p>
    <w:tbl>
      <w:tblPr>
        <w:tblW w:w="5000" w:type="pct"/>
        <w:tblCellMar>
          <w:left w:w="70" w:type="dxa"/>
          <w:right w:w="70" w:type="dxa"/>
        </w:tblCellMar>
        <w:tblLook w:val="04A0" w:firstRow="1" w:lastRow="0" w:firstColumn="1" w:lastColumn="0" w:noHBand="0" w:noVBand="1"/>
      </w:tblPr>
      <w:tblGrid>
        <w:gridCol w:w="3692"/>
        <w:gridCol w:w="1121"/>
        <w:gridCol w:w="1219"/>
        <w:gridCol w:w="1012"/>
        <w:gridCol w:w="1334"/>
        <w:gridCol w:w="1119"/>
      </w:tblGrid>
      <w:tr w:rsidR="00F56D39" w:rsidRPr="00F56D39" w14:paraId="4E8038AB" w14:textId="77777777" w:rsidTr="00C81535">
        <w:trPr>
          <w:trHeight w:val="720"/>
        </w:trPr>
        <w:tc>
          <w:tcPr>
            <w:tcW w:w="1944" w:type="pct"/>
            <w:tcBorders>
              <w:top w:val="nil"/>
              <w:left w:val="nil"/>
              <w:bottom w:val="nil"/>
              <w:right w:val="nil"/>
            </w:tcBorders>
            <w:shd w:val="clear" w:color="000000" w:fill="1B80C4"/>
            <w:noWrap/>
            <w:vAlign w:val="center"/>
            <w:hideMark/>
          </w:tcPr>
          <w:p w14:paraId="1C164CAB" w14:textId="77777777" w:rsidR="00F56D39" w:rsidRPr="00F56D39" w:rsidRDefault="00F56D39" w:rsidP="00F56D39">
            <w:pPr>
              <w:spacing w:after="0" w:line="240" w:lineRule="auto"/>
              <w:rPr>
                <w:rFonts w:ascii="Segoe UI" w:eastAsia="Times New Roman" w:hAnsi="Segoe UI" w:cs="Segoe UI"/>
                <w:b/>
                <w:bCs/>
                <w:color w:val="FFFFFF"/>
                <w:sz w:val="18"/>
                <w:szCs w:val="18"/>
                <w:lang w:eastAsia="pt-BR"/>
              </w:rPr>
            </w:pPr>
            <w:r w:rsidRPr="00F56D39">
              <w:rPr>
                <w:rFonts w:ascii="Segoe UI" w:eastAsia="Times New Roman" w:hAnsi="Segoe UI" w:cs="Segoe UI"/>
                <w:b/>
                <w:bCs/>
                <w:color w:val="FFFFFF"/>
                <w:sz w:val="18"/>
                <w:szCs w:val="18"/>
                <w:lang w:eastAsia="pt-BR"/>
              </w:rPr>
              <w:t>PASSIVOS FINANCEIROS</w:t>
            </w:r>
          </w:p>
        </w:tc>
        <w:tc>
          <w:tcPr>
            <w:tcW w:w="590" w:type="pct"/>
            <w:tcBorders>
              <w:top w:val="nil"/>
              <w:left w:val="nil"/>
              <w:bottom w:val="nil"/>
              <w:right w:val="nil"/>
            </w:tcBorders>
            <w:shd w:val="clear" w:color="000000" w:fill="1B80C4"/>
            <w:noWrap/>
            <w:vAlign w:val="center"/>
            <w:hideMark/>
          </w:tcPr>
          <w:p w14:paraId="1E87F6CB" w14:textId="77777777" w:rsidR="00F56D39" w:rsidRPr="00F56D39" w:rsidRDefault="00F56D39" w:rsidP="00F56D39">
            <w:pPr>
              <w:spacing w:after="0" w:line="240" w:lineRule="auto"/>
              <w:jc w:val="center"/>
              <w:rPr>
                <w:rFonts w:ascii="Segoe UI" w:eastAsia="Times New Roman" w:hAnsi="Segoe UI" w:cs="Segoe UI"/>
                <w:color w:val="FFFFFF"/>
                <w:sz w:val="18"/>
                <w:szCs w:val="18"/>
                <w:lang w:eastAsia="pt-BR"/>
              </w:rPr>
            </w:pPr>
            <w:r w:rsidRPr="00F56D39">
              <w:rPr>
                <w:rFonts w:ascii="Segoe UI" w:eastAsia="Times New Roman" w:hAnsi="Segoe UI" w:cs="Segoe UI"/>
                <w:color w:val="FFFFFF"/>
                <w:sz w:val="18"/>
                <w:szCs w:val="18"/>
                <w:lang w:eastAsia="pt-BR"/>
              </w:rPr>
              <w:t>Até 1 ano</w:t>
            </w:r>
          </w:p>
        </w:tc>
        <w:tc>
          <w:tcPr>
            <w:tcW w:w="642" w:type="pct"/>
            <w:tcBorders>
              <w:top w:val="nil"/>
              <w:left w:val="nil"/>
              <w:bottom w:val="nil"/>
              <w:right w:val="nil"/>
            </w:tcBorders>
            <w:shd w:val="clear" w:color="000000" w:fill="1B80C4"/>
            <w:noWrap/>
            <w:vAlign w:val="center"/>
            <w:hideMark/>
          </w:tcPr>
          <w:p w14:paraId="611385D6" w14:textId="77777777" w:rsidR="00F56D39" w:rsidRPr="00F56D39" w:rsidRDefault="00F56D39" w:rsidP="00F56D39">
            <w:pPr>
              <w:spacing w:after="0" w:line="240" w:lineRule="auto"/>
              <w:jc w:val="center"/>
              <w:rPr>
                <w:rFonts w:ascii="Segoe UI" w:eastAsia="Times New Roman" w:hAnsi="Segoe UI" w:cs="Segoe UI"/>
                <w:color w:val="FFFFFF"/>
                <w:sz w:val="18"/>
                <w:szCs w:val="18"/>
                <w:lang w:eastAsia="pt-BR"/>
              </w:rPr>
            </w:pPr>
            <w:r w:rsidRPr="00F56D39">
              <w:rPr>
                <w:rFonts w:ascii="Segoe UI" w:eastAsia="Times New Roman" w:hAnsi="Segoe UI" w:cs="Segoe UI"/>
                <w:color w:val="FFFFFF"/>
                <w:sz w:val="18"/>
                <w:szCs w:val="18"/>
                <w:lang w:eastAsia="pt-BR"/>
              </w:rPr>
              <w:t>De 1 a 2 anos</w:t>
            </w:r>
          </w:p>
        </w:tc>
        <w:tc>
          <w:tcPr>
            <w:tcW w:w="533" w:type="pct"/>
            <w:tcBorders>
              <w:top w:val="nil"/>
              <w:left w:val="nil"/>
              <w:bottom w:val="nil"/>
              <w:right w:val="nil"/>
            </w:tcBorders>
            <w:shd w:val="clear" w:color="000000" w:fill="1B80C4"/>
            <w:vAlign w:val="center"/>
            <w:hideMark/>
          </w:tcPr>
          <w:p w14:paraId="45025682" w14:textId="77777777" w:rsidR="00F56D39" w:rsidRPr="00F56D39" w:rsidRDefault="00F56D39" w:rsidP="00F56D39">
            <w:pPr>
              <w:spacing w:after="0" w:line="240" w:lineRule="auto"/>
              <w:jc w:val="center"/>
              <w:rPr>
                <w:rFonts w:ascii="Segoe UI" w:eastAsia="Times New Roman" w:hAnsi="Segoe UI" w:cs="Segoe UI"/>
                <w:color w:val="FFFFFF"/>
                <w:sz w:val="18"/>
                <w:szCs w:val="18"/>
                <w:lang w:eastAsia="pt-BR"/>
              </w:rPr>
            </w:pPr>
            <w:r w:rsidRPr="00F56D39">
              <w:rPr>
                <w:rFonts w:ascii="Segoe UI" w:eastAsia="Times New Roman" w:hAnsi="Segoe UI" w:cs="Segoe UI"/>
                <w:color w:val="FFFFFF"/>
                <w:sz w:val="18"/>
                <w:szCs w:val="18"/>
                <w:lang w:eastAsia="pt-BR"/>
              </w:rPr>
              <w:t>De 2 a 5 anos</w:t>
            </w:r>
          </w:p>
        </w:tc>
        <w:tc>
          <w:tcPr>
            <w:tcW w:w="702" w:type="pct"/>
            <w:tcBorders>
              <w:top w:val="nil"/>
              <w:left w:val="nil"/>
              <w:bottom w:val="nil"/>
              <w:right w:val="nil"/>
            </w:tcBorders>
            <w:shd w:val="clear" w:color="000000" w:fill="1B80C4"/>
            <w:noWrap/>
            <w:vAlign w:val="center"/>
            <w:hideMark/>
          </w:tcPr>
          <w:p w14:paraId="05BD850F" w14:textId="77777777" w:rsidR="00F56D39" w:rsidRPr="00F56D39" w:rsidRDefault="00F56D39" w:rsidP="00F56D39">
            <w:pPr>
              <w:spacing w:after="0" w:line="240" w:lineRule="auto"/>
              <w:jc w:val="center"/>
              <w:rPr>
                <w:rFonts w:ascii="Segoe UI" w:eastAsia="Times New Roman" w:hAnsi="Segoe UI" w:cs="Segoe UI"/>
                <w:color w:val="FFFFFF"/>
                <w:sz w:val="18"/>
                <w:szCs w:val="18"/>
                <w:lang w:eastAsia="pt-BR"/>
              </w:rPr>
            </w:pPr>
            <w:r w:rsidRPr="00F56D39">
              <w:rPr>
                <w:rFonts w:ascii="Segoe UI" w:eastAsia="Times New Roman" w:hAnsi="Segoe UI" w:cs="Segoe UI"/>
                <w:color w:val="FFFFFF"/>
                <w:sz w:val="18"/>
                <w:szCs w:val="18"/>
                <w:lang w:eastAsia="pt-BR"/>
              </w:rPr>
              <w:t>Mais de 5 anos</w:t>
            </w:r>
          </w:p>
        </w:tc>
        <w:tc>
          <w:tcPr>
            <w:tcW w:w="589" w:type="pct"/>
            <w:tcBorders>
              <w:top w:val="nil"/>
              <w:left w:val="nil"/>
              <w:bottom w:val="nil"/>
              <w:right w:val="nil"/>
            </w:tcBorders>
            <w:shd w:val="clear" w:color="000000" w:fill="1B80C4"/>
            <w:noWrap/>
            <w:vAlign w:val="center"/>
            <w:hideMark/>
          </w:tcPr>
          <w:p w14:paraId="52A63D08" w14:textId="77777777" w:rsidR="00F56D39" w:rsidRPr="00F56D39" w:rsidRDefault="00F56D39" w:rsidP="00F56D39">
            <w:pPr>
              <w:spacing w:after="0" w:line="240" w:lineRule="auto"/>
              <w:jc w:val="center"/>
              <w:rPr>
                <w:rFonts w:ascii="Segoe UI" w:eastAsia="Times New Roman" w:hAnsi="Segoe UI" w:cs="Segoe UI"/>
                <w:color w:val="FFFFFF"/>
                <w:sz w:val="18"/>
                <w:szCs w:val="18"/>
                <w:lang w:eastAsia="pt-BR"/>
              </w:rPr>
            </w:pPr>
            <w:r w:rsidRPr="00F56D39">
              <w:rPr>
                <w:rFonts w:ascii="Segoe UI" w:eastAsia="Times New Roman" w:hAnsi="Segoe UI" w:cs="Segoe UI"/>
                <w:color w:val="FFFFFF"/>
                <w:sz w:val="18"/>
                <w:szCs w:val="18"/>
                <w:lang w:eastAsia="pt-BR"/>
              </w:rPr>
              <w:t>Total</w:t>
            </w:r>
          </w:p>
        </w:tc>
      </w:tr>
      <w:tr w:rsidR="00F56D39" w:rsidRPr="00F56D39" w14:paraId="40EDDF13" w14:textId="77777777" w:rsidTr="00C81535">
        <w:trPr>
          <w:trHeight w:val="255"/>
        </w:trPr>
        <w:tc>
          <w:tcPr>
            <w:tcW w:w="1944" w:type="pct"/>
            <w:tcBorders>
              <w:top w:val="nil"/>
              <w:left w:val="nil"/>
              <w:bottom w:val="nil"/>
              <w:right w:val="nil"/>
            </w:tcBorders>
            <w:shd w:val="clear" w:color="auto" w:fill="auto"/>
            <w:noWrap/>
            <w:vAlign w:val="center"/>
            <w:hideMark/>
          </w:tcPr>
          <w:p w14:paraId="280ACD04"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r w:rsidRPr="00F56D39">
              <w:rPr>
                <w:rFonts w:ascii="Segoe UI" w:eastAsia="Times New Roman" w:hAnsi="Segoe UI" w:cs="Segoe UI"/>
                <w:b/>
                <w:bCs/>
                <w:color w:val="000000"/>
                <w:sz w:val="18"/>
                <w:szCs w:val="18"/>
                <w:lang w:eastAsia="pt-BR"/>
              </w:rPr>
              <w:t>Mensurados ao custo amortizado</w:t>
            </w:r>
          </w:p>
        </w:tc>
        <w:tc>
          <w:tcPr>
            <w:tcW w:w="590" w:type="pct"/>
            <w:tcBorders>
              <w:top w:val="nil"/>
              <w:left w:val="nil"/>
              <w:bottom w:val="nil"/>
              <w:right w:val="nil"/>
            </w:tcBorders>
            <w:shd w:val="clear" w:color="auto" w:fill="auto"/>
            <w:noWrap/>
            <w:vAlign w:val="center"/>
            <w:hideMark/>
          </w:tcPr>
          <w:p w14:paraId="4167E493" w14:textId="77777777" w:rsidR="00F56D39" w:rsidRPr="00F56D39" w:rsidRDefault="00F56D39" w:rsidP="00F56D39">
            <w:pPr>
              <w:spacing w:after="0" w:line="240" w:lineRule="auto"/>
              <w:rPr>
                <w:rFonts w:ascii="Segoe UI" w:eastAsia="Times New Roman" w:hAnsi="Segoe UI" w:cs="Segoe UI"/>
                <w:b/>
                <w:bCs/>
                <w:color w:val="000000"/>
                <w:sz w:val="18"/>
                <w:szCs w:val="18"/>
                <w:lang w:eastAsia="pt-BR"/>
              </w:rPr>
            </w:pPr>
          </w:p>
        </w:tc>
        <w:tc>
          <w:tcPr>
            <w:tcW w:w="642" w:type="pct"/>
            <w:tcBorders>
              <w:top w:val="nil"/>
              <w:left w:val="nil"/>
              <w:bottom w:val="nil"/>
              <w:right w:val="nil"/>
            </w:tcBorders>
            <w:shd w:val="clear" w:color="auto" w:fill="auto"/>
            <w:noWrap/>
            <w:vAlign w:val="center"/>
            <w:hideMark/>
          </w:tcPr>
          <w:p w14:paraId="49B8B83D"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533" w:type="pct"/>
            <w:tcBorders>
              <w:top w:val="nil"/>
              <w:left w:val="nil"/>
              <w:bottom w:val="nil"/>
              <w:right w:val="nil"/>
            </w:tcBorders>
            <w:shd w:val="clear" w:color="auto" w:fill="auto"/>
            <w:noWrap/>
            <w:vAlign w:val="center"/>
            <w:hideMark/>
          </w:tcPr>
          <w:p w14:paraId="4E80D806"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shd w:val="clear" w:color="auto" w:fill="auto"/>
            <w:noWrap/>
            <w:vAlign w:val="center"/>
            <w:hideMark/>
          </w:tcPr>
          <w:p w14:paraId="3FEC2C2E"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c>
          <w:tcPr>
            <w:tcW w:w="589" w:type="pct"/>
            <w:tcBorders>
              <w:top w:val="nil"/>
              <w:left w:val="nil"/>
              <w:bottom w:val="nil"/>
              <w:right w:val="nil"/>
            </w:tcBorders>
            <w:shd w:val="clear" w:color="auto" w:fill="auto"/>
            <w:noWrap/>
            <w:vAlign w:val="center"/>
            <w:hideMark/>
          </w:tcPr>
          <w:p w14:paraId="6267BDEC" w14:textId="77777777" w:rsidR="00F56D39" w:rsidRPr="00F56D39" w:rsidRDefault="00F56D39" w:rsidP="00F56D39">
            <w:pPr>
              <w:spacing w:after="0" w:line="240" w:lineRule="auto"/>
              <w:rPr>
                <w:rFonts w:ascii="Times New Roman" w:eastAsia="Times New Roman" w:hAnsi="Times New Roman" w:cs="Times New Roman"/>
                <w:sz w:val="20"/>
                <w:szCs w:val="20"/>
                <w:lang w:eastAsia="pt-BR"/>
              </w:rPr>
            </w:pPr>
          </w:p>
        </w:tc>
      </w:tr>
      <w:tr w:rsidR="00F56D39" w:rsidRPr="00F56D39" w14:paraId="05A642FA" w14:textId="77777777" w:rsidTr="00C81535">
        <w:trPr>
          <w:trHeight w:val="240"/>
        </w:trPr>
        <w:tc>
          <w:tcPr>
            <w:tcW w:w="1944" w:type="pct"/>
            <w:tcBorders>
              <w:top w:val="nil"/>
              <w:left w:val="nil"/>
              <w:bottom w:val="nil"/>
              <w:right w:val="nil"/>
            </w:tcBorders>
            <w:shd w:val="clear" w:color="auto" w:fill="auto"/>
            <w:noWrap/>
            <w:vAlign w:val="center"/>
            <w:hideMark/>
          </w:tcPr>
          <w:p w14:paraId="0093BBAA" w14:textId="77777777" w:rsidR="00F56D39" w:rsidRPr="00F56D39" w:rsidRDefault="00F56D39" w:rsidP="00F56D39">
            <w:pPr>
              <w:spacing w:after="0" w:line="240" w:lineRule="auto"/>
              <w:ind w:firstLineChars="100" w:firstLine="180"/>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Empréstimos e financiamentos</w:t>
            </w:r>
          </w:p>
        </w:tc>
        <w:tc>
          <w:tcPr>
            <w:tcW w:w="590" w:type="pct"/>
            <w:tcBorders>
              <w:top w:val="nil"/>
              <w:left w:val="nil"/>
              <w:bottom w:val="nil"/>
              <w:right w:val="nil"/>
            </w:tcBorders>
            <w:shd w:val="clear" w:color="auto" w:fill="auto"/>
            <w:noWrap/>
            <w:vAlign w:val="center"/>
            <w:hideMark/>
          </w:tcPr>
          <w:p w14:paraId="3E93217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414.435</w:t>
            </w:r>
          </w:p>
        </w:tc>
        <w:tc>
          <w:tcPr>
            <w:tcW w:w="642" w:type="pct"/>
            <w:tcBorders>
              <w:top w:val="nil"/>
              <w:left w:val="nil"/>
              <w:bottom w:val="nil"/>
              <w:right w:val="nil"/>
            </w:tcBorders>
            <w:shd w:val="clear" w:color="auto" w:fill="auto"/>
            <w:noWrap/>
            <w:vAlign w:val="center"/>
            <w:hideMark/>
          </w:tcPr>
          <w:p w14:paraId="2D78326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819.504</w:t>
            </w:r>
          </w:p>
        </w:tc>
        <w:tc>
          <w:tcPr>
            <w:tcW w:w="533" w:type="pct"/>
            <w:tcBorders>
              <w:top w:val="nil"/>
              <w:left w:val="nil"/>
              <w:bottom w:val="nil"/>
              <w:right w:val="nil"/>
            </w:tcBorders>
            <w:shd w:val="clear" w:color="auto" w:fill="auto"/>
            <w:noWrap/>
            <w:vAlign w:val="center"/>
            <w:hideMark/>
          </w:tcPr>
          <w:p w14:paraId="773303CA"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1.287.133</w:t>
            </w:r>
          </w:p>
        </w:tc>
        <w:tc>
          <w:tcPr>
            <w:tcW w:w="702" w:type="pct"/>
            <w:tcBorders>
              <w:top w:val="nil"/>
              <w:left w:val="nil"/>
              <w:bottom w:val="nil"/>
              <w:right w:val="nil"/>
            </w:tcBorders>
            <w:shd w:val="clear" w:color="auto" w:fill="auto"/>
            <w:noWrap/>
            <w:vAlign w:val="center"/>
            <w:hideMark/>
          </w:tcPr>
          <w:p w14:paraId="7B25632D"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4.611.547</w:t>
            </w:r>
          </w:p>
        </w:tc>
        <w:tc>
          <w:tcPr>
            <w:tcW w:w="589" w:type="pct"/>
            <w:tcBorders>
              <w:top w:val="nil"/>
              <w:left w:val="nil"/>
              <w:bottom w:val="nil"/>
              <w:right w:val="nil"/>
            </w:tcBorders>
            <w:shd w:val="clear" w:color="auto" w:fill="auto"/>
            <w:noWrap/>
            <w:vAlign w:val="center"/>
            <w:hideMark/>
          </w:tcPr>
          <w:p w14:paraId="645AACD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7.132.619</w:t>
            </w:r>
          </w:p>
        </w:tc>
      </w:tr>
      <w:tr w:rsidR="00F56D39" w:rsidRPr="00F56D39" w14:paraId="0642767B" w14:textId="77777777" w:rsidTr="00C81535">
        <w:trPr>
          <w:trHeight w:val="240"/>
        </w:trPr>
        <w:tc>
          <w:tcPr>
            <w:tcW w:w="1944" w:type="pct"/>
            <w:tcBorders>
              <w:top w:val="nil"/>
              <w:left w:val="nil"/>
              <w:bottom w:val="nil"/>
              <w:right w:val="nil"/>
            </w:tcBorders>
            <w:shd w:val="clear" w:color="auto" w:fill="auto"/>
            <w:noWrap/>
            <w:vAlign w:val="center"/>
            <w:hideMark/>
          </w:tcPr>
          <w:p w14:paraId="56641622" w14:textId="77777777" w:rsidR="00F56D39" w:rsidRPr="00F56D39" w:rsidRDefault="00F56D39" w:rsidP="00F56D39">
            <w:pPr>
              <w:spacing w:after="0" w:line="240" w:lineRule="auto"/>
              <w:ind w:firstLineChars="100" w:firstLine="180"/>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Fornecedores</w:t>
            </w:r>
          </w:p>
        </w:tc>
        <w:tc>
          <w:tcPr>
            <w:tcW w:w="590" w:type="pct"/>
            <w:tcBorders>
              <w:top w:val="nil"/>
              <w:left w:val="nil"/>
              <w:bottom w:val="nil"/>
              <w:right w:val="nil"/>
            </w:tcBorders>
            <w:shd w:val="clear" w:color="auto" w:fill="auto"/>
            <w:noWrap/>
            <w:vAlign w:val="center"/>
            <w:hideMark/>
          </w:tcPr>
          <w:p w14:paraId="58B201B9"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4.852.166</w:t>
            </w:r>
          </w:p>
        </w:tc>
        <w:tc>
          <w:tcPr>
            <w:tcW w:w="642" w:type="pct"/>
            <w:tcBorders>
              <w:top w:val="nil"/>
              <w:left w:val="nil"/>
              <w:bottom w:val="nil"/>
              <w:right w:val="nil"/>
            </w:tcBorders>
            <w:shd w:val="clear" w:color="auto" w:fill="auto"/>
            <w:noWrap/>
            <w:vAlign w:val="center"/>
            <w:hideMark/>
          </w:tcPr>
          <w:p w14:paraId="3FF8FB36"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w:t>
            </w:r>
          </w:p>
        </w:tc>
        <w:tc>
          <w:tcPr>
            <w:tcW w:w="533" w:type="pct"/>
            <w:tcBorders>
              <w:top w:val="nil"/>
              <w:left w:val="nil"/>
              <w:bottom w:val="nil"/>
              <w:right w:val="nil"/>
            </w:tcBorders>
            <w:shd w:val="clear" w:color="auto" w:fill="auto"/>
            <w:noWrap/>
            <w:vAlign w:val="center"/>
            <w:hideMark/>
          </w:tcPr>
          <w:p w14:paraId="4DCA1AC3"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w:t>
            </w:r>
          </w:p>
        </w:tc>
        <w:tc>
          <w:tcPr>
            <w:tcW w:w="702" w:type="pct"/>
            <w:tcBorders>
              <w:top w:val="nil"/>
              <w:left w:val="nil"/>
              <w:bottom w:val="nil"/>
              <w:right w:val="nil"/>
            </w:tcBorders>
            <w:shd w:val="clear" w:color="auto" w:fill="auto"/>
            <w:noWrap/>
            <w:vAlign w:val="center"/>
            <w:hideMark/>
          </w:tcPr>
          <w:p w14:paraId="5D718401"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w:t>
            </w:r>
          </w:p>
        </w:tc>
        <w:tc>
          <w:tcPr>
            <w:tcW w:w="589" w:type="pct"/>
            <w:tcBorders>
              <w:top w:val="nil"/>
              <w:left w:val="nil"/>
              <w:bottom w:val="nil"/>
              <w:right w:val="nil"/>
            </w:tcBorders>
            <w:shd w:val="clear" w:color="auto" w:fill="auto"/>
            <w:noWrap/>
            <w:vAlign w:val="center"/>
            <w:hideMark/>
          </w:tcPr>
          <w:p w14:paraId="66E1FA0B"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4.852.166</w:t>
            </w:r>
          </w:p>
        </w:tc>
      </w:tr>
      <w:tr w:rsidR="00F56D39" w:rsidRPr="00F56D39" w14:paraId="66933D5B" w14:textId="77777777" w:rsidTr="00C81535">
        <w:trPr>
          <w:trHeight w:val="255"/>
        </w:trPr>
        <w:tc>
          <w:tcPr>
            <w:tcW w:w="1944" w:type="pct"/>
            <w:tcBorders>
              <w:top w:val="nil"/>
              <w:left w:val="nil"/>
              <w:bottom w:val="nil"/>
              <w:right w:val="nil"/>
            </w:tcBorders>
            <w:shd w:val="clear" w:color="auto" w:fill="auto"/>
            <w:noWrap/>
            <w:vAlign w:val="center"/>
            <w:hideMark/>
          </w:tcPr>
          <w:p w14:paraId="3EC7F12D" w14:textId="77777777" w:rsidR="00F56D39" w:rsidRPr="00F56D39" w:rsidRDefault="00F56D39" w:rsidP="00F56D39">
            <w:pPr>
              <w:spacing w:after="0" w:line="240" w:lineRule="auto"/>
              <w:ind w:firstLineChars="100" w:firstLine="180"/>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Arrendamentos</w:t>
            </w:r>
          </w:p>
        </w:tc>
        <w:tc>
          <w:tcPr>
            <w:tcW w:w="590" w:type="pct"/>
            <w:tcBorders>
              <w:top w:val="nil"/>
              <w:left w:val="nil"/>
              <w:bottom w:val="nil"/>
              <w:right w:val="nil"/>
            </w:tcBorders>
            <w:shd w:val="clear" w:color="auto" w:fill="auto"/>
            <w:noWrap/>
            <w:vAlign w:val="center"/>
            <w:hideMark/>
          </w:tcPr>
          <w:p w14:paraId="177C106F"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27.645</w:t>
            </w:r>
          </w:p>
        </w:tc>
        <w:tc>
          <w:tcPr>
            <w:tcW w:w="642" w:type="pct"/>
            <w:tcBorders>
              <w:top w:val="nil"/>
              <w:left w:val="nil"/>
              <w:bottom w:val="nil"/>
              <w:right w:val="nil"/>
            </w:tcBorders>
            <w:shd w:val="clear" w:color="auto" w:fill="auto"/>
            <w:noWrap/>
            <w:vAlign w:val="center"/>
            <w:hideMark/>
          </w:tcPr>
          <w:p w14:paraId="0D8F37F0"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 xml:space="preserve">         58.773 </w:t>
            </w:r>
          </w:p>
        </w:tc>
        <w:tc>
          <w:tcPr>
            <w:tcW w:w="533" w:type="pct"/>
            <w:tcBorders>
              <w:top w:val="nil"/>
              <w:left w:val="nil"/>
              <w:bottom w:val="nil"/>
              <w:right w:val="nil"/>
            </w:tcBorders>
            <w:shd w:val="clear" w:color="auto" w:fill="auto"/>
            <w:noWrap/>
            <w:vAlign w:val="center"/>
            <w:hideMark/>
          </w:tcPr>
          <w:p w14:paraId="4A619BD9"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w:t>
            </w:r>
          </w:p>
        </w:tc>
        <w:tc>
          <w:tcPr>
            <w:tcW w:w="702" w:type="pct"/>
            <w:tcBorders>
              <w:top w:val="nil"/>
              <w:left w:val="nil"/>
              <w:bottom w:val="nil"/>
              <w:right w:val="nil"/>
            </w:tcBorders>
            <w:shd w:val="clear" w:color="auto" w:fill="auto"/>
            <w:noWrap/>
            <w:vAlign w:val="center"/>
            <w:hideMark/>
          </w:tcPr>
          <w:p w14:paraId="1DA4AD60"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w:t>
            </w:r>
          </w:p>
        </w:tc>
        <w:tc>
          <w:tcPr>
            <w:tcW w:w="589" w:type="pct"/>
            <w:tcBorders>
              <w:top w:val="nil"/>
              <w:left w:val="nil"/>
              <w:bottom w:val="nil"/>
              <w:right w:val="nil"/>
            </w:tcBorders>
            <w:shd w:val="clear" w:color="auto" w:fill="auto"/>
            <w:noWrap/>
            <w:vAlign w:val="center"/>
            <w:hideMark/>
          </w:tcPr>
          <w:p w14:paraId="519BF1AC" w14:textId="77777777" w:rsidR="00F56D39" w:rsidRPr="00F56D39" w:rsidRDefault="00F56D39" w:rsidP="00F56D39">
            <w:pPr>
              <w:spacing w:after="0" w:line="240" w:lineRule="auto"/>
              <w:jc w:val="right"/>
              <w:rPr>
                <w:rFonts w:ascii="Segoe UI" w:eastAsia="Times New Roman" w:hAnsi="Segoe UI" w:cs="Segoe UI"/>
                <w:color w:val="000000"/>
                <w:sz w:val="18"/>
                <w:szCs w:val="18"/>
                <w:lang w:eastAsia="pt-BR"/>
              </w:rPr>
            </w:pPr>
            <w:r w:rsidRPr="00F56D39">
              <w:rPr>
                <w:rFonts w:ascii="Segoe UI" w:eastAsia="Times New Roman" w:hAnsi="Segoe UI" w:cs="Segoe UI"/>
                <w:color w:val="000000"/>
                <w:sz w:val="18"/>
                <w:szCs w:val="18"/>
                <w:lang w:eastAsia="pt-BR"/>
              </w:rPr>
              <w:t>86.418</w:t>
            </w:r>
          </w:p>
        </w:tc>
      </w:tr>
    </w:tbl>
    <w:p w14:paraId="0495595F" w14:textId="30673A31" w:rsidR="006009AC" w:rsidRPr="000757BC" w:rsidRDefault="006009AC"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Pr="000757BC">
        <w:rPr>
          <w:rFonts w:ascii="Segoe UI" w:hAnsi="Segoe UI" w:cs="Segoe UI"/>
          <w:b/>
          <w:bCs/>
          <w:color w:val="0070C0"/>
        </w:rPr>
        <w:t xml:space="preserve">.3.5 – Risco </w:t>
      </w:r>
      <w:r w:rsidR="006C4797">
        <w:rPr>
          <w:rFonts w:ascii="Segoe UI" w:hAnsi="Segoe UI" w:cs="Segoe UI"/>
          <w:b/>
          <w:bCs/>
          <w:color w:val="0070C0"/>
        </w:rPr>
        <w:t>o</w:t>
      </w:r>
      <w:r w:rsidRPr="000757BC">
        <w:rPr>
          <w:rFonts w:ascii="Segoe UI" w:hAnsi="Segoe UI" w:cs="Segoe UI"/>
          <w:b/>
          <w:bCs/>
          <w:color w:val="0070C0"/>
        </w:rPr>
        <w:t>peracional</w:t>
      </w:r>
    </w:p>
    <w:p w14:paraId="15B4E5EB" w14:textId="6DD379EB" w:rsidR="00172630" w:rsidRPr="00D735DA" w:rsidRDefault="00B813AF" w:rsidP="00172630">
      <w:pPr>
        <w:spacing w:before="240" w:afterLines="50" w:after="120"/>
        <w:jc w:val="both"/>
        <w:rPr>
          <w:rFonts w:ascii="Segoe UI" w:hAnsi="Segoe UI" w:cs="Segoe UI"/>
          <w:b/>
          <w:color w:val="1B80C4"/>
        </w:rPr>
      </w:pPr>
      <w:r w:rsidRPr="000757BC">
        <w:rPr>
          <w:rFonts w:ascii="Segoe UI" w:hAnsi="Segoe UI" w:cs="Segoe UI"/>
          <w:b/>
          <w:bCs/>
          <w:color w:val="0070C0"/>
        </w:rPr>
        <w:t>3</w:t>
      </w:r>
      <w:r w:rsidR="002A4E82">
        <w:rPr>
          <w:rFonts w:ascii="Segoe UI" w:hAnsi="Segoe UI" w:cs="Segoe UI"/>
          <w:b/>
          <w:bCs/>
          <w:color w:val="0070C0"/>
        </w:rPr>
        <w:t>1</w:t>
      </w:r>
      <w:r w:rsidRPr="000757BC">
        <w:rPr>
          <w:rFonts w:ascii="Segoe UI" w:hAnsi="Segoe UI" w:cs="Segoe UI"/>
          <w:b/>
          <w:bCs/>
          <w:color w:val="0070C0"/>
        </w:rPr>
        <w:t xml:space="preserve">.3.5.1 – </w:t>
      </w:r>
      <w:r w:rsidR="00172630" w:rsidRPr="00BE3FCE">
        <w:rPr>
          <w:rFonts w:ascii="Segoe UI" w:hAnsi="Segoe UI" w:cs="Segoe UI"/>
          <w:b/>
          <w:color w:val="0070C0"/>
        </w:rPr>
        <w:t>Eletronuclear S.A.</w:t>
      </w:r>
    </w:p>
    <w:p w14:paraId="64296557" w14:textId="77777777" w:rsidR="0005610E" w:rsidRPr="000757BC" w:rsidRDefault="0005610E" w:rsidP="0005610E">
      <w:pPr>
        <w:spacing w:before="240" w:after="120"/>
        <w:jc w:val="both"/>
        <w:rPr>
          <w:rFonts w:ascii="Segoe UI" w:hAnsi="Segoe UI" w:cs="Segoe UI"/>
          <w:iCs/>
        </w:rPr>
      </w:pPr>
      <w:r w:rsidRPr="000757BC">
        <w:rPr>
          <w:rFonts w:ascii="Segoe UI" w:hAnsi="Segoe UI" w:cs="Segoe UI"/>
          <w:iCs/>
        </w:rPr>
        <w:t xml:space="preserve">A </w:t>
      </w:r>
      <w:r>
        <w:rPr>
          <w:rFonts w:ascii="Segoe UI" w:hAnsi="Segoe UI" w:cs="Segoe UI"/>
          <w:iCs/>
        </w:rPr>
        <w:t xml:space="preserve">Eletronuclear </w:t>
      </w:r>
      <w:r w:rsidRPr="000757BC">
        <w:rPr>
          <w:rFonts w:ascii="Segoe UI" w:hAnsi="Segoe UI" w:cs="Segoe UI"/>
          <w:iCs/>
        </w:rPr>
        <w:t xml:space="preserve">tem como atividade principal a operação das </w:t>
      </w:r>
      <w:r>
        <w:rPr>
          <w:rFonts w:ascii="Segoe UI" w:hAnsi="Segoe UI" w:cs="Segoe UI"/>
          <w:iCs/>
        </w:rPr>
        <w:t>u</w:t>
      </w:r>
      <w:r w:rsidRPr="000757BC">
        <w:rPr>
          <w:rFonts w:ascii="Segoe UI" w:hAnsi="Segoe UI" w:cs="Segoe UI"/>
          <w:iCs/>
        </w:rPr>
        <w:t>sinas Angra 1 e 2.</w:t>
      </w:r>
    </w:p>
    <w:p w14:paraId="2456E60A" w14:textId="77777777" w:rsidR="0005610E" w:rsidRPr="000757BC" w:rsidRDefault="0005610E" w:rsidP="0005610E">
      <w:pPr>
        <w:spacing w:before="240" w:after="120"/>
        <w:jc w:val="both"/>
        <w:rPr>
          <w:rFonts w:ascii="Segoe UI" w:hAnsi="Segoe UI" w:cs="Segoe UI"/>
          <w:iCs/>
        </w:rPr>
      </w:pPr>
      <w:r w:rsidRPr="000757BC">
        <w:rPr>
          <w:rFonts w:ascii="Segoe UI" w:hAnsi="Segoe UI" w:cs="Segoe UI"/>
          <w:iCs/>
        </w:rPr>
        <w:t>O principal insumo na geração de energia elétrica de fonte termonuclear é o combustível nuclear, insumo este fornecido no Brasil</w:t>
      </w:r>
      <w:r>
        <w:rPr>
          <w:rFonts w:ascii="Segoe UI" w:hAnsi="Segoe UI" w:cs="Segoe UI"/>
          <w:iCs/>
        </w:rPr>
        <w:t>,</w:t>
      </w:r>
      <w:r w:rsidRPr="000757BC">
        <w:rPr>
          <w:rFonts w:ascii="Segoe UI" w:hAnsi="Segoe UI" w:cs="Segoe UI"/>
          <w:iCs/>
        </w:rPr>
        <w:t xml:space="preserve"> única e exclusivamente</w:t>
      </w:r>
      <w:r>
        <w:rPr>
          <w:rFonts w:ascii="Segoe UI" w:hAnsi="Segoe UI" w:cs="Segoe UI"/>
          <w:iCs/>
        </w:rPr>
        <w:t>,</w:t>
      </w:r>
      <w:r w:rsidRPr="000757BC">
        <w:rPr>
          <w:rFonts w:ascii="Segoe UI" w:hAnsi="Segoe UI" w:cs="Segoe UI"/>
          <w:iCs/>
        </w:rPr>
        <w:t xml:space="preserve"> pela INB, empresa estatal de economia mista</w:t>
      </w:r>
      <w:r>
        <w:rPr>
          <w:rFonts w:ascii="Segoe UI" w:hAnsi="Segoe UI" w:cs="Segoe UI"/>
          <w:iCs/>
        </w:rPr>
        <w:t>, controlada da ENBPar</w:t>
      </w:r>
      <w:r w:rsidRPr="000757BC">
        <w:rPr>
          <w:rFonts w:ascii="Segoe UI" w:hAnsi="Segoe UI" w:cs="Segoe UI"/>
          <w:iCs/>
        </w:rPr>
        <w:t xml:space="preserve"> que, em nome da União, exerce no Brasil o monopólio da produção e comercialização de materiais nucleares, dentre eles, os elementos combustíveis utilizados nos reatores das </w:t>
      </w:r>
      <w:r>
        <w:rPr>
          <w:rFonts w:ascii="Segoe UI" w:hAnsi="Segoe UI" w:cs="Segoe UI"/>
          <w:iCs/>
        </w:rPr>
        <w:t>u</w:t>
      </w:r>
      <w:r w:rsidRPr="000757BC">
        <w:rPr>
          <w:rFonts w:ascii="Segoe UI" w:hAnsi="Segoe UI" w:cs="Segoe UI"/>
          <w:iCs/>
        </w:rPr>
        <w:t>sinas Angra 1 e 2.</w:t>
      </w:r>
    </w:p>
    <w:p w14:paraId="34C3CCA6" w14:textId="3E7A987D" w:rsidR="0005610E" w:rsidRPr="003B711C" w:rsidRDefault="0005610E" w:rsidP="0005610E">
      <w:pPr>
        <w:spacing w:before="240" w:after="120"/>
        <w:jc w:val="both"/>
        <w:rPr>
          <w:rFonts w:ascii="Segoe UI" w:hAnsi="Segoe UI" w:cs="Segoe UI"/>
        </w:rPr>
      </w:pPr>
      <w:r w:rsidRPr="003B711C">
        <w:rPr>
          <w:rFonts w:ascii="Segoe UI" w:hAnsi="Segoe UI" w:cs="Segoe UI"/>
        </w:rPr>
        <w:t xml:space="preserve">Desde 2018, época em que ainda era subordinada ao Ministério de Ciência, Tecnologia, Inovações e Comunicações – </w:t>
      </w:r>
      <w:r>
        <w:rPr>
          <w:rFonts w:ascii="Segoe UI" w:hAnsi="Segoe UI" w:cs="Segoe UI"/>
        </w:rPr>
        <w:t>(“</w:t>
      </w:r>
      <w:r w:rsidRPr="003B711C">
        <w:rPr>
          <w:rFonts w:ascii="Segoe UI" w:hAnsi="Segoe UI" w:cs="Segoe UI"/>
        </w:rPr>
        <w:t>MCTIC</w:t>
      </w:r>
      <w:r>
        <w:rPr>
          <w:rFonts w:ascii="Segoe UI" w:hAnsi="Segoe UI" w:cs="Segoe UI"/>
        </w:rPr>
        <w:t>”)</w:t>
      </w:r>
      <w:r w:rsidRPr="003B711C">
        <w:rPr>
          <w:rFonts w:ascii="Segoe UI" w:hAnsi="Segoe UI" w:cs="Segoe UI"/>
        </w:rPr>
        <w:t xml:space="preserve">, a INB </w:t>
      </w:r>
      <w:r>
        <w:rPr>
          <w:rFonts w:ascii="Segoe UI" w:hAnsi="Segoe UI" w:cs="Segoe UI"/>
        </w:rPr>
        <w:t>vinha</w:t>
      </w:r>
      <w:r w:rsidRPr="003B711C">
        <w:rPr>
          <w:rFonts w:ascii="Segoe UI" w:hAnsi="Segoe UI" w:cs="Segoe UI"/>
        </w:rPr>
        <w:t xml:space="preserve"> sofrendo expressivas reduções orçamentárias e severas limitações no Orçamento Fiscal da União, o que t</w:t>
      </w:r>
      <w:r>
        <w:rPr>
          <w:rFonts w:ascii="Segoe UI" w:hAnsi="Segoe UI" w:cs="Segoe UI"/>
        </w:rPr>
        <w:t>inha</w:t>
      </w:r>
      <w:r w:rsidRPr="003B711C">
        <w:rPr>
          <w:rFonts w:ascii="Segoe UI" w:hAnsi="Segoe UI" w:cs="Segoe UI"/>
        </w:rPr>
        <w:t xml:space="preserve"> lhe causado fortes dificuldades para honrar seus compromissos, aí incluindo a aquisição de matéria-prima para a fabricação do combustível nuclear, seja urânio nacional ou importado.</w:t>
      </w:r>
      <w:r w:rsidR="007C0256">
        <w:rPr>
          <w:rFonts w:ascii="Segoe UI" w:hAnsi="Segoe UI" w:cs="Segoe UI"/>
        </w:rPr>
        <w:t xml:space="preserve"> </w:t>
      </w:r>
      <w:r w:rsidRPr="00C82591">
        <w:rPr>
          <w:rFonts w:ascii="Segoe UI" w:hAnsi="Segoe UI" w:cs="Segoe UI"/>
        </w:rPr>
        <w:t>Considerando os riscos de descontinuidade</w:t>
      </w:r>
      <w:r w:rsidRPr="003B711C">
        <w:rPr>
          <w:rFonts w:ascii="Segoe UI" w:hAnsi="Segoe UI" w:cs="Segoe UI"/>
        </w:rPr>
        <w:t xml:space="preserve"> de operação das </w:t>
      </w:r>
      <w:r>
        <w:rPr>
          <w:rFonts w:ascii="Segoe UI" w:hAnsi="Segoe UI" w:cs="Segoe UI"/>
        </w:rPr>
        <w:t>u</w:t>
      </w:r>
      <w:r w:rsidRPr="003B711C">
        <w:rPr>
          <w:rFonts w:ascii="Segoe UI" w:hAnsi="Segoe UI" w:cs="Segoe UI"/>
        </w:rPr>
        <w:t>sinas Angra 1 e 2, e também do compromisso e da importância que o suprimento de energia elétrica da</w:t>
      </w:r>
      <w:r>
        <w:rPr>
          <w:rFonts w:ascii="Segoe UI" w:hAnsi="Segoe UI" w:cs="Segoe UI"/>
        </w:rPr>
        <w:t xml:space="preserve"> </w:t>
      </w:r>
      <w:r w:rsidRPr="003B711C">
        <w:rPr>
          <w:rFonts w:ascii="Segoe UI" w:hAnsi="Segoe UI" w:cs="Segoe UI"/>
        </w:rPr>
        <w:t xml:space="preserve">CNAAA tem no âmbito do SIN, a administração da </w:t>
      </w:r>
      <w:r>
        <w:rPr>
          <w:rFonts w:ascii="Segoe UI" w:hAnsi="Segoe UI" w:cs="Segoe UI"/>
        </w:rPr>
        <w:t>Eletronuclear vem</w:t>
      </w:r>
      <w:r w:rsidRPr="003B711C">
        <w:rPr>
          <w:rFonts w:ascii="Segoe UI" w:hAnsi="Segoe UI" w:cs="Segoe UI"/>
        </w:rPr>
        <w:t xml:space="preserve"> submet</w:t>
      </w:r>
      <w:r>
        <w:rPr>
          <w:rFonts w:ascii="Segoe UI" w:hAnsi="Segoe UI" w:cs="Segoe UI"/>
        </w:rPr>
        <w:t>endo</w:t>
      </w:r>
      <w:r w:rsidRPr="003B711C">
        <w:rPr>
          <w:rFonts w:ascii="Segoe UI" w:hAnsi="Segoe UI" w:cs="Segoe UI"/>
        </w:rPr>
        <w:t xml:space="preserve"> esses riscos aos diversos órgãos a quem está subordinada, no intuito de serem superadas estas ameaças de desabastecimento.</w:t>
      </w:r>
    </w:p>
    <w:p w14:paraId="568ECCED" w14:textId="77777777" w:rsidR="0005610E" w:rsidRPr="003B711C" w:rsidRDefault="0005610E" w:rsidP="0005610E">
      <w:pPr>
        <w:spacing w:before="240" w:after="120"/>
        <w:jc w:val="both"/>
        <w:rPr>
          <w:rFonts w:ascii="Segoe UI" w:hAnsi="Segoe UI" w:cs="Segoe UI"/>
        </w:rPr>
      </w:pPr>
      <w:r w:rsidRPr="003B711C">
        <w:rPr>
          <w:rFonts w:ascii="Segoe UI" w:hAnsi="Segoe UI" w:cs="Segoe UI"/>
        </w:rPr>
        <w:t xml:space="preserve">Como forma de superar estes entraves, a Eletronuclear e INB assinaram os novos contratos de fornecimento de elementos combustíveis em 24 de fevereiro de 2022, os quais abrangem 5 (cinco) recargas para cada uma das </w:t>
      </w:r>
      <w:r>
        <w:rPr>
          <w:rFonts w:ascii="Segoe UI" w:hAnsi="Segoe UI" w:cs="Segoe UI"/>
        </w:rPr>
        <w:t>u</w:t>
      </w:r>
      <w:r w:rsidRPr="003B711C">
        <w:rPr>
          <w:rFonts w:ascii="Segoe UI" w:hAnsi="Segoe UI" w:cs="Segoe UI"/>
        </w:rPr>
        <w:t xml:space="preserve">sinas em operação (Angra 1 e Angra 2) a partir de 2022. </w:t>
      </w:r>
    </w:p>
    <w:p w14:paraId="3F588B05" w14:textId="77777777" w:rsidR="0005610E" w:rsidRPr="003B711C" w:rsidRDefault="0005610E" w:rsidP="0005610E">
      <w:pPr>
        <w:spacing w:before="240" w:after="120"/>
        <w:jc w:val="both"/>
        <w:rPr>
          <w:rFonts w:ascii="Segoe UI" w:hAnsi="Segoe UI" w:cs="Segoe UI"/>
        </w:rPr>
      </w:pPr>
      <w:r>
        <w:rPr>
          <w:rFonts w:ascii="Segoe UI" w:hAnsi="Segoe UI" w:cs="Segoe UI"/>
        </w:rPr>
        <w:t>Adicionalmente, e</w:t>
      </w:r>
      <w:r w:rsidRPr="003B711C">
        <w:rPr>
          <w:rFonts w:ascii="Segoe UI" w:hAnsi="Segoe UI" w:cs="Segoe UI"/>
        </w:rPr>
        <w:t xml:space="preserve">m 13 de outubro de 2022 foi emitido o Decreto nº 11.235 que autorizou o aumento do </w:t>
      </w:r>
      <w:r>
        <w:rPr>
          <w:rFonts w:ascii="Segoe UI" w:hAnsi="Segoe UI" w:cs="Segoe UI"/>
        </w:rPr>
        <w:t>C</w:t>
      </w:r>
      <w:r w:rsidRPr="003B711C">
        <w:rPr>
          <w:rFonts w:ascii="Segoe UI" w:hAnsi="Segoe UI" w:cs="Segoe UI"/>
        </w:rPr>
        <w:t>apital social da</w:t>
      </w:r>
      <w:r>
        <w:rPr>
          <w:rFonts w:ascii="Segoe UI" w:hAnsi="Segoe UI" w:cs="Segoe UI"/>
        </w:rPr>
        <w:t xml:space="preserve"> </w:t>
      </w:r>
      <w:r w:rsidRPr="003B711C">
        <w:rPr>
          <w:rFonts w:ascii="Segoe UI" w:hAnsi="Segoe UI" w:cs="Segoe UI"/>
        </w:rPr>
        <w:t xml:space="preserve">ENBPar por meio do aporte de todas as ações que a União detém no </w:t>
      </w:r>
      <w:r>
        <w:rPr>
          <w:rFonts w:ascii="Segoe UI" w:hAnsi="Segoe UI" w:cs="Segoe UI"/>
        </w:rPr>
        <w:t>C</w:t>
      </w:r>
      <w:r w:rsidRPr="003B711C">
        <w:rPr>
          <w:rFonts w:ascii="Segoe UI" w:hAnsi="Segoe UI" w:cs="Segoe UI"/>
        </w:rPr>
        <w:t>apital social da INB.</w:t>
      </w:r>
    </w:p>
    <w:p w14:paraId="42DA2060" w14:textId="77777777" w:rsidR="0005610E" w:rsidRPr="003B711C" w:rsidRDefault="0005610E" w:rsidP="0005610E">
      <w:pPr>
        <w:pStyle w:val="NormalWeb"/>
        <w:shd w:val="clear" w:color="auto" w:fill="FFFFFF"/>
        <w:spacing w:before="240" w:beforeAutospacing="0" w:after="120" w:afterAutospacing="0" w:line="259" w:lineRule="auto"/>
        <w:jc w:val="both"/>
        <w:textAlignment w:val="baseline"/>
        <w:rPr>
          <w:rFonts w:ascii="Segoe UI" w:eastAsiaTheme="minorHAnsi" w:hAnsi="Segoe UI" w:cs="Segoe UI"/>
          <w:sz w:val="22"/>
          <w:szCs w:val="22"/>
          <w:lang w:eastAsia="en-US"/>
        </w:rPr>
      </w:pPr>
      <w:r w:rsidRPr="003B711C">
        <w:rPr>
          <w:rFonts w:ascii="Segoe UI" w:eastAsiaTheme="minorHAnsi" w:hAnsi="Segoe UI" w:cs="Segoe UI"/>
          <w:sz w:val="22"/>
          <w:szCs w:val="22"/>
          <w:lang w:eastAsia="en-US"/>
        </w:rPr>
        <w:t xml:space="preserve">Com </w:t>
      </w:r>
      <w:r>
        <w:rPr>
          <w:rFonts w:ascii="Segoe UI" w:eastAsiaTheme="minorHAnsi" w:hAnsi="Segoe UI" w:cs="Segoe UI"/>
          <w:sz w:val="22"/>
          <w:szCs w:val="22"/>
          <w:lang w:eastAsia="en-US"/>
        </w:rPr>
        <w:t>ess</w:t>
      </w:r>
      <w:r w:rsidRPr="003B711C">
        <w:rPr>
          <w:rFonts w:ascii="Segoe UI" w:eastAsiaTheme="minorHAnsi" w:hAnsi="Segoe UI" w:cs="Segoe UI"/>
          <w:sz w:val="22"/>
          <w:szCs w:val="22"/>
          <w:lang w:eastAsia="en-US"/>
        </w:rPr>
        <w:t>a reestruturação societária, a INB se torn</w:t>
      </w:r>
      <w:r>
        <w:rPr>
          <w:rFonts w:ascii="Segoe UI" w:eastAsiaTheme="minorHAnsi" w:hAnsi="Segoe UI" w:cs="Segoe UI"/>
          <w:sz w:val="22"/>
          <w:szCs w:val="22"/>
          <w:lang w:eastAsia="en-US"/>
        </w:rPr>
        <w:t>ou</w:t>
      </w:r>
      <w:r w:rsidRPr="003B711C">
        <w:rPr>
          <w:rFonts w:ascii="Segoe UI" w:eastAsiaTheme="minorHAnsi" w:hAnsi="Segoe UI" w:cs="Segoe UI"/>
          <w:sz w:val="22"/>
          <w:szCs w:val="22"/>
          <w:lang w:eastAsia="en-US"/>
        </w:rPr>
        <w:t xml:space="preserve"> uma estatal não dependente da União e, portanto, não receberá recursos financeiros do Tesouro Nacional para pagamento de despesas com pessoal, de custeio geral ou de capital. </w:t>
      </w:r>
      <w:r>
        <w:rPr>
          <w:rFonts w:ascii="Segoe UI" w:eastAsiaTheme="minorHAnsi" w:hAnsi="Segoe UI" w:cs="Segoe UI"/>
          <w:sz w:val="22"/>
          <w:szCs w:val="22"/>
          <w:lang w:eastAsia="en-US"/>
        </w:rPr>
        <w:t>Essa</w:t>
      </w:r>
      <w:r w:rsidRPr="003B711C">
        <w:rPr>
          <w:rFonts w:ascii="Segoe UI" w:eastAsiaTheme="minorHAnsi" w:hAnsi="Segoe UI" w:cs="Segoe UI"/>
          <w:sz w:val="22"/>
          <w:szCs w:val="22"/>
          <w:lang w:eastAsia="en-US"/>
        </w:rPr>
        <w:t xml:space="preserve"> alteração acionária </w:t>
      </w:r>
      <w:r>
        <w:rPr>
          <w:rFonts w:ascii="Segoe UI" w:eastAsiaTheme="minorHAnsi" w:hAnsi="Segoe UI" w:cs="Segoe UI"/>
          <w:sz w:val="22"/>
          <w:szCs w:val="22"/>
          <w:lang w:eastAsia="en-US"/>
        </w:rPr>
        <w:t>dará</w:t>
      </w:r>
      <w:r w:rsidRPr="003B711C">
        <w:rPr>
          <w:rFonts w:ascii="Segoe UI" w:eastAsiaTheme="minorHAnsi" w:hAnsi="Segoe UI" w:cs="Segoe UI"/>
          <w:sz w:val="22"/>
          <w:szCs w:val="22"/>
          <w:lang w:eastAsia="en-US"/>
        </w:rPr>
        <w:t xml:space="preserve"> autonomia orçamentária </w:t>
      </w:r>
      <w:r w:rsidRPr="003B711C">
        <w:rPr>
          <w:rFonts w:ascii="Segoe UI" w:eastAsiaTheme="minorHAnsi" w:hAnsi="Segoe UI" w:cs="Segoe UI"/>
          <w:sz w:val="22"/>
          <w:szCs w:val="22"/>
          <w:lang w:eastAsia="en-US"/>
        </w:rPr>
        <w:lastRenderedPageBreak/>
        <w:t>e financeira e eficiência na gestão do caixa da empresa. A INB terá flexibilidade para estabelecer parcerias com a iniciativa privada, pois a nova legislação permite que sejam feitos outros modelos de associação entre a empresa e parceiros privados para exploração de jazidas minerais que possuam minérios nucleares.</w:t>
      </w:r>
    </w:p>
    <w:p w14:paraId="4518C962" w14:textId="77777777" w:rsidR="0005610E" w:rsidRPr="003B711C" w:rsidRDefault="0005610E" w:rsidP="0005610E">
      <w:pPr>
        <w:pStyle w:val="NormalWeb"/>
        <w:shd w:val="clear" w:color="auto" w:fill="FFFFFF"/>
        <w:spacing w:before="240" w:beforeAutospacing="0" w:after="120" w:afterAutospacing="0" w:line="259" w:lineRule="auto"/>
        <w:jc w:val="both"/>
        <w:textAlignment w:val="baseline"/>
        <w:rPr>
          <w:rFonts w:ascii="Segoe UI" w:eastAsiaTheme="minorHAnsi" w:hAnsi="Segoe UI" w:cs="Segoe UI"/>
          <w:sz w:val="22"/>
          <w:szCs w:val="22"/>
          <w:lang w:eastAsia="en-US"/>
        </w:rPr>
      </w:pPr>
      <w:r w:rsidRPr="003B711C">
        <w:rPr>
          <w:rFonts w:ascii="Segoe UI" w:eastAsiaTheme="minorHAnsi" w:hAnsi="Segoe UI" w:cs="Segoe UI"/>
          <w:sz w:val="22"/>
          <w:szCs w:val="22"/>
          <w:lang w:eastAsia="en-US"/>
        </w:rPr>
        <w:t xml:space="preserve">Em 2022, a INB entregou os elementos combustíveis para abastecimento dos reatores das </w:t>
      </w:r>
      <w:r>
        <w:rPr>
          <w:rFonts w:ascii="Segoe UI" w:eastAsiaTheme="minorHAnsi" w:hAnsi="Segoe UI" w:cs="Segoe UI"/>
          <w:sz w:val="22"/>
          <w:szCs w:val="22"/>
          <w:lang w:eastAsia="en-US"/>
        </w:rPr>
        <w:t>u</w:t>
      </w:r>
      <w:r w:rsidRPr="003B711C">
        <w:rPr>
          <w:rFonts w:ascii="Segoe UI" w:eastAsiaTheme="minorHAnsi" w:hAnsi="Segoe UI" w:cs="Segoe UI"/>
          <w:sz w:val="22"/>
          <w:szCs w:val="22"/>
          <w:lang w:eastAsia="en-US"/>
        </w:rPr>
        <w:t>sinas Angra 1 e 2 durante as paradas para manutenção programadas, sendo a 18</w:t>
      </w:r>
      <w:r>
        <w:rPr>
          <w:rFonts w:ascii="Segoe UI" w:eastAsiaTheme="minorHAnsi" w:hAnsi="Segoe UI" w:cs="Segoe UI"/>
          <w:sz w:val="22"/>
          <w:szCs w:val="22"/>
          <w:lang w:eastAsia="en-US"/>
        </w:rPr>
        <w:t>º</w:t>
      </w:r>
      <w:r w:rsidRPr="003B711C">
        <w:rPr>
          <w:rFonts w:ascii="Segoe UI" w:eastAsiaTheme="minorHAnsi" w:hAnsi="Segoe UI" w:cs="Segoe UI"/>
          <w:sz w:val="22"/>
          <w:szCs w:val="22"/>
          <w:lang w:eastAsia="en-US"/>
        </w:rPr>
        <w:t xml:space="preserve"> parada de Angra 2 ocorrida entre 12</w:t>
      </w:r>
      <w:r>
        <w:rPr>
          <w:rFonts w:ascii="Segoe UI" w:eastAsiaTheme="minorHAnsi" w:hAnsi="Segoe UI" w:cs="Segoe UI"/>
          <w:sz w:val="22"/>
          <w:szCs w:val="22"/>
          <w:lang w:eastAsia="en-US"/>
        </w:rPr>
        <w:t xml:space="preserve"> de junho de </w:t>
      </w:r>
      <w:r w:rsidRPr="003B711C">
        <w:rPr>
          <w:rFonts w:ascii="Segoe UI" w:eastAsiaTheme="minorHAnsi" w:hAnsi="Segoe UI" w:cs="Segoe UI"/>
          <w:sz w:val="22"/>
          <w:szCs w:val="22"/>
          <w:lang w:eastAsia="en-US"/>
        </w:rPr>
        <w:t>2022 e 27</w:t>
      </w:r>
      <w:r>
        <w:rPr>
          <w:rFonts w:ascii="Segoe UI" w:eastAsiaTheme="minorHAnsi" w:hAnsi="Segoe UI" w:cs="Segoe UI"/>
          <w:sz w:val="22"/>
          <w:szCs w:val="22"/>
          <w:lang w:eastAsia="en-US"/>
        </w:rPr>
        <w:t xml:space="preserve"> de julho de </w:t>
      </w:r>
      <w:r w:rsidRPr="003B711C">
        <w:rPr>
          <w:rFonts w:ascii="Segoe UI" w:eastAsiaTheme="minorHAnsi" w:hAnsi="Segoe UI" w:cs="Segoe UI"/>
          <w:sz w:val="22"/>
          <w:szCs w:val="22"/>
          <w:lang w:eastAsia="en-US"/>
        </w:rPr>
        <w:t>2022 e a 27º</w:t>
      </w:r>
      <w:r>
        <w:rPr>
          <w:rFonts w:ascii="Segoe UI" w:eastAsiaTheme="minorHAnsi" w:hAnsi="Segoe UI" w:cs="Segoe UI"/>
          <w:sz w:val="22"/>
          <w:szCs w:val="22"/>
          <w:lang w:eastAsia="en-US"/>
        </w:rPr>
        <w:t xml:space="preserve"> </w:t>
      </w:r>
      <w:r w:rsidRPr="003B711C">
        <w:rPr>
          <w:rFonts w:ascii="Segoe UI" w:eastAsiaTheme="minorHAnsi" w:hAnsi="Segoe UI" w:cs="Segoe UI"/>
          <w:sz w:val="22"/>
          <w:szCs w:val="22"/>
          <w:lang w:eastAsia="en-US"/>
        </w:rPr>
        <w:t>parada de Angra 1 ocorrida entre 13</w:t>
      </w:r>
      <w:r>
        <w:rPr>
          <w:rFonts w:ascii="Segoe UI" w:eastAsiaTheme="minorHAnsi" w:hAnsi="Segoe UI" w:cs="Segoe UI"/>
          <w:sz w:val="22"/>
          <w:szCs w:val="22"/>
          <w:lang w:eastAsia="en-US"/>
        </w:rPr>
        <w:t xml:space="preserve"> de agosto de </w:t>
      </w:r>
      <w:r w:rsidRPr="003B711C">
        <w:rPr>
          <w:rFonts w:ascii="Segoe UI" w:eastAsiaTheme="minorHAnsi" w:hAnsi="Segoe UI" w:cs="Segoe UI"/>
          <w:sz w:val="22"/>
          <w:szCs w:val="22"/>
          <w:lang w:eastAsia="en-US"/>
        </w:rPr>
        <w:t>2022 e 22</w:t>
      </w:r>
      <w:r>
        <w:rPr>
          <w:rFonts w:ascii="Segoe UI" w:eastAsiaTheme="minorHAnsi" w:hAnsi="Segoe UI" w:cs="Segoe UI"/>
          <w:sz w:val="22"/>
          <w:szCs w:val="22"/>
          <w:lang w:eastAsia="en-US"/>
        </w:rPr>
        <w:t xml:space="preserve"> de setembro de </w:t>
      </w:r>
      <w:r w:rsidRPr="003B711C">
        <w:rPr>
          <w:rFonts w:ascii="Segoe UI" w:eastAsiaTheme="minorHAnsi" w:hAnsi="Segoe UI" w:cs="Segoe UI"/>
          <w:sz w:val="22"/>
          <w:szCs w:val="22"/>
          <w:lang w:eastAsia="en-US"/>
        </w:rPr>
        <w:t>2022.</w:t>
      </w:r>
    </w:p>
    <w:p w14:paraId="62F28B84" w14:textId="1CEB1B02" w:rsidR="0005610E" w:rsidRPr="00482C5E" w:rsidRDefault="0005610E" w:rsidP="0005610E">
      <w:pPr>
        <w:spacing w:before="240" w:after="120"/>
        <w:jc w:val="both"/>
        <w:rPr>
          <w:rFonts w:ascii="Segoe UI" w:hAnsi="Segoe UI"/>
        </w:rPr>
      </w:pPr>
      <w:r w:rsidRPr="00482C5E">
        <w:rPr>
          <w:rFonts w:ascii="Segoe UI" w:hAnsi="Segoe UI"/>
        </w:rPr>
        <w:t>Assim, com as alterações realizadas que foram apontadas acima, a Eletronuclear entende não haver aspectos de natureza econômica e/ou financeira que possam indicar um risco de descontinuidade operacional das usinas Angra 1 e 2.</w:t>
      </w:r>
    </w:p>
    <w:p w14:paraId="76B513E5" w14:textId="77777777" w:rsidR="0005610E" w:rsidRPr="00482C5E" w:rsidRDefault="0005610E" w:rsidP="0005610E">
      <w:pPr>
        <w:spacing w:before="240" w:after="120"/>
        <w:jc w:val="both"/>
        <w:rPr>
          <w:rFonts w:ascii="Segoe UI" w:hAnsi="Segoe UI"/>
        </w:rPr>
      </w:pPr>
      <w:bookmarkStart w:id="16" w:name="_Hlk66659087"/>
      <w:r w:rsidRPr="00482C5E">
        <w:rPr>
          <w:rFonts w:ascii="Segoe UI" w:hAnsi="Segoe UI"/>
        </w:rPr>
        <w:t>Angra 3</w:t>
      </w:r>
    </w:p>
    <w:p w14:paraId="1BC94090" w14:textId="77777777" w:rsidR="0005610E" w:rsidRPr="00482C5E" w:rsidRDefault="0005610E" w:rsidP="0005610E">
      <w:pPr>
        <w:spacing w:before="240" w:after="120"/>
        <w:jc w:val="both"/>
        <w:rPr>
          <w:rFonts w:ascii="Segoe UI" w:hAnsi="Segoe UI"/>
        </w:rPr>
      </w:pPr>
      <w:r w:rsidRPr="00482C5E">
        <w:rPr>
          <w:rFonts w:ascii="Segoe UI" w:hAnsi="Segoe UI"/>
        </w:rPr>
        <w:t>Com o objetivo de caracterizar a situação atual de Angra 3 e as implicações da sua paralisação, a administração da Eletronuclear vem conduzindo iniciativas para a implantação de um Plano de Ações visando o equacionamento das condições necessárias à plena retomada e conclusão do empreendimento.</w:t>
      </w:r>
    </w:p>
    <w:p w14:paraId="12BE9E45" w14:textId="77777777" w:rsidR="0005610E" w:rsidRPr="00482C5E" w:rsidRDefault="0005610E" w:rsidP="0005610E">
      <w:pPr>
        <w:spacing w:before="240" w:after="120"/>
        <w:jc w:val="both"/>
        <w:rPr>
          <w:rFonts w:ascii="Segoe UI" w:hAnsi="Segoe UI"/>
          <w:color w:val="000000"/>
        </w:rPr>
      </w:pPr>
      <w:r w:rsidRPr="00482C5E">
        <w:rPr>
          <w:rFonts w:ascii="Segoe UI" w:hAnsi="Segoe UI"/>
          <w:color w:val="000000"/>
        </w:rPr>
        <w:t>Desde 2016, essa controlada vem buscando assessoria de consultorias especializadas visando à conclusão de Angra 3. Foram elas:</w:t>
      </w:r>
    </w:p>
    <w:p w14:paraId="35CA7B42" w14:textId="1F4EF49B" w:rsidR="0005610E" w:rsidRPr="00482C5E" w:rsidRDefault="0005610E" w:rsidP="0005610E">
      <w:pPr>
        <w:spacing w:before="240" w:after="120"/>
        <w:ind w:left="284"/>
        <w:jc w:val="both"/>
        <w:rPr>
          <w:rFonts w:ascii="Segoe UI" w:hAnsi="Segoe UI"/>
          <w:color w:val="000000"/>
          <w:sz w:val="20"/>
        </w:rPr>
      </w:pPr>
      <w:r w:rsidRPr="00482C5E">
        <w:rPr>
          <w:rFonts w:ascii="Segoe UI" w:hAnsi="Segoe UI"/>
          <w:color w:val="000000"/>
          <w:sz w:val="20"/>
        </w:rPr>
        <w:t xml:space="preserve">(i)    Deloitte Consultores - Para auditar o status das obras civis e verificar irregularidades apresentadas pelo TCU por meio de Relatório de Fiscalização (TC n. 002.651/2015-7), bem como efetuar uma análise da estimativa dos custos relacionados ao cancelamento das obras de implantação da usina, bem como da estimativa de custos para sua conclusão - </w:t>
      </w:r>
      <w:r w:rsidRPr="00482C5E">
        <w:rPr>
          <w:rFonts w:ascii="Segoe UI" w:hAnsi="Segoe UI"/>
          <w:i/>
          <w:color w:val="000000"/>
          <w:sz w:val="20"/>
        </w:rPr>
        <w:t>Cost to Complete</w:t>
      </w:r>
      <w:r w:rsidRPr="00482C5E">
        <w:rPr>
          <w:rFonts w:ascii="Segoe UI" w:hAnsi="Segoe UI"/>
          <w:color w:val="000000"/>
          <w:sz w:val="20"/>
        </w:rPr>
        <w:t xml:space="preserve">,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w:t>
      </w:r>
      <w:r w:rsidR="007C0256" w:rsidRPr="00482C5E">
        <w:rPr>
          <w:rFonts w:ascii="Segoe UI" w:hAnsi="Segoe UI"/>
          <w:color w:val="000000"/>
          <w:sz w:val="20"/>
        </w:rPr>
        <w:t>u</w:t>
      </w:r>
      <w:r w:rsidRPr="00482C5E">
        <w:rPr>
          <w:rFonts w:ascii="Segoe UI" w:hAnsi="Segoe UI"/>
          <w:color w:val="000000"/>
          <w:sz w:val="20"/>
        </w:rPr>
        <w:t>sina Termonuclear – (“UTN”) Angra 3 considerou o custo de desmobilização das obras já existentes, a multa rescisória do contrato de comercialização e o custo financeiro de liquidação dos empréstimos vigentes;</w:t>
      </w:r>
    </w:p>
    <w:p w14:paraId="33E763AD" w14:textId="77777777" w:rsidR="0005610E" w:rsidRPr="00482C5E" w:rsidRDefault="0005610E" w:rsidP="0005610E">
      <w:pPr>
        <w:spacing w:before="240" w:after="120"/>
        <w:ind w:left="284"/>
        <w:jc w:val="both"/>
        <w:rPr>
          <w:rFonts w:ascii="Segoe UI" w:hAnsi="Segoe UI"/>
          <w:color w:val="000000"/>
          <w:sz w:val="20"/>
        </w:rPr>
      </w:pPr>
      <w:r w:rsidRPr="00482C5E">
        <w:rPr>
          <w:rFonts w:ascii="Segoe UI" w:hAnsi="Segoe UI"/>
          <w:color w:val="000000"/>
          <w:sz w:val="20"/>
        </w:rPr>
        <w:t xml:space="preserve">(ii)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w:t>
      </w:r>
      <w:r w:rsidRPr="00482C5E">
        <w:rPr>
          <w:rFonts w:ascii="Segoe UI" w:hAnsi="Segoe UI"/>
          <w:sz w:val="20"/>
        </w:rPr>
        <w:t xml:space="preserve">Eletronuclear </w:t>
      </w:r>
      <w:r w:rsidRPr="00482C5E">
        <w:rPr>
          <w:rFonts w:ascii="Segoe UI" w:hAnsi="Segoe UI"/>
          <w:color w:val="000000"/>
          <w:sz w:val="20"/>
        </w:rPr>
        <w:t>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4EE7AF60" w14:textId="77777777" w:rsidR="0005610E" w:rsidRPr="00482C5E" w:rsidRDefault="0005610E" w:rsidP="0005610E">
      <w:pPr>
        <w:spacing w:before="240" w:after="120"/>
        <w:ind w:left="284"/>
        <w:jc w:val="both"/>
        <w:rPr>
          <w:rFonts w:ascii="Segoe UI" w:hAnsi="Segoe UI"/>
          <w:color w:val="000000"/>
          <w:sz w:val="20"/>
        </w:rPr>
      </w:pPr>
      <w:r w:rsidRPr="00482C5E">
        <w:rPr>
          <w:rFonts w:ascii="Segoe UI" w:hAnsi="Segoe UI"/>
          <w:color w:val="000000"/>
          <w:sz w:val="20"/>
        </w:rPr>
        <w:lastRenderedPageBreak/>
        <w:t>(iii)    Veirano Advogados – Para analisar a legalidade da possível estrutura societária do negócio e do ambiente regulatório dos cenários estudados pela Alvarez &amp; Marsal, bem como do modelo de efetivação da parceria em avaliação, foi contratado a Veirano Advogados, uma consultoria jurídica especializada em direito societário, com vasta experiência no setor elétrico.</w:t>
      </w:r>
    </w:p>
    <w:p w14:paraId="293FD350" w14:textId="77777777" w:rsidR="0005610E" w:rsidRPr="00482C5E" w:rsidRDefault="0005610E" w:rsidP="0005610E">
      <w:pPr>
        <w:spacing w:before="240" w:after="120"/>
        <w:jc w:val="both"/>
        <w:rPr>
          <w:rFonts w:ascii="Segoe UI" w:hAnsi="Segoe UI"/>
        </w:rPr>
      </w:pPr>
      <w:r w:rsidRPr="00482C5E">
        <w:rPr>
          <w:rFonts w:ascii="Segoe UI" w:hAnsi="Segoe UI"/>
        </w:rPr>
        <w:t>A conclusão das obras da usina de Angra 3 em condições sustentáveis depende de uma nova estruturação financeira, dado o montante de investimentos (custos diretos) ainda a realizar, da ordem de R$ 21.000.000 (informação não auditada).</w:t>
      </w:r>
    </w:p>
    <w:p w14:paraId="109A6AF3" w14:textId="2C0DA238" w:rsidR="0005610E" w:rsidRPr="00482C5E" w:rsidRDefault="00D5058F" w:rsidP="0005610E">
      <w:pPr>
        <w:spacing w:before="240" w:after="120"/>
        <w:jc w:val="both"/>
        <w:rPr>
          <w:rFonts w:ascii="Segoe UI" w:hAnsi="Segoe UI"/>
        </w:rPr>
      </w:pPr>
      <w:r w:rsidRPr="00482C5E">
        <w:rPr>
          <w:rFonts w:ascii="Segoe UI" w:hAnsi="Segoe UI"/>
        </w:rPr>
        <w:t>Ainda em 2016 a</w:t>
      </w:r>
      <w:r w:rsidR="0005610E" w:rsidRPr="00482C5E">
        <w:rPr>
          <w:rFonts w:ascii="Segoe UI" w:hAnsi="Segoe UI"/>
        </w:rPr>
        <w:t xml:space="preserve"> Eletronuclear</w:t>
      </w:r>
      <w:r w:rsidRPr="00482C5E">
        <w:rPr>
          <w:rFonts w:ascii="Segoe UI" w:hAnsi="Segoe UI"/>
        </w:rPr>
        <w:t>,</w:t>
      </w:r>
      <w:r w:rsidR="0005610E" w:rsidRPr="00482C5E">
        <w:rPr>
          <w:rFonts w:ascii="Segoe UI" w:hAnsi="Segoe UI"/>
        </w:rPr>
        <w:t xml:space="preserve"> não </w:t>
      </w:r>
      <w:r w:rsidRPr="00482C5E">
        <w:rPr>
          <w:rFonts w:ascii="Segoe UI" w:hAnsi="Segoe UI"/>
        </w:rPr>
        <w:t xml:space="preserve">mais </w:t>
      </w:r>
      <w:r w:rsidR="0005610E" w:rsidRPr="00482C5E">
        <w:rPr>
          <w:rFonts w:ascii="Segoe UI" w:hAnsi="Segoe UI"/>
        </w:rPr>
        <w:t xml:space="preserve">possuía garantias disponíveis para conseguir um novo empréstimo, visto que todos os seus ativos já estavam comprometidos nos créditos existentes. Além disso, em outubro de 2017, expirou o </w:t>
      </w:r>
      <w:r w:rsidR="0005610E" w:rsidRPr="00482C5E">
        <w:rPr>
          <w:rFonts w:ascii="Segoe UI" w:hAnsi="Segoe UI"/>
          <w:i/>
        </w:rPr>
        <w:t>waiver</w:t>
      </w:r>
      <w:r w:rsidR="0005610E" w:rsidRPr="00482C5E">
        <w:rPr>
          <w:rFonts w:ascii="Segoe UI" w:hAnsi="Segoe UI"/>
        </w:rPr>
        <w:t xml:space="preserve"> contratual do BNDES e em julho de 2018 terminou também o período de carência da CEF, passando aquela Eletronuclear a ser obrigada a pagar também a parte relativa ao principal da dívida, além dos juros, comprometendo, fortemente, o seu caixa.  Os pagamentos do serviço da dívida relativos ao contrato de financiamento com o BNDES foram suspensos durante o período de maio de 2020 a outubro de 2020, em função das medidas para mitigar os efeitos da pandemia da COVID-19, com a retomada dos pagamentos das obrigações no mês de novembro de 2020. </w:t>
      </w:r>
    </w:p>
    <w:p w14:paraId="0F059950" w14:textId="77777777" w:rsidR="0005610E" w:rsidRPr="00482C5E" w:rsidRDefault="0005610E" w:rsidP="0005610E">
      <w:pPr>
        <w:spacing w:before="240" w:after="120"/>
        <w:jc w:val="both"/>
        <w:rPr>
          <w:rFonts w:ascii="Segoe UI" w:hAnsi="Segoe UI"/>
        </w:rPr>
      </w:pPr>
      <w:r w:rsidRPr="00482C5E">
        <w:rPr>
          <w:rFonts w:ascii="Segoe UI" w:hAnsi="Segoe UI"/>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64D74BE8" w14:textId="77777777" w:rsidR="0005610E" w:rsidRPr="00482C5E" w:rsidRDefault="0005610E" w:rsidP="0005610E">
      <w:pPr>
        <w:spacing w:before="240" w:after="120"/>
        <w:jc w:val="both"/>
        <w:rPr>
          <w:rFonts w:ascii="Segoe UI" w:hAnsi="Segoe UI"/>
        </w:rPr>
      </w:pPr>
      <w:r w:rsidRPr="00482C5E">
        <w:rPr>
          <w:rFonts w:ascii="Segoe UI" w:hAnsi="Segoe UI"/>
        </w:rPr>
        <w:t>Para tentar solucionar essa questão, em 05 de junho de 2018, aconteceu a 3ª Reunião Extraordinária do CNPE, na qual foi determinada a formação de um Grupo de Trabalho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3287E5D0" w14:textId="77777777" w:rsidR="0005610E" w:rsidRPr="00482C5E" w:rsidRDefault="0005610E" w:rsidP="0005610E">
      <w:pPr>
        <w:spacing w:before="240" w:after="120"/>
        <w:jc w:val="both"/>
        <w:rPr>
          <w:rFonts w:ascii="Segoe UI" w:hAnsi="Segoe UI"/>
        </w:rPr>
      </w:pPr>
      <w:r w:rsidRPr="00482C5E">
        <w:rPr>
          <w:rFonts w:ascii="Segoe UI" w:hAnsi="Segoe UI"/>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228830EF" w14:textId="77777777" w:rsidR="0005610E" w:rsidRPr="00482C5E" w:rsidRDefault="0005610E" w:rsidP="0005610E">
      <w:pPr>
        <w:spacing w:before="240" w:after="120"/>
        <w:jc w:val="both"/>
        <w:rPr>
          <w:rFonts w:ascii="Segoe UI" w:hAnsi="Segoe UI"/>
        </w:rPr>
      </w:pPr>
      <w:r w:rsidRPr="00482C5E">
        <w:rPr>
          <w:rFonts w:ascii="Segoe UI" w:hAnsi="Segoe UI"/>
        </w:rPr>
        <w:lastRenderedPageBreak/>
        <w:t>Essa revisão tarifária foi fundamental, pois, além de dar condições para a renegociação da dívida, restabeleceu a atratividade do projeto, fortalecendo o interesse dos eventuais parceiros.</w:t>
      </w:r>
    </w:p>
    <w:p w14:paraId="5DCA0887" w14:textId="77777777" w:rsidR="0005610E" w:rsidRPr="00482C5E" w:rsidRDefault="0005610E" w:rsidP="0005610E">
      <w:pPr>
        <w:spacing w:before="240" w:after="120"/>
        <w:jc w:val="both"/>
        <w:rPr>
          <w:rFonts w:ascii="Segoe UI" w:hAnsi="Segoe UI"/>
        </w:rPr>
      </w:pPr>
      <w:r w:rsidRPr="00482C5E">
        <w:rPr>
          <w:rFonts w:ascii="Segoe UI" w:hAnsi="Segoe UI"/>
        </w:rPr>
        <w:t xml:space="preserve">Conforme orientação do Conselho de Programa de Parcerias de Investimentos - CPPI, a Eletronuclear realizou, em maio e junho de 2019, o processo de </w:t>
      </w:r>
      <w:r w:rsidRPr="00482C5E">
        <w:rPr>
          <w:rFonts w:ascii="Segoe UI" w:hAnsi="Segoe UI"/>
          <w:i/>
        </w:rPr>
        <w:t>Market Sounding</w:t>
      </w:r>
      <w:r w:rsidRPr="00482C5E">
        <w:rPr>
          <w:rFonts w:ascii="Segoe UI" w:hAnsi="Segoe UI"/>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482C5E">
        <w:rPr>
          <w:rFonts w:ascii="Segoe UI" w:hAnsi="Segoe UI"/>
          <w:i/>
        </w:rPr>
        <w:t>Électricité de France</w:t>
      </w:r>
      <w:r w:rsidRPr="00482C5E">
        <w:rPr>
          <w:rFonts w:ascii="Segoe UI" w:hAnsi="Segoe UI"/>
        </w:rPr>
        <w:t xml:space="preserve"> - EDF e Framatome (ambas da França), </w:t>
      </w:r>
      <w:r w:rsidRPr="00482C5E">
        <w:rPr>
          <w:rFonts w:ascii="Segoe UI" w:hAnsi="Segoe UI"/>
          <w:i/>
        </w:rPr>
        <w:t xml:space="preserve">Rosatom State Atomic Energy Corporation </w:t>
      </w:r>
      <w:r w:rsidRPr="00482C5E">
        <w:rPr>
          <w:rFonts w:ascii="Segoe UI" w:hAnsi="Segoe UI"/>
        </w:rPr>
        <w:t xml:space="preserve">(Rússia), </w:t>
      </w:r>
      <w:r w:rsidRPr="00482C5E">
        <w:rPr>
          <w:rFonts w:ascii="Segoe UI" w:hAnsi="Segoe UI"/>
          <w:i/>
        </w:rPr>
        <w:t>China Nacional Nuclear Corporation</w:t>
      </w:r>
      <w:r w:rsidRPr="00482C5E">
        <w:rPr>
          <w:rFonts w:ascii="Segoe UI" w:hAnsi="Segoe UI"/>
        </w:rPr>
        <w:t xml:space="preserve"> - CNNC e </w:t>
      </w:r>
      <w:r w:rsidRPr="00482C5E">
        <w:rPr>
          <w:rFonts w:ascii="Segoe UI" w:hAnsi="Segoe UI"/>
          <w:i/>
        </w:rPr>
        <w:t xml:space="preserve">State Nuclear Power Technology </w:t>
      </w:r>
      <w:r w:rsidRPr="00482C5E">
        <w:rPr>
          <w:rFonts w:ascii="Segoe UI" w:hAnsi="Segoe UI"/>
        </w:rPr>
        <w:t>-</w:t>
      </w:r>
      <w:r w:rsidRPr="00482C5E">
        <w:rPr>
          <w:rFonts w:ascii="Segoe UI" w:hAnsi="Segoe UI"/>
          <w:i/>
        </w:rPr>
        <w:t xml:space="preserve"> SNPTC</w:t>
      </w:r>
      <w:r w:rsidRPr="00482C5E">
        <w:rPr>
          <w:rFonts w:ascii="Segoe UI" w:hAnsi="Segoe UI"/>
        </w:rPr>
        <w:t xml:space="preserve"> (ambas chinesas), </w:t>
      </w:r>
      <w:r w:rsidRPr="00482C5E">
        <w:rPr>
          <w:rFonts w:ascii="Segoe UI" w:hAnsi="Segoe UI"/>
          <w:i/>
        </w:rPr>
        <w:t>Korea Electric Power Corporation</w:t>
      </w:r>
      <w:r w:rsidRPr="00482C5E">
        <w:rPr>
          <w:rFonts w:ascii="Segoe UI" w:hAnsi="Segoe UI"/>
        </w:rPr>
        <w:t xml:space="preserve"> - KEPCO (Coreia) e </w:t>
      </w:r>
      <w:r w:rsidRPr="00482C5E">
        <w:rPr>
          <w:rFonts w:ascii="Segoe UI" w:hAnsi="Segoe UI"/>
          <w:i/>
        </w:rPr>
        <w:t>Westinghouse</w:t>
      </w:r>
      <w:r w:rsidRPr="00482C5E">
        <w:rPr>
          <w:rFonts w:ascii="Segoe UI" w:hAnsi="Segoe UI"/>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2AB61CBA" w14:textId="1E1CB6F2" w:rsidR="0005610E" w:rsidRPr="00482C5E" w:rsidRDefault="0005610E" w:rsidP="0005610E">
      <w:pPr>
        <w:spacing w:before="240" w:after="120"/>
        <w:jc w:val="both"/>
        <w:rPr>
          <w:rFonts w:ascii="Segoe UI" w:hAnsi="Segoe UI"/>
        </w:rPr>
      </w:pPr>
      <w:r w:rsidRPr="00482C5E">
        <w:rPr>
          <w:rFonts w:ascii="Segoe UI" w:hAnsi="Segoe UI"/>
        </w:rPr>
        <w:t xml:space="preserve">Em 16 de julho de 2019, foi publicado o Decreto Presidencial nº 9915/2019 que qualificou Angra 3 no Programa de Parceria de Investimentos - PPI. O mesmo </w:t>
      </w:r>
      <w:r w:rsidR="00D5058F" w:rsidRPr="00482C5E">
        <w:rPr>
          <w:rFonts w:ascii="Segoe UI" w:hAnsi="Segoe UI"/>
        </w:rPr>
        <w:t>D</w:t>
      </w:r>
      <w:r w:rsidRPr="00482C5E">
        <w:rPr>
          <w:rFonts w:ascii="Segoe UI" w:hAnsi="Segoe UI"/>
        </w:rPr>
        <w:t>ecreto criou um Comitê Interministerial para conduzir o processo de definição do modelo de negócio a ser efetivamente adotado. O Comitê é formado por representantes do MME,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2778E4D0" w14:textId="77777777" w:rsidR="0005610E" w:rsidRPr="00482C5E" w:rsidRDefault="0005610E" w:rsidP="0005610E">
      <w:pPr>
        <w:spacing w:before="240" w:after="120"/>
        <w:jc w:val="both"/>
        <w:rPr>
          <w:rFonts w:ascii="Segoe UI" w:hAnsi="Segoe UI"/>
        </w:rPr>
      </w:pPr>
      <w:r w:rsidRPr="00482C5E">
        <w:rPr>
          <w:rFonts w:ascii="Segoe UI" w:hAnsi="Segoe UI"/>
        </w:rPr>
        <w:t>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63EEBFD9" w14:textId="77777777" w:rsidR="0005610E" w:rsidRPr="00482C5E" w:rsidRDefault="0005610E" w:rsidP="0005610E">
      <w:pPr>
        <w:spacing w:before="240" w:after="120"/>
        <w:jc w:val="both"/>
        <w:rPr>
          <w:rFonts w:ascii="Segoe UI" w:hAnsi="Segoe UI"/>
        </w:rPr>
      </w:pPr>
      <w:r w:rsidRPr="00482C5E">
        <w:rPr>
          <w:rFonts w:ascii="Segoe UI" w:hAnsi="Segoe UI"/>
        </w:rPr>
        <w:t xml:space="preserve">A minuta do relatório com os resultados da fase 1, com a indicação do modelo, foi entregue em janeiro de 2020. </w:t>
      </w:r>
    </w:p>
    <w:p w14:paraId="74CE30B5" w14:textId="04F9A8CD" w:rsidR="00D109A9" w:rsidRPr="00482C5E" w:rsidRDefault="0005610E" w:rsidP="0005610E">
      <w:pPr>
        <w:spacing w:before="240" w:after="120"/>
        <w:jc w:val="both"/>
        <w:rPr>
          <w:rFonts w:ascii="Segoe UI" w:hAnsi="Segoe UI"/>
        </w:rPr>
      </w:pPr>
      <w:r w:rsidRPr="00482C5E">
        <w:rPr>
          <w:rFonts w:ascii="Segoe UI" w:hAnsi="Segoe UI"/>
        </w:rPr>
        <w:t xml:space="preserve">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w:t>
      </w:r>
      <w:r w:rsidRPr="00482C5E">
        <w:rPr>
          <w:rFonts w:ascii="Segoe UI" w:hAnsi="Segoe UI"/>
        </w:rPr>
        <w:lastRenderedPageBreak/>
        <w:t>estruturação do modelo proposto. O documento recomend</w:t>
      </w:r>
      <w:r w:rsidR="00D5058F" w:rsidRPr="00482C5E">
        <w:rPr>
          <w:rFonts w:ascii="Segoe UI" w:hAnsi="Segoe UI"/>
        </w:rPr>
        <w:t>ou</w:t>
      </w:r>
      <w:r w:rsidRPr="00482C5E">
        <w:rPr>
          <w:rFonts w:ascii="Segoe UI" w:hAnsi="Segoe UI"/>
        </w:rPr>
        <w:t xml:space="preserve">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CNPE que fará o acompanhamento do trabalho elaborado pelo BNDES.</w:t>
      </w:r>
      <w:bookmarkStart w:id="17" w:name="_Hlk66659174"/>
      <w:bookmarkEnd w:id="16"/>
    </w:p>
    <w:p w14:paraId="75EC3D07" w14:textId="40C586B9" w:rsidR="0005610E" w:rsidRPr="00482C5E" w:rsidRDefault="0005610E" w:rsidP="0005610E">
      <w:pPr>
        <w:spacing w:before="240" w:after="120"/>
        <w:jc w:val="both"/>
        <w:rPr>
          <w:rFonts w:ascii="Segoe UI" w:hAnsi="Segoe UI"/>
        </w:rPr>
      </w:pPr>
      <w:r w:rsidRPr="00482C5E">
        <w:rPr>
          <w:rFonts w:ascii="Segoe UI" w:hAnsi="Segoe UI"/>
        </w:rPr>
        <w:t>Apesar da decisão final pela contratação de uma empresa especialista para conclusão de Angra 3, o CPPI abriu espaço para a entrada de um sócio no empreendimento, afirmando que essa seria uma escolha estratégica da Eletronuclear. Caso a Eletronuclear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02EE1D79" w14:textId="77777777" w:rsidR="0005610E" w:rsidRPr="00482C5E" w:rsidRDefault="0005610E" w:rsidP="0005610E">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 xml:space="preserve">Os trabalhos conduzidos pelo BNDES, em sua fase 2, concentram-se na realização da </w:t>
      </w:r>
      <w:r w:rsidRPr="00482C5E">
        <w:rPr>
          <w:rFonts w:ascii="Segoe UI" w:hAnsi="Segoe UI"/>
          <w:i/>
        </w:rPr>
        <w:t>Due Diligence</w:t>
      </w:r>
      <w:r w:rsidRPr="00482C5E">
        <w:rPr>
          <w:rFonts w:ascii="Segoe UI" w:hAnsi="Segoe UI"/>
        </w:rPr>
        <w:t xml:space="preserve"> Técnico-Operacional pelo consórcio formado pelas empresas Tractebel Brasil, Tractebel Bélgica e Empresários Agrupados (Espanha), contratadas pelo BNDES. Os trabalhos tiveram início em julho de 2021 e a segunda revisão da versão final do relatório da fase 2 foi entregue. Também estão em curso a </w:t>
      </w:r>
      <w:r w:rsidRPr="00482C5E">
        <w:rPr>
          <w:rFonts w:ascii="Segoe UI" w:hAnsi="Segoe UI"/>
          <w:i/>
        </w:rPr>
        <w:t>Due Diligence</w:t>
      </w:r>
      <w:r w:rsidRPr="00482C5E">
        <w:rPr>
          <w:rFonts w:ascii="Segoe UI" w:hAnsi="Segoe UI"/>
        </w:rPr>
        <w:t xml:space="preserve"> Jurídica, a </w:t>
      </w:r>
      <w:r w:rsidRPr="00482C5E">
        <w:rPr>
          <w:rFonts w:ascii="Segoe UI" w:hAnsi="Segoe UI"/>
          <w:i/>
        </w:rPr>
        <w:t>Due Diligence</w:t>
      </w:r>
      <w:r w:rsidRPr="00482C5E">
        <w:rPr>
          <w:rFonts w:ascii="Segoe UI" w:hAnsi="Segoe UI"/>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03ED5C0A" w14:textId="77777777" w:rsidR="0005610E" w:rsidRPr="00482C5E" w:rsidRDefault="0005610E" w:rsidP="0005610E">
      <w:pPr>
        <w:spacing w:before="240" w:after="120"/>
        <w:jc w:val="both"/>
        <w:rPr>
          <w:rFonts w:ascii="Segoe UI" w:hAnsi="Segoe UI"/>
        </w:rPr>
      </w:pPr>
      <w:bookmarkStart w:id="18" w:name="_Hlk66659182"/>
      <w:bookmarkEnd w:id="17"/>
      <w:r w:rsidRPr="00482C5E">
        <w:rPr>
          <w:rFonts w:ascii="Segoe UI" w:hAnsi="Segoe UI"/>
        </w:rPr>
        <w:t>Em paralelo ao trabalho desenvolvido pelo BNDES, após as respectivas apresentações do relatório para o Conselho da Eletrobras e da controlada Eletronuclear, foi solicitado um estudo adicional sobre riscos e alternativas caso a implementação do modelo proposto sofra atrasos em função de fatos não gerenciáveis pela empresa. </w:t>
      </w:r>
    </w:p>
    <w:p w14:paraId="529D209A" w14:textId="77777777" w:rsidR="0018287B" w:rsidRDefault="0005610E" w:rsidP="0005610E">
      <w:pPr>
        <w:spacing w:before="240" w:after="120"/>
        <w:jc w:val="both"/>
        <w:rPr>
          <w:rFonts w:ascii="Segoe UI" w:hAnsi="Segoe UI"/>
        </w:rPr>
      </w:pPr>
      <w:r w:rsidRPr="00482C5E">
        <w:rPr>
          <w:rFonts w:ascii="Segoe UI" w:hAnsi="Segoe UI"/>
        </w:rPr>
        <w:t>Em 17 de agosto de 2020, na esteira da aprovação pelo CPPI, em junho de 2020, do relatório do comitê interministerial sobre o modelo de negócios para concluir Angra 3, a Eletrobras aprovou o Plano de Aceleração da Linha Crítica do empreendimento, com a previsão de aporte na controlada Eletronuclear,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00EF7F86" w14:textId="0B3D8828" w:rsidR="0005610E" w:rsidRPr="00482C5E" w:rsidRDefault="0005610E" w:rsidP="0005610E">
      <w:pPr>
        <w:spacing w:before="240" w:after="120"/>
        <w:jc w:val="both"/>
        <w:rPr>
          <w:rFonts w:ascii="Segoe UI" w:hAnsi="Segoe UI"/>
        </w:rPr>
      </w:pPr>
      <w:r w:rsidRPr="00482C5E">
        <w:rPr>
          <w:rFonts w:ascii="Segoe UI" w:hAnsi="Segoe UI"/>
        </w:rPr>
        <w:lastRenderedPageBreak/>
        <w:t xml:space="preserve">Os aportes iniciais aprovados no âmbito do Programa de Aceleração da Linha Crítica serão realizados pela Eletrobras na Eletronuclear por meio de AFAC conforme o contrato ECF-3387, formalizado entre as partes em 05 de agosto de 2020. </w:t>
      </w:r>
    </w:p>
    <w:p w14:paraId="7EFBE190" w14:textId="77777777" w:rsidR="0005610E" w:rsidRPr="00482C5E" w:rsidRDefault="0005610E" w:rsidP="0005610E">
      <w:pPr>
        <w:spacing w:before="240" w:after="120"/>
        <w:jc w:val="both"/>
        <w:rPr>
          <w:rFonts w:ascii="Segoe UI" w:hAnsi="Segoe UI"/>
        </w:rPr>
      </w:pPr>
      <w:r w:rsidRPr="00482C5E">
        <w:rPr>
          <w:rFonts w:ascii="Segoe UI" w:hAnsi="Segoe UI"/>
        </w:rPr>
        <w:t>O principal objetivo do plano de aceleração é preservar a data de entrada em operação da usina, prevista para fevereiro de 2028.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1DDFD0D1" w14:textId="77777777" w:rsidR="0005610E" w:rsidRPr="00482C5E" w:rsidRDefault="0005610E" w:rsidP="0005610E">
      <w:pPr>
        <w:spacing w:before="240" w:after="120"/>
        <w:jc w:val="both"/>
        <w:rPr>
          <w:rFonts w:ascii="Segoe UI" w:hAnsi="Segoe UI"/>
        </w:rPr>
      </w:pPr>
      <w:r w:rsidRPr="00482C5E">
        <w:rPr>
          <w:rFonts w:ascii="Segoe UI" w:hAnsi="Segoe UI"/>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2E5AA583" w14:textId="77777777" w:rsidR="0005610E" w:rsidRPr="00482C5E" w:rsidRDefault="0005610E" w:rsidP="0005610E">
      <w:pPr>
        <w:spacing w:before="240" w:after="120"/>
        <w:jc w:val="both"/>
        <w:rPr>
          <w:rFonts w:ascii="Segoe UI" w:hAnsi="Segoe UI"/>
        </w:rPr>
      </w:pPr>
      <w:r w:rsidRPr="00482C5E">
        <w:rPr>
          <w:rFonts w:ascii="Segoe UI" w:hAnsi="Segoe UI"/>
        </w:rPr>
        <w:t>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Veirano Advogados, que está auxiliando a Eletronuclear no processo de retomada dos contratos de fornecimento de Angra 3. Como consequência disso, contatos foram feitos com os fornecedores desses contratos, tendo-se iniciado o processo de renegociação caso a caso.</w:t>
      </w:r>
    </w:p>
    <w:p w14:paraId="668C6648" w14:textId="77777777" w:rsidR="0005610E" w:rsidRPr="00482C5E" w:rsidRDefault="0005610E" w:rsidP="0005610E">
      <w:pPr>
        <w:spacing w:before="240" w:after="120"/>
        <w:jc w:val="both"/>
        <w:rPr>
          <w:rFonts w:ascii="Segoe UI" w:hAnsi="Segoe UI"/>
        </w:rPr>
      </w:pPr>
      <w:r w:rsidRPr="00482C5E">
        <w:rPr>
          <w:rFonts w:ascii="Segoe UI" w:hAnsi="Segoe UI"/>
        </w:rPr>
        <w:t>Em janeiro de 2021, houve aprovação do descontingenciamento dos recursos necessários para a Eletronuclear publicar o edital de contratação da obra civil de Angra 3. Em 25 de fevereiro de 2021, a Eletronuclear publicou, no DOU, o edital para contratação da empresa que retomará a obra civil de Angra 3 e realizará parte da montagem eletromecânica.  </w:t>
      </w:r>
    </w:p>
    <w:p w14:paraId="333CD43D" w14:textId="77777777" w:rsidR="0005610E" w:rsidRPr="00482C5E" w:rsidRDefault="0005610E" w:rsidP="0005610E">
      <w:pPr>
        <w:spacing w:before="240" w:after="120"/>
        <w:jc w:val="both"/>
        <w:rPr>
          <w:rFonts w:ascii="Segoe UI" w:hAnsi="Segoe UI"/>
        </w:rPr>
      </w:pPr>
      <w:r w:rsidRPr="00482C5E">
        <w:rPr>
          <w:rFonts w:ascii="Segoe UI" w:hAnsi="Segoe UI"/>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3FA6FA35" w14:textId="77777777" w:rsidR="0005610E" w:rsidRPr="00482C5E" w:rsidRDefault="0005610E" w:rsidP="0005610E">
      <w:pPr>
        <w:spacing w:before="240" w:after="120"/>
        <w:jc w:val="both"/>
        <w:rPr>
          <w:rFonts w:ascii="Segoe UI" w:hAnsi="Segoe UI"/>
          <w:color w:val="000000"/>
          <w:bdr w:val="none" w:sz="0" w:space="0" w:color="auto" w:frame="1"/>
        </w:rPr>
      </w:pPr>
      <w:r w:rsidRPr="00482C5E">
        <w:rPr>
          <w:rFonts w:ascii="Segoe UI" w:hAnsi="Segoe UI"/>
        </w:rPr>
        <w:t xml:space="preserve">Após análise e aprovação da documentação do licitante, o resultado foi divulgado em sessão pública realizada em 23 de julho de 2021, quando a Eletronuclear declarou o consórcio composto por Ferreira Guedes, Matricial e </w:t>
      </w:r>
      <w:r w:rsidRPr="00950AC6">
        <w:rPr>
          <w:rFonts w:ascii="Segoe UI" w:hAnsi="Segoe UI"/>
          <w:i/>
          <w:iCs/>
        </w:rPr>
        <w:t xml:space="preserve">ADtranz </w:t>
      </w:r>
      <w:r w:rsidRPr="00482C5E">
        <w:rPr>
          <w:rFonts w:ascii="Segoe UI" w:hAnsi="Segoe UI"/>
        </w:rPr>
        <w:t>vencedor da licitação.</w:t>
      </w:r>
      <w:r w:rsidRPr="00482C5E">
        <w:rPr>
          <w:rFonts w:ascii="Segoe UI" w:hAnsi="Segoe UI"/>
          <w:color w:val="000000"/>
        </w:rPr>
        <w:t xml:space="preserve"> O lance vencedor significou deságio de aproximadamente 16% em relação ao valor de referência. Após o fim da fase recursal da licitação, as empresas vencedoras</w:t>
      </w:r>
      <w:r w:rsidRPr="00482C5E">
        <w:rPr>
          <w:rFonts w:ascii="Segoe UI" w:hAnsi="Segoe UI"/>
        </w:rPr>
        <w:t> foram</w:t>
      </w:r>
      <w:r w:rsidRPr="00482C5E">
        <w:rPr>
          <w:rFonts w:ascii="Segoe UI" w:hAnsi="Segoe UI"/>
          <w:color w:val="0070C0"/>
          <w:bdr w:val="none" w:sz="0" w:space="0" w:color="auto" w:frame="1"/>
        </w:rPr>
        <w:t> </w:t>
      </w:r>
      <w:r w:rsidRPr="00482C5E">
        <w:rPr>
          <w:rFonts w:ascii="Segoe UI" w:hAnsi="Segoe UI"/>
          <w:color w:val="000000"/>
          <w:bdr w:val="none" w:sz="0" w:space="0" w:color="auto" w:frame="1"/>
        </w:rPr>
        <w:t>submetidas a uma avaliação de </w:t>
      </w:r>
      <w:r w:rsidRPr="00482C5E">
        <w:rPr>
          <w:rFonts w:ascii="Segoe UI" w:hAnsi="Segoe UI"/>
          <w:i/>
          <w:color w:val="000000"/>
          <w:bdr w:val="none" w:sz="0" w:space="0" w:color="auto" w:frame="1"/>
        </w:rPr>
        <w:t>compliance</w:t>
      </w:r>
      <w:r w:rsidRPr="00482C5E">
        <w:rPr>
          <w:rFonts w:ascii="Segoe UI" w:hAnsi="Segoe UI"/>
          <w:color w:val="000000"/>
          <w:bdr w:val="none" w:sz="0" w:space="0" w:color="auto" w:frame="1"/>
        </w:rPr>
        <w:t>, antes de o processo ser encaminhado para homologação.</w:t>
      </w:r>
    </w:p>
    <w:p w14:paraId="03D99920" w14:textId="77777777" w:rsidR="0005610E" w:rsidRPr="00482C5E" w:rsidRDefault="0005610E" w:rsidP="0005610E">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lastRenderedPageBreak/>
        <w:t>A assinatura do contrato ficou pendente, à época, da aprovação do Conselho de Administração da Eletrobras. Para dar suporte à decisão, a Eletronuclear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Eletronuclear e para Eletrobras. </w:t>
      </w:r>
    </w:p>
    <w:p w14:paraId="4DD41A3F" w14:textId="77777777" w:rsidR="0005610E" w:rsidRPr="00482C5E" w:rsidRDefault="0005610E" w:rsidP="0005610E">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 xml:space="preserve">Em 28 de janeiro de 2022, o Conselho de Administração da Eletrobras autorizou a assinatura do contrato com o consórcio composto por Ferreira Guedes, Matricial e </w:t>
      </w:r>
      <w:r w:rsidRPr="0090158D">
        <w:rPr>
          <w:rFonts w:ascii="Segoe UI" w:hAnsi="Segoe UI"/>
          <w:i/>
          <w:iCs/>
        </w:rPr>
        <w:t>ADtranz</w:t>
      </w:r>
      <w:r w:rsidRPr="00482C5E">
        <w:rPr>
          <w:rFonts w:ascii="Segoe UI" w:hAnsi="Segoe UI"/>
        </w:rPr>
        <w:t xml:space="preserve"> para realização das obras civis. Em ato contínuo, o contrato foi assinado em 9 de fevereiro de 2022. Será realizada outra licitação para contratar a empresa ou o consórcio que vai finalizar as obras civis e a montagem eletromecânica da usina. </w:t>
      </w:r>
    </w:p>
    <w:p w14:paraId="5CFFB083" w14:textId="46875CA6" w:rsidR="0005610E" w:rsidRPr="00482C5E" w:rsidRDefault="0005610E" w:rsidP="0005610E">
      <w:pPr>
        <w:spacing w:before="240" w:after="120"/>
        <w:jc w:val="both"/>
        <w:rPr>
          <w:rFonts w:ascii="Segoe UI" w:hAnsi="Segoe UI"/>
        </w:rPr>
      </w:pPr>
      <w:bookmarkStart w:id="19" w:name="_Hlk66659268"/>
      <w:bookmarkEnd w:id="18"/>
      <w:r w:rsidRPr="00482C5E">
        <w:rPr>
          <w:rFonts w:ascii="Segoe UI" w:hAnsi="Segoe UI"/>
        </w:rPr>
        <w:t xml:space="preserve">Em que pesem as necessidades para a viabilidade de conclusão do empreendimento “Angra 3” estejam endereçadas no mais alto nível da administração governamental, por meio de esforços conjuntos do poder executivo e coordenados pelo MME, a Eletronuclear tem, juntamente com a </w:t>
      </w:r>
      <w:r w:rsidR="00D5058F" w:rsidRPr="00482C5E">
        <w:rPr>
          <w:rFonts w:ascii="Segoe UI" w:hAnsi="Segoe UI"/>
        </w:rPr>
        <w:t xml:space="preserve">ENBPar e </w:t>
      </w:r>
      <w:r w:rsidRPr="00482C5E">
        <w:rPr>
          <w:rFonts w:ascii="Segoe UI" w:hAnsi="Segoe UI"/>
        </w:rPr>
        <w:t>Eletrobras, buscado alternativas para mitigar os riscos de liquidez de curto prazo, sendo estas alternativas alcançadas por meio de alívios no seu fluxo de caixa, sob a forma de manutenção de suspensões de pagamentos de amortizações em contratos de financiamentos junto à Eletrobras.</w:t>
      </w:r>
    </w:p>
    <w:p w14:paraId="58237252" w14:textId="77777777" w:rsidR="0005610E" w:rsidRPr="00482C5E" w:rsidRDefault="0005610E" w:rsidP="0005610E">
      <w:pPr>
        <w:spacing w:before="240" w:after="120"/>
        <w:jc w:val="both"/>
        <w:rPr>
          <w:rFonts w:ascii="Segoe UI" w:hAnsi="Segoe UI"/>
        </w:rPr>
      </w:pPr>
      <w:bookmarkStart w:id="20" w:name="_Hlk66659279"/>
      <w:bookmarkEnd w:id="19"/>
      <w:r w:rsidRPr="00482C5E">
        <w:rPr>
          <w:rFonts w:ascii="Segoe UI" w:hAnsi="Segoe UI"/>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62E5A0BC" w14:textId="77777777" w:rsidR="0005610E" w:rsidRPr="00482C5E" w:rsidRDefault="0005610E" w:rsidP="0005610E">
      <w:pPr>
        <w:spacing w:before="240" w:after="120"/>
        <w:jc w:val="both"/>
        <w:rPr>
          <w:rFonts w:ascii="Segoe UI" w:hAnsi="Segoe UI"/>
        </w:rPr>
      </w:pPr>
      <w:r w:rsidRPr="00482C5E">
        <w:rPr>
          <w:rFonts w:ascii="Segoe UI" w:hAnsi="Segoe UI"/>
        </w:rPr>
        <w:t>Em 01 de março de 2021, o texto da MP 998/20 foi sancionado pelo Sr. Presidente da República e convertida na Lei nº 14.120/2021. A Lei estabelece um marco legal para diversas questões relacionadas ao empreendimento, dando segurança jurídica para que a Eletronuclear possa investir na retomada da usina.</w:t>
      </w:r>
    </w:p>
    <w:p w14:paraId="1E542A2F" w14:textId="77777777" w:rsidR="0005610E" w:rsidRPr="00482C5E" w:rsidRDefault="0005610E" w:rsidP="0005610E">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21" w:name="x__Hlk66659288"/>
      <w:bookmarkEnd w:id="21"/>
      <w:r w:rsidRPr="00482C5E">
        <w:rPr>
          <w:rFonts w:ascii="Segoe UI" w:hAnsi="Segoe UI"/>
        </w:rPr>
        <w:t xml:space="preserve">referência para Angra 3, continua vigente e que os estudos em andamento do BNDES, que conta com uma </w:t>
      </w:r>
      <w:r w:rsidRPr="00482C5E">
        <w:rPr>
          <w:rFonts w:ascii="Segoe UI" w:hAnsi="Segoe UI"/>
          <w:i/>
        </w:rPr>
        <w:t>due diligence</w:t>
      </w:r>
      <w:r w:rsidRPr="00482C5E">
        <w:rPr>
          <w:rFonts w:ascii="Segoe UI" w:hAnsi="Segoe UI"/>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w:t>
      </w:r>
      <w:r w:rsidRPr="00482C5E">
        <w:rPr>
          <w:rFonts w:ascii="Segoe UI" w:hAnsi="Segoe UI"/>
        </w:rPr>
        <w:lastRenderedPageBreak/>
        <w:t>a apropriação para o preço de energia dos possíveis ganhos que venham a ocorrer durante o processo competitivo de contratações de fornecedores para a conclusão do empreendimento.</w:t>
      </w:r>
    </w:p>
    <w:bookmarkEnd w:id="20"/>
    <w:p w14:paraId="1DE31768" w14:textId="77777777" w:rsidR="0005610E" w:rsidRPr="00482C5E" w:rsidRDefault="0005610E" w:rsidP="0005610E">
      <w:pPr>
        <w:spacing w:before="240" w:after="120"/>
        <w:jc w:val="both"/>
        <w:rPr>
          <w:rFonts w:ascii="Segoe UI" w:hAnsi="Segoe UI"/>
        </w:rPr>
      </w:pPr>
      <w:r w:rsidRPr="00482C5E">
        <w:rPr>
          <w:rFonts w:ascii="Segoe UI" w:hAnsi="Segoe UI"/>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2C05AB74" w14:textId="77777777" w:rsidR="0005610E" w:rsidRPr="00482C5E" w:rsidRDefault="0005610E" w:rsidP="0005610E">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20 de outubro de 2021, foi publicado no Diário Oficial da União - DOU a Resolução CPPI nº 203, de 19 de outubro de 2021, que aprovou as condições para o processo de desestatização da Eletrobras e que em seu item XII do artigo 11º define que a Eletrobras e a ENBPar, que será a nova </w:t>
      </w:r>
      <w:r w:rsidRPr="00482C5E">
        <w:rPr>
          <w:rFonts w:ascii="Segoe UI" w:hAnsi="Segoe UI"/>
          <w:i/>
          <w:color w:val="000000"/>
        </w:rPr>
        <w:t>holding</w:t>
      </w:r>
      <w:r w:rsidRPr="00482C5E">
        <w:rPr>
          <w:rFonts w:ascii="Segoe UI" w:hAnsi="Segoe UI"/>
          <w:color w:val="000000"/>
        </w:rPr>
        <w:t xml:space="preserve"> da controlada Eletronuclear, devem celebrar acordo de investimento prevendo a participação das partes na obtenção de novas captações de financiamento para o projeto de Angra 3, seja como repassadoras de mútuo ou como garantidoras na proporção de suas participações acionárias na Eletronuclear (nota </w:t>
      </w:r>
      <w:r w:rsidRPr="00482C5E">
        <w:rPr>
          <w:rFonts w:ascii="Segoe UI" w:hAnsi="Segoe UI"/>
        </w:rPr>
        <w:t>explicativa</w:t>
      </w:r>
      <w:r w:rsidRPr="00482C5E">
        <w:rPr>
          <w:rFonts w:ascii="Segoe UI" w:hAnsi="Segoe UI"/>
          <w:color w:val="000000"/>
        </w:rPr>
        <w:t xml:space="preserve"> 1). </w:t>
      </w:r>
    </w:p>
    <w:p w14:paraId="708F3D3B" w14:textId="3717911F" w:rsidR="0005610E" w:rsidRPr="00482C5E" w:rsidRDefault="0005610E" w:rsidP="0005610E">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22 de outubro de 2021, foi publicado no DOU a Resolução CNPE nº 23, de 20 de outubro de 2021, que estabeleceu as diretrizes gerais para a definição do preço de energia da </w:t>
      </w:r>
      <w:r w:rsidR="007C0256" w:rsidRPr="00482C5E">
        <w:rPr>
          <w:rFonts w:ascii="Segoe UI" w:hAnsi="Segoe UI"/>
          <w:color w:val="000000"/>
        </w:rPr>
        <w:t>u</w:t>
      </w:r>
      <w:r w:rsidRPr="00482C5E">
        <w:rPr>
          <w:rFonts w:ascii="Segoe UI" w:hAnsi="Segoe UI"/>
          <w:color w:val="000000"/>
        </w:rPr>
        <w:t>sina de Angra 3, a ser calculada pelo BNDES, considerando a viabilidade econômico-financeira do projeto no prazo do Contrato de Comercialização de Energia da planta assim como sua financiabilidade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p>
    <w:p w14:paraId="422CF433" w14:textId="77777777" w:rsidR="0005610E" w:rsidRPr="00482C5E" w:rsidRDefault="0005610E" w:rsidP="0005610E">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30 de dezembro de 2021 foi encaminhado pelo Consórcio Angra Eurobras NES, contratado pelo BNDES para os serviços de </w:t>
      </w:r>
      <w:r w:rsidRPr="00482C5E">
        <w:rPr>
          <w:rFonts w:ascii="Segoe UI" w:hAnsi="Segoe UI"/>
          <w:i/>
          <w:color w:val="000000"/>
        </w:rPr>
        <w:t>Due Diligence</w:t>
      </w:r>
      <w:r w:rsidRPr="00482C5E">
        <w:rPr>
          <w:rFonts w:ascii="Segoe UI" w:hAnsi="Segoe UI"/>
          <w:color w:val="000000"/>
        </w:rPr>
        <w:t xml:space="preserve"> e Assessoria Técnica na revisão do </w:t>
      </w:r>
      <w:r w:rsidRPr="00482C5E">
        <w:rPr>
          <w:rFonts w:ascii="Segoe UI" w:hAnsi="Segoe UI"/>
          <w:i/>
          <w:color w:val="000000"/>
        </w:rPr>
        <w:t>Capex</w:t>
      </w:r>
      <w:r w:rsidRPr="00482C5E">
        <w:rPr>
          <w:rFonts w:ascii="Segoe UI" w:hAnsi="Segoe UI"/>
          <w:color w:val="000000"/>
        </w:rPr>
        <w:t xml:space="preserve"> e Cronograma do empreendimento de Angra 3, a versão preliminar do Relatório Final. Esse relatório está em fase de avaliação e comentários. O trabalho aponta um custo de conclusão de R$ 21,042 bilhões e a data de entrada em operação como sendo fevereiro de 2028.</w:t>
      </w:r>
    </w:p>
    <w:p w14:paraId="51A1146E" w14:textId="032C9CE3" w:rsidR="0005610E" w:rsidRPr="00482C5E" w:rsidRDefault="0005610E" w:rsidP="0005610E">
      <w:pPr>
        <w:pStyle w:val="xmsonormal"/>
        <w:shd w:val="clear" w:color="auto" w:fill="FFFFFF"/>
        <w:spacing w:before="240" w:beforeAutospacing="0" w:after="120" w:afterAutospacing="0" w:line="259" w:lineRule="auto"/>
        <w:rPr>
          <w:rFonts w:ascii="Segoe UI" w:hAnsi="Segoe UI"/>
          <w:color w:val="000000"/>
        </w:rPr>
      </w:pPr>
      <w:bookmarkStart w:id="22" w:name="_Hlk98406522"/>
      <w:r w:rsidRPr="00482C5E">
        <w:rPr>
          <w:rFonts w:ascii="Segoe UI" w:hAnsi="Segoe UI"/>
          <w:color w:val="000000"/>
        </w:rPr>
        <w:t xml:space="preserve">Em 2021, a Eletronuclear encomendou à A&amp;M uma atualização do estudo da tarifa de equilíbrio que foi entregue no início de janeiro 2022, considerando as novas estimativas de valores de </w:t>
      </w:r>
      <w:r w:rsidRPr="00482C5E">
        <w:rPr>
          <w:rFonts w:ascii="Segoe UI" w:hAnsi="Segoe UI"/>
          <w:i/>
          <w:color w:val="000000"/>
        </w:rPr>
        <w:t>Capex</w:t>
      </w:r>
      <w:r w:rsidRPr="00482C5E">
        <w:rPr>
          <w:rFonts w:ascii="Segoe UI" w:hAnsi="Segoe UI"/>
          <w:color w:val="000000"/>
        </w:rPr>
        <w:t>, avaliados de forma independente e indicados no estudo do Consórcio Angra Eurobras NES, mantendo a data estimada de entrada em operação comercial como sendo 29 de novembro de 2027, bem como todos os parâmetros aplicados ao Projeto e garantidos por meio da Resolução CNPE nº 23/2021.</w:t>
      </w:r>
      <w:bookmarkEnd w:id="22"/>
    </w:p>
    <w:p w14:paraId="2B9999E0" w14:textId="427ACF7F" w:rsidR="0005610E" w:rsidRPr="00482C5E" w:rsidRDefault="0005610E" w:rsidP="0005610E">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lastRenderedPageBreak/>
        <w:t>Em 10 de maio de 2022, a Diretoria Executiva d</w:t>
      </w:r>
      <w:bookmarkStart w:id="23" w:name="_Hlk128580080"/>
      <w:r w:rsidRPr="00482C5E">
        <w:rPr>
          <w:rFonts w:ascii="Segoe UI" w:hAnsi="Segoe UI"/>
        </w:rPr>
        <w:t xml:space="preserve">a </w:t>
      </w:r>
      <w:bookmarkEnd w:id="23"/>
      <w:r w:rsidRPr="00482C5E">
        <w:rPr>
          <w:rFonts w:ascii="Segoe UI" w:hAnsi="Segoe UI"/>
        </w:rPr>
        <w:t xml:space="preserve">Eletronuclear aprovou a nova data de Início de </w:t>
      </w:r>
      <w:r w:rsidR="007C0256" w:rsidRPr="00482C5E">
        <w:rPr>
          <w:rFonts w:ascii="Segoe UI" w:hAnsi="Segoe UI"/>
        </w:rPr>
        <w:t>o</w:t>
      </w:r>
      <w:r w:rsidRPr="00482C5E">
        <w:rPr>
          <w:rFonts w:ascii="Segoe UI" w:hAnsi="Segoe UI"/>
        </w:rPr>
        <w:t xml:space="preserve">peração de </w:t>
      </w:r>
      <w:r w:rsidR="007C0256" w:rsidRPr="00482C5E">
        <w:rPr>
          <w:rFonts w:ascii="Segoe UI" w:hAnsi="Segoe UI"/>
        </w:rPr>
        <w:t>u</w:t>
      </w:r>
      <w:r w:rsidRPr="00482C5E">
        <w:rPr>
          <w:rFonts w:ascii="Segoe UI" w:hAnsi="Segoe UI"/>
        </w:rPr>
        <w:t xml:space="preserve">sina de Angra 3 como sendo fevereiro de 2028, conforme Relatório Final preparado pelo Consórcio liderado pela Tractebel, contratado pelo BNDES para a </w:t>
      </w:r>
      <w:r w:rsidRPr="00482C5E">
        <w:rPr>
          <w:rFonts w:ascii="Segoe UI" w:hAnsi="Segoe UI"/>
          <w:i/>
        </w:rPr>
        <w:t>Due Diligence</w:t>
      </w:r>
      <w:r w:rsidRPr="00482C5E">
        <w:rPr>
          <w:rFonts w:ascii="Segoe UI" w:hAnsi="Segoe UI"/>
        </w:rPr>
        <w:t xml:space="preserve"> Técnica de Angra 3, no âmbito dos estudos que estão sendo realizados para viabilizar o empreendimento.</w:t>
      </w:r>
    </w:p>
    <w:p w14:paraId="3EB0FF04" w14:textId="77777777" w:rsidR="0005610E" w:rsidRPr="00A30A0D" w:rsidRDefault="0005610E" w:rsidP="0005610E">
      <w:pPr>
        <w:pStyle w:val="xmsonormal"/>
        <w:spacing w:before="240" w:beforeAutospacing="0" w:after="120" w:afterAutospacing="0" w:line="259" w:lineRule="auto"/>
        <w:rPr>
          <w:rFonts w:ascii="Segoe UI" w:hAnsi="Segoe UI" w:cs="Segoe UI"/>
          <w:iCs/>
          <w:szCs w:val="22"/>
        </w:rPr>
      </w:pPr>
      <w:r w:rsidRPr="00482C5E">
        <w:rPr>
          <w:rFonts w:ascii="Segoe UI" w:hAnsi="Segoe UI"/>
        </w:rPr>
        <w:t>Em 4 de novembro de 2022, o BNDES submeteu à Eletronuclear os relatórios completos de modelagem financeira juntamente com as minutas de edital e contrato para a licitação dos serviços de EPC para a conclusão do empreendimento. Esses relatórios estão em análise para aprovação pela governança da Eletronuclear. Uma vez aprovados, serão apreciados pelo Tribunal de Contas da União, conforme fluxograma detalhado acima.</w:t>
      </w:r>
      <w:r w:rsidRPr="00A30A0D">
        <w:rPr>
          <w:rFonts w:ascii="Segoe UI" w:hAnsi="Segoe UI" w:cs="Segoe UI"/>
          <w:iCs/>
          <w:szCs w:val="22"/>
        </w:rPr>
        <w:t xml:space="preserve"> </w:t>
      </w:r>
    </w:p>
    <w:p w14:paraId="273411B9" w14:textId="56850FD3" w:rsidR="0005610E" w:rsidRPr="001D3533" w:rsidRDefault="0005610E" w:rsidP="0005610E">
      <w:pPr>
        <w:spacing w:before="240" w:afterLines="50" w:after="120"/>
        <w:jc w:val="both"/>
        <w:rPr>
          <w:rFonts w:ascii="Segoe UI" w:hAnsi="Segoe UI" w:cs="Segoe UI"/>
          <w:b/>
          <w:color w:val="1B80C4"/>
        </w:rPr>
      </w:pPr>
      <w:r w:rsidRPr="000757BC">
        <w:rPr>
          <w:rFonts w:ascii="Segoe UI" w:hAnsi="Segoe UI" w:cs="Segoe UI"/>
          <w:b/>
          <w:bCs/>
          <w:color w:val="0070C0"/>
        </w:rPr>
        <w:t>3</w:t>
      </w:r>
      <w:r w:rsidR="0024594A">
        <w:rPr>
          <w:rFonts w:ascii="Segoe UI" w:hAnsi="Segoe UI" w:cs="Segoe UI"/>
          <w:b/>
          <w:bCs/>
          <w:color w:val="0070C0"/>
        </w:rPr>
        <w:t>1</w:t>
      </w:r>
      <w:r w:rsidRPr="000757BC">
        <w:rPr>
          <w:rFonts w:ascii="Segoe UI" w:hAnsi="Segoe UI" w:cs="Segoe UI"/>
          <w:b/>
          <w:bCs/>
          <w:color w:val="0070C0"/>
        </w:rPr>
        <w:t xml:space="preserve">.3.5.2 – </w:t>
      </w:r>
      <w:r w:rsidRPr="001D3533">
        <w:rPr>
          <w:rFonts w:ascii="Segoe UI" w:hAnsi="Segoe UI" w:cs="Segoe UI"/>
          <w:b/>
          <w:color w:val="1B80C4"/>
        </w:rPr>
        <w:t>Indústrias Nucleares do Brasil S.A – INB</w:t>
      </w:r>
    </w:p>
    <w:p w14:paraId="1398B4CF" w14:textId="77777777" w:rsidR="0005610E" w:rsidRPr="000757BC" w:rsidRDefault="0005610E" w:rsidP="0005610E">
      <w:pPr>
        <w:spacing w:before="240" w:after="120"/>
        <w:jc w:val="both"/>
        <w:rPr>
          <w:rFonts w:ascii="Segoe UI" w:eastAsia="Times New Roman" w:hAnsi="Segoe UI" w:cs="Segoe UI"/>
          <w:lang w:eastAsia="pt-BR"/>
        </w:rPr>
      </w:pPr>
      <w:r w:rsidRPr="000757BC">
        <w:rPr>
          <w:rFonts w:ascii="Segoe UI" w:eastAsia="Times New Roman" w:hAnsi="Segoe UI" w:cs="Segoe UI"/>
          <w:lang w:eastAsia="pt-BR"/>
        </w:rPr>
        <w:t xml:space="preserve">Para consecução do Elemento Combustível, a cadeia produtiva da </w:t>
      </w:r>
      <w:r>
        <w:rPr>
          <w:rFonts w:ascii="Segoe UI" w:eastAsia="Times New Roman" w:hAnsi="Segoe UI" w:cs="Segoe UI"/>
          <w:lang w:eastAsia="pt-BR"/>
        </w:rPr>
        <w:t xml:space="preserve">INB </w:t>
      </w:r>
      <w:r w:rsidRPr="000757BC">
        <w:rPr>
          <w:rFonts w:ascii="Segoe UI" w:eastAsia="Times New Roman" w:hAnsi="Segoe UI" w:cs="Segoe UI"/>
          <w:lang w:eastAsia="pt-BR"/>
        </w:rPr>
        <w:t xml:space="preserve">contém a dependência de fornecedores internacionais para execução de atividades e fornecimento de materiais ainda não contemplados pela </w:t>
      </w:r>
      <w:r>
        <w:rPr>
          <w:rFonts w:ascii="Segoe UI" w:eastAsia="Times New Roman" w:hAnsi="Segoe UI" w:cs="Segoe UI"/>
          <w:lang w:eastAsia="pt-BR"/>
        </w:rPr>
        <w:t>controlada</w:t>
      </w:r>
      <w:r w:rsidRPr="000757BC">
        <w:rPr>
          <w:rFonts w:ascii="Segoe UI" w:eastAsia="Times New Roman" w:hAnsi="Segoe UI" w:cs="Segoe UI"/>
          <w:lang w:eastAsia="pt-BR"/>
        </w:rPr>
        <w:t>.</w:t>
      </w:r>
    </w:p>
    <w:p w14:paraId="645D316E" w14:textId="77777777" w:rsidR="0005610E" w:rsidRPr="000757BC" w:rsidRDefault="0005610E" w:rsidP="0005610E">
      <w:pPr>
        <w:spacing w:before="240" w:after="120"/>
        <w:jc w:val="both"/>
        <w:rPr>
          <w:rFonts w:ascii="Segoe UI" w:eastAsia="Times New Roman" w:hAnsi="Segoe UI" w:cs="Segoe UI"/>
          <w:lang w:eastAsia="pt-BR"/>
        </w:rPr>
      </w:pPr>
      <w:r w:rsidRPr="000757BC">
        <w:rPr>
          <w:rFonts w:ascii="Segoe UI" w:eastAsia="Times New Roman" w:hAnsi="Segoe UI" w:cs="Segoe UI"/>
          <w:lang w:eastAsia="pt-BR"/>
        </w:rPr>
        <w:t>Quanto aos fornecedores internacionais, é conhecida a dependência da etapa de conversão do U3O8 em UF6. O UF6 é matéria prima para transformação do uranio em sua versão enriquecida e posterior transformação em pastilhas para o Elemento Combustível.</w:t>
      </w:r>
    </w:p>
    <w:p w14:paraId="663E26B2" w14:textId="77777777" w:rsidR="0005610E" w:rsidRPr="000757BC" w:rsidRDefault="0005610E" w:rsidP="0005610E">
      <w:pPr>
        <w:spacing w:before="240" w:after="120"/>
        <w:jc w:val="both"/>
        <w:rPr>
          <w:rFonts w:ascii="Segoe UI" w:eastAsia="Times New Roman" w:hAnsi="Segoe UI" w:cs="Segoe UI"/>
          <w:lang w:eastAsia="pt-BR"/>
        </w:rPr>
      </w:pPr>
      <w:bookmarkStart w:id="24" w:name="_Hlk108598475"/>
      <w:r w:rsidRPr="000757BC">
        <w:rPr>
          <w:rFonts w:ascii="Segoe UI" w:eastAsia="Times New Roman" w:hAnsi="Segoe UI" w:cs="Segoe UI"/>
          <w:lang w:eastAsia="pt-BR"/>
        </w:rPr>
        <w:t xml:space="preserve">É importante destacar a dependência do fornecimento de componentes metálicos essenciais para construção do esqueleto do Elemento Combustível. A </w:t>
      </w:r>
      <w:r>
        <w:rPr>
          <w:rFonts w:ascii="Segoe UI" w:eastAsia="Times New Roman" w:hAnsi="Segoe UI" w:cs="Segoe UI"/>
          <w:lang w:eastAsia="pt-BR"/>
        </w:rPr>
        <w:t xml:space="preserve">INB </w:t>
      </w:r>
      <w:r w:rsidRPr="000757BC">
        <w:rPr>
          <w:rFonts w:ascii="Segoe UI" w:eastAsia="Times New Roman" w:hAnsi="Segoe UI" w:cs="Segoe UI"/>
          <w:lang w:eastAsia="pt-BR"/>
        </w:rPr>
        <w:t>possui projetos em andamento para nacionalização e produção destes componentes</w:t>
      </w:r>
      <w:r>
        <w:rPr>
          <w:rFonts w:ascii="Segoe UI" w:eastAsia="Times New Roman" w:hAnsi="Segoe UI" w:cs="Segoe UI"/>
          <w:lang w:eastAsia="pt-BR"/>
        </w:rPr>
        <w:t>,</w:t>
      </w:r>
      <w:r w:rsidRPr="000757BC">
        <w:rPr>
          <w:rFonts w:ascii="Segoe UI" w:eastAsia="Times New Roman" w:hAnsi="Segoe UI" w:cs="Segoe UI"/>
          <w:lang w:eastAsia="pt-BR"/>
        </w:rPr>
        <w:t xml:space="preserve"> tal como o Projeto de Nacionalização do Processo de Estampagem e Construção das Grades Espaçadoras.</w:t>
      </w:r>
    </w:p>
    <w:p w14:paraId="795F5D6B" w14:textId="77777777" w:rsidR="0005610E" w:rsidRPr="000757BC" w:rsidRDefault="0005610E" w:rsidP="0005610E">
      <w:pPr>
        <w:spacing w:before="240" w:after="120"/>
        <w:jc w:val="both"/>
        <w:rPr>
          <w:rFonts w:ascii="Segoe UI" w:eastAsia="Times New Roman" w:hAnsi="Segoe UI" w:cs="Segoe UI"/>
          <w:lang w:eastAsia="pt-BR"/>
        </w:rPr>
      </w:pPr>
      <w:bookmarkStart w:id="25" w:name="_Hlk108598455"/>
      <w:bookmarkEnd w:id="24"/>
      <w:r w:rsidRPr="000757BC">
        <w:rPr>
          <w:rFonts w:ascii="Segoe UI" w:eastAsia="Times New Roman" w:hAnsi="Segoe UI" w:cs="Segoe UI"/>
          <w:lang w:eastAsia="pt-BR"/>
        </w:rPr>
        <w:t xml:space="preserve">A combinação destes fatores expõe a </w:t>
      </w:r>
      <w:r>
        <w:rPr>
          <w:rFonts w:ascii="Segoe UI" w:eastAsia="Times New Roman" w:hAnsi="Segoe UI" w:cs="Segoe UI"/>
          <w:lang w:eastAsia="pt-BR"/>
        </w:rPr>
        <w:t xml:space="preserve">INB </w:t>
      </w:r>
      <w:r w:rsidRPr="000757BC">
        <w:rPr>
          <w:rFonts w:ascii="Segoe UI" w:eastAsia="Times New Roman" w:hAnsi="Segoe UI" w:cs="Segoe UI"/>
          <w:lang w:eastAsia="pt-BR"/>
        </w:rPr>
        <w:t>a riscos de indisponibilidade de urânio enriquecido e componentes metálicos por eventuais problemas de oferta no mercado internacional.</w:t>
      </w:r>
    </w:p>
    <w:p w14:paraId="5A8FBB25" w14:textId="77777777" w:rsidR="0005610E" w:rsidRPr="000757BC" w:rsidRDefault="0005610E" w:rsidP="0005610E">
      <w:pPr>
        <w:spacing w:before="240" w:after="120"/>
        <w:jc w:val="both"/>
        <w:rPr>
          <w:rFonts w:ascii="Segoe UI" w:eastAsia="Times New Roman" w:hAnsi="Segoe UI" w:cs="Segoe UI"/>
          <w:lang w:eastAsia="pt-BR"/>
        </w:rPr>
      </w:pPr>
      <w:r w:rsidRPr="000757BC">
        <w:rPr>
          <w:rFonts w:ascii="Segoe UI" w:eastAsia="Times New Roman" w:hAnsi="Segoe UI" w:cs="Segoe UI"/>
          <w:lang w:eastAsia="pt-BR"/>
        </w:rPr>
        <w:t xml:space="preserve">Além disso, a </w:t>
      </w:r>
      <w:r>
        <w:rPr>
          <w:rFonts w:ascii="Segoe UI" w:eastAsia="Times New Roman" w:hAnsi="Segoe UI" w:cs="Segoe UI"/>
          <w:lang w:eastAsia="pt-BR"/>
        </w:rPr>
        <w:t xml:space="preserve">INB </w:t>
      </w:r>
      <w:r w:rsidRPr="000757BC">
        <w:rPr>
          <w:rFonts w:ascii="Segoe UI" w:eastAsia="Times New Roman" w:hAnsi="Segoe UI" w:cs="Segoe UI"/>
          <w:lang w:eastAsia="pt-BR"/>
        </w:rPr>
        <w:t xml:space="preserve">se mantém como uma Empresa Pública, porém, não dependente de Recursos do Tesouro Nacional e, por consequência, não mais inclusa no </w:t>
      </w:r>
      <w:r>
        <w:rPr>
          <w:rFonts w:ascii="Segoe UI" w:eastAsia="Times New Roman" w:hAnsi="Segoe UI" w:cs="Segoe UI"/>
          <w:lang w:eastAsia="pt-BR"/>
        </w:rPr>
        <w:t>OFSS</w:t>
      </w:r>
      <w:r w:rsidRPr="000757BC">
        <w:rPr>
          <w:rFonts w:ascii="Segoe UI" w:eastAsia="Times New Roman" w:hAnsi="Segoe UI" w:cs="Segoe UI"/>
          <w:lang w:eastAsia="pt-BR"/>
        </w:rPr>
        <w:t xml:space="preserve">, </w:t>
      </w:r>
      <w:r>
        <w:rPr>
          <w:rFonts w:ascii="Segoe UI" w:eastAsia="Times New Roman" w:hAnsi="Segoe UI" w:cs="Segoe UI"/>
          <w:lang w:eastAsia="pt-BR"/>
        </w:rPr>
        <w:t>mantendo a necessidade de atender as regras d</w:t>
      </w:r>
      <w:r w:rsidRPr="000757BC">
        <w:rPr>
          <w:rFonts w:ascii="Segoe UI" w:eastAsia="Times New Roman" w:hAnsi="Segoe UI" w:cs="Segoe UI"/>
          <w:lang w:eastAsia="pt-BR"/>
        </w:rPr>
        <w:t>o</w:t>
      </w:r>
      <w:r>
        <w:rPr>
          <w:rFonts w:ascii="Segoe UI" w:eastAsia="Times New Roman" w:hAnsi="Segoe UI" w:cs="Segoe UI"/>
          <w:lang w:eastAsia="pt-BR"/>
        </w:rPr>
        <w:t xml:space="preserve"> P</w:t>
      </w:r>
      <w:r w:rsidRPr="000757BC">
        <w:rPr>
          <w:rFonts w:ascii="Segoe UI" w:eastAsia="Times New Roman" w:hAnsi="Segoe UI" w:cs="Segoe UI"/>
          <w:lang w:eastAsia="pt-BR"/>
        </w:rPr>
        <w:t xml:space="preserve">rograma de Dispêndios Globais </w:t>
      </w:r>
      <w:r>
        <w:rPr>
          <w:rFonts w:ascii="Segoe UI" w:eastAsia="Times New Roman" w:hAnsi="Segoe UI" w:cs="Segoe UI"/>
          <w:lang w:eastAsia="pt-BR"/>
        </w:rPr>
        <w:t>– (“</w:t>
      </w:r>
      <w:r w:rsidRPr="000757BC">
        <w:rPr>
          <w:rFonts w:ascii="Segoe UI" w:eastAsia="Times New Roman" w:hAnsi="Segoe UI" w:cs="Segoe UI"/>
          <w:lang w:eastAsia="pt-BR"/>
        </w:rPr>
        <w:t>PDG</w:t>
      </w:r>
      <w:r>
        <w:rPr>
          <w:rFonts w:ascii="Segoe UI" w:eastAsia="Times New Roman" w:hAnsi="Segoe UI" w:cs="Segoe UI"/>
          <w:lang w:eastAsia="pt-BR"/>
        </w:rPr>
        <w:t>”)</w:t>
      </w:r>
      <w:r w:rsidRPr="000757BC">
        <w:rPr>
          <w:rFonts w:ascii="Segoe UI" w:eastAsia="Times New Roman" w:hAnsi="Segoe UI" w:cs="Segoe UI"/>
          <w:lang w:eastAsia="pt-BR"/>
        </w:rPr>
        <w:t xml:space="preserve"> e ao Orçamento de Investimento</w:t>
      </w:r>
      <w:r>
        <w:rPr>
          <w:rFonts w:ascii="Segoe UI" w:eastAsia="Times New Roman" w:hAnsi="Segoe UI" w:cs="Segoe UI"/>
          <w:lang w:eastAsia="pt-BR"/>
        </w:rPr>
        <w:t xml:space="preserve"> – (“</w:t>
      </w:r>
      <w:r w:rsidRPr="000757BC">
        <w:rPr>
          <w:rFonts w:ascii="Segoe UI" w:eastAsia="Times New Roman" w:hAnsi="Segoe UI" w:cs="Segoe UI"/>
          <w:lang w:eastAsia="pt-BR"/>
        </w:rPr>
        <w:t>OI</w:t>
      </w:r>
      <w:r>
        <w:rPr>
          <w:rFonts w:ascii="Segoe UI" w:eastAsia="Times New Roman" w:hAnsi="Segoe UI" w:cs="Segoe UI"/>
          <w:lang w:eastAsia="pt-BR"/>
        </w:rPr>
        <w:t>”)</w:t>
      </w:r>
    </w:p>
    <w:bookmarkEnd w:id="25"/>
    <w:p w14:paraId="2280C262" w14:textId="77777777" w:rsidR="00A93FDE" w:rsidRDefault="0005610E" w:rsidP="0005610E">
      <w:pPr>
        <w:spacing w:before="240" w:after="120"/>
        <w:jc w:val="both"/>
        <w:rPr>
          <w:rFonts w:ascii="Segoe UI" w:eastAsia="Times New Roman" w:hAnsi="Segoe UI" w:cs="Segoe UI"/>
          <w:lang w:eastAsia="pt-BR"/>
        </w:rPr>
      </w:pPr>
      <w:r w:rsidRPr="000757BC">
        <w:rPr>
          <w:rFonts w:ascii="Segoe UI" w:eastAsia="Times New Roman" w:hAnsi="Segoe UI" w:cs="Segoe UI"/>
          <w:lang w:eastAsia="pt-BR"/>
        </w:rPr>
        <w:t>A elaboração do PDG segue o calendário do Orçamento da União tendo em vista que o gasto das empresas estatais federais não dependentes com ativo imobilizado corresponde ao Orçamento de Investimento, previsto no inciso II do § 5º do art. 165 da Constituição Federal. </w:t>
      </w:r>
    </w:p>
    <w:p w14:paraId="182F5681" w14:textId="44905957" w:rsidR="0005610E" w:rsidRPr="000757BC" w:rsidRDefault="0005610E" w:rsidP="00482C5E">
      <w:pPr>
        <w:rPr>
          <w:rFonts w:ascii="Segoe UI" w:hAnsi="Segoe UI" w:cs="Segoe UI"/>
          <w:b/>
          <w:color w:val="0070C0"/>
        </w:rPr>
      </w:pPr>
      <w:r w:rsidRPr="000757BC">
        <w:rPr>
          <w:rFonts w:ascii="Segoe UI" w:hAnsi="Segoe UI" w:cs="Segoe UI"/>
          <w:b/>
          <w:bCs/>
          <w:color w:val="0070C0"/>
        </w:rPr>
        <w:t>3</w:t>
      </w:r>
      <w:r w:rsidR="0024594A">
        <w:rPr>
          <w:rFonts w:ascii="Segoe UI" w:hAnsi="Segoe UI" w:cs="Segoe UI"/>
          <w:b/>
          <w:bCs/>
          <w:color w:val="0070C0"/>
        </w:rPr>
        <w:t>1</w:t>
      </w:r>
      <w:r w:rsidRPr="000757BC">
        <w:rPr>
          <w:rFonts w:ascii="Segoe UI" w:hAnsi="Segoe UI" w:cs="Segoe UI"/>
          <w:b/>
          <w:bCs/>
          <w:color w:val="0070C0"/>
        </w:rPr>
        <w:t xml:space="preserve">.3.5.3 – </w:t>
      </w:r>
      <w:r w:rsidRPr="000757BC">
        <w:rPr>
          <w:rFonts w:ascii="Segoe UI" w:hAnsi="Segoe UI" w:cs="Segoe UI"/>
          <w:b/>
          <w:color w:val="0070C0"/>
        </w:rPr>
        <w:t>Guerra Rússia x Ucrânia</w:t>
      </w:r>
    </w:p>
    <w:p w14:paraId="0FDE446A" w14:textId="77777777" w:rsidR="00F06A71" w:rsidRDefault="0005610E" w:rsidP="0005610E">
      <w:pPr>
        <w:autoSpaceDE w:val="0"/>
        <w:autoSpaceDN w:val="0"/>
        <w:adjustRightInd w:val="0"/>
        <w:spacing w:before="240" w:after="120"/>
        <w:jc w:val="both"/>
        <w:rPr>
          <w:rFonts w:ascii="Segoe UI" w:hAnsi="Segoe UI" w:cs="Segoe UI"/>
        </w:rPr>
      </w:pPr>
      <w:r w:rsidRPr="000757BC">
        <w:rPr>
          <w:rFonts w:ascii="Segoe UI" w:hAnsi="Segoe UI" w:cs="Segoe UI"/>
        </w:rPr>
        <w:t>Em fevereiro de 2022, a Rússia deu início à invasão da Ucrânia, iniciando o conflito entre os dois países. Além dos efeitos diretos originados pela luta bélica, a guerra naturalmente afeta a economia da região envolvida, atingindo, portanto, as operações das empresas que lá atuam.</w:t>
      </w:r>
      <w:r>
        <w:rPr>
          <w:rFonts w:ascii="Segoe UI" w:hAnsi="Segoe UI" w:cs="Segoe UI"/>
        </w:rPr>
        <w:t xml:space="preserve"> A</w:t>
      </w:r>
      <w:r w:rsidRPr="000757BC">
        <w:rPr>
          <w:rFonts w:ascii="Segoe UI" w:hAnsi="Segoe UI" w:cs="Segoe UI"/>
        </w:rPr>
        <w:t xml:space="preserve"> </w:t>
      </w:r>
      <w:r>
        <w:rPr>
          <w:rFonts w:ascii="Segoe UI" w:hAnsi="Segoe UI" w:cs="Segoe UI"/>
        </w:rPr>
        <w:t xml:space="preserve">Eletronuclear </w:t>
      </w:r>
      <w:r w:rsidRPr="000757BC">
        <w:rPr>
          <w:rFonts w:ascii="Segoe UI" w:hAnsi="Segoe UI" w:cs="Segoe UI"/>
        </w:rPr>
        <w:t xml:space="preserve">tem encontrado limitações de mercado para aquisição de um importante insumo ao seu processo </w:t>
      </w:r>
      <w:r w:rsidRPr="000757BC">
        <w:rPr>
          <w:rFonts w:ascii="Segoe UI" w:hAnsi="Segoe UI" w:cs="Segoe UI"/>
        </w:rPr>
        <w:lastRenderedPageBreak/>
        <w:t xml:space="preserve">de produção de energia nuclear, o radioisótopo hidróxido de lítio 7, produto usado na refrigeração da água do circuito primário dos reatores nucleares de potência PWR (do inglês </w:t>
      </w:r>
      <w:r w:rsidRPr="000757BC">
        <w:rPr>
          <w:rFonts w:ascii="Segoe UI" w:hAnsi="Segoe UI" w:cs="Segoe UI"/>
          <w:i/>
        </w:rPr>
        <w:t>Pressurized Water Reactor</w:t>
      </w:r>
      <w:r w:rsidRPr="000757BC">
        <w:rPr>
          <w:rFonts w:ascii="Segoe UI" w:hAnsi="Segoe UI" w:cs="Segoe UI"/>
        </w:rPr>
        <w:t>) para manter</w:t>
      </w:r>
    </w:p>
    <w:p w14:paraId="6B1642BD" w14:textId="69E4F6D5" w:rsidR="0005610E" w:rsidRDefault="0005610E" w:rsidP="0005610E">
      <w:pPr>
        <w:autoSpaceDE w:val="0"/>
        <w:autoSpaceDN w:val="0"/>
        <w:adjustRightInd w:val="0"/>
        <w:spacing w:before="240" w:after="120"/>
        <w:jc w:val="both"/>
        <w:rPr>
          <w:rFonts w:ascii="Segoe UI" w:hAnsi="Segoe UI" w:cs="Segoe UI"/>
        </w:rPr>
      </w:pPr>
      <w:r w:rsidRPr="000757BC">
        <w:rPr>
          <w:rFonts w:ascii="Segoe UI" w:hAnsi="Segoe UI" w:cs="Segoe UI"/>
        </w:rPr>
        <w:t xml:space="preserve"> o pH constante, produto este utilizado nas </w:t>
      </w:r>
      <w:r w:rsidR="007C0256">
        <w:rPr>
          <w:rFonts w:ascii="Segoe UI" w:hAnsi="Segoe UI" w:cs="Segoe UI"/>
        </w:rPr>
        <w:t>u</w:t>
      </w:r>
      <w:r w:rsidRPr="000757BC">
        <w:rPr>
          <w:rFonts w:ascii="Segoe UI" w:hAnsi="Segoe UI" w:cs="Segoe UI"/>
        </w:rPr>
        <w:t xml:space="preserve">sinas Angra </w:t>
      </w:r>
      <w:r w:rsidR="007C0256">
        <w:rPr>
          <w:rFonts w:ascii="Segoe UI" w:hAnsi="Segoe UI" w:cs="Segoe UI"/>
        </w:rPr>
        <w:t>1</w:t>
      </w:r>
      <w:r w:rsidRPr="000757BC">
        <w:rPr>
          <w:rFonts w:ascii="Segoe UI" w:hAnsi="Segoe UI" w:cs="Segoe UI"/>
        </w:rPr>
        <w:t xml:space="preserve"> e </w:t>
      </w:r>
      <w:r w:rsidR="007C0256">
        <w:rPr>
          <w:rFonts w:ascii="Segoe UI" w:hAnsi="Segoe UI" w:cs="Segoe UI"/>
        </w:rPr>
        <w:t>2</w:t>
      </w:r>
      <w:r w:rsidRPr="000757BC">
        <w:rPr>
          <w:rFonts w:ascii="Segoe UI" w:hAnsi="Segoe UI" w:cs="Segoe UI"/>
        </w:rPr>
        <w:t>. Recentemente, por meio de processo de licitação internacional, a Eletronuclear obteve uma única oferta de fornecimento deste material por meio da empresa “</w:t>
      </w:r>
      <w:r w:rsidRPr="000757BC">
        <w:rPr>
          <w:rFonts w:ascii="Segoe UI" w:hAnsi="Segoe UI" w:cs="Segoe UI"/>
          <w:i/>
        </w:rPr>
        <w:t>Novosibirsk Chemical Concentrates</w:t>
      </w:r>
      <w:r w:rsidRPr="000757BC">
        <w:rPr>
          <w:rFonts w:ascii="Segoe UI" w:hAnsi="Segoe UI" w:cs="Segoe UI"/>
        </w:rPr>
        <w:t xml:space="preserve"> </w:t>
      </w:r>
      <w:r w:rsidRPr="000757BC">
        <w:rPr>
          <w:rFonts w:ascii="Segoe UI" w:hAnsi="Segoe UI" w:cs="Segoe UI"/>
          <w:i/>
        </w:rPr>
        <w:t>Plant</w:t>
      </w:r>
      <w:r w:rsidRPr="000757BC">
        <w:rPr>
          <w:rFonts w:ascii="Segoe UI" w:hAnsi="Segoe UI" w:cs="Segoe UI"/>
        </w:rPr>
        <w:t xml:space="preserve"> PJSC”, uma empresa localizada na Rússia e subsidiária da empresa “</w:t>
      </w:r>
      <w:r w:rsidRPr="000757BC">
        <w:rPr>
          <w:rFonts w:ascii="Segoe UI" w:hAnsi="Segoe UI" w:cs="Segoe UI"/>
          <w:i/>
        </w:rPr>
        <w:t>Rosatom State Atomic Energy Corporation</w:t>
      </w:r>
      <w:r w:rsidRPr="000757BC">
        <w:rPr>
          <w:rFonts w:ascii="Segoe UI" w:hAnsi="Segoe UI" w:cs="Segoe UI"/>
        </w:rPr>
        <w:t xml:space="preserve"> (Rosatom)”, que também está estabelecida na Rússia. O processo de fornecimento deste insumo se encontra em curso e garantirá o abastecimento deste insumo em quantidades suficientes para a operação de mais 5 (cinco) ciclos das </w:t>
      </w:r>
      <w:r w:rsidR="007C0256">
        <w:rPr>
          <w:rFonts w:ascii="Segoe UI" w:hAnsi="Segoe UI" w:cs="Segoe UI"/>
        </w:rPr>
        <w:t>u</w:t>
      </w:r>
      <w:r w:rsidRPr="000757BC">
        <w:rPr>
          <w:rFonts w:ascii="Segoe UI" w:hAnsi="Segoe UI" w:cs="Segoe UI"/>
        </w:rPr>
        <w:t xml:space="preserve">sinas de Angra 1 e 2. A Eletronuclear está buscando alternativas para mitigar eventuais riscos futuros decorrentes das limitações de fornecimento deste material. </w:t>
      </w:r>
    </w:p>
    <w:p w14:paraId="1FCB8A5F" w14:textId="51C1C4C1" w:rsidR="002B1787" w:rsidRPr="000757BC" w:rsidRDefault="00AD7DA9" w:rsidP="00545B0A">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2</w:t>
      </w:r>
      <w:r w:rsidRPr="000757BC">
        <w:rPr>
          <w:rFonts w:ascii="Segoe UI" w:hAnsi="Segoe UI" w:cs="Segoe UI"/>
          <w:b/>
          <w:color w:val="0070C0"/>
        </w:rPr>
        <w:t xml:space="preserve"> </w:t>
      </w:r>
      <w:r w:rsidR="002B1787" w:rsidRPr="000757BC">
        <w:rPr>
          <w:rFonts w:ascii="Segoe UI" w:hAnsi="Segoe UI" w:cs="Segoe UI"/>
          <w:b/>
          <w:color w:val="0070C0"/>
        </w:rPr>
        <w:t xml:space="preserve">– TRANSAÇÕES COM PARTES RELACIONADAS </w:t>
      </w:r>
    </w:p>
    <w:p w14:paraId="5E882CBC" w14:textId="2B3B8BBB" w:rsidR="00B53E3D" w:rsidRPr="000757BC" w:rsidRDefault="00AD7D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2</w:t>
      </w:r>
      <w:r w:rsidR="00B53E3D" w:rsidRPr="000757BC">
        <w:rPr>
          <w:rFonts w:ascii="Segoe UI" w:hAnsi="Segoe UI" w:cs="Segoe UI"/>
          <w:b/>
          <w:bCs/>
          <w:color w:val="0070C0"/>
        </w:rPr>
        <w:t xml:space="preserve">.1 - Transações com Entidades Governamentais </w:t>
      </w:r>
    </w:p>
    <w:p w14:paraId="29291A6A" w14:textId="68AAB4FB" w:rsidR="00B53E3D" w:rsidRDefault="00E52006" w:rsidP="00545B0A">
      <w:pPr>
        <w:spacing w:before="240" w:after="120"/>
        <w:jc w:val="both"/>
        <w:rPr>
          <w:rFonts w:ascii="Segoe UI" w:hAnsi="Segoe UI" w:cs="Segoe UI"/>
          <w:spacing w:val="-4"/>
        </w:rPr>
      </w:pPr>
      <w:r w:rsidRPr="000757BC">
        <w:rPr>
          <w:rFonts w:ascii="Segoe UI" w:hAnsi="Segoe UI" w:cs="Segoe UI"/>
        </w:rPr>
        <w:t xml:space="preserve">A Companhia e suas </w:t>
      </w:r>
      <w:r>
        <w:rPr>
          <w:rFonts w:ascii="Segoe UI" w:hAnsi="Segoe UI" w:cs="Segoe UI"/>
        </w:rPr>
        <w:t>controlada</w:t>
      </w:r>
      <w:r w:rsidRPr="000757BC">
        <w:rPr>
          <w:rFonts w:ascii="Segoe UI" w:hAnsi="Segoe UI" w:cs="Segoe UI"/>
        </w:rPr>
        <w:t xml:space="preserve">s </w:t>
      </w:r>
      <w:r w:rsidR="00B53E3D" w:rsidRPr="000757BC">
        <w:rPr>
          <w:rFonts w:ascii="Segoe UI" w:hAnsi="Segoe UI" w:cs="Segoe UI"/>
          <w:spacing w:val="-4"/>
        </w:rPr>
        <w:t>mantém transações com entidades governamentais, sob controle comum, no curso de suas operações. Os saldos das principais transações com estas entidades estão resumidos a seguir:</w:t>
      </w:r>
    </w:p>
    <w:tbl>
      <w:tblPr>
        <w:tblW w:w="5000" w:type="pct"/>
        <w:tblCellMar>
          <w:left w:w="70" w:type="dxa"/>
          <w:right w:w="70" w:type="dxa"/>
        </w:tblCellMar>
        <w:tblLook w:val="04A0" w:firstRow="1" w:lastRow="0" w:firstColumn="1" w:lastColumn="0" w:noHBand="0" w:noVBand="1"/>
      </w:tblPr>
      <w:tblGrid>
        <w:gridCol w:w="5537"/>
        <w:gridCol w:w="1320"/>
        <w:gridCol w:w="1320"/>
        <w:gridCol w:w="1320"/>
      </w:tblGrid>
      <w:tr w:rsidR="0005610E" w:rsidRPr="0005610E" w14:paraId="239456C3" w14:textId="77777777" w:rsidTr="0005610E">
        <w:trPr>
          <w:trHeight w:val="300"/>
        </w:trPr>
        <w:tc>
          <w:tcPr>
            <w:tcW w:w="2914" w:type="pct"/>
            <w:tcBorders>
              <w:top w:val="nil"/>
              <w:left w:val="nil"/>
              <w:bottom w:val="nil"/>
              <w:right w:val="nil"/>
            </w:tcBorders>
            <w:shd w:val="clear" w:color="auto" w:fill="auto"/>
            <w:noWrap/>
            <w:vAlign w:val="bottom"/>
            <w:hideMark/>
          </w:tcPr>
          <w:p w14:paraId="5AB6AF8B" w14:textId="77777777" w:rsidR="0005610E" w:rsidRPr="0005610E" w:rsidRDefault="0005610E" w:rsidP="0005610E">
            <w:pPr>
              <w:spacing w:after="0" w:line="240" w:lineRule="auto"/>
              <w:rPr>
                <w:rFonts w:ascii="Segoe UI" w:eastAsia="Times New Roman" w:hAnsi="Segoe UI" w:cs="Segoe UI"/>
                <w:sz w:val="18"/>
                <w:szCs w:val="18"/>
                <w:lang w:eastAsia="pt-BR"/>
              </w:rPr>
            </w:pPr>
          </w:p>
        </w:tc>
        <w:tc>
          <w:tcPr>
            <w:tcW w:w="695" w:type="pct"/>
            <w:tcBorders>
              <w:top w:val="nil"/>
              <w:left w:val="nil"/>
              <w:bottom w:val="nil"/>
              <w:right w:val="nil"/>
            </w:tcBorders>
            <w:shd w:val="clear" w:color="000000" w:fill="1B80C4"/>
            <w:noWrap/>
            <w:vAlign w:val="bottom"/>
            <w:hideMark/>
          </w:tcPr>
          <w:p w14:paraId="2D7948E8" w14:textId="3E3065A8"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 xml:space="preserve"> ENBPar </w:t>
            </w:r>
          </w:p>
        </w:tc>
        <w:tc>
          <w:tcPr>
            <w:tcW w:w="695" w:type="pct"/>
            <w:tcBorders>
              <w:top w:val="nil"/>
              <w:left w:val="nil"/>
              <w:bottom w:val="nil"/>
              <w:right w:val="nil"/>
            </w:tcBorders>
            <w:shd w:val="clear" w:color="000000" w:fill="1B80C4"/>
            <w:noWrap/>
            <w:vAlign w:val="bottom"/>
            <w:hideMark/>
          </w:tcPr>
          <w:p w14:paraId="20EEA4DB"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 xml:space="preserve"> Eletronuclear </w:t>
            </w:r>
          </w:p>
        </w:tc>
        <w:tc>
          <w:tcPr>
            <w:tcW w:w="695" w:type="pct"/>
            <w:tcBorders>
              <w:top w:val="nil"/>
              <w:left w:val="nil"/>
              <w:bottom w:val="nil"/>
              <w:right w:val="nil"/>
            </w:tcBorders>
            <w:shd w:val="clear" w:color="000000" w:fill="1B80C4"/>
            <w:noWrap/>
            <w:vAlign w:val="bottom"/>
            <w:hideMark/>
          </w:tcPr>
          <w:p w14:paraId="7E371E5A"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 xml:space="preserve"> INB </w:t>
            </w:r>
          </w:p>
        </w:tc>
      </w:tr>
      <w:tr w:rsidR="0005610E" w:rsidRPr="0005610E" w14:paraId="1A9AEC76" w14:textId="77777777" w:rsidTr="0005610E">
        <w:trPr>
          <w:trHeight w:val="300"/>
        </w:trPr>
        <w:tc>
          <w:tcPr>
            <w:tcW w:w="2914" w:type="pct"/>
            <w:tcBorders>
              <w:top w:val="nil"/>
              <w:left w:val="nil"/>
              <w:bottom w:val="nil"/>
              <w:right w:val="nil"/>
            </w:tcBorders>
            <w:shd w:val="clear" w:color="auto" w:fill="auto"/>
            <w:noWrap/>
            <w:vAlign w:val="bottom"/>
            <w:hideMark/>
          </w:tcPr>
          <w:p w14:paraId="0CD13841" w14:textId="77777777" w:rsidR="0005610E" w:rsidRPr="0005610E" w:rsidRDefault="0005610E" w:rsidP="0005610E">
            <w:pPr>
              <w:spacing w:after="0" w:line="240" w:lineRule="auto"/>
              <w:ind w:firstLineChars="100" w:firstLine="181"/>
              <w:rPr>
                <w:rFonts w:ascii="Segoe UI" w:eastAsia="Times New Roman" w:hAnsi="Segoe UI" w:cs="Segoe UI"/>
                <w:b/>
                <w:bCs/>
                <w:color w:val="000000"/>
                <w:sz w:val="18"/>
                <w:szCs w:val="18"/>
                <w:lang w:eastAsia="pt-BR"/>
              </w:rPr>
            </w:pPr>
            <w:r w:rsidRPr="0005610E">
              <w:rPr>
                <w:rFonts w:ascii="Segoe UI" w:eastAsia="Times New Roman" w:hAnsi="Segoe UI" w:cs="Segoe UI"/>
                <w:b/>
                <w:bCs/>
                <w:color w:val="000000"/>
                <w:sz w:val="18"/>
                <w:szCs w:val="18"/>
                <w:lang w:eastAsia="pt-BR"/>
              </w:rPr>
              <w:t>Ativo</w:t>
            </w:r>
          </w:p>
        </w:tc>
        <w:tc>
          <w:tcPr>
            <w:tcW w:w="695" w:type="pct"/>
            <w:tcBorders>
              <w:top w:val="nil"/>
              <w:left w:val="nil"/>
              <w:bottom w:val="nil"/>
              <w:right w:val="nil"/>
            </w:tcBorders>
            <w:shd w:val="clear" w:color="auto" w:fill="auto"/>
            <w:noWrap/>
            <w:vAlign w:val="bottom"/>
            <w:hideMark/>
          </w:tcPr>
          <w:p w14:paraId="5167DF0B" w14:textId="77777777" w:rsidR="0005610E" w:rsidRPr="0005610E" w:rsidRDefault="0005610E" w:rsidP="0005610E">
            <w:pPr>
              <w:spacing w:after="0" w:line="240" w:lineRule="auto"/>
              <w:ind w:firstLineChars="100" w:firstLine="181"/>
              <w:jc w:val="right"/>
              <w:rPr>
                <w:rFonts w:ascii="Segoe UI" w:eastAsia="Times New Roman" w:hAnsi="Segoe UI" w:cs="Segoe UI"/>
                <w:b/>
                <w:bCs/>
                <w:color w:val="000000"/>
                <w:sz w:val="18"/>
                <w:szCs w:val="18"/>
                <w:lang w:eastAsia="pt-BR"/>
              </w:rPr>
            </w:pPr>
          </w:p>
        </w:tc>
        <w:tc>
          <w:tcPr>
            <w:tcW w:w="695" w:type="pct"/>
            <w:tcBorders>
              <w:top w:val="nil"/>
              <w:left w:val="nil"/>
              <w:bottom w:val="nil"/>
              <w:right w:val="nil"/>
            </w:tcBorders>
            <w:shd w:val="clear" w:color="auto" w:fill="auto"/>
            <w:noWrap/>
            <w:vAlign w:val="bottom"/>
            <w:hideMark/>
          </w:tcPr>
          <w:p w14:paraId="18E48323" w14:textId="77777777" w:rsidR="0005610E" w:rsidRPr="0005610E" w:rsidRDefault="0005610E" w:rsidP="0005610E">
            <w:pPr>
              <w:spacing w:after="0" w:line="240" w:lineRule="auto"/>
              <w:jc w:val="right"/>
              <w:rPr>
                <w:rFonts w:ascii="Segoe UI" w:eastAsia="Times New Roman" w:hAnsi="Segoe UI" w:cs="Segoe UI"/>
                <w:sz w:val="18"/>
                <w:szCs w:val="18"/>
                <w:lang w:eastAsia="pt-BR"/>
              </w:rPr>
            </w:pPr>
          </w:p>
        </w:tc>
        <w:tc>
          <w:tcPr>
            <w:tcW w:w="695" w:type="pct"/>
            <w:tcBorders>
              <w:top w:val="nil"/>
              <w:left w:val="nil"/>
              <w:bottom w:val="nil"/>
              <w:right w:val="nil"/>
            </w:tcBorders>
            <w:shd w:val="clear" w:color="auto" w:fill="auto"/>
            <w:noWrap/>
            <w:vAlign w:val="bottom"/>
            <w:hideMark/>
          </w:tcPr>
          <w:p w14:paraId="11879CE6" w14:textId="77777777" w:rsidR="0005610E" w:rsidRPr="0005610E" w:rsidRDefault="0005610E" w:rsidP="0005610E">
            <w:pPr>
              <w:spacing w:after="0" w:line="240" w:lineRule="auto"/>
              <w:jc w:val="right"/>
              <w:rPr>
                <w:rFonts w:ascii="Segoe UI" w:eastAsia="Times New Roman" w:hAnsi="Segoe UI" w:cs="Segoe UI"/>
                <w:sz w:val="18"/>
                <w:szCs w:val="18"/>
                <w:lang w:eastAsia="pt-BR"/>
              </w:rPr>
            </w:pPr>
          </w:p>
        </w:tc>
      </w:tr>
      <w:tr w:rsidR="0005610E" w:rsidRPr="0005610E" w14:paraId="464DA6A7" w14:textId="77777777" w:rsidTr="0005610E">
        <w:trPr>
          <w:trHeight w:val="300"/>
        </w:trPr>
        <w:tc>
          <w:tcPr>
            <w:tcW w:w="2914" w:type="pct"/>
            <w:tcBorders>
              <w:top w:val="nil"/>
              <w:left w:val="nil"/>
              <w:bottom w:val="nil"/>
              <w:right w:val="nil"/>
            </w:tcBorders>
            <w:shd w:val="clear" w:color="auto" w:fill="auto"/>
            <w:noWrap/>
            <w:vAlign w:val="bottom"/>
            <w:hideMark/>
          </w:tcPr>
          <w:p w14:paraId="446E3A97" w14:textId="77777777" w:rsidR="0005610E" w:rsidRPr="0005610E" w:rsidRDefault="0005610E" w:rsidP="0005610E">
            <w:pPr>
              <w:spacing w:after="0" w:line="240" w:lineRule="auto"/>
              <w:ind w:firstLineChars="300" w:firstLine="540"/>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Poder Público Federal - Banco Brasil</w:t>
            </w:r>
          </w:p>
        </w:tc>
        <w:tc>
          <w:tcPr>
            <w:tcW w:w="695" w:type="pct"/>
            <w:tcBorders>
              <w:top w:val="nil"/>
              <w:left w:val="nil"/>
              <w:bottom w:val="nil"/>
              <w:right w:val="nil"/>
            </w:tcBorders>
            <w:shd w:val="clear" w:color="auto" w:fill="auto"/>
            <w:noWrap/>
            <w:vAlign w:val="bottom"/>
            <w:hideMark/>
          </w:tcPr>
          <w:p w14:paraId="53CA96E2" w14:textId="1FE6A62E" w:rsidR="0005610E" w:rsidRPr="0005610E" w:rsidRDefault="0005610E" w:rsidP="0005610E">
            <w:pPr>
              <w:spacing w:after="0" w:line="240" w:lineRule="auto"/>
              <w:jc w:val="right"/>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2.361.031</w:t>
            </w:r>
          </w:p>
        </w:tc>
        <w:tc>
          <w:tcPr>
            <w:tcW w:w="695" w:type="pct"/>
            <w:tcBorders>
              <w:top w:val="nil"/>
              <w:left w:val="nil"/>
              <w:bottom w:val="nil"/>
              <w:right w:val="nil"/>
            </w:tcBorders>
            <w:shd w:val="clear" w:color="auto" w:fill="auto"/>
            <w:noWrap/>
            <w:vAlign w:val="bottom"/>
            <w:hideMark/>
          </w:tcPr>
          <w:p w14:paraId="1E0B48C0" w14:textId="780E8092" w:rsidR="0005610E" w:rsidRPr="0005610E" w:rsidRDefault="0005610E" w:rsidP="0005610E">
            <w:pPr>
              <w:spacing w:after="0" w:line="240" w:lineRule="auto"/>
              <w:jc w:val="right"/>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5.302.728</w:t>
            </w:r>
          </w:p>
        </w:tc>
        <w:tc>
          <w:tcPr>
            <w:tcW w:w="695" w:type="pct"/>
            <w:tcBorders>
              <w:top w:val="nil"/>
              <w:left w:val="nil"/>
              <w:bottom w:val="nil"/>
              <w:right w:val="nil"/>
            </w:tcBorders>
            <w:shd w:val="clear" w:color="auto" w:fill="auto"/>
            <w:noWrap/>
            <w:vAlign w:val="bottom"/>
            <w:hideMark/>
          </w:tcPr>
          <w:p w14:paraId="31F2AFC3" w14:textId="33A8FEEC" w:rsidR="0005610E" w:rsidRPr="0005610E" w:rsidRDefault="0005610E" w:rsidP="0005610E">
            <w:pPr>
              <w:spacing w:after="0" w:line="240" w:lineRule="auto"/>
              <w:jc w:val="right"/>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743.576</w:t>
            </w:r>
          </w:p>
        </w:tc>
      </w:tr>
      <w:tr w:rsidR="0005610E" w:rsidRPr="0005610E" w14:paraId="706264BE" w14:textId="77777777" w:rsidTr="0005610E">
        <w:trPr>
          <w:trHeight w:val="300"/>
        </w:trPr>
        <w:tc>
          <w:tcPr>
            <w:tcW w:w="2914" w:type="pct"/>
            <w:tcBorders>
              <w:top w:val="nil"/>
              <w:left w:val="nil"/>
              <w:bottom w:val="nil"/>
              <w:right w:val="nil"/>
            </w:tcBorders>
            <w:shd w:val="clear" w:color="auto" w:fill="auto"/>
            <w:noWrap/>
            <w:vAlign w:val="bottom"/>
            <w:hideMark/>
          </w:tcPr>
          <w:p w14:paraId="2BFF3434" w14:textId="77777777" w:rsidR="0005610E" w:rsidRPr="0005610E" w:rsidRDefault="0005610E" w:rsidP="0005610E">
            <w:pPr>
              <w:spacing w:after="0" w:line="240" w:lineRule="auto"/>
              <w:ind w:firstLineChars="300" w:firstLine="540"/>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Poder Público Federal - Caixa Econômica Federal</w:t>
            </w:r>
          </w:p>
        </w:tc>
        <w:tc>
          <w:tcPr>
            <w:tcW w:w="695" w:type="pct"/>
            <w:tcBorders>
              <w:top w:val="nil"/>
              <w:left w:val="nil"/>
              <w:bottom w:val="nil"/>
              <w:right w:val="nil"/>
            </w:tcBorders>
            <w:shd w:val="clear" w:color="auto" w:fill="auto"/>
            <w:noWrap/>
            <w:vAlign w:val="bottom"/>
            <w:hideMark/>
          </w:tcPr>
          <w:p w14:paraId="78827911" w14:textId="6B108D20" w:rsidR="0005610E" w:rsidRPr="0005610E" w:rsidRDefault="00514CBE" w:rsidP="0005610E">
            <w:pPr>
              <w:spacing w:after="0" w:line="240" w:lineRule="auto"/>
              <w:ind w:firstLineChars="300" w:firstLine="540"/>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c>
          <w:tcPr>
            <w:tcW w:w="695" w:type="pct"/>
            <w:tcBorders>
              <w:top w:val="nil"/>
              <w:left w:val="nil"/>
              <w:bottom w:val="nil"/>
              <w:right w:val="nil"/>
            </w:tcBorders>
            <w:shd w:val="clear" w:color="auto" w:fill="auto"/>
            <w:noWrap/>
            <w:vAlign w:val="bottom"/>
            <w:hideMark/>
          </w:tcPr>
          <w:p w14:paraId="406B7AA3" w14:textId="569AD5E2" w:rsidR="0005610E" w:rsidRPr="0005610E" w:rsidRDefault="0005610E" w:rsidP="0005610E">
            <w:pPr>
              <w:spacing w:after="0" w:line="240" w:lineRule="auto"/>
              <w:jc w:val="right"/>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25.074</w:t>
            </w:r>
          </w:p>
        </w:tc>
        <w:tc>
          <w:tcPr>
            <w:tcW w:w="695" w:type="pct"/>
            <w:tcBorders>
              <w:top w:val="nil"/>
              <w:left w:val="nil"/>
              <w:bottom w:val="nil"/>
              <w:right w:val="nil"/>
            </w:tcBorders>
            <w:shd w:val="clear" w:color="auto" w:fill="auto"/>
            <w:noWrap/>
            <w:vAlign w:val="bottom"/>
            <w:hideMark/>
          </w:tcPr>
          <w:p w14:paraId="764C839F" w14:textId="7503020D" w:rsidR="0005610E" w:rsidRPr="0005610E" w:rsidRDefault="00514CBE" w:rsidP="0005610E">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r>
      <w:tr w:rsidR="0005610E" w:rsidRPr="0005610E" w14:paraId="240CFEA5" w14:textId="77777777" w:rsidTr="0005610E">
        <w:trPr>
          <w:trHeight w:val="300"/>
        </w:trPr>
        <w:tc>
          <w:tcPr>
            <w:tcW w:w="2914" w:type="pct"/>
            <w:tcBorders>
              <w:top w:val="nil"/>
              <w:left w:val="nil"/>
              <w:bottom w:val="nil"/>
              <w:right w:val="nil"/>
            </w:tcBorders>
            <w:shd w:val="clear" w:color="auto" w:fill="auto"/>
            <w:noWrap/>
            <w:vAlign w:val="bottom"/>
            <w:hideMark/>
          </w:tcPr>
          <w:p w14:paraId="09BFC224" w14:textId="77777777" w:rsidR="0005610E" w:rsidRPr="0005610E" w:rsidRDefault="0005610E" w:rsidP="0005610E">
            <w:pPr>
              <w:spacing w:after="0" w:line="240" w:lineRule="auto"/>
              <w:ind w:firstLineChars="100" w:firstLine="181"/>
              <w:rPr>
                <w:rFonts w:ascii="Segoe UI" w:eastAsia="Times New Roman" w:hAnsi="Segoe UI" w:cs="Segoe UI"/>
                <w:b/>
                <w:bCs/>
                <w:color w:val="000000"/>
                <w:sz w:val="18"/>
                <w:szCs w:val="18"/>
                <w:lang w:eastAsia="pt-BR"/>
              </w:rPr>
            </w:pPr>
            <w:r w:rsidRPr="0005610E">
              <w:rPr>
                <w:rFonts w:ascii="Segoe UI" w:eastAsia="Times New Roman" w:hAnsi="Segoe UI" w:cs="Segoe UI"/>
                <w:b/>
                <w:bCs/>
                <w:color w:val="000000"/>
                <w:sz w:val="18"/>
                <w:szCs w:val="18"/>
                <w:lang w:eastAsia="pt-BR"/>
              </w:rPr>
              <w:t>Passivo</w:t>
            </w:r>
          </w:p>
        </w:tc>
        <w:tc>
          <w:tcPr>
            <w:tcW w:w="695" w:type="pct"/>
            <w:tcBorders>
              <w:top w:val="nil"/>
              <w:left w:val="nil"/>
              <w:bottom w:val="nil"/>
              <w:right w:val="nil"/>
            </w:tcBorders>
            <w:shd w:val="clear" w:color="auto" w:fill="auto"/>
            <w:noWrap/>
            <w:vAlign w:val="bottom"/>
            <w:hideMark/>
          </w:tcPr>
          <w:p w14:paraId="1C878EF6" w14:textId="77777777" w:rsidR="0005610E" w:rsidRPr="0005610E" w:rsidRDefault="0005610E" w:rsidP="0005610E">
            <w:pPr>
              <w:spacing w:after="0" w:line="240" w:lineRule="auto"/>
              <w:ind w:firstLineChars="100" w:firstLine="181"/>
              <w:jc w:val="right"/>
              <w:rPr>
                <w:rFonts w:ascii="Segoe UI" w:eastAsia="Times New Roman" w:hAnsi="Segoe UI" w:cs="Segoe UI"/>
                <w:b/>
                <w:bCs/>
                <w:color w:val="000000"/>
                <w:sz w:val="18"/>
                <w:szCs w:val="18"/>
                <w:lang w:eastAsia="pt-BR"/>
              </w:rPr>
            </w:pPr>
          </w:p>
        </w:tc>
        <w:tc>
          <w:tcPr>
            <w:tcW w:w="695" w:type="pct"/>
            <w:tcBorders>
              <w:top w:val="nil"/>
              <w:left w:val="nil"/>
              <w:bottom w:val="nil"/>
              <w:right w:val="nil"/>
            </w:tcBorders>
            <w:shd w:val="clear" w:color="auto" w:fill="auto"/>
            <w:noWrap/>
            <w:vAlign w:val="bottom"/>
            <w:hideMark/>
          </w:tcPr>
          <w:p w14:paraId="17842978" w14:textId="77777777" w:rsidR="0005610E" w:rsidRPr="0005610E" w:rsidRDefault="0005610E" w:rsidP="0005610E">
            <w:pPr>
              <w:spacing w:after="0" w:line="240" w:lineRule="auto"/>
              <w:jc w:val="right"/>
              <w:rPr>
                <w:rFonts w:ascii="Segoe UI" w:eastAsia="Times New Roman" w:hAnsi="Segoe UI" w:cs="Segoe UI"/>
                <w:sz w:val="18"/>
                <w:szCs w:val="18"/>
                <w:lang w:eastAsia="pt-BR"/>
              </w:rPr>
            </w:pPr>
          </w:p>
        </w:tc>
        <w:tc>
          <w:tcPr>
            <w:tcW w:w="695" w:type="pct"/>
            <w:tcBorders>
              <w:top w:val="nil"/>
              <w:left w:val="nil"/>
              <w:bottom w:val="nil"/>
              <w:right w:val="nil"/>
            </w:tcBorders>
            <w:shd w:val="clear" w:color="auto" w:fill="auto"/>
            <w:noWrap/>
            <w:vAlign w:val="bottom"/>
            <w:hideMark/>
          </w:tcPr>
          <w:p w14:paraId="4437999D" w14:textId="77777777" w:rsidR="0005610E" w:rsidRPr="0005610E" w:rsidRDefault="0005610E" w:rsidP="0005610E">
            <w:pPr>
              <w:spacing w:after="0" w:line="240" w:lineRule="auto"/>
              <w:jc w:val="right"/>
              <w:rPr>
                <w:rFonts w:ascii="Segoe UI" w:eastAsia="Times New Roman" w:hAnsi="Segoe UI" w:cs="Segoe UI"/>
                <w:sz w:val="18"/>
                <w:szCs w:val="18"/>
                <w:lang w:eastAsia="pt-BR"/>
              </w:rPr>
            </w:pPr>
          </w:p>
        </w:tc>
      </w:tr>
      <w:tr w:rsidR="0005610E" w:rsidRPr="0005610E" w14:paraId="56EB894E" w14:textId="77777777" w:rsidTr="0005610E">
        <w:trPr>
          <w:trHeight w:val="300"/>
        </w:trPr>
        <w:tc>
          <w:tcPr>
            <w:tcW w:w="2914" w:type="pct"/>
            <w:tcBorders>
              <w:top w:val="nil"/>
              <w:left w:val="nil"/>
              <w:bottom w:val="nil"/>
              <w:right w:val="nil"/>
            </w:tcBorders>
            <w:shd w:val="clear" w:color="auto" w:fill="auto"/>
            <w:noWrap/>
            <w:vAlign w:val="bottom"/>
            <w:hideMark/>
          </w:tcPr>
          <w:p w14:paraId="2191B4EB" w14:textId="77777777" w:rsidR="0005610E" w:rsidRPr="0005610E" w:rsidRDefault="0005610E" w:rsidP="0005610E">
            <w:pPr>
              <w:spacing w:after="0" w:line="240" w:lineRule="auto"/>
              <w:ind w:firstLineChars="300" w:firstLine="540"/>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Poder Público Federal - Caixa Econômica Federal</w:t>
            </w:r>
          </w:p>
        </w:tc>
        <w:tc>
          <w:tcPr>
            <w:tcW w:w="695" w:type="pct"/>
            <w:tcBorders>
              <w:top w:val="nil"/>
              <w:left w:val="nil"/>
              <w:bottom w:val="nil"/>
              <w:right w:val="nil"/>
            </w:tcBorders>
            <w:shd w:val="clear" w:color="auto" w:fill="auto"/>
            <w:noWrap/>
            <w:vAlign w:val="bottom"/>
            <w:hideMark/>
          </w:tcPr>
          <w:p w14:paraId="6DD65EF4" w14:textId="0F72AFA0" w:rsidR="0005610E" w:rsidRPr="0005610E" w:rsidRDefault="00514CBE" w:rsidP="0005610E">
            <w:pPr>
              <w:spacing w:after="0" w:line="240" w:lineRule="auto"/>
              <w:ind w:firstLineChars="300" w:firstLine="540"/>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c>
          <w:tcPr>
            <w:tcW w:w="695" w:type="pct"/>
            <w:tcBorders>
              <w:top w:val="nil"/>
              <w:left w:val="nil"/>
              <w:bottom w:val="nil"/>
              <w:right w:val="nil"/>
            </w:tcBorders>
            <w:shd w:val="clear" w:color="auto" w:fill="auto"/>
            <w:noWrap/>
            <w:vAlign w:val="bottom"/>
            <w:hideMark/>
          </w:tcPr>
          <w:p w14:paraId="5405B0B3" w14:textId="21C8824B" w:rsidR="0005610E" w:rsidRPr="0005610E" w:rsidRDefault="0005610E" w:rsidP="0005610E">
            <w:pPr>
              <w:spacing w:after="0" w:line="240" w:lineRule="auto"/>
              <w:jc w:val="right"/>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(2.907.854)</w:t>
            </w:r>
          </w:p>
        </w:tc>
        <w:tc>
          <w:tcPr>
            <w:tcW w:w="695" w:type="pct"/>
            <w:tcBorders>
              <w:top w:val="nil"/>
              <w:left w:val="nil"/>
              <w:bottom w:val="nil"/>
              <w:right w:val="nil"/>
            </w:tcBorders>
            <w:shd w:val="clear" w:color="auto" w:fill="auto"/>
            <w:noWrap/>
            <w:vAlign w:val="bottom"/>
            <w:hideMark/>
          </w:tcPr>
          <w:p w14:paraId="795898D1" w14:textId="48460FE4" w:rsidR="0005610E" w:rsidRPr="0005610E" w:rsidRDefault="00514CBE" w:rsidP="0005610E">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r>
      <w:tr w:rsidR="0005610E" w:rsidRPr="0005610E" w14:paraId="75E71174" w14:textId="77777777" w:rsidTr="0005610E">
        <w:trPr>
          <w:trHeight w:val="300"/>
        </w:trPr>
        <w:tc>
          <w:tcPr>
            <w:tcW w:w="2914" w:type="pct"/>
            <w:tcBorders>
              <w:top w:val="nil"/>
              <w:left w:val="nil"/>
              <w:bottom w:val="nil"/>
              <w:right w:val="nil"/>
            </w:tcBorders>
            <w:shd w:val="clear" w:color="auto" w:fill="auto"/>
            <w:noWrap/>
            <w:vAlign w:val="bottom"/>
            <w:hideMark/>
          </w:tcPr>
          <w:p w14:paraId="24FF4716" w14:textId="77777777" w:rsidR="0005610E" w:rsidRPr="0005610E" w:rsidRDefault="0005610E" w:rsidP="0005610E">
            <w:pPr>
              <w:spacing w:after="0" w:line="240" w:lineRule="auto"/>
              <w:ind w:firstLineChars="300" w:firstLine="540"/>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Poder Público Federal - BNDES</w:t>
            </w:r>
          </w:p>
        </w:tc>
        <w:tc>
          <w:tcPr>
            <w:tcW w:w="695" w:type="pct"/>
            <w:tcBorders>
              <w:top w:val="nil"/>
              <w:left w:val="nil"/>
              <w:bottom w:val="nil"/>
              <w:right w:val="nil"/>
            </w:tcBorders>
            <w:shd w:val="clear" w:color="auto" w:fill="auto"/>
            <w:noWrap/>
            <w:vAlign w:val="bottom"/>
            <w:hideMark/>
          </w:tcPr>
          <w:p w14:paraId="7056D0FC" w14:textId="3DC84D30" w:rsidR="0005610E" w:rsidRPr="0005610E" w:rsidRDefault="00514CBE" w:rsidP="0005610E">
            <w:pPr>
              <w:spacing w:after="0" w:line="240" w:lineRule="auto"/>
              <w:ind w:firstLineChars="300" w:firstLine="540"/>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c>
          <w:tcPr>
            <w:tcW w:w="695" w:type="pct"/>
            <w:tcBorders>
              <w:top w:val="nil"/>
              <w:left w:val="nil"/>
              <w:bottom w:val="nil"/>
              <w:right w:val="nil"/>
            </w:tcBorders>
            <w:shd w:val="clear" w:color="auto" w:fill="auto"/>
            <w:noWrap/>
            <w:vAlign w:val="bottom"/>
            <w:hideMark/>
          </w:tcPr>
          <w:p w14:paraId="4D9C4404" w14:textId="235AB0AA" w:rsidR="0005610E" w:rsidRPr="0005610E" w:rsidRDefault="0005610E" w:rsidP="0005610E">
            <w:pPr>
              <w:spacing w:after="0" w:line="240" w:lineRule="auto"/>
              <w:jc w:val="right"/>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(3.255.476)</w:t>
            </w:r>
          </w:p>
        </w:tc>
        <w:tc>
          <w:tcPr>
            <w:tcW w:w="695" w:type="pct"/>
            <w:tcBorders>
              <w:top w:val="nil"/>
              <w:left w:val="nil"/>
              <w:bottom w:val="nil"/>
              <w:right w:val="nil"/>
            </w:tcBorders>
            <w:shd w:val="clear" w:color="auto" w:fill="auto"/>
            <w:noWrap/>
            <w:vAlign w:val="bottom"/>
            <w:hideMark/>
          </w:tcPr>
          <w:p w14:paraId="7EEA19A7" w14:textId="42DC756B" w:rsidR="0005610E" w:rsidRPr="0005610E" w:rsidRDefault="00514CBE" w:rsidP="0005610E">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r>
      <w:tr w:rsidR="0005610E" w:rsidRPr="0005610E" w14:paraId="012082AA" w14:textId="77777777" w:rsidTr="0005610E">
        <w:trPr>
          <w:trHeight w:val="315"/>
        </w:trPr>
        <w:tc>
          <w:tcPr>
            <w:tcW w:w="2914" w:type="pct"/>
            <w:tcBorders>
              <w:top w:val="nil"/>
              <w:left w:val="nil"/>
              <w:bottom w:val="nil"/>
              <w:right w:val="nil"/>
            </w:tcBorders>
            <w:shd w:val="clear" w:color="auto" w:fill="auto"/>
            <w:noWrap/>
            <w:vAlign w:val="bottom"/>
            <w:hideMark/>
          </w:tcPr>
          <w:p w14:paraId="3C957DA9" w14:textId="77777777" w:rsidR="0005610E" w:rsidRPr="0005610E" w:rsidRDefault="0005610E" w:rsidP="0005610E">
            <w:pPr>
              <w:spacing w:after="0" w:line="240" w:lineRule="auto"/>
              <w:rPr>
                <w:rFonts w:ascii="Segoe UI" w:eastAsia="Times New Roman" w:hAnsi="Segoe UI" w:cs="Segoe UI"/>
                <w:sz w:val="18"/>
                <w:szCs w:val="18"/>
                <w:lang w:eastAsia="pt-BR"/>
              </w:rPr>
            </w:pPr>
          </w:p>
        </w:tc>
        <w:tc>
          <w:tcPr>
            <w:tcW w:w="695" w:type="pct"/>
            <w:tcBorders>
              <w:top w:val="single" w:sz="4" w:space="0" w:color="1B80C4"/>
              <w:left w:val="nil"/>
              <w:bottom w:val="double" w:sz="6" w:space="0" w:color="1B80C4"/>
              <w:right w:val="nil"/>
            </w:tcBorders>
            <w:shd w:val="clear" w:color="auto" w:fill="auto"/>
            <w:noWrap/>
            <w:vAlign w:val="center"/>
            <w:hideMark/>
          </w:tcPr>
          <w:p w14:paraId="4E02933C" w14:textId="354B2AEB" w:rsidR="0005610E" w:rsidRPr="0005610E" w:rsidRDefault="0005610E" w:rsidP="0005610E">
            <w:pPr>
              <w:spacing w:after="0" w:line="240" w:lineRule="auto"/>
              <w:jc w:val="right"/>
              <w:rPr>
                <w:rFonts w:ascii="Segoe UI" w:eastAsia="Times New Roman" w:hAnsi="Segoe UI" w:cs="Segoe UI"/>
                <w:b/>
                <w:bCs/>
                <w:color w:val="000000"/>
                <w:sz w:val="18"/>
                <w:szCs w:val="18"/>
                <w:lang w:eastAsia="pt-BR"/>
              </w:rPr>
            </w:pPr>
            <w:r w:rsidRPr="0005610E">
              <w:rPr>
                <w:rFonts w:ascii="Segoe UI" w:eastAsia="Times New Roman" w:hAnsi="Segoe UI" w:cs="Segoe UI"/>
                <w:b/>
                <w:bCs/>
                <w:color w:val="000000"/>
                <w:sz w:val="18"/>
                <w:szCs w:val="18"/>
                <w:lang w:eastAsia="pt-BR"/>
              </w:rPr>
              <w:t>2.361.031</w:t>
            </w:r>
          </w:p>
        </w:tc>
        <w:tc>
          <w:tcPr>
            <w:tcW w:w="695" w:type="pct"/>
            <w:tcBorders>
              <w:top w:val="single" w:sz="4" w:space="0" w:color="1B80C4"/>
              <w:left w:val="nil"/>
              <w:bottom w:val="double" w:sz="6" w:space="0" w:color="1B80C4"/>
              <w:right w:val="nil"/>
            </w:tcBorders>
            <w:shd w:val="clear" w:color="auto" w:fill="auto"/>
            <w:noWrap/>
            <w:vAlign w:val="center"/>
            <w:hideMark/>
          </w:tcPr>
          <w:p w14:paraId="53D752A4" w14:textId="031356E0" w:rsidR="0005610E" w:rsidRPr="0005610E" w:rsidRDefault="0005610E" w:rsidP="0005610E">
            <w:pPr>
              <w:spacing w:after="0" w:line="240" w:lineRule="auto"/>
              <w:jc w:val="right"/>
              <w:rPr>
                <w:rFonts w:ascii="Segoe UI" w:eastAsia="Times New Roman" w:hAnsi="Segoe UI" w:cs="Segoe UI"/>
                <w:b/>
                <w:bCs/>
                <w:color w:val="000000"/>
                <w:sz w:val="18"/>
                <w:szCs w:val="18"/>
                <w:lang w:eastAsia="pt-BR"/>
              </w:rPr>
            </w:pPr>
            <w:r w:rsidRPr="0005610E">
              <w:rPr>
                <w:rFonts w:ascii="Segoe UI" w:eastAsia="Times New Roman" w:hAnsi="Segoe UI" w:cs="Segoe UI"/>
                <w:b/>
                <w:bCs/>
                <w:color w:val="000000"/>
                <w:sz w:val="18"/>
                <w:szCs w:val="18"/>
                <w:lang w:eastAsia="pt-BR"/>
              </w:rPr>
              <w:t>(835.528)</w:t>
            </w:r>
          </w:p>
        </w:tc>
        <w:tc>
          <w:tcPr>
            <w:tcW w:w="695" w:type="pct"/>
            <w:tcBorders>
              <w:top w:val="single" w:sz="4" w:space="0" w:color="1B80C4"/>
              <w:left w:val="nil"/>
              <w:bottom w:val="double" w:sz="6" w:space="0" w:color="1B80C4"/>
              <w:right w:val="nil"/>
            </w:tcBorders>
            <w:shd w:val="clear" w:color="auto" w:fill="auto"/>
            <w:noWrap/>
            <w:vAlign w:val="center"/>
            <w:hideMark/>
          </w:tcPr>
          <w:p w14:paraId="068A425C" w14:textId="0DA8C051" w:rsidR="0005610E" w:rsidRPr="0005610E" w:rsidRDefault="0005610E" w:rsidP="0005610E">
            <w:pPr>
              <w:spacing w:after="0" w:line="240" w:lineRule="auto"/>
              <w:jc w:val="right"/>
              <w:rPr>
                <w:rFonts w:ascii="Segoe UI" w:eastAsia="Times New Roman" w:hAnsi="Segoe UI" w:cs="Segoe UI"/>
                <w:b/>
                <w:bCs/>
                <w:color w:val="000000"/>
                <w:sz w:val="18"/>
                <w:szCs w:val="18"/>
                <w:lang w:eastAsia="pt-BR"/>
              </w:rPr>
            </w:pPr>
            <w:r w:rsidRPr="0005610E">
              <w:rPr>
                <w:rFonts w:ascii="Segoe UI" w:eastAsia="Times New Roman" w:hAnsi="Segoe UI" w:cs="Segoe UI"/>
                <w:b/>
                <w:bCs/>
                <w:color w:val="000000"/>
                <w:sz w:val="18"/>
                <w:szCs w:val="18"/>
                <w:lang w:eastAsia="pt-BR"/>
              </w:rPr>
              <w:t>743.576</w:t>
            </w:r>
          </w:p>
        </w:tc>
      </w:tr>
    </w:tbl>
    <w:p w14:paraId="3DF9A284" w14:textId="77777777" w:rsidR="0024594A" w:rsidRDefault="0024594A" w:rsidP="00545B0A">
      <w:pPr>
        <w:widowControl w:val="0"/>
        <w:autoSpaceDE w:val="0"/>
        <w:autoSpaceDN w:val="0"/>
        <w:spacing w:before="240" w:after="120"/>
        <w:jc w:val="both"/>
        <w:rPr>
          <w:rFonts w:ascii="Segoe UI" w:hAnsi="Segoe UI" w:cs="Segoe UI"/>
          <w:b/>
          <w:bCs/>
          <w:color w:val="0070C0"/>
        </w:rPr>
      </w:pPr>
    </w:p>
    <w:p w14:paraId="1ED40B75" w14:textId="77777777" w:rsidR="0024594A" w:rsidRDefault="0024594A">
      <w:pPr>
        <w:rPr>
          <w:rFonts w:ascii="Segoe UI" w:hAnsi="Segoe UI" w:cs="Segoe UI"/>
          <w:b/>
          <w:bCs/>
          <w:color w:val="0070C0"/>
        </w:rPr>
      </w:pPr>
      <w:r>
        <w:rPr>
          <w:rFonts w:ascii="Segoe UI" w:hAnsi="Segoe UI" w:cs="Segoe UI"/>
          <w:b/>
          <w:bCs/>
          <w:color w:val="0070C0"/>
        </w:rPr>
        <w:br w:type="page"/>
      </w:r>
    </w:p>
    <w:p w14:paraId="12D14853" w14:textId="2CDC69D0" w:rsidR="00737408" w:rsidRDefault="00737408" w:rsidP="00545B0A">
      <w:pPr>
        <w:widowControl w:val="0"/>
        <w:autoSpaceDE w:val="0"/>
        <w:autoSpaceDN w:val="0"/>
        <w:spacing w:before="240" w:after="120"/>
        <w:jc w:val="both"/>
        <w:rPr>
          <w:rFonts w:ascii="Segoe UI" w:hAnsi="Segoe UI" w:cs="Segoe UI"/>
          <w:b/>
          <w:bCs/>
          <w:i/>
          <w:iCs/>
          <w:color w:val="0070C0"/>
        </w:rPr>
      </w:pPr>
      <w:r w:rsidRPr="000757BC">
        <w:rPr>
          <w:rFonts w:ascii="Segoe UI" w:hAnsi="Segoe UI" w:cs="Segoe UI"/>
          <w:b/>
          <w:bCs/>
          <w:color w:val="0070C0"/>
        </w:rPr>
        <w:lastRenderedPageBreak/>
        <w:t>3</w:t>
      </w:r>
      <w:r w:rsidR="002A4E82">
        <w:rPr>
          <w:rFonts w:ascii="Segoe UI" w:hAnsi="Segoe UI" w:cs="Segoe UI"/>
          <w:b/>
          <w:bCs/>
          <w:color w:val="0070C0"/>
        </w:rPr>
        <w:t>2</w:t>
      </w:r>
      <w:r w:rsidRPr="000757BC">
        <w:rPr>
          <w:rFonts w:ascii="Segoe UI" w:hAnsi="Segoe UI" w:cs="Segoe UI"/>
          <w:b/>
          <w:bCs/>
          <w:color w:val="0070C0"/>
        </w:rPr>
        <w:t xml:space="preserve">.1 </w:t>
      </w:r>
      <w:r w:rsidR="00A64F31">
        <w:rPr>
          <w:rFonts w:ascii="Segoe UI" w:hAnsi="Segoe UI" w:cs="Segoe UI"/>
          <w:b/>
          <w:bCs/>
          <w:color w:val="0070C0"/>
        </w:rPr>
        <w:t>–</w:t>
      </w:r>
      <w:r w:rsidRPr="000757BC">
        <w:rPr>
          <w:rFonts w:ascii="Segoe UI" w:hAnsi="Segoe UI" w:cs="Segoe UI"/>
          <w:b/>
          <w:bCs/>
          <w:color w:val="0070C0"/>
        </w:rPr>
        <w:t xml:space="preserve"> Transações </w:t>
      </w:r>
      <w:r w:rsidR="00A64F31">
        <w:rPr>
          <w:rFonts w:ascii="Segoe UI" w:hAnsi="Segoe UI" w:cs="Segoe UI"/>
          <w:b/>
          <w:bCs/>
          <w:color w:val="0070C0"/>
        </w:rPr>
        <w:t>com Grupo</w:t>
      </w:r>
    </w:p>
    <w:p w14:paraId="3690014D" w14:textId="0D371BD5" w:rsidR="00D109A9" w:rsidRDefault="00D109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Pr>
          <w:rFonts w:ascii="Segoe UI" w:hAnsi="Segoe UI" w:cs="Segoe UI"/>
          <w:b/>
          <w:bCs/>
          <w:color w:val="0070C0"/>
        </w:rPr>
        <w:t>2</w:t>
      </w:r>
      <w:r w:rsidRPr="000757BC">
        <w:rPr>
          <w:rFonts w:ascii="Segoe UI" w:hAnsi="Segoe UI" w:cs="Segoe UI"/>
          <w:b/>
          <w:bCs/>
          <w:color w:val="0070C0"/>
        </w:rPr>
        <w:t>.1</w:t>
      </w:r>
      <w:r>
        <w:rPr>
          <w:rFonts w:ascii="Segoe UI" w:hAnsi="Segoe UI" w:cs="Segoe UI"/>
          <w:b/>
          <w:bCs/>
          <w:color w:val="0070C0"/>
        </w:rPr>
        <w:t>.1</w:t>
      </w:r>
      <w:r w:rsidRPr="000757BC">
        <w:rPr>
          <w:rFonts w:ascii="Segoe UI" w:hAnsi="Segoe UI" w:cs="Segoe UI"/>
          <w:b/>
          <w:bCs/>
          <w:color w:val="0070C0"/>
        </w:rPr>
        <w:t xml:space="preserve"> </w:t>
      </w:r>
      <w:r>
        <w:rPr>
          <w:rFonts w:ascii="Segoe UI" w:hAnsi="Segoe UI" w:cs="Segoe UI"/>
          <w:b/>
          <w:bCs/>
          <w:color w:val="0070C0"/>
        </w:rPr>
        <w:t>–</w:t>
      </w:r>
      <w:r w:rsidRPr="000757BC">
        <w:rPr>
          <w:rFonts w:ascii="Segoe UI" w:hAnsi="Segoe UI" w:cs="Segoe UI"/>
          <w:b/>
          <w:bCs/>
          <w:color w:val="0070C0"/>
        </w:rPr>
        <w:t xml:space="preserve"> </w:t>
      </w:r>
      <w:r>
        <w:rPr>
          <w:rFonts w:ascii="Segoe UI" w:hAnsi="Segoe UI" w:cs="Segoe UI"/>
          <w:b/>
          <w:bCs/>
          <w:color w:val="0070C0"/>
        </w:rPr>
        <w:t>Combustível nuclear e Itaipu</w:t>
      </w:r>
    </w:p>
    <w:tbl>
      <w:tblPr>
        <w:tblW w:w="4908" w:type="pct"/>
        <w:tblLayout w:type="fixed"/>
        <w:tblCellMar>
          <w:left w:w="70" w:type="dxa"/>
          <w:right w:w="70" w:type="dxa"/>
        </w:tblCellMar>
        <w:tblLook w:val="04A0" w:firstRow="1" w:lastRow="0" w:firstColumn="1" w:lastColumn="0" w:noHBand="0" w:noVBand="1"/>
      </w:tblPr>
      <w:tblGrid>
        <w:gridCol w:w="3830"/>
        <w:gridCol w:w="1717"/>
        <w:gridCol w:w="188"/>
        <w:gridCol w:w="1779"/>
        <w:gridCol w:w="188"/>
        <w:gridCol w:w="1620"/>
      </w:tblGrid>
      <w:tr w:rsidR="005212B3" w:rsidRPr="00C06F1B" w14:paraId="327976A0" w14:textId="77777777" w:rsidTr="00497328">
        <w:trPr>
          <w:trHeight w:val="255"/>
        </w:trPr>
        <w:tc>
          <w:tcPr>
            <w:tcW w:w="2054" w:type="pct"/>
            <w:tcBorders>
              <w:top w:val="nil"/>
              <w:left w:val="nil"/>
              <w:bottom w:val="nil"/>
              <w:right w:val="nil"/>
            </w:tcBorders>
            <w:shd w:val="clear" w:color="auto" w:fill="auto"/>
            <w:noWrap/>
            <w:vAlign w:val="center"/>
            <w:hideMark/>
          </w:tcPr>
          <w:p w14:paraId="584BF18A" w14:textId="77777777" w:rsidR="00C06F1B" w:rsidRPr="00C06F1B" w:rsidRDefault="00C06F1B" w:rsidP="00C06F1B">
            <w:pPr>
              <w:spacing w:after="0" w:line="240" w:lineRule="auto"/>
              <w:rPr>
                <w:rFonts w:ascii="Times New Roman" w:eastAsia="Times New Roman" w:hAnsi="Times New Roman" w:cs="Times New Roman"/>
                <w:sz w:val="24"/>
                <w:szCs w:val="24"/>
                <w:lang w:eastAsia="pt-BR"/>
              </w:rPr>
            </w:pPr>
          </w:p>
        </w:tc>
        <w:tc>
          <w:tcPr>
            <w:tcW w:w="921" w:type="pct"/>
            <w:tcBorders>
              <w:top w:val="nil"/>
              <w:left w:val="nil"/>
              <w:bottom w:val="single" w:sz="8" w:space="0" w:color="FFFFFF"/>
              <w:right w:val="nil"/>
            </w:tcBorders>
            <w:shd w:val="clear" w:color="000000" w:fill="1B80C4"/>
            <w:noWrap/>
            <w:vAlign w:val="center"/>
            <w:hideMark/>
          </w:tcPr>
          <w:p w14:paraId="747E29E0" w14:textId="77777777" w:rsidR="00C06F1B" w:rsidRPr="00C06F1B" w:rsidRDefault="00C06F1B" w:rsidP="00C06F1B">
            <w:pPr>
              <w:spacing w:after="0" w:line="240" w:lineRule="auto"/>
              <w:jc w:val="center"/>
              <w:rPr>
                <w:rFonts w:ascii="Segoe UI" w:eastAsia="Times New Roman" w:hAnsi="Segoe UI" w:cs="Segoe UI"/>
                <w:b/>
                <w:bCs/>
                <w:color w:val="FFFFFF"/>
                <w:sz w:val="18"/>
                <w:szCs w:val="18"/>
                <w:lang w:eastAsia="pt-BR"/>
              </w:rPr>
            </w:pPr>
            <w:r w:rsidRPr="00C06F1B">
              <w:rPr>
                <w:rFonts w:ascii="Segoe UI" w:eastAsia="Times New Roman" w:hAnsi="Segoe UI" w:cs="Segoe UI"/>
                <w:b/>
                <w:bCs/>
                <w:color w:val="FFFFFF"/>
                <w:sz w:val="18"/>
                <w:szCs w:val="18"/>
                <w:lang w:eastAsia="pt-BR"/>
              </w:rPr>
              <w:t>Eletronuclear</w:t>
            </w:r>
          </w:p>
        </w:tc>
        <w:tc>
          <w:tcPr>
            <w:tcW w:w="101" w:type="pct"/>
            <w:tcBorders>
              <w:top w:val="nil"/>
              <w:left w:val="nil"/>
              <w:bottom w:val="single" w:sz="8" w:space="0" w:color="FFFFFF"/>
              <w:right w:val="nil"/>
            </w:tcBorders>
            <w:shd w:val="clear" w:color="000000" w:fill="1B80C4"/>
            <w:noWrap/>
            <w:vAlign w:val="center"/>
            <w:hideMark/>
          </w:tcPr>
          <w:p w14:paraId="2719620C" w14:textId="77777777" w:rsidR="00C06F1B" w:rsidRPr="00C06F1B" w:rsidRDefault="00C06F1B" w:rsidP="00C06F1B">
            <w:pPr>
              <w:spacing w:after="0" w:line="240" w:lineRule="auto"/>
              <w:jc w:val="center"/>
              <w:rPr>
                <w:rFonts w:ascii="Segoe UI" w:eastAsia="Times New Roman" w:hAnsi="Segoe UI" w:cs="Segoe UI"/>
                <w:b/>
                <w:bCs/>
                <w:color w:val="FFFFFF"/>
                <w:sz w:val="18"/>
                <w:szCs w:val="18"/>
                <w:lang w:eastAsia="pt-BR"/>
              </w:rPr>
            </w:pPr>
            <w:r w:rsidRPr="00C06F1B">
              <w:rPr>
                <w:rFonts w:ascii="Segoe UI" w:eastAsia="Times New Roman" w:hAnsi="Segoe UI" w:cs="Segoe UI"/>
                <w:b/>
                <w:bCs/>
                <w:color w:val="FFFFFF"/>
                <w:sz w:val="18"/>
                <w:szCs w:val="18"/>
                <w:lang w:eastAsia="pt-BR"/>
              </w:rPr>
              <w:t> </w:t>
            </w:r>
          </w:p>
        </w:tc>
        <w:tc>
          <w:tcPr>
            <w:tcW w:w="954" w:type="pct"/>
            <w:tcBorders>
              <w:top w:val="nil"/>
              <w:left w:val="nil"/>
              <w:bottom w:val="single" w:sz="8" w:space="0" w:color="FFFFFF"/>
              <w:right w:val="nil"/>
            </w:tcBorders>
            <w:shd w:val="clear" w:color="000000" w:fill="1B80C4"/>
            <w:noWrap/>
            <w:vAlign w:val="center"/>
            <w:hideMark/>
          </w:tcPr>
          <w:p w14:paraId="13D340F3" w14:textId="77777777" w:rsidR="00C06F1B" w:rsidRPr="00C06F1B" w:rsidRDefault="00C06F1B" w:rsidP="00C06F1B">
            <w:pPr>
              <w:spacing w:after="0" w:line="240" w:lineRule="auto"/>
              <w:jc w:val="center"/>
              <w:rPr>
                <w:rFonts w:ascii="Segoe UI" w:eastAsia="Times New Roman" w:hAnsi="Segoe UI" w:cs="Segoe UI"/>
                <w:b/>
                <w:bCs/>
                <w:color w:val="FFFFFF"/>
                <w:sz w:val="18"/>
                <w:szCs w:val="18"/>
                <w:lang w:eastAsia="pt-BR"/>
              </w:rPr>
            </w:pPr>
            <w:r w:rsidRPr="00C06F1B">
              <w:rPr>
                <w:rFonts w:ascii="Segoe UI" w:eastAsia="Times New Roman" w:hAnsi="Segoe UI" w:cs="Segoe UI"/>
                <w:b/>
                <w:bCs/>
                <w:color w:val="FFFFFF"/>
                <w:sz w:val="18"/>
                <w:szCs w:val="18"/>
                <w:lang w:eastAsia="pt-BR"/>
              </w:rPr>
              <w:t>INB</w:t>
            </w:r>
          </w:p>
        </w:tc>
        <w:tc>
          <w:tcPr>
            <w:tcW w:w="101" w:type="pct"/>
            <w:tcBorders>
              <w:top w:val="nil"/>
              <w:left w:val="nil"/>
              <w:bottom w:val="single" w:sz="8" w:space="0" w:color="FFFFFF"/>
              <w:right w:val="nil"/>
            </w:tcBorders>
            <w:shd w:val="clear" w:color="000000" w:fill="1B80C4"/>
            <w:noWrap/>
            <w:vAlign w:val="center"/>
            <w:hideMark/>
          </w:tcPr>
          <w:p w14:paraId="2A6F74E8" w14:textId="77777777" w:rsidR="00C06F1B" w:rsidRPr="00C06F1B" w:rsidRDefault="00C06F1B" w:rsidP="00C06F1B">
            <w:pPr>
              <w:spacing w:after="0" w:line="240" w:lineRule="auto"/>
              <w:jc w:val="center"/>
              <w:rPr>
                <w:rFonts w:ascii="Segoe UI" w:eastAsia="Times New Roman" w:hAnsi="Segoe UI" w:cs="Segoe UI"/>
                <w:b/>
                <w:bCs/>
                <w:color w:val="FFFFFF"/>
                <w:sz w:val="18"/>
                <w:szCs w:val="18"/>
                <w:lang w:eastAsia="pt-BR"/>
              </w:rPr>
            </w:pPr>
            <w:r w:rsidRPr="00C06F1B">
              <w:rPr>
                <w:rFonts w:ascii="Segoe UI" w:eastAsia="Times New Roman" w:hAnsi="Segoe UI" w:cs="Segoe UI"/>
                <w:b/>
                <w:bCs/>
                <w:color w:val="FFFFFF"/>
                <w:sz w:val="18"/>
                <w:szCs w:val="18"/>
                <w:lang w:eastAsia="pt-BR"/>
              </w:rPr>
              <w:t> </w:t>
            </w:r>
          </w:p>
        </w:tc>
        <w:tc>
          <w:tcPr>
            <w:tcW w:w="870" w:type="pct"/>
            <w:tcBorders>
              <w:top w:val="nil"/>
              <w:left w:val="nil"/>
              <w:bottom w:val="single" w:sz="8" w:space="0" w:color="FFFFFF"/>
              <w:right w:val="nil"/>
            </w:tcBorders>
            <w:shd w:val="clear" w:color="000000" w:fill="1B80C4"/>
            <w:noWrap/>
            <w:vAlign w:val="center"/>
            <w:hideMark/>
          </w:tcPr>
          <w:p w14:paraId="10E4BED4" w14:textId="77777777" w:rsidR="00C06F1B" w:rsidRPr="00C06F1B" w:rsidRDefault="00C06F1B" w:rsidP="00C06F1B">
            <w:pPr>
              <w:spacing w:after="0" w:line="240" w:lineRule="auto"/>
              <w:jc w:val="center"/>
              <w:rPr>
                <w:rFonts w:ascii="Segoe UI" w:eastAsia="Times New Roman" w:hAnsi="Segoe UI" w:cs="Segoe UI"/>
                <w:b/>
                <w:bCs/>
                <w:color w:val="FFFFFF"/>
                <w:sz w:val="18"/>
                <w:szCs w:val="18"/>
                <w:lang w:eastAsia="pt-BR"/>
              </w:rPr>
            </w:pPr>
            <w:r w:rsidRPr="00C06F1B">
              <w:rPr>
                <w:rFonts w:ascii="Segoe UI" w:eastAsia="Times New Roman" w:hAnsi="Segoe UI" w:cs="Segoe UI"/>
                <w:b/>
                <w:bCs/>
                <w:color w:val="FFFFFF"/>
                <w:sz w:val="18"/>
                <w:szCs w:val="18"/>
                <w:lang w:eastAsia="pt-BR"/>
              </w:rPr>
              <w:t>Itaipu</w:t>
            </w:r>
          </w:p>
        </w:tc>
      </w:tr>
      <w:tr w:rsidR="005212B3" w:rsidRPr="00C06F1B" w14:paraId="1F8282D1" w14:textId="77777777" w:rsidTr="00497328">
        <w:trPr>
          <w:trHeight w:val="240"/>
        </w:trPr>
        <w:tc>
          <w:tcPr>
            <w:tcW w:w="2054" w:type="pct"/>
            <w:tcBorders>
              <w:top w:val="nil"/>
              <w:left w:val="nil"/>
              <w:bottom w:val="nil"/>
              <w:right w:val="nil"/>
            </w:tcBorders>
            <w:shd w:val="clear" w:color="auto" w:fill="auto"/>
            <w:noWrap/>
            <w:vAlign w:val="center"/>
            <w:hideMark/>
          </w:tcPr>
          <w:p w14:paraId="78C8A705" w14:textId="77777777" w:rsidR="00C06F1B" w:rsidRPr="00C06F1B" w:rsidRDefault="00C06F1B" w:rsidP="00C06F1B">
            <w:pPr>
              <w:spacing w:after="0" w:line="240" w:lineRule="auto"/>
              <w:rPr>
                <w:rFonts w:ascii="Segoe UI" w:eastAsia="Times New Roman" w:hAnsi="Segoe UI" w:cs="Segoe UI"/>
                <w:b/>
                <w:bCs/>
                <w:color w:val="000000"/>
                <w:sz w:val="18"/>
                <w:szCs w:val="18"/>
                <w:lang w:eastAsia="pt-BR"/>
              </w:rPr>
            </w:pPr>
            <w:r w:rsidRPr="00C06F1B">
              <w:rPr>
                <w:rFonts w:ascii="Segoe UI" w:eastAsia="Times New Roman" w:hAnsi="Segoe UI" w:cs="Segoe UI"/>
                <w:b/>
                <w:bCs/>
                <w:color w:val="000000"/>
                <w:sz w:val="18"/>
                <w:szCs w:val="18"/>
                <w:lang w:eastAsia="pt-BR"/>
              </w:rPr>
              <w:t>Ativo</w:t>
            </w:r>
          </w:p>
        </w:tc>
        <w:tc>
          <w:tcPr>
            <w:tcW w:w="921" w:type="pct"/>
            <w:tcBorders>
              <w:top w:val="nil"/>
              <w:left w:val="nil"/>
              <w:bottom w:val="nil"/>
              <w:right w:val="nil"/>
            </w:tcBorders>
            <w:shd w:val="clear" w:color="auto" w:fill="auto"/>
            <w:noWrap/>
            <w:vAlign w:val="center"/>
            <w:hideMark/>
          </w:tcPr>
          <w:p w14:paraId="44BC7549" w14:textId="77777777" w:rsidR="00C06F1B" w:rsidRPr="00C06F1B" w:rsidRDefault="00C06F1B" w:rsidP="00C06F1B">
            <w:pPr>
              <w:spacing w:after="0" w:line="240" w:lineRule="auto"/>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noWrap/>
            <w:vAlign w:val="bottom"/>
            <w:hideMark/>
          </w:tcPr>
          <w:p w14:paraId="0CEC3EC6"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c>
          <w:tcPr>
            <w:tcW w:w="954" w:type="pct"/>
            <w:tcBorders>
              <w:top w:val="nil"/>
              <w:left w:val="nil"/>
              <w:bottom w:val="nil"/>
              <w:right w:val="nil"/>
            </w:tcBorders>
            <w:shd w:val="clear" w:color="auto" w:fill="auto"/>
            <w:noWrap/>
            <w:vAlign w:val="center"/>
            <w:hideMark/>
          </w:tcPr>
          <w:p w14:paraId="5E30EFD2"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166D267B"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c>
          <w:tcPr>
            <w:tcW w:w="870" w:type="pct"/>
            <w:tcBorders>
              <w:top w:val="nil"/>
              <w:left w:val="nil"/>
              <w:bottom w:val="nil"/>
              <w:right w:val="nil"/>
            </w:tcBorders>
            <w:shd w:val="clear" w:color="auto" w:fill="auto"/>
            <w:noWrap/>
            <w:vAlign w:val="bottom"/>
            <w:hideMark/>
          </w:tcPr>
          <w:p w14:paraId="7469F254"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r>
      <w:tr w:rsidR="005212B3" w:rsidRPr="00C06F1B" w14:paraId="476ADD3D" w14:textId="77777777" w:rsidTr="00497328">
        <w:trPr>
          <w:trHeight w:val="240"/>
        </w:trPr>
        <w:tc>
          <w:tcPr>
            <w:tcW w:w="2054" w:type="pct"/>
            <w:tcBorders>
              <w:top w:val="nil"/>
              <w:left w:val="nil"/>
              <w:bottom w:val="nil"/>
              <w:right w:val="nil"/>
            </w:tcBorders>
            <w:shd w:val="clear" w:color="auto" w:fill="auto"/>
            <w:noWrap/>
            <w:vAlign w:val="center"/>
            <w:hideMark/>
          </w:tcPr>
          <w:p w14:paraId="6CE160F8" w14:textId="6EF44D55"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Contas a receber</w:t>
            </w:r>
            <w:r w:rsidR="00534AB8">
              <w:rPr>
                <w:rFonts w:ascii="Segoe UI" w:eastAsia="Times New Roman" w:hAnsi="Segoe UI" w:cs="Segoe UI"/>
                <w:color w:val="000000"/>
                <w:sz w:val="18"/>
                <w:szCs w:val="18"/>
                <w:lang w:eastAsia="pt-BR"/>
              </w:rPr>
              <w:t xml:space="preserve"> - Eletronuclear</w:t>
            </w:r>
          </w:p>
        </w:tc>
        <w:tc>
          <w:tcPr>
            <w:tcW w:w="921" w:type="pct"/>
            <w:tcBorders>
              <w:top w:val="nil"/>
              <w:left w:val="nil"/>
              <w:bottom w:val="nil"/>
              <w:right w:val="nil"/>
            </w:tcBorders>
            <w:shd w:val="clear" w:color="auto" w:fill="auto"/>
            <w:noWrap/>
            <w:vAlign w:val="center"/>
            <w:hideMark/>
          </w:tcPr>
          <w:p w14:paraId="1D51EA27" w14:textId="70C0293B"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A90AEE9"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4B930B31" w14:textId="2BA510A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450.957</w:t>
            </w:r>
          </w:p>
        </w:tc>
        <w:tc>
          <w:tcPr>
            <w:tcW w:w="101" w:type="pct"/>
            <w:tcBorders>
              <w:top w:val="nil"/>
              <w:left w:val="nil"/>
              <w:bottom w:val="nil"/>
              <w:right w:val="nil"/>
            </w:tcBorders>
            <w:shd w:val="clear" w:color="auto" w:fill="auto"/>
            <w:noWrap/>
            <w:vAlign w:val="bottom"/>
            <w:hideMark/>
          </w:tcPr>
          <w:p w14:paraId="63213BE1"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bottom"/>
            <w:hideMark/>
          </w:tcPr>
          <w:p w14:paraId="0D0301DB" w14:textId="113396D8" w:rsidR="00C06F1B" w:rsidRPr="00C06F1B" w:rsidRDefault="00D109A9" w:rsidP="00D109A9">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r>
      <w:tr w:rsidR="005212B3" w:rsidRPr="00C06F1B" w14:paraId="630A4410" w14:textId="77777777" w:rsidTr="00497328">
        <w:trPr>
          <w:trHeight w:val="240"/>
        </w:trPr>
        <w:tc>
          <w:tcPr>
            <w:tcW w:w="2054" w:type="pct"/>
            <w:tcBorders>
              <w:top w:val="nil"/>
              <w:left w:val="nil"/>
              <w:bottom w:val="nil"/>
              <w:right w:val="nil"/>
            </w:tcBorders>
            <w:shd w:val="clear" w:color="auto" w:fill="auto"/>
            <w:noWrap/>
            <w:vAlign w:val="center"/>
            <w:hideMark/>
          </w:tcPr>
          <w:p w14:paraId="69B64D37" w14:textId="3C7D296E"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Estoque</w:t>
            </w:r>
            <w:r w:rsidR="00534AB8">
              <w:rPr>
                <w:rFonts w:ascii="Segoe UI" w:eastAsia="Times New Roman" w:hAnsi="Segoe UI" w:cs="Segoe UI"/>
                <w:color w:val="000000"/>
                <w:sz w:val="18"/>
                <w:szCs w:val="18"/>
                <w:lang w:eastAsia="pt-BR"/>
              </w:rPr>
              <w:t xml:space="preserve"> - INB</w:t>
            </w:r>
          </w:p>
        </w:tc>
        <w:tc>
          <w:tcPr>
            <w:tcW w:w="921" w:type="pct"/>
            <w:tcBorders>
              <w:top w:val="nil"/>
              <w:left w:val="nil"/>
              <w:bottom w:val="nil"/>
              <w:right w:val="nil"/>
            </w:tcBorders>
            <w:shd w:val="clear" w:color="auto" w:fill="auto"/>
            <w:noWrap/>
            <w:vAlign w:val="center"/>
            <w:hideMark/>
          </w:tcPr>
          <w:p w14:paraId="11BD31F1" w14:textId="27F3E3C1"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1.109.514</w:t>
            </w:r>
          </w:p>
        </w:tc>
        <w:tc>
          <w:tcPr>
            <w:tcW w:w="101" w:type="pct"/>
            <w:tcBorders>
              <w:top w:val="nil"/>
              <w:left w:val="nil"/>
              <w:bottom w:val="nil"/>
              <w:right w:val="nil"/>
            </w:tcBorders>
            <w:shd w:val="clear" w:color="auto" w:fill="auto"/>
            <w:noWrap/>
            <w:vAlign w:val="bottom"/>
            <w:hideMark/>
          </w:tcPr>
          <w:p w14:paraId="2231A0CD"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64F29F6E" w14:textId="527530D0"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4ADB1953"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bottom"/>
            <w:hideMark/>
          </w:tcPr>
          <w:p w14:paraId="5267613D" w14:textId="74DE8343" w:rsidR="00C06F1B" w:rsidRPr="00C06F1B" w:rsidRDefault="00D109A9" w:rsidP="00D109A9">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r>
      <w:tr w:rsidR="005212B3" w:rsidRPr="00C06F1B" w14:paraId="1C64C01B" w14:textId="77777777" w:rsidTr="00497328">
        <w:trPr>
          <w:trHeight w:val="240"/>
        </w:trPr>
        <w:tc>
          <w:tcPr>
            <w:tcW w:w="2054" w:type="pct"/>
            <w:tcBorders>
              <w:top w:val="nil"/>
              <w:left w:val="nil"/>
              <w:bottom w:val="nil"/>
              <w:right w:val="nil"/>
            </w:tcBorders>
            <w:shd w:val="clear" w:color="auto" w:fill="auto"/>
            <w:noWrap/>
            <w:vAlign w:val="center"/>
            <w:hideMark/>
          </w:tcPr>
          <w:p w14:paraId="1BE21107" w14:textId="493FAD8F"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Imobilizado</w:t>
            </w:r>
            <w:r w:rsidR="00534AB8">
              <w:rPr>
                <w:rFonts w:ascii="Segoe UI" w:eastAsia="Times New Roman" w:hAnsi="Segoe UI" w:cs="Segoe UI"/>
                <w:color w:val="000000"/>
                <w:sz w:val="18"/>
                <w:szCs w:val="18"/>
                <w:lang w:eastAsia="pt-BR"/>
              </w:rPr>
              <w:t xml:space="preserve"> - INB</w:t>
            </w:r>
          </w:p>
        </w:tc>
        <w:tc>
          <w:tcPr>
            <w:tcW w:w="921" w:type="pct"/>
            <w:tcBorders>
              <w:top w:val="nil"/>
              <w:left w:val="nil"/>
              <w:bottom w:val="nil"/>
              <w:right w:val="nil"/>
            </w:tcBorders>
            <w:shd w:val="clear" w:color="auto" w:fill="auto"/>
            <w:noWrap/>
            <w:vAlign w:val="center"/>
            <w:hideMark/>
          </w:tcPr>
          <w:p w14:paraId="4AB3ECA5" w14:textId="20E74B98"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183.604</w:t>
            </w:r>
          </w:p>
        </w:tc>
        <w:tc>
          <w:tcPr>
            <w:tcW w:w="101" w:type="pct"/>
            <w:tcBorders>
              <w:top w:val="nil"/>
              <w:left w:val="nil"/>
              <w:bottom w:val="nil"/>
              <w:right w:val="nil"/>
            </w:tcBorders>
            <w:shd w:val="clear" w:color="auto" w:fill="auto"/>
            <w:noWrap/>
            <w:vAlign w:val="bottom"/>
            <w:hideMark/>
          </w:tcPr>
          <w:p w14:paraId="738A4B22"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1B714559" w14:textId="644BD3FE"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37E33AF"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bottom"/>
            <w:hideMark/>
          </w:tcPr>
          <w:p w14:paraId="7B919DEE" w14:textId="4C10A5F1" w:rsidR="00C06F1B" w:rsidRPr="00C06F1B" w:rsidRDefault="00C06F1B" w:rsidP="00D109A9">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r>
      <w:tr w:rsidR="005212B3" w:rsidRPr="00C06F1B" w14:paraId="77E341BD" w14:textId="77777777" w:rsidTr="00497328">
        <w:trPr>
          <w:trHeight w:val="240"/>
        </w:trPr>
        <w:tc>
          <w:tcPr>
            <w:tcW w:w="2054" w:type="pct"/>
            <w:tcBorders>
              <w:top w:val="nil"/>
              <w:left w:val="nil"/>
              <w:bottom w:val="nil"/>
              <w:right w:val="nil"/>
            </w:tcBorders>
            <w:shd w:val="clear" w:color="auto" w:fill="auto"/>
            <w:noWrap/>
            <w:vAlign w:val="bottom"/>
            <w:hideMark/>
          </w:tcPr>
          <w:p w14:paraId="602A7D09" w14:textId="0B2982BE"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Ressarcimento de encargos </w:t>
            </w:r>
            <w:r w:rsidR="00534AB8">
              <w:rPr>
                <w:rFonts w:ascii="Segoe UI" w:eastAsia="Times New Roman" w:hAnsi="Segoe UI" w:cs="Segoe UI"/>
                <w:color w:val="000000"/>
                <w:sz w:val="18"/>
                <w:szCs w:val="18"/>
                <w:lang w:eastAsia="pt-BR"/>
              </w:rPr>
              <w:t>- ENBPar</w:t>
            </w:r>
          </w:p>
        </w:tc>
        <w:tc>
          <w:tcPr>
            <w:tcW w:w="921" w:type="pct"/>
            <w:tcBorders>
              <w:top w:val="nil"/>
              <w:left w:val="nil"/>
              <w:bottom w:val="nil"/>
              <w:right w:val="nil"/>
            </w:tcBorders>
            <w:shd w:val="clear" w:color="auto" w:fill="auto"/>
            <w:noWrap/>
            <w:vAlign w:val="center"/>
            <w:hideMark/>
          </w:tcPr>
          <w:p w14:paraId="590BA912" w14:textId="35BAF341"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2F61F979"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5CAC59F1" w14:textId="6012E33F"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5B035B39"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2ACF9065" w14:textId="010752F5"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22.629</w:t>
            </w:r>
          </w:p>
        </w:tc>
      </w:tr>
      <w:tr w:rsidR="005212B3" w:rsidRPr="00C06F1B" w14:paraId="2043F6B9" w14:textId="77777777" w:rsidTr="00497328">
        <w:trPr>
          <w:trHeight w:val="240"/>
        </w:trPr>
        <w:tc>
          <w:tcPr>
            <w:tcW w:w="2054" w:type="pct"/>
            <w:tcBorders>
              <w:top w:val="nil"/>
              <w:left w:val="nil"/>
              <w:bottom w:val="nil"/>
              <w:right w:val="nil"/>
            </w:tcBorders>
            <w:shd w:val="clear" w:color="auto" w:fill="auto"/>
            <w:noWrap/>
            <w:vAlign w:val="center"/>
            <w:hideMark/>
          </w:tcPr>
          <w:p w14:paraId="645DE1B3" w14:textId="77777777" w:rsidR="00C06F1B" w:rsidRPr="00C06F1B" w:rsidRDefault="00C06F1B" w:rsidP="00C06F1B">
            <w:pPr>
              <w:spacing w:after="0" w:line="240" w:lineRule="auto"/>
              <w:rPr>
                <w:rFonts w:ascii="Segoe UI" w:eastAsia="Times New Roman" w:hAnsi="Segoe UI" w:cs="Segoe UI"/>
                <w:b/>
                <w:bCs/>
                <w:color w:val="000000"/>
                <w:sz w:val="18"/>
                <w:szCs w:val="18"/>
                <w:lang w:eastAsia="pt-BR"/>
              </w:rPr>
            </w:pPr>
            <w:r w:rsidRPr="00C06F1B">
              <w:rPr>
                <w:rFonts w:ascii="Segoe UI" w:eastAsia="Times New Roman" w:hAnsi="Segoe UI" w:cs="Segoe UI"/>
                <w:b/>
                <w:bCs/>
                <w:color w:val="000000"/>
                <w:sz w:val="18"/>
                <w:szCs w:val="18"/>
                <w:lang w:eastAsia="pt-BR"/>
              </w:rPr>
              <w:t>Passivo</w:t>
            </w:r>
          </w:p>
        </w:tc>
        <w:tc>
          <w:tcPr>
            <w:tcW w:w="921" w:type="pct"/>
            <w:tcBorders>
              <w:top w:val="nil"/>
              <w:left w:val="nil"/>
              <w:bottom w:val="nil"/>
              <w:right w:val="nil"/>
            </w:tcBorders>
            <w:shd w:val="clear" w:color="auto" w:fill="auto"/>
            <w:noWrap/>
            <w:vAlign w:val="center"/>
            <w:hideMark/>
          </w:tcPr>
          <w:p w14:paraId="00A87B8E" w14:textId="77777777" w:rsidR="00C06F1B" w:rsidRPr="00C06F1B" w:rsidRDefault="00C06F1B" w:rsidP="00C06F1B">
            <w:pPr>
              <w:spacing w:after="0" w:line="240" w:lineRule="auto"/>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noWrap/>
            <w:vAlign w:val="bottom"/>
            <w:hideMark/>
          </w:tcPr>
          <w:p w14:paraId="5A989CCC" w14:textId="77777777" w:rsidR="00C06F1B" w:rsidRPr="00C06F1B" w:rsidRDefault="00C06F1B" w:rsidP="00C06F1B">
            <w:pPr>
              <w:spacing w:after="0" w:line="240" w:lineRule="auto"/>
              <w:jc w:val="right"/>
              <w:rPr>
                <w:rFonts w:ascii="Times New Roman" w:eastAsia="Times New Roman" w:hAnsi="Times New Roman" w:cs="Times New Roman"/>
                <w:sz w:val="20"/>
                <w:szCs w:val="20"/>
                <w:lang w:eastAsia="pt-BR"/>
              </w:rPr>
            </w:pPr>
          </w:p>
        </w:tc>
        <w:tc>
          <w:tcPr>
            <w:tcW w:w="954" w:type="pct"/>
            <w:tcBorders>
              <w:top w:val="nil"/>
              <w:left w:val="nil"/>
              <w:bottom w:val="nil"/>
              <w:right w:val="nil"/>
            </w:tcBorders>
            <w:shd w:val="clear" w:color="auto" w:fill="auto"/>
            <w:noWrap/>
            <w:vAlign w:val="center"/>
            <w:hideMark/>
          </w:tcPr>
          <w:p w14:paraId="2BC43061"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2080B841" w14:textId="77777777" w:rsidR="00C06F1B" w:rsidRPr="00C06F1B" w:rsidRDefault="00C06F1B" w:rsidP="00C06F1B">
            <w:pPr>
              <w:spacing w:after="0" w:line="240" w:lineRule="auto"/>
              <w:jc w:val="right"/>
              <w:rPr>
                <w:rFonts w:ascii="Times New Roman" w:eastAsia="Times New Roman" w:hAnsi="Times New Roman" w:cs="Times New Roman"/>
                <w:sz w:val="20"/>
                <w:szCs w:val="20"/>
                <w:lang w:eastAsia="pt-BR"/>
              </w:rPr>
            </w:pPr>
          </w:p>
        </w:tc>
        <w:tc>
          <w:tcPr>
            <w:tcW w:w="870" w:type="pct"/>
            <w:tcBorders>
              <w:top w:val="nil"/>
              <w:left w:val="nil"/>
              <w:bottom w:val="nil"/>
              <w:right w:val="nil"/>
            </w:tcBorders>
            <w:shd w:val="clear" w:color="auto" w:fill="auto"/>
            <w:noWrap/>
            <w:vAlign w:val="center"/>
            <w:hideMark/>
          </w:tcPr>
          <w:p w14:paraId="0529663D"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r>
      <w:tr w:rsidR="005212B3" w:rsidRPr="00C06F1B" w14:paraId="39DB12FD" w14:textId="77777777" w:rsidTr="00497328">
        <w:trPr>
          <w:trHeight w:val="240"/>
        </w:trPr>
        <w:tc>
          <w:tcPr>
            <w:tcW w:w="2054" w:type="pct"/>
            <w:tcBorders>
              <w:top w:val="nil"/>
              <w:left w:val="nil"/>
              <w:bottom w:val="nil"/>
              <w:right w:val="nil"/>
            </w:tcBorders>
            <w:shd w:val="clear" w:color="auto" w:fill="auto"/>
            <w:noWrap/>
            <w:vAlign w:val="center"/>
            <w:hideMark/>
          </w:tcPr>
          <w:p w14:paraId="6A5CD266" w14:textId="4E011F0C"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Fornecedores</w:t>
            </w:r>
            <w:r w:rsidR="00534AB8">
              <w:rPr>
                <w:rFonts w:ascii="Segoe UI" w:eastAsia="Times New Roman" w:hAnsi="Segoe UI" w:cs="Segoe UI"/>
                <w:color w:val="000000"/>
                <w:sz w:val="18"/>
                <w:szCs w:val="18"/>
                <w:lang w:eastAsia="pt-BR"/>
              </w:rPr>
              <w:t xml:space="preserve"> - INB</w:t>
            </w:r>
          </w:p>
        </w:tc>
        <w:tc>
          <w:tcPr>
            <w:tcW w:w="921" w:type="pct"/>
            <w:tcBorders>
              <w:top w:val="nil"/>
              <w:left w:val="nil"/>
              <w:bottom w:val="nil"/>
              <w:right w:val="nil"/>
            </w:tcBorders>
            <w:shd w:val="clear" w:color="auto" w:fill="auto"/>
            <w:noWrap/>
            <w:vAlign w:val="center"/>
            <w:hideMark/>
          </w:tcPr>
          <w:p w14:paraId="06007FEE" w14:textId="110640D9"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(450.957)</w:t>
            </w:r>
          </w:p>
        </w:tc>
        <w:tc>
          <w:tcPr>
            <w:tcW w:w="101" w:type="pct"/>
            <w:tcBorders>
              <w:top w:val="nil"/>
              <w:left w:val="nil"/>
              <w:bottom w:val="nil"/>
              <w:right w:val="nil"/>
            </w:tcBorders>
            <w:shd w:val="clear" w:color="auto" w:fill="auto"/>
            <w:noWrap/>
            <w:vAlign w:val="bottom"/>
            <w:hideMark/>
          </w:tcPr>
          <w:p w14:paraId="5C387E03"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7E472DE6" w14:textId="37F26F05"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0BB8D794"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4D330887" w14:textId="2B964792" w:rsidR="00C06F1B" w:rsidRPr="00C06F1B" w:rsidRDefault="00534AB8" w:rsidP="00C06F1B">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w:t>
            </w:r>
          </w:p>
        </w:tc>
      </w:tr>
      <w:tr w:rsidR="005212B3" w:rsidRPr="00C06F1B" w14:paraId="4F00EE43" w14:textId="77777777" w:rsidTr="00497328">
        <w:trPr>
          <w:trHeight w:val="240"/>
        </w:trPr>
        <w:tc>
          <w:tcPr>
            <w:tcW w:w="2054" w:type="pct"/>
            <w:tcBorders>
              <w:top w:val="nil"/>
              <w:left w:val="nil"/>
              <w:bottom w:val="nil"/>
              <w:right w:val="nil"/>
            </w:tcBorders>
            <w:shd w:val="clear" w:color="auto" w:fill="auto"/>
            <w:noWrap/>
            <w:vAlign w:val="center"/>
            <w:hideMark/>
          </w:tcPr>
          <w:p w14:paraId="247435A0" w14:textId="4429727C"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Adiantamento de clientes</w:t>
            </w:r>
            <w:r w:rsidR="00534AB8">
              <w:rPr>
                <w:rFonts w:ascii="Segoe UI" w:eastAsia="Times New Roman" w:hAnsi="Segoe UI" w:cs="Segoe UI"/>
                <w:color w:val="000000"/>
                <w:sz w:val="18"/>
                <w:szCs w:val="18"/>
                <w:lang w:eastAsia="pt-BR"/>
              </w:rPr>
              <w:t xml:space="preserve"> - Eletronuclear</w:t>
            </w:r>
          </w:p>
        </w:tc>
        <w:tc>
          <w:tcPr>
            <w:tcW w:w="921" w:type="pct"/>
            <w:tcBorders>
              <w:top w:val="nil"/>
              <w:left w:val="nil"/>
              <w:bottom w:val="nil"/>
              <w:right w:val="nil"/>
            </w:tcBorders>
            <w:shd w:val="clear" w:color="auto" w:fill="auto"/>
            <w:noWrap/>
            <w:vAlign w:val="center"/>
            <w:hideMark/>
          </w:tcPr>
          <w:p w14:paraId="1939FA11" w14:textId="3F448248"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03B27D4"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5873DF0F" w14:textId="4246E09E"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(1.293.118)</w:t>
            </w:r>
          </w:p>
        </w:tc>
        <w:tc>
          <w:tcPr>
            <w:tcW w:w="101" w:type="pct"/>
            <w:tcBorders>
              <w:top w:val="nil"/>
              <w:left w:val="nil"/>
              <w:bottom w:val="nil"/>
              <w:right w:val="nil"/>
            </w:tcBorders>
            <w:shd w:val="clear" w:color="auto" w:fill="auto"/>
            <w:noWrap/>
            <w:vAlign w:val="bottom"/>
            <w:hideMark/>
          </w:tcPr>
          <w:p w14:paraId="704123A1"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0E00C7E2" w14:textId="3423ECC8"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r>
      <w:tr w:rsidR="005212B3" w:rsidRPr="00C06F1B" w14:paraId="502832C4" w14:textId="77777777" w:rsidTr="00497328">
        <w:trPr>
          <w:trHeight w:val="240"/>
        </w:trPr>
        <w:tc>
          <w:tcPr>
            <w:tcW w:w="2054" w:type="pct"/>
            <w:tcBorders>
              <w:top w:val="nil"/>
              <w:left w:val="nil"/>
              <w:bottom w:val="nil"/>
              <w:right w:val="nil"/>
            </w:tcBorders>
            <w:shd w:val="clear" w:color="auto" w:fill="auto"/>
            <w:noWrap/>
            <w:vAlign w:val="center"/>
            <w:hideMark/>
          </w:tcPr>
          <w:p w14:paraId="71C14CEA" w14:textId="4FA93833"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Fatura processada Itaipu</w:t>
            </w:r>
            <w:r w:rsidR="00534AB8">
              <w:rPr>
                <w:rFonts w:ascii="Segoe UI" w:eastAsia="Times New Roman" w:hAnsi="Segoe UI" w:cs="Segoe UI"/>
                <w:color w:val="000000"/>
                <w:sz w:val="18"/>
                <w:szCs w:val="18"/>
                <w:lang w:eastAsia="pt-BR"/>
              </w:rPr>
              <w:t xml:space="preserve"> - ENBPar</w:t>
            </w:r>
          </w:p>
        </w:tc>
        <w:tc>
          <w:tcPr>
            <w:tcW w:w="921" w:type="pct"/>
            <w:tcBorders>
              <w:top w:val="nil"/>
              <w:left w:val="nil"/>
              <w:bottom w:val="nil"/>
              <w:right w:val="nil"/>
            </w:tcBorders>
            <w:shd w:val="clear" w:color="auto" w:fill="auto"/>
            <w:noWrap/>
            <w:vAlign w:val="center"/>
            <w:hideMark/>
          </w:tcPr>
          <w:p w14:paraId="1FB09F47" w14:textId="613F9743"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55DB1A6B"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51915A7B" w14:textId="5F9AC0AD"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5048F1D5"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1972475B" w14:textId="4EDE96CC" w:rsidR="00C06F1B" w:rsidRPr="00C06F1B" w:rsidRDefault="00534AB8" w:rsidP="00C06F1B">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(2.615.131)</w:t>
            </w:r>
          </w:p>
        </w:tc>
      </w:tr>
      <w:tr w:rsidR="005212B3" w:rsidRPr="00C06F1B" w14:paraId="752990F4" w14:textId="77777777" w:rsidTr="00497328">
        <w:trPr>
          <w:trHeight w:val="240"/>
        </w:trPr>
        <w:tc>
          <w:tcPr>
            <w:tcW w:w="2054" w:type="pct"/>
            <w:tcBorders>
              <w:top w:val="nil"/>
              <w:left w:val="nil"/>
              <w:bottom w:val="nil"/>
              <w:right w:val="nil"/>
            </w:tcBorders>
            <w:shd w:val="clear" w:color="auto" w:fill="auto"/>
            <w:noWrap/>
            <w:vAlign w:val="center"/>
            <w:hideMark/>
          </w:tcPr>
          <w:p w14:paraId="313078B3" w14:textId="77777777" w:rsidR="00C06F1B" w:rsidRPr="00C06F1B" w:rsidRDefault="00C06F1B" w:rsidP="00C06F1B">
            <w:pPr>
              <w:spacing w:after="0" w:line="240" w:lineRule="auto"/>
              <w:rPr>
                <w:rFonts w:ascii="Segoe UI" w:eastAsia="Times New Roman" w:hAnsi="Segoe UI" w:cs="Segoe UI"/>
                <w:b/>
                <w:bCs/>
                <w:color w:val="000000"/>
                <w:sz w:val="18"/>
                <w:szCs w:val="18"/>
                <w:lang w:eastAsia="pt-BR"/>
              </w:rPr>
            </w:pPr>
            <w:r w:rsidRPr="00C06F1B">
              <w:rPr>
                <w:rFonts w:ascii="Segoe UI" w:eastAsia="Times New Roman" w:hAnsi="Segoe UI" w:cs="Segoe UI"/>
                <w:b/>
                <w:bCs/>
                <w:color w:val="000000"/>
                <w:sz w:val="18"/>
                <w:szCs w:val="18"/>
                <w:lang w:eastAsia="pt-BR"/>
              </w:rPr>
              <w:t>Resultado</w:t>
            </w:r>
          </w:p>
        </w:tc>
        <w:tc>
          <w:tcPr>
            <w:tcW w:w="921" w:type="pct"/>
            <w:tcBorders>
              <w:top w:val="nil"/>
              <w:left w:val="nil"/>
              <w:bottom w:val="nil"/>
              <w:right w:val="nil"/>
            </w:tcBorders>
            <w:shd w:val="clear" w:color="auto" w:fill="auto"/>
            <w:noWrap/>
            <w:vAlign w:val="center"/>
            <w:hideMark/>
          </w:tcPr>
          <w:p w14:paraId="2B93294B" w14:textId="77777777" w:rsidR="00C06F1B" w:rsidRPr="00C06F1B" w:rsidRDefault="00C06F1B" w:rsidP="00C06F1B">
            <w:pPr>
              <w:spacing w:after="0" w:line="240" w:lineRule="auto"/>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noWrap/>
            <w:vAlign w:val="bottom"/>
            <w:hideMark/>
          </w:tcPr>
          <w:p w14:paraId="47A3F9E9" w14:textId="77777777" w:rsidR="00C06F1B" w:rsidRPr="00C06F1B" w:rsidRDefault="00C06F1B" w:rsidP="00C06F1B">
            <w:pPr>
              <w:spacing w:after="0" w:line="240" w:lineRule="auto"/>
              <w:jc w:val="right"/>
              <w:rPr>
                <w:rFonts w:ascii="Times New Roman" w:eastAsia="Times New Roman" w:hAnsi="Times New Roman" w:cs="Times New Roman"/>
                <w:sz w:val="20"/>
                <w:szCs w:val="20"/>
                <w:lang w:eastAsia="pt-BR"/>
              </w:rPr>
            </w:pPr>
          </w:p>
        </w:tc>
        <w:tc>
          <w:tcPr>
            <w:tcW w:w="954" w:type="pct"/>
            <w:tcBorders>
              <w:top w:val="nil"/>
              <w:left w:val="nil"/>
              <w:bottom w:val="nil"/>
              <w:right w:val="nil"/>
            </w:tcBorders>
            <w:shd w:val="clear" w:color="auto" w:fill="auto"/>
            <w:noWrap/>
            <w:vAlign w:val="center"/>
            <w:hideMark/>
          </w:tcPr>
          <w:p w14:paraId="78B74D69"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c>
          <w:tcPr>
            <w:tcW w:w="101" w:type="pct"/>
            <w:tcBorders>
              <w:top w:val="nil"/>
              <w:left w:val="nil"/>
              <w:bottom w:val="nil"/>
              <w:right w:val="nil"/>
            </w:tcBorders>
            <w:shd w:val="clear" w:color="auto" w:fill="auto"/>
            <w:noWrap/>
            <w:vAlign w:val="bottom"/>
            <w:hideMark/>
          </w:tcPr>
          <w:p w14:paraId="2B21B952" w14:textId="77777777" w:rsidR="00C06F1B" w:rsidRPr="00C06F1B" w:rsidRDefault="00C06F1B" w:rsidP="00C06F1B">
            <w:pPr>
              <w:spacing w:after="0" w:line="240" w:lineRule="auto"/>
              <w:jc w:val="right"/>
              <w:rPr>
                <w:rFonts w:ascii="Times New Roman" w:eastAsia="Times New Roman" w:hAnsi="Times New Roman" w:cs="Times New Roman"/>
                <w:sz w:val="20"/>
                <w:szCs w:val="20"/>
                <w:lang w:eastAsia="pt-BR"/>
              </w:rPr>
            </w:pPr>
          </w:p>
        </w:tc>
        <w:tc>
          <w:tcPr>
            <w:tcW w:w="870" w:type="pct"/>
            <w:tcBorders>
              <w:top w:val="nil"/>
              <w:left w:val="nil"/>
              <w:bottom w:val="nil"/>
              <w:right w:val="nil"/>
            </w:tcBorders>
            <w:shd w:val="clear" w:color="auto" w:fill="auto"/>
            <w:noWrap/>
            <w:vAlign w:val="center"/>
            <w:hideMark/>
          </w:tcPr>
          <w:p w14:paraId="47CF4226" w14:textId="77777777" w:rsidR="00C06F1B" w:rsidRPr="00C06F1B" w:rsidRDefault="00C06F1B" w:rsidP="00C06F1B">
            <w:pPr>
              <w:spacing w:after="0" w:line="240" w:lineRule="auto"/>
              <w:rPr>
                <w:rFonts w:ascii="Times New Roman" w:eastAsia="Times New Roman" w:hAnsi="Times New Roman" w:cs="Times New Roman"/>
                <w:sz w:val="20"/>
                <w:szCs w:val="20"/>
                <w:lang w:eastAsia="pt-BR"/>
              </w:rPr>
            </w:pPr>
          </w:p>
        </w:tc>
      </w:tr>
      <w:tr w:rsidR="005212B3" w:rsidRPr="00C06F1B" w14:paraId="14BB513D" w14:textId="77777777" w:rsidTr="00497328">
        <w:trPr>
          <w:trHeight w:val="240"/>
        </w:trPr>
        <w:tc>
          <w:tcPr>
            <w:tcW w:w="2054" w:type="pct"/>
            <w:tcBorders>
              <w:top w:val="nil"/>
              <w:left w:val="nil"/>
              <w:bottom w:val="nil"/>
              <w:right w:val="nil"/>
            </w:tcBorders>
            <w:shd w:val="clear" w:color="auto" w:fill="auto"/>
            <w:noWrap/>
            <w:vAlign w:val="center"/>
            <w:hideMark/>
          </w:tcPr>
          <w:p w14:paraId="56AAE916" w14:textId="70267115"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Receita </w:t>
            </w:r>
            <w:r w:rsidR="00534AB8">
              <w:rPr>
                <w:rFonts w:ascii="Segoe UI" w:eastAsia="Times New Roman" w:hAnsi="Segoe UI" w:cs="Segoe UI"/>
                <w:color w:val="000000"/>
                <w:sz w:val="18"/>
                <w:szCs w:val="18"/>
                <w:lang w:eastAsia="pt-BR"/>
              </w:rPr>
              <w:t>- Eletronuclear</w:t>
            </w:r>
          </w:p>
        </w:tc>
        <w:tc>
          <w:tcPr>
            <w:tcW w:w="921" w:type="pct"/>
            <w:tcBorders>
              <w:top w:val="nil"/>
              <w:left w:val="nil"/>
              <w:bottom w:val="nil"/>
              <w:right w:val="nil"/>
            </w:tcBorders>
            <w:shd w:val="clear" w:color="auto" w:fill="auto"/>
            <w:noWrap/>
            <w:vAlign w:val="center"/>
            <w:hideMark/>
          </w:tcPr>
          <w:p w14:paraId="75BCC1FD" w14:textId="4C4BE3CE"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56AEE4F"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52454003" w14:textId="41E6B8A2"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3.691</w:t>
            </w:r>
          </w:p>
        </w:tc>
        <w:tc>
          <w:tcPr>
            <w:tcW w:w="101" w:type="pct"/>
            <w:tcBorders>
              <w:top w:val="nil"/>
              <w:left w:val="nil"/>
              <w:bottom w:val="nil"/>
              <w:right w:val="nil"/>
            </w:tcBorders>
            <w:shd w:val="clear" w:color="auto" w:fill="auto"/>
            <w:noWrap/>
            <w:vAlign w:val="bottom"/>
            <w:hideMark/>
          </w:tcPr>
          <w:p w14:paraId="45B5A1D5"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640E540D" w14:textId="4B45F4B8"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r>
      <w:tr w:rsidR="005212B3" w:rsidRPr="00C06F1B" w14:paraId="63F90AA6" w14:textId="77777777" w:rsidTr="00497328">
        <w:trPr>
          <w:trHeight w:val="240"/>
        </w:trPr>
        <w:tc>
          <w:tcPr>
            <w:tcW w:w="2054" w:type="pct"/>
            <w:tcBorders>
              <w:top w:val="nil"/>
              <w:left w:val="nil"/>
              <w:bottom w:val="nil"/>
              <w:right w:val="nil"/>
            </w:tcBorders>
            <w:shd w:val="clear" w:color="auto" w:fill="auto"/>
            <w:noWrap/>
            <w:vAlign w:val="center"/>
            <w:hideMark/>
          </w:tcPr>
          <w:p w14:paraId="712854D1" w14:textId="7AF35F48"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Custo</w:t>
            </w:r>
            <w:r w:rsidR="00534AB8">
              <w:rPr>
                <w:rFonts w:ascii="Segoe UI" w:eastAsia="Times New Roman" w:hAnsi="Segoe UI" w:cs="Segoe UI"/>
                <w:color w:val="000000"/>
                <w:sz w:val="18"/>
                <w:szCs w:val="18"/>
                <w:lang w:eastAsia="pt-BR"/>
              </w:rPr>
              <w:t xml:space="preserve"> - INB</w:t>
            </w:r>
          </w:p>
        </w:tc>
        <w:tc>
          <w:tcPr>
            <w:tcW w:w="921" w:type="pct"/>
            <w:tcBorders>
              <w:top w:val="nil"/>
              <w:left w:val="nil"/>
              <w:bottom w:val="nil"/>
              <w:right w:val="nil"/>
            </w:tcBorders>
            <w:shd w:val="clear" w:color="auto" w:fill="auto"/>
            <w:noWrap/>
            <w:vAlign w:val="center"/>
            <w:hideMark/>
          </w:tcPr>
          <w:p w14:paraId="334AD6F4" w14:textId="55CA16D3"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(3.691)</w:t>
            </w:r>
          </w:p>
        </w:tc>
        <w:tc>
          <w:tcPr>
            <w:tcW w:w="101" w:type="pct"/>
            <w:tcBorders>
              <w:top w:val="nil"/>
              <w:left w:val="nil"/>
              <w:bottom w:val="nil"/>
              <w:right w:val="nil"/>
            </w:tcBorders>
            <w:shd w:val="clear" w:color="auto" w:fill="auto"/>
            <w:noWrap/>
            <w:vAlign w:val="bottom"/>
            <w:hideMark/>
          </w:tcPr>
          <w:p w14:paraId="59252063"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00585654" w14:textId="44DA90A4"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57F47841"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58B6481B" w14:textId="0FEBC450"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r>
      <w:tr w:rsidR="005212B3" w:rsidRPr="00C06F1B" w14:paraId="1721981B" w14:textId="77777777" w:rsidTr="00497328">
        <w:trPr>
          <w:trHeight w:val="240"/>
        </w:trPr>
        <w:tc>
          <w:tcPr>
            <w:tcW w:w="2054" w:type="pct"/>
            <w:tcBorders>
              <w:top w:val="nil"/>
              <w:left w:val="nil"/>
              <w:bottom w:val="nil"/>
              <w:right w:val="nil"/>
            </w:tcBorders>
            <w:shd w:val="clear" w:color="auto" w:fill="auto"/>
            <w:noWrap/>
            <w:vAlign w:val="bottom"/>
            <w:hideMark/>
          </w:tcPr>
          <w:p w14:paraId="641A7026" w14:textId="77777777"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Ressarcimento de encargos </w:t>
            </w:r>
          </w:p>
        </w:tc>
        <w:tc>
          <w:tcPr>
            <w:tcW w:w="921" w:type="pct"/>
            <w:tcBorders>
              <w:top w:val="nil"/>
              <w:left w:val="nil"/>
              <w:bottom w:val="nil"/>
              <w:right w:val="nil"/>
            </w:tcBorders>
            <w:shd w:val="clear" w:color="auto" w:fill="auto"/>
            <w:noWrap/>
            <w:vAlign w:val="center"/>
            <w:hideMark/>
          </w:tcPr>
          <w:p w14:paraId="654D4695" w14:textId="62D6F7A5"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099A7BB"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01C49677" w14:textId="6BE752D3"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DCD0B6D"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6E3C3747" w14:textId="45AD6600"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21.844</w:t>
            </w:r>
          </w:p>
        </w:tc>
      </w:tr>
      <w:tr w:rsidR="005212B3" w:rsidRPr="00C06F1B" w14:paraId="04FA132A" w14:textId="77777777" w:rsidTr="00497328">
        <w:trPr>
          <w:trHeight w:val="240"/>
        </w:trPr>
        <w:tc>
          <w:tcPr>
            <w:tcW w:w="2054" w:type="pct"/>
            <w:tcBorders>
              <w:top w:val="nil"/>
              <w:left w:val="nil"/>
              <w:bottom w:val="nil"/>
              <w:right w:val="nil"/>
            </w:tcBorders>
            <w:shd w:val="clear" w:color="auto" w:fill="auto"/>
            <w:noWrap/>
            <w:vAlign w:val="center"/>
            <w:hideMark/>
          </w:tcPr>
          <w:p w14:paraId="7ED4FA47" w14:textId="0FB883BA" w:rsidR="00C06F1B" w:rsidRPr="00C06F1B" w:rsidRDefault="00C06F1B" w:rsidP="00C06F1B">
            <w:pPr>
              <w:spacing w:after="0" w:line="240" w:lineRule="auto"/>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 xml:space="preserve">  Fatura processada Itaipu</w:t>
            </w:r>
            <w:r w:rsidR="00534AB8">
              <w:rPr>
                <w:rFonts w:ascii="Segoe UI" w:eastAsia="Times New Roman" w:hAnsi="Segoe UI" w:cs="Segoe UI"/>
                <w:color w:val="000000"/>
                <w:sz w:val="18"/>
                <w:szCs w:val="18"/>
                <w:lang w:eastAsia="pt-BR"/>
              </w:rPr>
              <w:t xml:space="preserve"> - ENBPar</w:t>
            </w:r>
          </w:p>
        </w:tc>
        <w:tc>
          <w:tcPr>
            <w:tcW w:w="921" w:type="pct"/>
            <w:tcBorders>
              <w:top w:val="nil"/>
              <w:left w:val="nil"/>
              <w:bottom w:val="nil"/>
              <w:right w:val="nil"/>
            </w:tcBorders>
            <w:shd w:val="clear" w:color="auto" w:fill="auto"/>
            <w:noWrap/>
            <w:vAlign w:val="center"/>
            <w:hideMark/>
          </w:tcPr>
          <w:p w14:paraId="4B927805" w14:textId="282EF075"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4D1325F7"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54" w:type="pct"/>
            <w:tcBorders>
              <w:top w:val="nil"/>
              <w:left w:val="nil"/>
              <w:bottom w:val="nil"/>
              <w:right w:val="nil"/>
            </w:tcBorders>
            <w:shd w:val="clear" w:color="auto" w:fill="auto"/>
            <w:noWrap/>
            <w:vAlign w:val="center"/>
            <w:hideMark/>
          </w:tcPr>
          <w:p w14:paraId="72A45FE0" w14:textId="2BCB85E8"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26FF0AD7"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870" w:type="pct"/>
            <w:tcBorders>
              <w:top w:val="nil"/>
              <w:left w:val="nil"/>
              <w:bottom w:val="nil"/>
              <w:right w:val="nil"/>
            </w:tcBorders>
            <w:shd w:val="clear" w:color="auto" w:fill="auto"/>
            <w:noWrap/>
            <w:vAlign w:val="center"/>
            <w:hideMark/>
          </w:tcPr>
          <w:p w14:paraId="214F9454" w14:textId="39DCE11C"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r w:rsidRPr="00C06F1B">
              <w:rPr>
                <w:rFonts w:ascii="Segoe UI" w:eastAsia="Times New Roman" w:hAnsi="Segoe UI" w:cs="Segoe UI"/>
                <w:color w:val="000000"/>
                <w:sz w:val="18"/>
                <w:szCs w:val="18"/>
                <w:lang w:eastAsia="pt-BR"/>
              </w:rPr>
              <w:t>(8.639.967)</w:t>
            </w:r>
          </w:p>
        </w:tc>
      </w:tr>
      <w:tr w:rsidR="005212B3" w:rsidRPr="00C06F1B" w14:paraId="584AA123" w14:textId="77777777" w:rsidTr="00497328">
        <w:trPr>
          <w:trHeight w:val="255"/>
        </w:trPr>
        <w:tc>
          <w:tcPr>
            <w:tcW w:w="2054" w:type="pct"/>
            <w:tcBorders>
              <w:top w:val="nil"/>
              <w:left w:val="nil"/>
              <w:bottom w:val="nil"/>
              <w:right w:val="nil"/>
            </w:tcBorders>
            <w:shd w:val="clear" w:color="auto" w:fill="auto"/>
            <w:noWrap/>
            <w:vAlign w:val="bottom"/>
            <w:hideMark/>
          </w:tcPr>
          <w:p w14:paraId="08BDF207" w14:textId="77777777" w:rsidR="00C06F1B" w:rsidRPr="00C06F1B" w:rsidRDefault="00C06F1B" w:rsidP="00C06F1B">
            <w:pPr>
              <w:spacing w:after="0" w:line="240" w:lineRule="auto"/>
              <w:jc w:val="right"/>
              <w:rPr>
                <w:rFonts w:ascii="Segoe UI" w:eastAsia="Times New Roman" w:hAnsi="Segoe UI" w:cs="Segoe UI"/>
                <w:color w:val="000000"/>
                <w:sz w:val="18"/>
                <w:szCs w:val="18"/>
                <w:lang w:eastAsia="pt-BR"/>
              </w:rPr>
            </w:pPr>
          </w:p>
        </w:tc>
        <w:tc>
          <w:tcPr>
            <w:tcW w:w="921" w:type="pct"/>
            <w:tcBorders>
              <w:top w:val="single" w:sz="4" w:space="0" w:color="1B80C4"/>
              <w:left w:val="nil"/>
              <w:bottom w:val="double" w:sz="6" w:space="0" w:color="1B80C4"/>
              <w:right w:val="nil"/>
            </w:tcBorders>
            <w:shd w:val="clear" w:color="auto" w:fill="auto"/>
            <w:noWrap/>
            <w:vAlign w:val="center"/>
            <w:hideMark/>
          </w:tcPr>
          <w:p w14:paraId="79FA99C2" w14:textId="5687D5A9" w:rsidR="00C06F1B" w:rsidRPr="00C06F1B" w:rsidRDefault="00C06F1B" w:rsidP="00C06F1B">
            <w:pPr>
              <w:spacing w:after="0" w:line="240" w:lineRule="auto"/>
              <w:jc w:val="right"/>
              <w:rPr>
                <w:rFonts w:ascii="Segoe UI" w:eastAsia="Times New Roman" w:hAnsi="Segoe UI" w:cs="Segoe UI"/>
                <w:b/>
                <w:bCs/>
                <w:color w:val="000000"/>
                <w:sz w:val="18"/>
                <w:szCs w:val="18"/>
                <w:lang w:eastAsia="pt-BR"/>
              </w:rPr>
            </w:pPr>
            <w:r w:rsidRPr="00C06F1B">
              <w:rPr>
                <w:rFonts w:ascii="Segoe UI" w:eastAsia="Times New Roman" w:hAnsi="Segoe UI" w:cs="Segoe UI"/>
                <w:b/>
                <w:bCs/>
                <w:color w:val="000000"/>
                <w:sz w:val="18"/>
                <w:szCs w:val="18"/>
                <w:lang w:eastAsia="pt-BR"/>
              </w:rPr>
              <w:t>838.470</w:t>
            </w:r>
          </w:p>
        </w:tc>
        <w:tc>
          <w:tcPr>
            <w:tcW w:w="101" w:type="pct"/>
            <w:tcBorders>
              <w:top w:val="nil"/>
              <w:left w:val="nil"/>
              <w:bottom w:val="nil"/>
              <w:right w:val="nil"/>
            </w:tcBorders>
            <w:shd w:val="clear" w:color="auto" w:fill="auto"/>
            <w:noWrap/>
            <w:vAlign w:val="bottom"/>
            <w:hideMark/>
          </w:tcPr>
          <w:p w14:paraId="1DE98F8E" w14:textId="77777777" w:rsidR="00C06F1B" w:rsidRPr="00C06F1B" w:rsidRDefault="00C06F1B" w:rsidP="00C06F1B">
            <w:pPr>
              <w:spacing w:after="0" w:line="240" w:lineRule="auto"/>
              <w:jc w:val="right"/>
              <w:rPr>
                <w:rFonts w:ascii="Segoe UI" w:eastAsia="Times New Roman" w:hAnsi="Segoe UI" w:cs="Segoe UI"/>
                <w:b/>
                <w:bCs/>
                <w:color w:val="000000"/>
                <w:sz w:val="18"/>
                <w:szCs w:val="18"/>
                <w:lang w:eastAsia="pt-BR"/>
              </w:rPr>
            </w:pPr>
          </w:p>
        </w:tc>
        <w:tc>
          <w:tcPr>
            <w:tcW w:w="954" w:type="pct"/>
            <w:tcBorders>
              <w:top w:val="single" w:sz="4" w:space="0" w:color="1B80C4"/>
              <w:left w:val="nil"/>
              <w:bottom w:val="double" w:sz="6" w:space="0" w:color="1B80C4"/>
              <w:right w:val="nil"/>
            </w:tcBorders>
            <w:shd w:val="clear" w:color="auto" w:fill="auto"/>
            <w:noWrap/>
            <w:vAlign w:val="center"/>
            <w:hideMark/>
          </w:tcPr>
          <w:p w14:paraId="2434F99A" w14:textId="341C894A" w:rsidR="00C06F1B" w:rsidRPr="00C06F1B" w:rsidRDefault="00C06F1B" w:rsidP="00C06F1B">
            <w:pPr>
              <w:spacing w:after="0" w:line="240" w:lineRule="auto"/>
              <w:jc w:val="right"/>
              <w:rPr>
                <w:rFonts w:ascii="Segoe UI" w:eastAsia="Times New Roman" w:hAnsi="Segoe UI" w:cs="Segoe UI"/>
                <w:b/>
                <w:bCs/>
                <w:color w:val="000000"/>
                <w:sz w:val="18"/>
                <w:szCs w:val="18"/>
                <w:lang w:eastAsia="pt-BR"/>
              </w:rPr>
            </w:pPr>
            <w:r w:rsidRPr="00C06F1B">
              <w:rPr>
                <w:rFonts w:ascii="Segoe UI" w:eastAsia="Times New Roman" w:hAnsi="Segoe UI" w:cs="Segoe UI"/>
                <w:b/>
                <w:bCs/>
                <w:color w:val="000000"/>
                <w:sz w:val="18"/>
                <w:szCs w:val="18"/>
                <w:lang w:eastAsia="pt-BR"/>
              </w:rPr>
              <w:t>(838.470)</w:t>
            </w:r>
          </w:p>
        </w:tc>
        <w:tc>
          <w:tcPr>
            <w:tcW w:w="101" w:type="pct"/>
            <w:tcBorders>
              <w:top w:val="nil"/>
              <w:left w:val="nil"/>
              <w:bottom w:val="nil"/>
              <w:right w:val="nil"/>
            </w:tcBorders>
            <w:shd w:val="clear" w:color="auto" w:fill="auto"/>
            <w:noWrap/>
            <w:vAlign w:val="bottom"/>
            <w:hideMark/>
          </w:tcPr>
          <w:p w14:paraId="1F585992" w14:textId="77777777" w:rsidR="00C06F1B" w:rsidRPr="00C06F1B" w:rsidRDefault="00C06F1B" w:rsidP="00C06F1B">
            <w:pPr>
              <w:spacing w:after="0" w:line="240" w:lineRule="auto"/>
              <w:jc w:val="right"/>
              <w:rPr>
                <w:rFonts w:ascii="Segoe UI" w:eastAsia="Times New Roman" w:hAnsi="Segoe UI" w:cs="Segoe UI"/>
                <w:b/>
                <w:bCs/>
                <w:color w:val="000000"/>
                <w:sz w:val="18"/>
                <w:szCs w:val="18"/>
                <w:lang w:eastAsia="pt-BR"/>
              </w:rPr>
            </w:pPr>
          </w:p>
        </w:tc>
        <w:tc>
          <w:tcPr>
            <w:tcW w:w="870" w:type="pct"/>
            <w:tcBorders>
              <w:top w:val="single" w:sz="4" w:space="0" w:color="1B80C4"/>
              <w:left w:val="nil"/>
              <w:bottom w:val="double" w:sz="6" w:space="0" w:color="1B80C4"/>
              <w:right w:val="nil"/>
            </w:tcBorders>
            <w:shd w:val="clear" w:color="auto" w:fill="auto"/>
            <w:noWrap/>
            <w:vAlign w:val="center"/>
            <w:hideMark/>
          </w:tcPr>
          <w:p w14:paraId="1B70FA9A" w14:textId="45CBAE01" w:rsidR="00C06F1B" w:rsidRPr="00C06F1B" w:rsidRDefault="00C06F1B" w:rsidP="00C06F1B">
            <w:pPr>
              <w:spacing w:after="0" w:line="240" w:lineRule="auto"/>
              <w:jc w:val="right"/>
              <w:rPr>
                <w:rFonts w:ascii="Segoe UI" w:eastAsia="Times New Roman" w:hAnsi="Segoe UI" w:cs="Segoe UI"/>
                <w:b/>
                <w:bCs/>
                <w:color w:val="000000"/>
                <w:sz w:val="18"/>
                <w:szCs w:val="18"/>
                <w:lang w:eastAsia="pt-BR"/>
              </w:rPr>
            </w:pPr>
            <w:r w:rsidRPr="00C06F1B">
              <w:rPr>
                <w:rFonts w:ascii="Segoe UI" w:eastAsia="Times New Roman" w:hAnsi="Segoe UI" w:cs="Segoe UI"/>
                <w:b/>
                <w:bCs/>
                <w:color w:val="000000"/>
                <w:sz w:val="18"/>
                <w:szCs w:val="18"/>
                <w:lang w:eastAsia="pt-BR"/>
              </w:rPr>
              <w:t>(11.210.625)</w:t>
            </w:r>
          </w:p>
        </w:tc>
      </w:tr>
    </w:tbl>
    <w:p w14:paraId="56BD76F4" w14:textId="77777777" w:rsidR="00402349" w:rsidRDefault="00402349" w:rsidP="00497A4B">
      <w:pPr>
        <w:rPr>
          <w:rFonts w:ascii="Segoe UI" w:hAnsi="Segoe UI" w:cs="Segoe UI"/>
          <w:b/>
          <w:bCs/>
          <w:color w:val="0070C0"/>
        </w:rPr>
      </w:pPr>
    </w:p>
    <w:p w14:paraId="37B1A9B1" w14:textId="7EF4F35C" w:rsidR="00C06F1B" w:rsidRPr="00D109A9" w:rsidRDefault="00C06F1B" w:rsidP="00497A4B">
      <w:pPr>
        <w:rPr>
          <w:rFonts w:ascii="Segoe UI" w:hAnsi="Segoe UI" w:cs="Segoe UI"/>
        </w:rPr>
      </w:pPr>
      <w:r w:rsidRPr="00D109A9">
        <w:rPr>
          <w:rFonts w:ascii="Segoe UI" w:hAnsi="Segoe UI" w:cs="Segoe UI"/>
          <w:b/>
          <w:bCs/>
          <w:color w:val="0070C0"/>
        </w:rPr>
        <w:t>32.1.</w:t>
      </w:r>
      <w:r w:rsidR="00D109A9" w:rsidRPr="00D109A9">
        <w:rPr>
          <w:rFonts w:ascii="Segoe UI" w:hAnsi="Segoe UI" w:cs="Segoe UI"/>
          <w:b/>
          <w:bCs/>
          <w:color w:val="0070C0"/>
        </w:rPr>
        <w:t>2</w:t>
      </w:r>
      <w:r w:rsidRPr="00D109A9">
        <w:rPr>
          <w:rFonts w:ascii="Segoe UI" w:hAnsi="Segoe UI" w:cs="Segoe UI"/>
          <w:b/>
          <w:bCs/>
          <w:color w:val="0070C0"/>
        </w:rPr>
        <w:t xml:space="preserve"> – Contratos com</w:t>
      </w:r>
      <w:r w:rsidR="00DF48DA">
        <w:rPr>
          <w:rFonts w:ascii="Segoe UI" w:hAnsi="Segoe UI" w:cs="Segoe UI"/>
          <w:b/>
          <w:bCs/>
          <w:color w:val="0070C0"/>
        </w:rPr>
        <w:t xml:space="preserve"> empresas do grupo </w:t>
      </w:r>
      <w:r w:rsidRPr="00D109A9">
        <w:rPr>
          <w:rFonts w:ascii="Segoe UI" w:hAnsi="Segoe UI" w:cs="Segoe UI"/>
          <w:b/>
          <w:bCs/>
          <w:color w:val="0070C0"/>
        </w:rPr>
        <w:t>e entidades públicas</w:t>
      </w:r>
    </w:p>
    <w:p w14:paraId="0C951FC6" w14:textId="2EC41F05" w:rsidR="00C06F1B" w:rsidRPr="00D109A9" w:rsidRDefault="00C06F1B" w:rsidP="00FE3E72">
      <w:pPr>
        <w:jc w:val="both"/>
        <w:rPr>
          <w:rFonts w:ascii="Segoe UI" w:hAnsi="Segoe UI" w:cs="Segoe UI"/>
          <w:b/>
          <w:bCs/>
          <w:color w:val="0070C0"/>
        </w:rPr>
      </w:pPr>
      <w:r w:rsidRPr="00D109A9">
        <w:rPr>
          <w:rFonts w:ascii="Segoe UI" w:hAnsi="Segoe UI" w:cs="Segoe UI"/>
          <w:b/>
          <w:bCs/>
          <w:color w:val="0070C0"/>
        </w:rPr>
        <w:t>32.1.2.1 - Contratos com Itaipu</w:t>
      </w:r>
    </w:p>
    <w:p w14:paraId="5E063C47" w14:textId="27E2B477" w:rsidR="00C06F1B" w:rsidRPr="00713387" w:rsidRDefault="00C06F1B" w:rsidP="00E03252">
      <w:pPr>
        <w:pStyle w:val="PargrafodaLista"/>
        <w:numPr>
          <w:ilvl w:val="0"/>
          <w:numId w:val="11"/>
        </w:numPr>
        <w:rPr>
          <w:rFonts w:ascii="Segoe UI" w:eastAsiaTheme="minorHAnsi" w:hAnsi="Segoe UI" w:cs="Segoe UI"/>
          <w:sz w:val="21"/>
          <w:szCs w:val="21"/>
          <w:lang w:eastAsia="en-US"/>
        </w:rPr>
      </w:pPr>
      <w:r w:rsidRPr="00713387">
        <w:rPr>
          <w:rFonts w:ascii="Segoe UI" w:eastAsiaTheme="minorHAnsi" w:hAnsi="Segoe UI" w:cs="Segoe UI"/>
          <w:sz w:val="21"/>
          <w:szCs w:val="21"/>
          <w:lang w:eastAsia="en-US"/>
        </w:rPr>
        <w:t>Contrato de empréstimo gratuito por comodato para bens moveis</w:t>
      </w:r>
      <w:r w:rsidR="00DF48DA">
        <w:rPr>
          <w:rFonts w:ascii="Segoe UI" w:eastAsiaTheme="minorHAnsi" w:hAnsi="Segoe UI" w:cs="Segoe UI"/>
          <w:sz w:val="21"/>
          <w:szCs w:val="21"/>
          <w:lang w:eastAsia="en-US"/>
        </w:rPr>
        <w:t>, com vigência de 5 anos.</w:t>
      </w:r>
    </w:p>
    <w:p w14:paraId="780AFFE8" w14:textId="77777777" w:rsidR="00DF48DA" w:rsidRPr="00713387" w:rsidRDefault="00C06F1B" w:rsidP="00DF48DA">
      <w:pPr>
        <w:pStyle w:val="PargrafodaLista"/>
        <w:numPr>
          <w:ilvl w:val="0"/>
          <w:numId w:val="11"/>
        </w:numPr>
        <w:rPr>
          <w:rFonts w:ascii="Segoe UI" w:eastAsiaTheme="minorHAnsi" w:hAnsi="Segoe UI" w:cs="Segoe UI"/>
          <w:sz w:val="21"/>
          <w:szCs w:val="21"/>
          <w:lang w:eastAsia="en-US"/>
        </w:rPr>
      </w:pPr>
      <w:r w:rsidRPr="00713387">
        <w:rPr>
          <w:rFonts w:ascii="Segoe UI" w:eastAsiaTheme="minorHAnsi" w:hAnsi="Segoe UI" w:cs="Segoe UI"/>
          <w:sz w:val="21"/>
          <w:szCs w:val="21"/>
          <w:lang w:eastAsia="en-US"/>
        </w:rPr>
        <w:t>Contrato de empréstimo gratuito por comodato para bens moveis e materiais de TI</w:t>
      </w:r>
      <w:r w:rsidR="00DF48DA">
        <w:rPr>
          <w:rFonts w:ascii="Segoe UI" w:eastAsiaTheme="minorHAnsi" w:hAnsi="Segoe UI" w:cs="Segoe UI"/>
          <w:sz w:val="21"/>
          <w:szCs w:val="21"/>
          <w:lang w:eastAsia="en-US"/>
        </w:rPr>
        <w:t>, com vigência de 5 anos.</w:t>
      </w:r>
    </w:p>
    <w:p w14:paraId="3111238B" w14:textId="74EB9D32" w:rsidR="00C06F1B" w:rsidRPr="00DF48DA" w:rsidRDefault="00C06F1B" w:rsidP="00DF48DA">
      <w:pPr>
        <w:pStyle w:val="PargrafodaLista"/>
        <w:numPr>
          <w:ilvl w:val="0"/>
          <w:numId w:val="11"/>
        </w:numPr>
        <w:rPr>
          <w:rFonts w:ascii="Segoe UI" w:eastAsiaTheme="minorHAnsi" w:hAnsi="Segoe UI" w:cs="Segoe UI"/>
          <w:sz w:val="21"/>
          <w:szCs w:val="21"/>
          <w:lang w:eastAsia="en-US"/>
        </w:rPr>
      </w:pPr>
      <w:r w:rsidRPr="00713387">
        <w:rPr>
          <w:rFonts w:ascii="Segoe UI" w:eastAsiaTheme="minorHAnsi" w:hAnsi="Segoe UI" w:cs="Segoe UI"/>
          <w:sz w:val="21"/>
          <w:szCs w:val="21"/>
          <w:lang w:eastAsia="en-US"/>
        </w:rPr>
        <w:t>Contrato de empréstimo gratuito por comodato para quatro veículos elétricos</w:t>
      </w:r>
      <w:r w:rsidR="00DF48DA">
        <w:rPr>
          <w:rFonts w:ascii="Segoe UI" w:eastAsiaTheme="minorHAnsi" w:hAnsi="Segoe UI" w:cs="Segoe UI"/>
          <w:sz w:val="21"/>
          <w:szCs w:val="21"/>
          <w:lang w:eastAsia="en-US"/>
        </w:rPr>
        <w:t>,</w:t>
      </w:r>
      <w:r w:rsidR="00DF48DA" w:rsidRPr="00DF48DA">
        <w:rPr>
          <w:rFonts w:ascii="Segoe UI" w:eastAsiaTheme="minorHAnsi" w:hAnsi="Segoe UI" w:cs="Segoe UI"/>
          <w:sz w:val="21"/>
          <w:szCs w:val="21"/>
          <w:lang w:eastAsia="en-US"/>
        </w:rPr>
        <w:t xml:space="preserve"> </w:t>
      </w:r>
      <w:r w:rsidR="00DF48DA">
        <w:rPr>
          <w:rFonts w:ascii="Segoe UI" w:eastAsiaTheme="minorHAnsi" w:hAnsi="Segoe UI" w:cs="Segoe UI"/>
          <w:sz w:val="21"/>
          <w:szCs w:val="21"/>
          <w:lang w:eastAsia="en-US"/>
        </w:rPr>
        <w:t>com vigência de 5 anos.</w:t>
      </w:r>
    </w:p>
    <w:p w14:paraId="5F665443" w14:textId="77777777" w:rsidR="00C06F1B" w:rsidRPr="00D109A9" w:rsidRDefault="00C06F1B" w:rsidP="00FE3E72">
      <w:pPr>
        <w:jc w:val="both"/>
        <w:rPr>
          <w:rFonts w:ascii="Segoe UI" w:hAnsi="Segoe UI" w:cs="Segoe UI"/>
        </w:rPr>
      </w:pPr>
    </w:p>
    <w:p w14:paraId="41445C9A" w14:textId="71B3B130" w:rsidR="00C06F1B" w:rsidRPr="00D109A9" w:rsidRDefault="00D109A9" w:rsidP="00FE3E72">
      <w:pPr>
        <w:jc w:val="both"/>
        <w:rPr>
          <w:rFonts w:ascii="Segoe UI" w:hAnsi="Segoe UI" w:cs="Segoe UI"/>
          <w:b/>
          <w:bCs/>
          <w:color w:val="0070C0"/>
        </w:rPr>
      </w:pPr>
      <w:r w:rsidRPr="00D109A9">
        <w:rPr>
          <w:rFonts w:ascii="Segoe UI" w:hAnsi="Segoe UI" w:cs="Segoe UI"/>
          <w:b/>
          <w:bCs/>
          <w:color w:val="0070C0"/>
        </w:rPr>
        <w:t>32.1.2.</w:t>
      </w:r>
      <w:r>
        <w:rPr>
          <w:rFonts w:ascii="Segoe UI" w:hAnsi="Segoe UI" w:cs="Segoe UI"/>
          <w:b/>
          <w:bCs/>
          <w:color w:val="0070C0"/>
        </w:rPr>
        <w:t>2</w:t>
      </w:r>
      <w:r w:rsidRPr="00D109A9">
        <w:rPr>
          <w:rFonts w:ascii="Segoe UI" w:hAnsi="Segoe UI" w:cs="Segoe UI"/>
          <w:b/>
          <w:bCs/>
          <w:color w:val="0070C0"/>
        </w:rPr>
        <w:t xml:space="preserve"> - </w:t>
      </w:r>
      <w:r w:rsidR="00C06F1B" w:rsidRPr="00D109A9">
        <w:rPr>
          <w:rFonts w:ascii="Segoe UI" w:hAnsi="Segoe UI" w:cs="Segoe UI"/>
          <w:b/>
          <w:bCs/>
          <w:color w:val="0070C0"/>
        </w:rPr>
        <w:t>Contrato com a Emgepron:</w:t>
      </w:r>
    </w:p>
    <w:p w14:paraId="00A93C8D" w14:textId="798D6ABA" w:rsidR="00737408" w:rsidRDefault="00C06F1B" w:rsidP="00FE3E72">
      <w:pPr>
        <w:jc w:val="both"/>
        <w:rPr>
          <w:rFonts w:ascii="Segoe UI" w:hAnsi="Segoe UI" w:cs="Segoe UI"/>
        </w:rPr>
      </w:pPr>
      <w:r w:rsidRPr="00D109A9">
        <w:rPr>
          <w:rFonts w:ascii="Segoe UI" w:hAnsi="Segoe UI" w:cs="Segoe UI"/>
        </w:rPr>
        <w:t>O contrato tem, por objeto, a prestação de serviços especializados de gerenciamento e implementação das atividades técnicas, administrativas, de planejamento, de controle de qualidade, de apoio logístico, de fiscalização da execução dos serviços e de elaboração de processos para contratar empresas que prestarão serviços para atender as necessidades da ENBPar. A vigência do contrato é de 12 meses, iniciados em julho de 2022 em um valor total estimado de R$ 7,8 milhões, a serem pagos conforme itens segregados por mobilização, atividades fixas mensais, atividades executadas por demanda e subcontrações</w:t>
      </w:r>
      <w:r w:rsidRPr="00C06F1B">
        <w:rPr>
          <w:rFonts w:ascii="Segoe UI" w:hAnsi="Segoe UI" w:cs="Segoe UI"/>
        </w:rPr>
        <w:t>.</w:t>
      </w:r>
    </w:p>
    <w:p w14:paraId="307F3704" w14:textId="77777777" w:rsidR="00402349" w:rsidRDefault="00402349">
      <w:pPr>
        <w:rPr>
          <w:rFonts w:ascii="Segoe UI" w:hAnsi="Segoe UI" w:cs="Segoe UI"/>
          <w:b/>
          <w:color w:val="0070C0"/>
          <w:highlight w:val="yellow"/>
        </w:rPr>
      </w:pPr>
      <w:r>
        <w:rPr>
          <w:rFonts w:ascii="Segoe UI" w:hAnsi="Segoe UI" w:cs="Segoe UI"/>
          <w:b/>
          <w:color w:val="0070C0"/>
          <w:highlight w:val="yellow"/>
        </w:rPr>
        <w:br w:type="page"/>
      </w:r>
    </w:p>
    <w:p w14:paraId="1D0C5ABC" w14:textId="15666D08" w:rsidR="00B53E3D" w:rsidRDefault="005B6BD5" w:rsidP="00545B0A">
      <w:pPr>
        <w:spacing w:before="240"/>
        <w:jc w:val="both"/>
        <w:rPr>
          <w:rFonts w:ascii="Segoe UI" w:hAnsi="Segoe UI" w:cs="Segoe UI"/>
          <w:b/>
          <w:color w:val="0070C0"/>
        </w:rPr>
      </w:pPr>
      <w:r w:rsidRPr="007C0F71">
        <w:rPr>
          <w:rFonts w:ascii="Segoe UI" w:hAnsi="Segoe UI" w:cs="Segoe UI"/>
          <w:b/>
          <w:color w:val="0070C0"/>
        </w:rPr>
        <w:lastRenderedPageBreak/>
        <w:t>3</w:t>
      </w:r>
      <w:r w:rsidR="002A4E82" w:rsidRPr="007C0F71">
        <w:rPr>
          <w:rFonts w:ascii="Segoe UI" w:hAnsi="Segoe UI" w:cs="Segoe UI"/>
          <w:b/>
          <w:color w:val="0070C0"/>
        </w:rPr>
        <w:t>2</w:t>
      </w:r>
      <w:r w:rsidR="00B53E3D" w:rsidRPr="007C0F71">
        <w:rPr>
          <w:rFonts w:ascii="Segoe UI" w:hAnsi="Segoe UI" w:cs="Segoe UI"/>
          <w:b/>
          <w:color w:val="0070C0"/>
        </w:rPr>
        <w:t>.</w:t>
      </w:r>
      <w:r w:rsidR="00FC42A1" w:rsidRPr="007C0F71">
        <w:rPr>
          <w:rFonts w:ascii="Segoe UI" w:hAnsi="Segoe UI" w:cs="Segoe UI"/>
          <w:b/>
          <w:color w:val="0070C0"/>
        </w:rPr>
        <w:t>2</w:t>
      </w:r>
      <w:r w:rsidR="002C6122" w:rsidRPr="007C0F71">
        <w:rPr>
          <w:rFonts w:ascii="Segoe UI" w:hAnsi="Segoe UI" w:cs="Segoe UI"/>
          <w:b/>
          <w:color w:val="0070C0"/>
        </w:rPr>
        <w:t xml:space="preserve"> - Remuneração do pessoal-</w:t>
      </w:r>
      <w:r w:rsidR="00B53E3D" w:rsidRPr="007C0F71">
        <w:rPr>
          <w:rFonts w:ascii="Segoe UI" w:hAnsi="Segoe UI" w:cs="Segoe UI"/>
          <w:b/>
          <w:color w:val="0070C0"/>
        </w:rPr>
        <w:t>chave</w:t>
      </w:r>
      <w:r w:rsidR="00B53E3D" w:rsidRPr="000757BC">
        <w:rPr>
          <w:rFonts w:ascii="Segoe UI" w:hAnsi="Segoe UI" w:cs="Segoe UI"/>
          <w:b/>
          <w:color w:val="0070C0"/>
        </w:rPr>
        <w:t xml:space="preserve"> </w:t>
      </w:r>
    </w:p>
    <w:p w14:paraId="5A2F4B79" w14:textId="31DF3933" w:rsidR="00636FC6" w:rsidRDefault="002C6122" w:rsidP="008B08CE">
      <w:pPr>
        <w:spacing w:before="240"/>
        <w:jc w:val="both"/>
        <w:rPr>
          <w:rFonts w:ascii="Segoe UI" w:hAnsi="Segoe UI" w:cs="Segoe UI"/>
        </w:rPr>
      </w:pPr>
      <w:r w:rsidRPr="000757BC">
        <w:rPr>
          <w:rFonts w:ascii="Segoe UI" w:hAnsi="Segoe UI" w:cs="Segoe UI"/>
        </w:rPr>
        <w:t>A remuneração do pessoal-</w:t>
      </w:r>
      <w:r w:rsidR="00B53E3D" w:rsidRPr="000757BC">
        <w:rPr>
          <w:rFonts w:ascii="Segoe UI" w:hAnsi="Segoe UI" w:cs="Segoe UI"/>
        </w:rPr>
        <w:t>chave da</w:t>
      </w:r>
      <w:r w:rsidR="00E52006" w:rsidRPr="000757BC">
        <w:rPr>
          <w:rFonts w:ascii="Segoe UI" w:hAnsi="Segoe UI" w:cs="Segoe UI"/>
        </w:rPr>
        <w:t xml:space="preserve"> Companhia e suas </w:t>
      </w:r>
      <w:r w:rsidR="00E52006">
        <w:rPr>
          <w:rFonts w:ascii="Segoe UI" w:hAnsi="Segoe UI" w:cs="Segoe UI"/>
        </w:rPr>
        <w:t>controlada</w:t>
      </w:r>
      <w:r w:rsidR="00E52006" w:rsidRPr="000757BC">
        <w:rPr>
          <w:rFonts w:ascii="Segoe UI" w:hAnsi="Segoe UI" w:cs="Segoe UI"/>
        </w:rPr>
        <w:t xml:space="preserve">s </w:t>
      </w:r>
      <w:r w:rsidR="00B53E3D" w:rsidRPr="000757BC">
        <w:rPr>
          <w:rFonts w:ascii="Segoe UI" w:hAnsi="Segoe UI" w:cs="Segoe UI"/>
        </w:rPr>
        <w:t>(membros da Diretoria Executiva, Conselho de Administração</w:t>
      </w:r>
      <w:r w:rsidRPr="000757BC">
        <w:rPr>
          <w:rFonts w:ascii="Segoe UI" w:hAnsi="Segoe UI" w:cs="Segoe UI"/>
        </w:rPr>
        <w:t>, Comitê de Auditoria</w:t>
      </w:r>
      <w:r w:rsidR="00B53E3D" w:rsidRPr="000757BC">
        <w:rPr>
          <w:rFonts w:ascii="Segoe UI" w:hAnsi="Segoe UI" w:cs="Segoe UI"/>
        </w:rPr>
        <w:t xml:space="preserve"> e Conselho Fiscal)</w:t>
      </w:r>
      <w:r w:rsidR="008B08CE">
        <w:rPr>
          <w:rFonts w:ascii="Segoe UI" w:hAnsi="Segoe UI" w:cs="Segoe UI"/>
        </w:rPr>
        <w:t xml:space="preserve"> no ano de 2022,</w:t>
      </w:r>
      <w:r w:rsidR="00B53E3D" w:rsidRPr="000757BC">
        <w:rPr>
          <w:rFonts w:ascii="Segoe UI" w:hAnsi="Segoe UI" w:cs="Segoe UI"/>
        </w:rPr>
        <w:t xml:space="preserve"> como segue:</w:t>
      </w:r>
    </w:p>
    <w:tbl>
      <w:tblPr>
        <w:tblW w:w="5000" w:type="pct"/>
        <w:tblCellMar>
          <w:left w:w="70" w:type="dxa"/>
          <w:right w:w="70" w:type="dxa"/>
        </w:tblCellMar>
        <w:tblLook w:val="04A0" w:firstRow="1" w:lastRow="0" w:firstColumn="1" w:lastColumn="0" w:noHBand="0" w:noVBand="1"/>
      </w:tblPr>
      <w:tblGrid>
        <w:gridCol w:w="6205"/>
        <w:gridCol w:w="1408"/>
        <w:gridCol w:w="182"/>
        <w:gridCol w:w="1702"/>
      </w:tblGrid>
      <w:tr w:rsidR="005212B3" w:rsidRPr="0005610E" w14:paraId="09B14875" w14:textId="77777777" w:rsidTr="008B08CE">
        <w:trPr>
          <w:trHeight w:val="240"/>
        </w:trPr>
        <w:tc>
          <w:tcPr>
            <w:tcW w:w="2986" w:type="pct"/>
            <w:tcBorders>
              <w:top w:val="nil"/>
              <w:left w:val="nil"/>
              <w:bottom w:val="nil"/>
              <w:right w:val="nil"/>
            </w:tcBorders>
            <w:shd w:val="clear" w:color="auto" w:fill="auto"/>
            <w:noWrap/>
            <w:vAlign w:val="bottom"/>
            <w:hideMark/>
          </w:tcPr>
          <w:p w14:paraId="431A3529" w14:textId="77777777" w:rsidR="0005610E" w:rsidRPr="0005610E" w:rsidRDefault="0005610E" w:rsidP="0005610E">
            <w:pPr>
              <w:spacing w:after="0" w:line="240" w:lineRule="auto"/>
              <w:rPr>
                <w:rFonts w:ascii="Times New Roman" w:eastAsia="Times New Roman" w:hAnsi="Times New Roman" w:cs="Times New Roman"/>
                <w:sz w:val="24"/>
                <w:szCs w:val="24"/>
                <w:lang w:eastAsia="pt-BR"/>
              </w:rPr>
            </w:pPr>
          </w:p>
        </w:tc>
        <w:tc>
          <w:tcPr>
            <w:tcW w:w="840" w:type="pct"/>
            <w:tcBorders>
              <w:top w:val="nil"/>
              <w:left w:val="nil"/>
              <w:bottom w:val="nil"/>
              <w:right w:val="nil"/>
            </w:tcBorders>
            <w:shd w:val="clear" w:color="000000" w:fill="1B80C4"/>
            <w:noWrap/>
            <w:vAlign w:val="bottom"/>
            <w:hideMark/>
          </w:tcPr>
          <w:p w14:paraId="5F764101"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 xml:space="preserve"> Controladora </w:t>
            </w:r>
          </w:p>
        </w:tc>
        <w:tc>
          <w:tcPr>
            <w:tcW w:w="160" w:type="pct"/>
            <w:tcBorders>
              <w:top w:val="nil"/>
              <w:left w:val="nil"/>
              <w:bottom w:val="nil"/>
              <w:right w:val="nil"/>
            </w:tcBorders>
            <w:shd w:val="clear" w:color="000000" w:fill="1B80C4"/>
            <w:noWrap/>
            <w:vAlign w:val="bottom"/>
            <w:hideMark/>
          </w:tcPr>
          <w:p w14:paraId="56A8BEC5"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 </w:t>
            </w:r>
          </w:p>
        </w:tc>
        <w:tc>
          <w:tcPr>
            <w:tcW w:w="1013" w:type="pct"/>
            <w:tcBorders>
              <w:top w:val="nil"/>
              <w:left w:val="nil"/>
              <w:bottom w:val="nil"/>
              <w:right w:val="nil"/>
            </w:tcBorders>
            <w:shd w:val="clear" w:color="000000" w:fill="1B80C4"/>
            <w:noWrap/>
            <w:vAlign w:val="bottom"/>
            <w:hideMark/>
          </w:tcPr>
          <w:p w14:paraId="254CADB9"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 xml:space="preserve"> Consolidado </w:t>
            </w:r>
          </w:p>
        </w:tc>
      </w:tr>
      <w:tr w:rsidR="005212B3" w:rsidRPr="0005610E" w14:paraId="1F446C75" w14:textId="77777777" w:rsidTr="008B08CE">
        <w:trPr>
          <w:trHeight w:val="240"/>
        </w:trPr>
        <w:tc>
          <w:tcPr>
            <w:tcW w:w="2986" w:type="pct"/>
            <w:tcBorders>
              <w:top w:val="nil"/>
              <w:left w:val="nil"/>
              <w:bottom w:val="nil"/>
              <w:right w:val="nil"/>
            </w:tcBorders>
            <w:shd w:val="clear" w:color="auto" w:fill="auto"/>
            <w:noWrap/>
            <w:vAlign w:val="center"/>
            <w:hideMark/>
          </w:tcPr>
          <w:p w14:paraId="71357775"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p>
        </w:tc>
        <w:tc>
          <w:tcPr>
            <w:tcW w:w="840" w:type="pct"/>
            <w:tcBorders>
              <w:left w:val="nil"/>
              <w:right w:val="nil"/>
            </w:tcBorders>
            <w:shd w:val="clear" w:color="000000" w:fill="1B80C4"/>
            <w:noWrap/>
            <w:vAlign w:val="center"/>
            <w:hideMark/>
          </w:tcPr>
          <w:p w14:paraId="2B34C43B"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31/12/2022</w:t>
            </w:r>
          </w:p>
        </w:tc>
        <w:tc>
          <w:tcPr>
            <w:tcW w:w="160" w:type="pct"/>
            <w:tcBorders>
              <w:left w:val="nil"/>
              <w:right w:val="nil"/>
            </w:tcBorders>
            <w:shd w:val="clear" w:color="000000" w:fill="1B80C4"/>
            <w:noWrap/>
            <w:vAlign w:val="center"/>
            <w:hideMark/>
          </w:tcPr>
          <w:p w14:paraId="2258E7AC"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 </w:t>
            </w:r>
          </w:p>
        </w:tc>
        <w:tc>
          <w:tcPr>
            <w:tcW w:w="1013" w:type="pct"/>
            <w:tcBorders>
              <w:left w:val="nil"/>
              <w:right w:val="nil"/>
            </w:tcBorders>
            <w:shd w:val="clear" w:color="000000" w:fill="1B80C4"/>
            <w:noWrap/>
            <w:vAlign w:val="center"/>
            <w:hideMark/>
          </w:tcPr>
          <w:p w14:paraId="24EC7B57" w14:textId="77777777" w:rsidR="0005610E" w:rsidRPr="0005610E" w:rsidRDefault="0005610E" w:rsidP="0005610E">
            <w:pPr>
              <w:spacing w:after="0" w:line="240" w:lineRule="auto"/>
              <w:jc w:val="center"/>
              <w:rPr>
                <w:rFonts w:ascii="Segoe UI" w:eastAsia="Times New Roman" w:hAnsi="Segoe UI" w:cs="Segoe UI"/>
                <w:b/>
                <w:bCs/>
                <w:color w:val="FFFFFF"/>
                <w:sz w:val="18"/>
                <w:szCs w:val="18"/>
                <w:lang w:eastAsia="pt-BR"/>
              </w:rPr>
            </w:pPr>
            <w:r w:rsidRPr="0005610E">
              <w:rPr>
                <w:rFonts w:ascii="Segoe UI" w:eastAsia="Times New Roman" w:hAnsi="Segoe UI" w:cs="Segoe UI"/>
                <w:b/>
                <w:bCs/>
                <w:color w:val="FFFFFF"/>
                <w:sz w:val="18"/>
                <w:szCs w:val="18"/>
                <w:lang w:eastAsia="pt-BR"/>
              </w:rPr>
              <w:t>31/12/2022</w:t>
            </w:r>
          </w:p>
        </w:tc>
      </w:tr>
      <w:tr w:rsidR="005212B3" w:rsidRPr="0005610E" w14:paraId="1BA36712" w14:textId="77777777" w:rsidTr="008B08CE">
        <w:trPr>
          <w:trHeight w:val="255"/>
        </w:trPr>
        <w:tc>
          <w:tcPr>
            <w:tcW w:w="2986" w:type="pct"/>
            <w:tcBorders>
              <w:top w:val="nil"/>
              <w:left w:val="nil"/>
              <w:bottom w:val="nil"/>
              <w:right w:val="nil"/>
            </w:tcBorders>
            <w:shd w:val="clear" w:color="auto" w:fill="auto"/>
            <w:noWrap/>
            <w:vAlign w:val="bottom"/>
            <w:hideMark/>
          </w:tcPr>
          <w:p w14:paraId="1F0192A8" w14:textId="06F33BE6" w:rsidR="0005610E" w:rsidRPr="0005610E" w:rsidRDefault="0005610E" w:rsidP="0005610E">
            <w:pPr>
              <w:spacing w:after="0" w:line="240" w:lineRule="auto"/>
              <w:rPr>
                <w:rFonts w:ascii="Segoe UI" w:eastAsia="Times New Roman" w:hAnsi="Segoe UI" w:cs="Segoe UI"/>
                <w:color w:val="000000"/>
                <w:sz w:val="18"/>
                <w:szCs w:val="18"/>
                <w:lang w:eastAsia="pt-BR"/>
              </w:rPr>
            </w:pPr>
            <w:r w:rsidRPr="0005610E">
              <w:rPr>
                <w:rFonts w:ascii="Segoe UI" w:eastAsia="Times New Roman" w:hAnsi="Segoe UI" w:cs="Segoe UI"/>
                <w:color w:val="000000"/>
                <w:sz w:val="18"/>
                <w:szCs w:val="18"/>
                <w:lang w:eastAsia="pt-BR"/>
              </w:rPr>
              <w:t xml:space="preserve">Remunerações e benefícios </w:t>
            </w:r>
            <w:r>
              <w:rPr>
                <w:rFonts w:ascii="Segoe UI" w:eastAsia="Times New Roman" w:hAnsi="Segoe UI" w:cs="Segoe UI"/>
                <w:color w:val="000000"/>
                <w:sz w:val="18"/>
                <w:szCs w:val="18"/>
                <w:lang w:eastAsia="pt-BR"/>
              </w:rPr>
              <w:t xml:space="preserve">de </w:t>
            </w:r>
            <w:r w:rsidRPr="0005610E">
              <w:rPr>
                <w:rFonts w:ascii="Segoe UI" w:eastAsia="Times New Roman" w:hAnsi="Segoe UI" w:cs="Segoe UI"/>
                <w:color w:val="000000"/>
                <w:sz w:val="18"/>
                <w:szCs w:val="18"/>
                <w:lang w:eastAsia="pt-BR"/>
              </w:rPr>
              <w:t>curto prazo Diretoria, Conselheiros e membros dos Comitês</w:t>
            </w:r>
          </w:p>
        </w:tc>
        <w:tc>
          <w:tcPr>
            <w:tcW w:w="840" w:type="pct"/>
            <w:tcBorders>
              <w:left w:val="nil"/>
              <w:bottom w:val="double" w:sz="6" w:space="0" w:color="1B80C4"/>
              <w:right w:val="nil"/>
            </w:tcBorders>
            <w:shd w:val="clear" w:color="auto" w:fill="auto"/>
            <w:noWrap/>
            <w:vAlign w:val="center"/>
            <w:hideMark/>
          </w:tcPr>
          <w:p w14:paraId="1A63FBD1" w14:textId="77777777" w:rsidR="0005610E" w:rsidRPr="0005610E" w:rsidRDefault="0005610E" w:rsidP="0005610E">
            <w:pPr>
              <w:spacing w:after="0" w:line="240" w:lineRule="auto"/>
              <w:jc w:val="right"/>
              <w:rPr>
                <w:rFonts w:ascii="Segoe UI" w:eastAsia="Times New Roman" w:hAnsi="Segoe UI" w:cs="Segoe UI"/>
                <w:b/>
                <w:bCs/>
                <w:color w:val="000000"/>
                <w:sz w:val="18"/>
                <w:szCs w:val="18"/>
                <w:lang w:eastAsia="pt-BR"/>
              </w:rPr>
            </w:pPr>
            <w:r w:rsidRPr="0005610E">
              <w:rPr>
                <w:rFonts w:ascii="Segoe UI" w:eastAsia="Times New Roman" w:hAnsi="Segoe UI" w:cs="Segoe UI"/>
                <w:b/>
                <w:bCs/>
                <w:color w:val="000000"/>
                <w:sz w:val="18"/>
                <w:szCs w:val="18"/>
                <w:lang w:eastAsia="pt-BR"/>
              </w:rPr>
              <w:t xml:space="preserve">                     3.133 </w:t>
            </w:r>
          </w:p>
        </w:tc>
        <w:tc>
          <w:tcPr>
            <w:tcW w:w="160" w:type="pct"/>
            <w:tcBorders>
              <w:left w:val="nil"/>
              <w:bottom w:val="nil"/>
              <w:right w:val="nil"/>
            </w:tcBorders>
            <w:shd w:val="clear" w:color="auto" w:fill="auto"/>
            <w:noWrap/>
            <w:vAlign w:val="bottom"/>
            <w:hideMark/>
          </w:tcPr>
          <w:p w14:paraId="08C05107" w14:textId="77777777" w:rsidR="0005610E" w:rsidRPr="0005610E" w:rsidRDefault="0005610E" w:rsidP="0005610E">
            <w:pPr>
              <w:spacing w:after="0" w:line="240" w:lineRule="auto"/>
              <w:jc w:val="right"/>
              <w:rPr>
                <w:rFonts w:ascii="Segoe UI" w:eastAsia="Times New Roman" w:hAnsi="Segoe UI" w:cs="Segoe UI"/>
                <w:b/>
                <w:bCs/>
                <w:color w:val="000000"/>
                <w:sz w:val="18"/>
                <w:szCs w:val="18"/>
                <w:lang w:eastAsia="pt-BR"/>
              </w:rPr>
            </w:pPr>
          </w:p>
        </w:tc>
        <w:tc>
          <w:tcPr>
            <w:tcW w:w="1013" w:type="pct"/>
            <w:tcBorders>
              <w:left w:val="nil"/>
              <w:bottom w:val="double" w:sz="6" w:space="0" w:color="1B80C4"/>
              <w:right w:val="nil"/>
            </w:tcBorders>
            <w:shd w:val="clear" w:color="auto" w:fill="auto"/>
            <w:noWrap/>
            <w:vAlign w:val="center"/>
            <w:hideMark/>
          </w:tcPr>
          <w:p w14:paraId="4458BEFA" w14:textId="77777777" w:rsidR="0005610E" w:rsidRPr="0005610E" w:rsidRDefault="0005610E" w:rsidP="0005610E">
            <w:pPr>
              <w:spacing w:after="0" w:line="240" w:lineRule="auto"/>
              <w:jc w:val="right"/>
              <w:rPr>
                <w:rFonts w:ascii="Segoe UI" w:eastAsia="Times New Roman" w:hAnsi="Segoe UI" w:cs="Segoe UI"/>
                <w:b/>
                <w:bCs/>
                <w:color w:val="000000"/>
                <w:sz w:val="18"/>
                <w:szCs w:val="18"/>
                <w:lang w:eastAsia="pt-BR"/>
              </w:rPr>
            </w:pPr>
            <w:r w:rsidRPr="0005610E">
              <w:rPr>
                <w:rFonts w:ascii="Segoe UI" w:eastAsia="Times New Roman" w:hAnsi="Segoe UI" w:cs="Segoe UI"/>
                <w:b/>
                <w:bCs/>
                <w:color w:val="000000"/>
                <w:sz w:val="18"/>
                <w:szCs w:val="18"/>
                <w:lang w:eastAsia="pt-BR"/>
              </w:rPr>
              <w:t xml:space="preserve">                            9.339 </w:t>
            </w:r>
          </w:p>
        </w:tc>
      </w:tr>
    </w:tbl>
    <w:p w14:paraId="3BD726A5" w14:textId="43B01962" w:rsidR="003B2937" w:rsidRDefault="003B2937" w:rsidP="004A1E74">
      <w:pPr>
        <w:jc w:val="both"/>
        <w:rPr>
          <w:rFonts w:ascii="Segoe UI" w:hAnsi="Segoe UI" w:cs="Segoe UI"/>
          <w:noProof/>
          <w:lang w:eastAsia="pt-BR"/>
        </w:rPr>
      </w:pPr>
    </w:p>
    <w:p w14:paraId="54A947D8" w14:textId="561FFCD7" w:rsidR="0005610E" w:rsidRPr="000757BC" w:rsidRDefault="002C5DD7" w:rsidP="0005610E">
      <w:pPr>
        <w:spacing w:before="240"/>
        <w:jc w:val="both"/>
        <w:rPr>
          <w:rFonts w:ascii="Segoe UI" w:hAnsi="Segoe UI" w:cs="Segoe UI"/>
          <w:b/>
          <w:color w:val="0070C0"/>
        </w:rPr>
      </w:pPr>
      <w:r>
        <w:rPr>
          <w:rFonts w:ascii="Segoe UI" w:hAnsi="Segoe UI" w:cs="Segoe UI"/>
          <w:b/>
          <w:color w:val="0070C0"/>
        </w:rPr>
        <w:t xml:space="preserve">32.3 - </w:t>
      </w:r>
      <w:r w:rsidR="00DF48DA" w:rsidRPr="00DF48DA">
        <w:rPr>
          <w:rFonts w:ascii="Segoe UI" w:hAnsi="Segoe UI" w:cs="Segoe UI"/>
          <w:b/>
          <w:color w:val="0070C0"/>
        </w:rPr>
        <w:t>Relação entre a Maior e a Menor Remuneração</w:t>
      </w:r>
    </w:p>
    <w:tbl>
      <w:tblPr>
        <w:tblW w:w="5000" w:type="pct"/>
        <w:tblCellMar>
          <w:left w:w="70" w:type="dxa"/>
          <w:right w:w="70" w:type="dxa"/>
        </w:tblCellMar>
        <w:tblLook w:val="04A0" w:firstRow="1" w:lastRow="0" w:firstColumn="1" w:lastColumn="0" w:noHBand="0" w:noVBand="1"/>
      </w:tblPr>
      <w:tblGrid>
        <w:gridCol w:w="5379"/>
        <w:gridCol w:w="1690"/>
        <w:gridCol w:w="194"/>
        <w:gridCol w:w="194"/>
        <w:gridCol w:w="2040"/>
      </w:tblGrid>
      <w:tr w:rsidR="005212B3" w:rsidRPr="002C5DD7" w14:paraId="59E24C5C" w14:textId="77777777" w:rsidTr="008B08CE">
        <w:trPr>
          <w:trHeight w:val="215"/>
        </w:trPr>
        <w:tc>
          <w:tcPr>
            <w:tcW w:w="2832" w:type="pct"/>
            <w:tcBorders>
              <w:top w:val="nil"/>
              <w:left w:val="nil"/>
              <w:bottom w:val="nil"/>
              <w:right w:val="nil"/>
            </w:tcBorders>
            <w:shd w:val="clear" w:color="auto" w:fill="auto"/>
            <w:noWrap/>
            <w:vAlign w:val="bottom"/>
            <w:hideMark/>
          </w:tcPr>
          <w:p w14:paraId="4E2D159B" w14:textId="77777777" w:rsidR="002C5DD7" w:rsidRPr="002C5DD7" w:rsidRDefault="002C5DD7" w:rsidP="002C5DD7">
            <w:pPr>
              <w:spacing w:after="0" w:line="240" w:lineRule="auto"/>
              <w:rPr>
                <w:rFonts w:ascii="Times New Roman" w:eastAsia="Times New Roman" w:hAnsi="Times New Roman" w:cs="Times New Roman"/>
                <w:sz w:val="24"/>
                <w:szCs w:val="24"/>
                <w:lang w:eastAsia="pt-BR"/>
              </w:rPr>
            </w:pPr>
          </w:p>
        </w:tc>
        <w:tc>
          <w:tcPr>
            <w:tcW w:w="890" w:type="pct"/>
            <w:tcBorders>
              <w:top w:val="nil"/>
              <w:left w:val="nil"/>
              <w:bottom w:val="nil"/>
              <w:right w:val="nil"/>
            </w:tcBorders>
            <w:shd w:val="clear" w:color="000000" w:fill="1B80C4"/>
            <w:noWrap/>
            <w:vAlign w:val="bottom"/>
            <w:hideMark/>
          </w:tcPr>
          <w:p w14:paraId="32A2BCCB"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 xml:space="preserve"> Controladora </w:t>
            </w:r>
          </w:p>
        </w:tc>
        <w:tc>
          <w:tcPr>
            <w:tcW w:w="102" w:type="pct"/>
            <w:tcBorders>
              <w:top w:val="nil"/>
              <w:left w:val="nil"/>
              <w:bottom w:val="nil"/>
              <w:right w:val="nil"/>
            </w:tcBorders>
            <w:shd w:val="clear" w:color="000000" w:fill="1B80C4"/>
            <w:noWrap/>
            <w:vAlign w:val="bottom"/>
            <w:hideMark/>
          </w:tcPr>
          <w:p w14:paraId="28317749"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 </w:t>
            </w:r>
          </w:p>
        </w:tc>
        <w:tc>
          <w:tcPr>
            <w:tcW w:w="102" w:type="pct"/>
            <w:tcBorders>
              <w:top w:val="nil"/>
              <w:left w:val="nil"/>
              <w:bottom w:val="nil"/>
              <w:right w:val="nil"/>
            </w:tcBorders>
            <w:shd w:val="clear" w:color="000000" w:fill="1B80C4"/>
            <w:noWrap/>
            <w:vAlign w:val="bottom"/>
            <w:hideMark/>
          </w:tcPr>
          <w:p w14:paraId="0CBA0690"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 </w:t>
            </w:r>
          </w:p>
        </w:tc>
        <w:tc>
          <w:tcPr>
            <w:tcW w:w="1074" w:type="pct"/>
            <w:tcBorders>
              <w:top w:val="nil"/>
              <w:left w:val="nil"/>
              <w:bottom w:val="nil"/>
              <w:right w:val="nil"/>
            </w:tcBorders>
            <w:shd w:val="clear" w:color="000000" w:fill="1B80C4"/>
            <w:noWrap/>
            <w:vAlign w:val="bottom"/>
            <w:hideMark/>
          </w:tcPr>
          <w:p w14:paraId="579A6A06"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 xml:space="preserve"> Consolidado </w:t>
            </w:r>
          </w:p>
        </w:tc>
      </w:tr>
      <w:tr w:rsidR="005212B3" w:rsidRPr="002C5DD7" w14:paraId="6A58200C" w14:textId="77777777" w:rsidTr="008B08CE">
        <w:trPr>
          <w:trHeight w:val="215"/>
        </w:trPr>
        <w:tc>
          <w:tcPr>
            <w:tcW w:w="2832" w:type="pct"/>
            <w:tcBorders>
              <w:top w:val="nil"/>
              <w:left w:val="nil"/>
              <w:bottom w:val="nil"/>
              <w:right w:val="nil"/>
            </w:tcBorders>
            <w:shd w:val="clear" w:color="auto" w:fill="auto"/>
            <w:noWrap/>
            <w:vAlign w:val="center"/>
            <w:hideMark/>
          </w:tcPr>
          <w:p w14:paraId="599839A4"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p>
        </w:tc>
        <w:tc>
          <w:tcPr>
            <w:tcW w:w="890" w:type="pct"/>
            <w:tcBorders>
              <w:top w:val="single" w:sz="4" w:space="0" w:color="FFFFFF"/>
              <w:left w:val="nil"/>
              <w:bottom w:val="single" w:sz="4" w:space="0" w:color="FFFFFF"/>
              <w:right w:val="nil"/>
            </w:tcBorders>
            <w:shd w:val="clear" w:color="000000" w:fill="1B80C4"/>
            <w:noWrap/>
            <w:vAlign w:val="center"/>
            <w:hideMark/>
          </w:tcPr>
          <w:p w14:paraId="3FE828B6"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31/12/2022</w:t>
            </w:r>
          </w:p>
        </w:tc>
        <w:tc>
          <w:tcPr>
            <w:tcW w:w="102" w:type="pct"/>
            <w:tcBorders>
              <w:top w:val="single" w:sz="4" w:space="0" w:color="FFFFFF"/>
              <w:left w:val="nil"/>
              <w:bottom w:val="single" w:sz="4" w:space="0" w:color="FFFFFF"/>
              <w:right w:val="nil"/>
            </w:tcBorders>
            <w:shd w:val="clear" w:color="000000" w:fill="1B80C4"/>
            <w:noWrap/>
            <w:vAlign w:val="center"/>
            <w:hideMark/>
          </w:tcPr>
          <w:p w14:paraId="486EA9AE"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 </w:t>
            </w:r>
          </w:p>
        </w:tc>
        <w:tc>
          <w:tcPr>
            <w:tcW w:w="102" w:type="pct"/>
            <w:tcBorders>
              <w:top w:val="nil"/>
              <w:left w:val="nil"/>
              <w:bottom w:val="nil"/>
              <w:right w:val="nil"/>
            </w:tcBorders>
            <w:shd w:val="clear" w:color="000000" w:fill="1B80C4"/>
            <w:noWrap/>
            <w:vAlign w:val="bottom"/>
            <w:hideMark/>
          </w:tcPr>
          <w:p w14:paraId="587050B3"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 </w:t>
            </w:r>
          </w:p>
        </w:tc>
        <w:tc>
          <w:tcPr>
            <w:tcW w:w="1074" w:type="pct"/>
            <w:tcBorders>
              <w:top w:val="single" w:sz="4" w:space="0" w:color="FFFFFF"/>
              <w:left w:val="nil"/>
              <w:bottom w:val="single" w:sz="4" w:space="0" w:color="FFFFFF"/>
              <w:right w:val="nil"/>
            </w:tcBorders>
            <w:shd w:val="clear" w:color="000000" w:fill="1B80C4"/>
            <w:noWrap/>
            <w:vAlign w:val="center"/>
            <w:hideMark/>
          </w:tcPr>
          <w:p w14:paraId="67D4D0B8" w14:textId="77777777" w:rsidR="002C5DD7" w:rsidRPr="002C5DD7" w:rsidRDefault="002C5DD7" w:rsidP="002C5DD7">
            <w:pPr>
              <w:spacing w:after="0" w:line="240" w:lineRule="auto"/>
              <w:jc w:val="center"/>
              <w:rPr>
                <w:rFonts w:ascii="Segoe UI" w:eastAsia="Times New Roman" w:hAnsi="Segoe UI" w:cs="Segoe UI"/>
                <w:b/>
                <w:bCs/>
                <w:color w:val="FFFFFF"/>
                <w:sz w:val="18"/>
                <w:szCs w:val="18"/>
                <w:lang w:eastAsia="pt-BR"/>
              </w:rPr>
            </w:pPr>
            <w:r w:rsidRPr="002C5DD7">
              <w:rPr>
                <w:rFonts w:ascii="Segoe UI" w:eastAsia="Times New Roman" w:hAnsi="Segoe UI" w:cs="Segoe UI"/>
                <w:b/>
                <w:bCs/>
                <w:color w:val="FFFFFF"/>
                <w:sz w:val="18"/>
                <w:szCs w:val="18"/>
                <w:lang w:eastAsia="pt-BR"/>
              </w:rPr>
              <w:t>31/12/2022</w:t>
            </w:r>
          </w:p>
        </w:tc>
      </w:tr>
      <w:tr w:rsidR="002C5DD7" w:rsidRPr="002C5DD7" w14:paraId="34E62E3D" w14:textId="77777777" w:rsidTr="00482C5E">
        <w:trPr>
          <w:trHeight w:val="215"/>
        </w:trPr>
        <w:tc>
          <w:tcPr>
            <w:tcW w:w="2832" w:type="pct"/>
            <w:tcBorders>
              <w:top w:val="nil"/>
              <w:left w:val="nil"/>
              <w:bottom w:val="nil"/>
              <w:right w:val="nil"/>
            </w:tcBorders>
            <w:shd w:val="clear" w:color="auto" w:fill="auto"/>
            <w:noWrap/>
            <w:vAlign w:val="center"/>
            <w:hideMark/>
          </w:tcPr>
          <w:p w14:paraId="51D25A34" w14:textId="77777777" w:rsidR="002C5DD7" w:rsidRPr="002C5DD7" w:rsidRDefault="002C5DD7" w:rsidP="002C5DD7">
            <w:pPr>
              <w:spacing w:after="0" w:line="240" w:lineRule="auto"/>
              <w:rPr>
                <w:rFonts w:ascii="Segoe UI" w:eastAsia="Times New Roman" w:hAnsi="Segoe UI" w:cs="Segoe UI"/>
                <w:b/>
                <w:bCs/>
                <w:color w:val="000000"/>
                <w:sz w:val="18"/>
                <w:szCs w:val="18"/>
                <w:lang w:eastAsia="pt-BR"/>
              </w:rPr>
            </w:pPr>
            <w:r w:rsidRPr="002C5DD7">
              <w:rPr>
                <w:rFonts w:ascii="Segoe UI" w:eastAsia="Times New Roman" w:hAnsi="Segoe UI" w:cs="Segoe UI"/>
                <w:b/>
                <w:bCs/>
                <w:color w:val="000000"/>
                <w:sz w:val="18"/>
                <w:szCs w:val="18"/>
                <w:lang w:eastAsia="pt-BR"/>
              </w:rPr>
              <w:t>Remuneração de dirigentes</w:t>
            </w:r>
          </w:p>
        </w:tc>
        <w:tc>
          <w:tcPr>
            <w:tcW w:w="890" w:type="pct"/>
            <w:tcBorders>
              <w:top w:val="nil"/>
              <w:left w:val="nil"/>
              <w:bottom w:val="nil"/>
              <w:right w:val="nil"/>
            </w:tcBorders>
            <w:shd w:val="clear" w:color="auto" w:fill="auto"/>
            <w:noWrap/>
            <w:vAlign w:val="center"/>
            <w:hideMark/>
          </w:tcPr>
          <w:p w14:paraId="0DDB61AC" w14:textId="77777777" w:rsidR="002C5DD7" w:rsidRPr="002C5DD7" w:rsidRDefault="002C5DD7" w:rsidP="002C5DD7">
            <w:pPr>
              <w:spacing w:after="0" w:line="240" w:lineRule="auto"/>
              <w:rPr>
                <w:rFonts w:ascii="Segoe UI" w:eastAsia="Times New Roman" w:hAnsi="Segoe UI" w:cs="Segoe UI"/>
                <w:b/>
                <w:bCs/>
                <w:color w:val="000000"/>
                <w:sz w:val="18"/>
                <w:szCs w:val="18"/>
                <w:lang w:eastAsia="pt-BR"/>
              </w:rPr>
            </w:pPr>
          </w:p>
        </w:tc>
        <w:tc>
          <w:tcPr>
            <w:tcW w:w="102" w:type="pct"/>
            <w:tcBorders>
              <w:top w:val="nil"/>
              <w:left w:val="nil"/>
              <w:bottom w:val="nil"/>
              <w:right w:val="nil"/>
            </w:tcBorders>
            <w:shd w:val="clear" w:color="auto" w:fill="auto"/>
            <w:noWrap/>
            <w:vAlign w:val="center"/>
            <w:hideMark/>
          </w:tcPr>
          <w:p w14:paraId="343EC2BA" w14:textId="77777777" w:rsidR="002C5DD7" w:rsidRPr="002C5DD7" w:rsidRDefault="002C5DD7" w:rsidP="002C5DD7">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66C118BC" w14:textId="77777777" w:rsidR="002C5DD7" w:rsidRPr="002C5DD7" w:rsidRDefault="002C5DD7" w:rsidP="002C5DD7">
            <w:pPr>
              <w:spacing w:after="0" w:line="240" w:lineRule="auto"/>
              <w:jc w:val="right"/>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18DEC2DC"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r>
      <w:tr w:rsidR="002C5DD7" w:rsidRPr="002C5DD7" w14:paraId="4CFCE9EF" w14:textId="77777777" w:rsidTr="00482C5E">
        <w:trPr>
          <w:trHeight w:val="215"/>
        </w:trPr>
        <w:tc>
          <w:tcPr>
            <w:tcW w:w="2832" w:type="pct"/>
            <w:tcBorders>
              <w:top w:val="nil"/>
              <w:left w:val="nil"/>
              <w:bottom w:val="nil"/>
              <w:right w:val="nil"/>
            </w:tcBorders>
            <w:shd w:val="clear" w:color="auto" w:fill="auto"/>
            <w:noWrap/>
            <w:vAlign w:val="bottom"/>
            <w:hideMark/>
          </w:tcPr>
          <w:p w14:paraId="7D88BC76" w14:textId="77777777" w:rsidR="002C5DD7" w:rsidRPr="002C5DD7" w:rsidRDefault="002C5DD7" w:rsidP="002C5DD7">
            <w:pPr>
              <w:spacing w:after="0" w:line="240" w:lineRule="auto"/>
              <w:ind w:firstLineChars="100" w:firstLine="180"/>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Maior remuneração de administradores</w:t>
            </w:r>
          </w:p>
        </w:tc>
        <w:tc>
          <w:tcPr>
            <w:tcW w:w="890" w:type="pct"/>
            <w:tcBorders>
              <w:top w:val="nil"/>
              <w:left w:val="nil"/>
              <w:bottom w:val="nil"/>
              <w:right w:val="nil"/>
            </w:tcBorders>
            <w:shd w:val="clear" w:color="auto" w:fill="auto"/>
            <w:noWrap/>
            <w:vAlign w:val="bottom"/>
            <w:hideMark/>
          </w:tcPr>
          <w:p w14:paraId="01B30710"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40 </w:t>
            </w:r>
          </w:p>
        </w:tc>
        <w:tc>
          <w:tcPr>
            <w:tcW w:w="102" w:type="pct"/>
            <w:tcBorders>
              <w:top w:val="nil"/>
              <w:left w:val="nil"/>
              <w:bottom w:val="nil"/>
              <w:right w:val="nil"/>
            </w:tcBorders>
            <w:shd w:val="clear" w:color="auto" w:fill="auto"/>
            <w:noWrap/>
            <w:vAlign w:val="center"/>
            <w:hideMark/>
          </w:tcPr>
          <w:p w14:paraId="4C229E98"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672B0662"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78A0D449"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156 </w:t>
            </w:r>
          </w:p>
        </w:tc>
      </w:tr>
      <w:tr w:rsidR="002C5DD7" w:rsidRPr="002C5DD7" w14:paraId="54346AFA" w14:textId="77777777" w:rsidTr="00482C5E">
        <w:trPr>
          <w:trHeight w:val="215"/>
        </w:trPr>
        <w:tc>
          <w:tcPr>
            <w:tcW w:w="2832" w:type="pct"/>
            <w:tcBorders>
              <w:top w:val="nil"/>
              <w:left w:val="nil"/>
              <w:bottom w:val="nil"/>
              <w:right w:val="nil"/>
            </w:tcBorders>
            <w:shd w:val="clear" w:color="auto" w:fill="auto"/>
            <w:noWrap/>
            <w:vAlign w:val="bottom"/>
            <w:hideMark/>
          </w:tcPr>
          <w:p w14:paraId="1DA74194" w14:textId="77777777" w:rsidR="002C5DD7" w:rsidRPr="002C5DD7" w:rsidRDefault="002C5DD7" w:rsidP="002C5DD7">
            <w:pPr>
              <w:spacing w:after="0" w:line="240" w:lineRule="auto"/>
              <w:ind w:firstLineChars="100" w:firstLine="180"/>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Menor remuneração de administradores</w:t>
            </w:r>
          </w:p>
        </w:tc>
        <w:tc>
          <w:tcPr>
            <w:tcW w:w="890" w:type="pct"/>
            <w:tcBorders>
              <w:top w:val="nil"/>
              <w:left w:val="nil"/>
              <w:bottom w:val="nil"/>
              <w:right w:val="nil"/>
            </w:tcBorders>
            <w:shd w:val="clear" w:color="auto" w:fill="auto"/>
            <w:noWrap/>
            <w:vAlign w:val="bottom"/>
            <w:hideMark/>
          </w:tcPr>
          <w:p w14:paraId="348B96BE"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38 </w:t>
            </w:r>
          </w:p>
        </w:tc>
        <w:tc>
          <w:tcPr>
            <w:tcW w:w="102" w:type="pct"/>
            <w:tcBorders>
              <w:top w:val="nil"/>
              <w:left w:val="nil"/>
              <w:bottom w:val="nil"/>
              <w:right w:val="nil"/>
            </w:tcBorders>
            <w:shd w:val="clear" w:color="auto" w:fill="auto"/>
            <w:noWrap/>
            <w:vAlign w:val="bottom"/>
            <w:hideMark/>
          </w:tcPr>
          <w:p w14:paraId="6A22D7E7"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55C1B3CD"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031B951F"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63 </w:t>
            </w:r>
          </w:p>
        </w:tc>
      </w:tr>
      <w:tr w:rsidR="002C5DD7" w:rsidRPr="002C5DD7" w14:paraId="224433D6" w14:textId="77777777" w:rsidTr="00482C5E">
        <w:trPr>
          <w:trHeight w:val="215"/>
        </w:trPr>
        <w:tc>
          <w:tcPr>
            <w:tcW w:w="2832" w:type="pct"/>
            <w:tcBorders>
              <w:top w:val="nil"/>
              <w:left w:val="nil"/>
              <w:bottom w:val="nil"/>
              <w:right w:val="nil"/>
            </w:tcBorders>
            <w:shd w:val="clear" w:color="auto" w:fill="auto"/>
            <w:noWrap/>
            <w:vAlign w:val="bottom"/>
            <w:hideMark/>
          </w:tcPr>
          <w:p w14:paraId="79F8D2CF" w14:textId="77777777" w:rsidR="002C5DD7" w:rsidRPr="002C5DD7" w:rsidRDefault="002C5DD7" w:rsidP="002C5DD7">
            <w:pPr>
              <w:spacing w:after="0" w:line="240" w:lineRule="auto"/>
              <w:ind w:firstLineChars="100" w:firstLine="180"/>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Remuneração média de dirigentes</w:t>
            </w:r>
          </w:p>
        </w:tc>
        <w:tc>
          <w:tcPr>
            <w:tcW w:w="890" w:type="pct"/>
            <w:tcBorders>
              <w:top w:val="nil"/>
              <w:left w:val="nil"/>
              <w:bottom w:val="nil"/>
              <w:right w:val="nil"/>
            </w:tcBorders>
            <w:shd w:val="clear" w:color="auto" w:fill="auto"/>
            <w:noWrap/>
            <w:vAlign w:val="bottom"/>
            <w:hideMark/>
          </w:tcPr>
          <w:p w14:paraId="59BC45CF"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38 </w:t>
            </w:r>
          </w:p>
        </w:tc>
        <w:tc>
          <w:tcPr>
            <w:tcW w:w="102" w:type="pct"/>
            <w:tcBorders>
              <w:top w:val="nil"/>
              <w:left w:val="nil"/>
              <w:bottom w:val="nil"/>
              <w:right w:val="nil"/>
            </w:tcBorders>
            <w:shd w:val="clear" w:color="auto" w:fill="auto"/>
            <w:noWrap/>
            <w:vAlign w:val="bottom"/>
            <w:hideMark/>
          </w:tcPr>
          <w:p w14:paraId="26CF04B8"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6EF4DD9C"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42E6908C"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110 </w:t>
            </w:r>
          </w:p>
        </w:tc>
      </w:tr>
      <w:tr w:rsidR="002C5DD7" w:rsidRPr="002C5DD7" w14:paraId="123A60A8" w14:textId="77777777" w:rsidTr="00482C5E">
        <w:trPr>
          <w:trHeight w:val="215"/>
        </w:trPr>
        <w:tc>
          <w:tcPr>
            <w:tcW w:w="2832" w:type="pct"/>
            <w:tcBorders>
              <w:top w:val="nil"/>
              <w:left w:val="nil"/>
              <w:bottom w:val="nil"/>
              <w:right w:val="nil"/>
            </w:tcBorders>
            <w:shd w:val="clear" w:color="auto" w:fill="auto"/>
            <w:noWrap/>
            <w:vAlign w:val="bottom"/>
            <w:hideMark/>
          </w:tcPr>
          <w:p w14:paraId="2D855E94"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p>
        </w:tc>
        <w:tc>
          <w:tcPr>
            <w:tcW w:w="890" w:type="pct"/>
            <w:tcBorders>
              <w:top w:val="nil"/>
              <w:left w:val="nil"/>
              <w:bottom w:val="nil"/>
              <w:right w:val="nil"/>
            </w:tcBorders>
            <w:shd w:val="clear" w:color="auto" w:fill="auto"/>
            <w:noWrap/>
            <w:vAlign w:val="bottom"/>
            <w:hideMark/>
          </w:tcPr>
          <w:p w14:paraId="708A1254" w14:textId="77777777" w:rsidR="002C5DD7" w:rsidRPr="002C5DD7" w:rsidRDefault="002C5DD7" w:rsidP="002C5DD7">
            <w:pPr>
              <w:spacing w:after="0" w:line="240" w:lineRule="auto"/>
              <w:ind w:firstLineChars="100" w:firstLine="200"/>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7BEE140D"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77843A85"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26C5EDA3"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r>
      <w:tr w:rsidR="002C5DD7" w:rsidRPr="002C5DD7" w14:paraId="497DCAD9" w14:textId="77777777" w:rsidTr="00482C5E">
        <w:trPr>
          <w:trHeight w:val="229"/>
        </w:trPr>
        <w:tc>
          <w:tcPr>
            <w:tcW w:w="2832" w:type="pct"/>
            <w:tcBorders>
              <w:top w:val="nil"/>
              <w:left w:val="nil"/>
              <w:bottom w:val="nil"/>
              <w:right w:val="nil"/>
            </w:tcBorders>
            <w:shd w:val="clear" w:color="auto" w:fill="auto"/>
            <w:noWrap/>
            <w:vAlign w:val="center"/>
            <w:hideMark/>
          </w:tcPr>
          <w:p w14:paraId="649AC9B9" w14:textId="77777777" w:rsidR="002C5DD7" w:rsidRPr="002C5DD7" w:rsidRDefault="002C5DD7" w:rsidP="002C5DD7">
            <w:pPr>
              <w:spacing w:after="0" w:line="240" w:lineRule="auto"/>
              <w:rPr>
                <w:rFonts w:ascii="Segoe UI" w:eastAsia="Times New Roman" w:hAnsi="Segoe UI" w:cs="Segoe UI"/>
                <w:b/>
                <w:bCs/>
                <w:color w:val="000000"/>
                <w:sz w:val="18"/>
                <w:szCs w:val="18"/>
                <w:lang w:eastAsia="pt-BR"/>
              </w:rPr>
            </w:pPr>
            <w:r w:rsidRPr="002C5DD7">
              <w:rPr>
                <w:rFonts w:ascii="Segoe UI" w:eastAsia="Times New Roman" w:hAnsi="Segoe UI" w:cs="Segoe UI"/>
                <w:b/>
                <w:bCs/>
                <w:color w:val="000000"/>
                <w:sz w:val="18"/>
                <w:szCs w:val="18"/>
                <w:lang w:eastAsia="pt-BR"/>
              </w:rPr>
              <w:t>Remuneração de Empregados</w:t>
            </w:r>
          </w:p>
        </w:tc>
        <w:tc>
          <w:tcPr>
            <w:tcW w:w="890" w:type="pct"/>
            <w:tcBorders>
              <w:top w:val="nil"/>
              <w:left w:val="nil"/>
              <w:bottom w:val="nil"/>
              <w:right w:val="nil"/>
            </w:tcBorders>
            <w:shd w:val="clear" w:color="auto" w:fill="auto"/>
            <w:noWrap/>
            <w:vAlign w:val="bottom"/>
            <w:hideMark/>
          </w:tcPr>
          <w:p w14:paraId="21399CFE" w14:textId="77777777" w:rsidR="002C5DD7" w:rsidRPr="002C5DD7" w:rsidRDefault="002C5DD7" w:rsidP="002C5DD7">
            <w:pPr>
              <w:spacing w:after="0" w:line="240" w:lineRule="auto"/>
              <w:rPr>
                <w:rFonts w:ascii="Segoe UI" w:eastAsia="Times New Roman" w:hAnsi="Segoe UI" w:cs="Segoe UI"/>
                <w:b/>
                <w:bCs/>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3A488D7F"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0C691715"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36A74138"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r>
      <w:tr w:rsidR="002C5DD7" w:rsidRPr="002C5DD7" w14:paraId="1085B843" w14:textId="77777777" w:rsidTr="00482C5E">
        <w:trPr>
          <w:trHeight w:val="229"/>
        </w:trPr>
        <w:tc>
          <w:tcPr>
            <w:tcW w:w="2832" w:type="pct"/>
            <w:tcBorders>
              <w:top w:val="nil"/>
              <w:left w:val="nil"/>
              <w:bottom w:val="nil"/>
              <w:right w:val="nil"/>
            </w:tcBorders>
            <w:shd w:val="clear" w:color="auto" w:fill="auto"/>
            <w:noWrap/>
            <w:vAlign w:val="bottom"/>
            <w:hideMark/>
          </w:tcPr>
          <w:p w14:paraId="79DBC7F0" w14:textId="77777777" w:rsidR="002C5DD7" w:rsidRPr="002C5DD7" w:rsidRDefault="002C5DD7" w:rsidP="002C5DD7">
            <w:pPr>
              <w:spacing w:after="0" w:line="240" w:lineRule="auto"/>
              <w:ind w:firstLineChars="100" w:firstLine="180"/>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Maior remuneração de empregados</w:t>
            </w:r>
          </w:p>
        </w:tc>
        <w:tc>
          <w:tcPr>
            <w:tcW w:w="890" w:type="pct"/>
            <w:tcBorders>
              <w:top w:val="nil"/>
              <w:left w:val="nil"/>
              <w:bottom w:val="nil"/>
              <w:right w:val="nil"/>
            </w:tcBorders>
            <w:shd w:val="clear" w:color="auto" w:fill="auto"/>
            <w:noWrap/>
            <w:vAlign w:val="bottom"/>
            <w:hideMark/>
          </w:tcPr>
          <w:p w14:paraId="7F922B9C" w14:textId="77777777" w:rsidR="002C5DD7" w:rsidRPr="002C5DD7" w:rsidRDefault="002C5DD7" w:rsidP="002C5DD7">
            <w:pPr>
              <w:spacing w:after="0" w:line="240" w:lineRule="auto"/>
              <w:jc w:val="right"/>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29</w:t>
            </w:r>
          </w:p>
        </w:tc>
        <w:tc>
          <w:tcPr>
            <w:tcW w:w="102" w:type="pct"/>
            <w:tcBorders>
              <w:top w:val="nil"/>
              <w:left w:val="nil"/>
              <w:bottom w:val="nil"/>
              <w:right w:val="nil"/>
            </w:tcBorders>
            <w:shd w:val="clear" w:color="auto" w:fill="auto"/>
            <w:noWrap/>
            <w:vAlign w:val="bottom"/>
            <w:hideMark/>
          </w:tcPr>
          <w:p w14:paraId="259FEF64" w14:textId="77777777" w:rsidR="002C5DD7" w:rsidRPr="002C5DD7" w:rsidRDefault="002C5DD7" w:rsidP="002C5DD7">
            <w:pPr>
              <w:spacing w:after="0" w:line="240" w:lineRule="auto"/>
              <w:jc w:val="right"/>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03AFA294"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03FCB3AD"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149 </w:t>
            </w:r>
          </w:p>
        </w:tc>
      </w:tr>
      <w:tr w:rsidR="002C5DD7" w:rsidRPr="002C5DD7" w14:paraId="1E90C277" w14:textId="77777777" w:rsidTr="00482C5E">
        <w:trPr>
          <w:trHeight w:val="229"/>
        </w:trPr>
        <w:tc>
          <w:tcPr>
            <w:tcW w:w="2832" w:type="pct"/>
            <w:tcBorders>
              <w:top w:val="nil"/>
              <w:left w:val="nil"/>
              <w:bottom w:val="nil"/>
              <w:right w:val="nil"/>
            </w:tcBorders>
            <w:shd w:val="clear" w:color="auto" w:fill="auto"/>
            <w:noWrap/>
            <w:vAlign w:val="bottom"/>
            <w:hideMark/>
          </w:tcPr>
          <w:p w14:paraId="74FA8F98" w14:textId="77777777" w:rsidR="002C5DD7" w:rsidRPr="002C5DD7" w:rsidRDefault="002C5DD7" w:rsidP="002C5DD7">
            <w:pPr>
              <w:spacing w:after="0" w:line="240" w:lineRule="auto"/>
              <w:ind w:firstLineChars="100" w:firstLine="180"/>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Menor remuneração de empregados</w:t>
            </w:r>
          </w:p>
        </w:tc>
        <w:tc>
          <w:tcPr>
            <w:tcW w:w="890" w:type="pct"/>
            <w:tcBorders>
              <w:top w:val="nil"/>
              <w:left w:val="nil"/>
              <w:bottom w:val="nil"/>
              <w:right w:val="nil"/>
            </w:tcBorders>
            <w:shd w:val="clear" w:color="auto" w:fill="auto"/>
            <w:noWrap/>
            <w:vAlign w:val="bottom"/>
            <w:hideMark/>
          </w:tcPr>
          <w:p w14:paraId="4B63AF55" w14:textId="77777777" w:rsidR="002C5DD7" w:rsidRPr="002C5DD7" w:rsidRDefault="002C5DD7" w:rsidP="002C5DD7">
            <w:pPr>
              <w:spacing w:after="0" w:line="240" w:lineRule="auto"/>
              <w:jc w:val="right"/>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9</w:t>
            </w:r>
          </w:p>
        </w:tc>
        <w:tc>
          <w:tcPr>
            <w:tcW w:w="102" w:type="pct"/>
            <w:tcBorders>
              <w:top w:val="nil"/>
              <w:left w:val="nil"/>
              <w:bottom w:val="nil"/>
              <w:right w:val="nil"/>
            </w:tcBorders>
            <w:shd w:val="clear" w:color="auto" w:fill="auto"/>
            <w:noWrap/>
            <w:vAlign w:val="bottom"/>
            <w:hideMark/>
          </w:tcPr>
          <w:p w14:paraId="4A4A261F" w14:textId="77777777" w:rsidR="002C5DD7" w:rsidRPr="002C5DD7" w:rsidRDefault="002C5DD7" w:rsidP="002C5DD7">
            <w:pPr>
              <w:spacing w:after="0" w:line="240" w:lineRule="auto"/>
              <w:jc w:val="right"/>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19A54FBA"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75F04B96"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13 </w:t>
            </w:r>
          </w:p>
        </w:tc>
      </w:tr>
      <w:tr w:rsidR="002C5DD7" w:rsidRPr="002C5DD7" w14:paraId="50CB9CB3" w14:textId="77777777" w:rsidTr="00482C5E">
        <w:trPr>
          <w:trHeight w:val="229"/>
        </w:trPr>
        <w:tc>
          <w:tcPr>
            <w:tcW w:w="2832" w:type="pct"/>
            <w:tcBorders>
              <w:top w:val="nil"/>
              <w:left w:val="nil"/>
              <w:bottom w:val="nil"/>
              <w:right w:val="nil"/>
            </w:tcBorders>
            <w:shd w:val="clear" w:color="auto" w:fill="auto"/>
            <w:noWrap/>
            <w:vAlign w:val="bottom"/>
            <w:hideMark/>
          </w:tcPr>
          <w:p w14:paraId="32810435" w14:textId="77777777" w:rsidR="002C5DD7" w:rsidRPr="002C5DD7" w:rsidRDefault="002C5DD7" w:rsidP="002C5DD7">
            <w:pPr>
              <w:spacing w:after="0" w:line="240" w:lineRule="auto"/>
              <w:ind w:firstLineChars="100" w:firstLine="180"/>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Remuneração média de empregados</w:t>
            </w:r>
          </w:p>
        </w:tc>
        <w:tc>
          <w:tcPr>
            <w:tcW w:w="890" w:type="pct"/>
            <w:tcBorders>
              <w:top w:val="nil"/>
              <w:left w:val="nil"/>
              <w:bottom w:val="nil"/>
              <w:right w:val="nil"/>
            </w:tcBorders>
            <w:shd w:val="clear" w:color="auto" w:fill="auto"/>
            <w:noWrap/>
            <w:vAlign w:val="bottom"/>
            <w:hideMark/>
          </w:tcPr>
          <w:p w14:paraId="1A8B28D8" w14:textId="77777777" w:rsidR="002C5DD7" w:rsidRPr="002C5DD7" w:rsidRDefault="002C5DD7" w:rsidP="002C5DD7">
            <w:pPr>
              <w:spacing w:after="0" w:line="240" w:lineRule="auto"/>
              <w:jc w:val="right"/>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17</w:t>
            </w:r>
          </w:p>
        </w:tc>
        <w:tc>
          <w:tcPr>
            <w:tcW w:w="102" w:type="pct"/>
            <w:tcBorders>
              <w:top w:val="nil"/>
              <w:left w:val="nil"/>
              <w:bottom w:val="nil"/>
              <w:right w:val="nil"/>
            </w:tcBorders>
            <w:shd w:val="clear" w:color="auto" w:fill="auto"/>
            <w:noWrap/>
            <w:vAlign w:val="bottom"/>
            <w:hideMark/>
          </w:tcPr>
          <w:p w14:paraId="67AA93CC" w14:textId="77777777" w:rsidR="002C5DD7" w:rsidRPr="002C5DD7" w:rsidRDefault="002C5DD7" w:rsidP="002C5DD7">
            <w:pPr>
              <w:spacing w:after="0" w:line="240" w:lineRule="auto"/>
              <w:jc w:val="right"/>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15F4F532" w14:textId="77777777" w:rsidR="002C5DD7" w:rsidRPr="002C5DD7" w:rsidRDefault="002C5DD7" w:rsidP="002C5DD7">
            <w:pPr>
              <w:spacing w:after="0" w:line="240" w:lineRule="auto"/>
              <w:rPr>
                <w:rFonts w:ascii="Times New Roman" w:eastAsia="Times New Roman" w:hAnsi="Times New Roman" w:cs="Times New Roman"/>
                <w:sz w:val="20"/>
                <w:szCs w:val="20"/>
                <w:lang w:eastAsia="pt-BR"/>
              </w:rPr>
            </w:pPr>
          </w:p>
        </w:tc>
        <w:tc>
          <w:tcPr>
            <w:tcW w:w="1074" w:type="pct"/>
            <w:tcBorders>
              <w:top w:val="nil"/>
              <w:left w:val="nil"/>
              <w:bottom w:val="nil"/>
              <w:right w:val="nil"/>
            </w:tcBorders>
            <w:shd w:val="clear" w:color="auto" w:fill="auto"/>
            <w:noWrap/>
            <w:vAlign w:val="bottom"/>
            <w:hideMark/>
          </w:tcPr>
          <w:p w14:paraId="716F2AD8" w14:textId="77777777" w:rsidR="002C5DD7" w:rsidRPr="002C5DD7" w:rsidRDefault="002C5DD7" w:rsidP="002C5DD7">
            <w:pPr>
              <w:spacing w:after="0" w:line="240" w:lineRule="auto"/>
              <w:rPr>
                <w:rFonts w:ascii="Segoe UI" w:eastAsia="Times New Roman" w:hAnsi="Segoe UI" w:cs="Segoe UI"/>
                <w:color w:val="000000"/>
                <w:sz w:val="18"/>
                <w:szCs w:val="18"/>
                <w:lang w:eastAsia="pt-BR"/>
              </w:rPr>
            </w:pPr>
            <w:r w:rsidRPr="002C5DD7">
              <w:rPr>
                <w:rFonts w:ascii="Segoe UI" w:eastAsia="Times New Roman" w:hAnsi="Segoe UI" w:cs="Segoe UI"/>
                <w:color w:val="000000"/>
                <w:sz w:val="18"/>
                <w:szCs w:val="18"/>
                <w:lang w:eastAsia="pt-BR"/>
              </w:rPr>
              <w:t xml:space="preserve">                                  41 </w:t>
            </w:r>
          </w:p>
        </w:tc>
      </w:tr>
    </w:tbl>
    <w:p w14:paraId="3B29380F" w14:textId="77777777" w:rsidR="008B08CE" w:rsidRDefault="008B08CE" w:rsidP="00FB4E54">
      <w:pPr>
        <w:spacing w:before="240"/>
        <w:jc w:val="both"/>
        <w:rPr>
          <w:rFonts w:ascii="Segoe UI" w:hAnsi="Segoe UI" w:cs="Segoe UI"/>
          <w:b/>
          <w:color w:val="0070C0"/>
        </w:rPr>
      </w:pPr>
    </w:p>
    <w:p w14:paraId="75400E09" w14:textId="55DA84E5" w:rsidR="00FB4E54" w:rsidRPr="0009744B" w:rsidRDefault="00FB4E54" w:rsidP="00FB4E54">
      <w:pPr>
        <w:spacing w:before="240"/>
        <w:jc w:val="both"/>
        <w:rPr>
          <w:rFonts w:ascii="Segoe UI" w:hAnsi="Segoe UI" w:cs="Segoe UI"/>
          <w:b/>
          <w:color w:val="0070C0"/>
        </w:rPr>
      </w:pPr>
      <w:r w:rsidRPr="0009744B">
        <w:rPr>
          <w:rFonts w:ascii="Segoe UI" w:hAnsi="Segoe UI" w:cs="Segoe UI"/>
          <w:b/>
          <w:color w:val="0070C0"/>
        </w:rPr>
        <w:t xml:space="preserve">32.4 – Remuneração </w:t>
      </w:r>
      <w:r w:rsidR="008B08CE" w:rsidRPr="0009744B">
        <w:rPr>
          <w:rFonts w:ascii="Segoe UI" w:hAnsi="Segoe UI" w:cs="Segoe UI"/>
          <w:b/>
          <w:color w:val="0070C0"/>
        </w:rPr>
        <w:t>pessoal-c</w:t>
      </w:r>
      <w:r w:rsidRPr="0009744B">
        <w:rPr>
          <w:rFonts w:ascii="Segoe UI" w:hAnsi="Segoe UI" w:cs="Segoe UI"/>
          <w:b/>
          <w:color w:val="0070C0"/>
        </w:rPr>
        <w:t>edido</w:t>
      </w:r>
      <w:r w:rsidR="008B08CE" w:rsidRPr="0009744B">
        <w:rPr>
          <w:rFonts w:ascii="Segoe UI" w:hAnsi="Segoe UI" w:cs="Segoe UI"/>
          <w:b/>
          <w:color w:val="0070C0"/>
        </w:rPr>
        <w:t xml:space="preserve"> </w:t>
      </w:r>
    </w:p>
    <w:p w14:paraId="2C8D91B7" w14:textId="1F119D3E" w:rsidR="008B08CE" w:rsidRPr="000757BC" w:rsidRDefault="008B08CE" w:rsidP="00FB4E54">
      <w:pPr>
        <w:spacing w:before="240"/>
        <w:jc w:val="both"/>
        <w:rPr>
          <w:rFonts w:ascii="Segoe UI" w:hAnsi="Segoe UI" w:cs="Segoe UI"/>
          <w:b/>
          <w:color w:val="0070C0"/>
        </w:rPr>
      </w:pPr>
      <w:r w:rsidRPr="0009744B">
        <w:rPr>
          <w:rFonts w:ascii="Segoe UI" w:hAnsi="Segoe UI" w:cs="Segoe UI"/>
        </w:rPr>
        <w:t>A remuneração do pessoal cedido à Companhia no ano de 2022, como segue abaixo:</w:t>
      </w:r>
    </w:p>
    <w:tbl>
      <w:tblPr>
        <w:tblW w:w="5000" w:type="pct"/>
        <w:tblCellMar>
          <w:left w:w="70" w:type="dxa"/>
          <w:right w:w="70" w:type="dxa"/>
        </w:tblCellMar>
        <w:tblLook w:val="04A0" w:firstRow="1" w:lastRow="0" w:firstColumn="1" w:lastColumn="0" w:noHBand="0" w:noVBand="1"/>
      </w:tblPr>
      <w:tblGrid>
        <w:gridCol w:w="5446"/>
        <w:gridCol w:w="2095"/>
        <w:gridCol w:w="190"/>
        <w:gridCol w:w="1766"/>
      </w:tblGrid>
      <w:tr w:rsidR="00482C5E" w:rsidRPr="00FB4E54" w14:paraId="0E82AC97" w14:textId="77777777" w:rsidTr="00D972EC">
        <w:trPr>
          <w:trHeight w:val="240"/>
        </w:trPr>
        <w:tc>
          <w:tcPr>
            <w:tcW w:w="2867" w:type="pct"/>
            <w:tcBorders>
              <w:top w:val="nil"/>
              <w:left w:val="nil"/>
              <w:bottom w:val="nil"/>
              <w:right w:val="nil"/>
            </w:tcBorders>
            <w:shd w:val="clear" w:color="auto" w:fill="auto"/>
            <w:noWrap/>
            <w:vAlign w:val="bottom"/>
            <w:hideMark/>
          </w:tcPr>
          <w:p w14:paraId="05D8AB1B" w14:textId="77777777" w:rsidR="00482C5E" w:rsidRPr="00482C5E" w:rsidRDefault="00482C5E" w:rsidP="00482C5E">
            <w:pPr>
              <w:spacing w:after="0" w:line="240" w:lineRule="auto"/>
              <w:rPr>
                <w:rFonts w:ascii="Times New Roman" w:hAnsi="Times New Roman"/>
                <w:sz w:val="24"/>
              </w:rPr>
            </w:pPr>
          </w:p>
        </w:tc>
        <w:tc>
          <w:tcPr>
            <w:tcW w:w="2133" w:type="pct"/>
            <w:gridSpan w:val="3"/>
            <w:tcBorders>
              <w:top w:val="nil"/>
              <w:left w:val="nil"/>
              <w:bottom w:val="nil"/>
              <w:right w:val="nil"/>
            </w:tcBorders>
            <w:shd w:val="clear" w:color="000000" w:fill="1B80C4"/>
            <w:noWrap/>
            <w:vAlign w:val="bottom"/>
            <w:hideMark/>
          </w:tcPr>
          <w:p w14:paraId="6428DBBC" w14:textId="77777777" w:rsidR="00482C5E" w:rsidRPr="00482C5E" w:rsidRDefault="00482C5E" w:rsidP="00482C5E">
            <w:pPr>
              <w:spacing w:after="0" w:line="240" w:lineRule="auto"/>
              <w:jc w:val="center"/>
              <w:rPr>
                <w:rFonts w:ascii="Segoe UI" w:hAnsi="Segoe UI"/>
                <w:b/>
                <w:color w:val="FFFFFF"/>
                <w:sz w:val="18"/>
              </w:rPr>
            </w:pPr>
            <w:r w:rsidRPr="00FB4E54">
              <w:rPr>
                <w:rFonts w:ascii="Segoe UI" w:eastAsia="Times New Roman" w:hAnsi="Segoe UI" w:cs="Segoe UI"/>
                <w:b/>
                <w:bCs/>
                <w:color w:val="FFFFFF"/>
                <w:sz w:val="18"/>
                <w:szCs w:val="18"/>
                <w:lang w:eastAsia="pt-BR"/>
              </w:rPr>
              <w:t xml:space="preserve"> Controladora </w:t>
            </w:r>
          </w:p>
        </w:tc>
      </w:tr>
      <w:tr w:rsidR="00FB4E54" w:rsidRPr="00FB4E54" w14:paraId="2CC54A01" w14:textId="77777777" w:rsidTr="008B08CE">
        <w:trPr>
          <w:trHeight w:val="240"/>
        </w:trPr>
        <w:tc>
          <w:tcPr>
            <w:tcW w:w="2867" w:type="pct"/>
            <w:tcBorders>
              <w:top w:val="nil"/>
              <w:left w:val="nil"/>
              <w:bottom w:val="nil"/>
              <w:right w:val="nil"/>
            </w:tcBorders>
            <w:shd w:val="clear" w:color="auto" w:fill="auto"/>
            <w:noWrap/>
            <w:vAlign w:val="center"/>
            <w:hideMark/>
          </w:tcPr>
          <w:p w14:paraId="3EFD69F3" w14:textId="77777777" w:rsidR="00FB4E54" w:rsidRPr="00FB4E54" w:rsidRDefault="00FB4E54" w:rsidP="00FB4E54">
            <w:pPr>
              <w:spacing w:after="0" w:line="240" w:lineRule="auto"/>
              <w:jc w:val="center"/>
              <w:rPr>
                <w:rFonts w:ascii="Segoe UI" w:eastAsia="Times New Roman" w:hAnsi="Segoe UI" w:cs="Segoe UI"/>
                <w:b/>
                <w:bCs/>
                <w:color w:val="FFFFFF"/>
                <w:sz w:val="18"/>
                <w:szCs w:val="18"/>
                <w:lang w:eastAsia="pt-BR"/>
              </w:rPr>
            </w:pPr>
          </w:p>
        </w:tc>
        <w:tc>
          <w:tcPr>
            <w:tcW w:w="2133" w:type="pct"/>
            <w:gridSpan w:val="3"/>
            <w:tcBorders>
              <w:top w:val="nil"/>
              <w:left w:val="nil"/>
              <w:bottom w:val="nil"/>
              <w:right w:val="nil"/>
            </w:tcBorders>
            <w:shd w:val="clear" w:color="000000" w:fill="1B80C4"/>
            <w:noWrap/>
            <w:vAlign w:val="center"/>
            <w:hideMark/>
          </w:tcPr>
          <w:p w14:paraId="1AD65D48" w14:textId="77777777" w:rsidR="00FB4E54" w:rsidRPr="00FB4E54" w:rsidRDefault="00FB4E54" w:rsidP="00FB4E54">
            <w:pPr>
              <w:spacing w:after="0" w:line="240" w:lineRule="auto"/>
              <w:jc w:val="center"/>
              <w:rPr>
                <w:rFonts w:ascii="Segoe UI" w:eastAsia="Times New Roman" w:hAnsi="Segoe UI" w:cs="Segoe UI"/>
                <w:b/>
                <w:bCs/>
                <w:color w:val="FFFFFF"/>
                <w:sz w:val="18"/>
                <w:szCs w:val="18"/>
                <w:lang w:eastAsia="pt-BR"/>
              </w:rPr>
            </w:pPr>
            <w:r w:rsidRPr="00FB4E54">
              <w:rPr>
                <w:rFonts w:ascii="Segoe UI" w:eastAsia="Times New Roman" w:hAnsi="Segoe UI" w:cs="Segoe UI"/>
                <w:b/>
                <w:bCs/>
                <w:color w:val="FFFFFF"/>
                <w:sz w:val="18"/>
                <w:szCs w:val="18"/>
                <w:lang w:eastAsia="pt-BR"/>
              </w:rPr>
              <w:t>31/12/2022</w:t>
            </w:r>
          </w:p>
        </w:tc>
      </w:tr>
      <w:tr w:rsidR="00FB4E54" w:rsidRPr="00FB4E54" w14:paraId="0DF313C6" w14:textId="77777777" w:rsidTr="008B08CE">
        <w:trPr>
          <w:trHeight w:val="240"/>
        </w:trPr>
        <w:tc>
          <w:tcPr>
            <w:tcW w:w="2867" w:type="pct"/>
            <w:tcBorders>
              <w:top w:val="nil"/>
              <w:left w:val="nil"/>
              <w:bottom w:val="nil"/>
              <w:right w:val="nil"/>
            </w:tcBorders>
            <w:shd w:val="clear" w:color="auto" w:fill="auto"/>
            <w:noWrap/>
            <w:vAlign w:val="bottom"/>
            <w:hideMark/>
          </w:tcPr>
          <w:p w14:paraId="27B4E0B5" w14:textId="77777777" w:rsidR="00FB4E54" w:rsidRPr="00FB4E54" w:rsidRDefault="00FB4E54" w:rsidP="00FB4E54">
            <w:pPr>
              <w:spacing w:after="0" w:line="240" w:lineRule="auto"/>
              <w:jc w:val="center"/>
              <w:rPr>
                <w:rFonts w:ascii="Segoe UI" w:eastAsia="Times New Roman" w:hAnsi="Segoe UI" w:cs="Segoe UI"/>
                <w:b/>
                <w:bCs/>
                <w:color w:val="FFFFFF"/>
                <w:sz w:val="18"/>
                <w:szCs w:val="18"/>
                <w:lang w:eastAsia="pt-BR"/>
              </w:rPr>
            </w:pPr>
          </w:p>
        </w:tc>
        <w:tc>
          <w:tcPr>
            <w:tcW w:w="1103" w:type="pct"/>
            <w:tcBorders>
              <w:top w:val="single" w:sz="4" w:space="0" w:color="FFFFFF"/>
              <w:left w:val="nil"/>
              <w:bottom w:val="single" w:sz="4" w:space="0" w:color="FFFFFF"/>
              <w:right w:val="nil"/>
            </w:tcBorders>
            <w:shd w:val="clear" w:color="000000" w:fill="1B80C4"/>
            <w:noWrap/>
            <w:vAlign w:val="center"/>
            <w:hideMark/>
          </w:tcPr>
          <w:p w14:paraId="611D3926" w14:textId="20820B30" w:rsidR="00FB4E54" w:rsidRPr="00FB4E54" w:rsidRDefault="001C7DC6" w:rsidP="00FB4E54">
            <w:pPr>
              <w:spacing w:after="0" w:line="240" w:lineRule="auto"/>
              <w:jc w:val="center"/>
              <w:rPr>
                <w:rFonts w:ascii="Segoe UI" w:eastAsia="Times New Roman" w:hAnsi="Segoe UI" w:cs="Segoe UI"/>
                <w:b/>
                <w:bCs/>
                <w:color w:val="FFFFFF"/>
                <w:sz w:val="18"/>
                <w:szCs w:val="18"/>
                <w:lang w:eastAsia="pt-BR"/>
              </w:rPr>
            </w:pPr>
            <w:r w:rsidRPr="00FB4E54">
              <w:rPr>
                <w:rFonts w:ascii="Segoe UI" w:eastAsia="Times New Roman" w:hAnsi="Segoe UI" w:cs="Segoe UI"/>
                <w:b/>
                <w:bCs/>
                <w:color w:val="FFFFFF"/>
                <w:sz w:val="18"/>
                <w:szCs w:val="18"/>
                <w:lang w:eastAsia="pt-BR"/>
              </w:rPr>
              <w:t>Órgão</w:t>
            </w:r>
          </w:p>
        </w:tc>
        <w:tc>
          <w:tcPr>
            <w:tcW w:w="100" w:type="pct"/>
            <w:tcBorders>
              <w:top w:val="single" w:sz="4" w:space="0" w:color="FFFFFF"/>
              <w:left w:val="nil"/>
              <w:bottom w:val="single" w:sz="4" w:space="0" w:color="FFFFFF"/>
              <w:right w:val="nil"/>
            </w:tcBorders>
            <w:shd w:val="clear" w:color="000000" w:fill="1B80C4"/>
            <w:noWrap/>
            <w:vAlign w:val="center"/>
            <w:hideMark/>
          </w:tcPr>
          <w:p w14:paraId="392645E4" w14:textId="77777777" w:rsidR="00FB4E54" w:rsidRPr="00FB4E54" w:rsidRDefault="00FB4E54" w:rsidP="00FB4E54">
            <w:pPr>
              <w:spacing w:after="0" w:line="240" w:lineRule="auto"/>
              <w:jc w:val="center"/>
              <w:rPr>
                <w:rFonts w:ascii="Segoe UI" w:eastAsia="Times New Roman" w:hAnsi="Segoe UI" w:cs="Segoe UI"/>
                <w:b/>
                <w:bCs/>
                <w:color w:val="FFFFFF"/>
                <w:sz w:val="18"/>
                <w:szCs w:val="18"/>
                <w:lang w:eastAsia="pt-BR"/>
              </w:rPr>
            </w:pPr>
            <w:r w:rsidRPr="00FB4E54">
              <w:rPr>
                <w:rFonts w:ascii="Segoe UI" w:eastAsia="Times New Roman" w:hAnsi="Segoe UI" w:cs="Segoe UI"/>
                <w:b/>
                <w:bCs/>
                <w:color w:val="FFFFFF"/>
                <w:sz w:val="18"/>
                <w:szCs w:val="18"/>
                <w:lang w:eastAsia="pt-BR"/>
              </w:rPr>
              <w:t> </w:t>
            </w:r>
          </w:p>
        </w:tc>
        <w:tc>
          <w:tcPr>
            <w:tcW w:w="930" w:type="pct"/>
            <w:tcBorders>
              <w:top w:val="single" w:sz="4" w:space="0" w:color="FFFFFF"/>
              <w:left w:val="nil"/>
              <w:bottom w:val="single" w:sz="4" w:space="0" w:color="FFFFFF"/>
              <w:right w:val="nil"/>
            </w:tcBorders>
            <w:shd w:val="clear" w:color="000000" w:fill="1B80C4"/>
            <w:noWrap/>
            <w:vAlign w:val="center"/>
            <w:hideMark/>
          </w:tcPr>
          <w:p w14:paraId="0C540290" w14:textId="746B83F0" w:rsidR="00FB4E54" w:rsidRPr="00FB4E54" w:rsidRDefault="001C7DC6" w:rsidP="00FB4E54">
            <w:pPr>
              <w:spacing w:after="0" w:line="240" w:lineRule="auto"/>
              <w:jc w:val="center"/>
              <w:rPr>
                <w:rFonts w:ascii="Segoe UI" w:eastAsia="Times New Roman" w:hAnsi="Segoe UI" w:cs="Segoe UI"/>
                <w:b/>
                <w:bCs/>
                <w:color w:val="FFFFFF"/>
                <w:sz w:val="18"/>
                <w:szCs w:val="18"/>
                <w:lang w:eastAsia="pt-BR"/>
              </w:rPr>
            </w:pPr>
            <w:r>
              <w:rPr>
                <w:rFonts w:ascii="Segoe UI" w:eastAsia="Times New Roman" w:hAnsi="Segoe UI" w:cs="Segoe UI"/>
                <w:b/>
                <w:bCs/>
                <w:color w:val="FFFFFF"/>
                <w:sz w:val="18"/>
                <w:szCs w:val="18"/>
                <w:lang w:eastAsia="pt-BR"/>
              </w:rPr>
              <w:t>Empregado</w:t>
            </w:r>
          </w:p>
        </w:tc>
      </w:tr>
      <w:tr w:rsidR="00FB4E54" w:rsidRPr="00FB4E54" w14:paraId="1DCFAEA3" w14:textId="77777777" w:rsidTr="008B08CE">
        <w:trPr>
          <w:trHeight w:val="240"/>
        </w:trPr>
        <w:tc>
          <w:tcPr>
            <w:tcW w:w="2867" w:type="pct"/>
            <w:tcBorders>
              <w:top w:val="nil"/>
              <w:left w:val="nil"/>
              <w:bottom w:val="nil"/>
              <w:right w:val="nil"/>
            </w:tcBorders>
            <w:shd w:val="clear" w:color="auto" w:fill="auto"/>
            <w:noWrap/>
            <w:vAlign w:val="bottom"/>
            <w:hideMark/>
          </w:tcPr>
          <w:p w14:paraId="414A5504" w14:textId="77777777" w:rsidR="00FB4E54" w:rsidRPr="00FB4E54" w:rsidRDefault="00FB4E54" w:rsidP="00FB4E54">
            <w:pPr>
              <w:spacing w:after="0" w:line="240" w:lineRule="auto"/>
              <w:ind w:firstLineChars="100" w:firstLine="180"/>
              <w:rPr>
                <w:rFonts w:ascii="Segoe UI" w:eastAsia="Times New Roman" w:hAnsi="Segoe UI" w:cs="Segoe UI"/>
                <w:color w:val="000000"/>
                <w:sz w:val="18"/>
                <w:szCs w:val="18"/>
                <w:lang w:eastAsia="pt-BR"/>
              </w:rPr>
            </w:pPr>
            <w:r w:rsidRPr="00FB4E54">
              <w:rPr>
                <w:rFonts w:ascii="Segoe UI" w:eastAsia="Times New Roman" w:hAnsi="Segoe UI" w:cs="Segoe UI"/>
                <w:color w:val="000000"/>
                <w:sz w:val="18"/>
                <w:szCs w:val="18"/>
                <w:lang w:eastAsia="pt-BR"/>
              </w:rPr>
              <w:t>ANEEL</w:t>
            </w:r>
          </w:p>
        </w:tc>
        <w:tc>
          <w:tcPr>
            <w:tcW w:w="1103" w:type="pct"/>
            <w:tcBorders>
              <w:top w:val="nil"/>
              <w:left w:val="nil"/>
              <w:bottom w:val="nil"/>
              <w:right w:val="nil"/>
            </w:tcBorders>
            <w:shd w:val="clear" w:color="auto" w:fill="auto"/>
            <w:noWrap/>
            <w:vAlign w:val="bottom"/>
            <w:hideMark/>
          </w:tcPr>
          <w:p w14:paraId="5BAC5C3C" w14:textId="77777777" w:rsidR="00FB4E54" w:rsidRPr="00FB4E54" w:rsidRDefault="00FB4E54" w:rsidP="00FB4E54">
            <w:pPr>
              <w:spacing w:after="0" w:line="240" w:lineRule="auto"/>
              <w:jc w:val="right"/>
              <w:rPr>
                <w:rFonts w:ascii="Segoe UI" w:eastAsia="Times New Roman" w:hAnsi="Segoe UI" w:cs="Segoe UI"/>
                <w:color w:val="000000"/>
                <w:sz w:val="18"/>
                <w:szCs w:val="18"/>
                <w:lang w:eastAsia="pt-BR"/>
              </w:rPr>
            </w:pPr>
            <w:r w:rsidRPr="00FB4E54">
              <w:rPr>
                <w:rFonts w:ascii="Segoe UI" w:eastAsia="Times New Roman" w:hAnsi="Segoe UI" w:cs="Segoe UI"/>
                <w:color w:val="000000"/>
                <w:sz w:val="18"/>
                <w:szCs w:val="18"/>
                <w:lang w:eastAsia="pt-BR"/>
              </w:rPr>
              <w:t xml:space="preserve">                           76 </w:t>
            </w:r>
          </w:p>
        </w:tc>
        <w:tc>
          <w:tcPr>
            <w:tcW w:w="100" w:type="pct"/>
            <w:tcBorders>
              <w:top w:val="nil"/>
              <w:left w:val="nil"/>
              <w:bottom w:val="nil"/>
              <w:right w:val="nil"/>
            </w:tcBorders>
            <w:shd w:val="clear" w:color="auto" w:fill="auto"/>
            <w:noWrap/>
            <w:vAlign w:val="center"/>
            <w:hideMark/>
          </w:tcPr>
          <w:p w14:paraId="7E5B4535" w14:textId="77777777" w:rsidR="00FB4E54" w:rsidRPr="00FB4E54" w:rsidRDefault="00FB4E54" w:rsidP="00FB4E54">
            <w:pPr>
              <w:spacing w:after="0" w:line="240" w:lineRule="auto"/>
              <w:jc w:val="right"/>
              <w:rPr>
                <w:rFonts w:ascii="Segoe UI" w:eastAsia="Times New Roman" w:hAnsi="Segoe UI" w:cs="Segoe UI"/>
                <w:color w:val="000000"/>
                <w:sz w:val="18"/>
                <w:szCs w:val="18"/>
                <w:lang w:eastAsia="pt-BR"/>
              </w:rPr>
            </w:pPr>
          </w:p>
        </w:tc>
        <w:tc>
          <w:tcPr>
            <w:tcW w:w="930" w:type="pct"/>
            <w:tcBorders>
              <w:top w:val="nil"/>
              <w:left w:val="nil"/>
              <w:bottom w:val="nil"/>
              <w:right w:val="nil"/>
            </w:tcBorders>
            <w:shd w:val="clear" w:color="auto" w:fill="auto"/>
            <w:noWrap/>
            <w:vAlign w:val="bottom"/>
            <w:hideMark/>
          </w:tcPr>
          <w:p w14:paraId="0E7AF32D" w14:textId="77777777" w:rsidR="00FB4E54" w:rsidRPr="00FB4E54" w:rsidRDefault="00FB4E54" w:rsidP="00FB4E54">
            <w:pPr>
              <w:spacing w:after="0" w:line="240" w:lineRule="auto"/>
              <w:jc w:val="right"/>
              <w:rPr>
                <w:rFonts w:ascii="Segoe UI" w:eastAsia="Times New Roman" w:hAnsi="Segoe UI" w:cs="Segoe UI"/>
                <w:color w:val="000000"/>
                <w:sz w:val="18"/>
                <w:szCs w:val="18"/>
                <w:lang w:eastAsia="pt-BR"/>
              </w:rPr>
            </w:pPr>
            <w:r w:rsidRPr="00FB4E54">
              <w:rPr>
                <w:rFonts w:ascii="Segoe UI" w:eastAsia="Times New Roman" w:hAnsi="Segoe UI" w:cs="Segoe UI"/>
                <w:color w:val="000000"/>
                <w:sz w:val="18"/>
                <w:szCs w:val="18"/>
                <w:lang w:eastAsia="pt-BR"/>
              </w:rPr>
              <w:t>68</w:t>
            </w:r>
          </w:p>
        </w:tc>
      </w:tr>
      <w:tr w:rsidR="00FB4E54" w:rsidRPr="00FB4E54" w14:paraId="3E7B7912" w14:textId="77777777" w:rsidTr="008B08CE">
        <w:trPr>
          <w:trHeight w:val="240"/>
        </w:trPr>
        <w:tc>
          <w:tcPr>
            <w:tcW w:w="2867" w:type="pct"/>
            <w:tcBorders>
              <w:top w:val="nil"/>
              <w:left w:val="nil"/>
              <w:bottom w:val="nil"/>
              <w:right w:val="nil"/>
            </w:tcBorders>
            <w:shd w:val="clear" w:color="auto" w:fill="auto"/>
            <w:noWrap/>
            <w:vAlign w:val="bottom"/>
            <w:hideMark/>
          </w:tcPr>
          <w:p w14:paraId="436B59EA" w14:textId="77777777" w:rsidR="00FB4E54" w:rsidRPr="00FB4E54" w:rsidRDefault="00FB4E54" w:rsidP="00FB4E54">
            <w:pPr>
              <w:spacing w:after="0" w:line="240" w:lineRule="auto"/>
              <w:ind w:firstLineChars="100" w:firstLine="180"/>
              <w:rPr>
                <w:rFonts w:ascii="Segoe UI" w:eastAsia="Times New Roman" w:hAnsi="Segoe UI" w:cs="Segoe UI"/>
                <w:color w:val="000000"/>
                <w:sz w:val="18"/>
                <w:szCs w:val="18"/>
                <w:lang w:eastAsia="pt-BR"/>
              </w:rPr>
            </w:pPr>
            <w:r w:rsidRPr="00FB4E54">
              <w:rPr>
                <w:rFonts w:ascii="Segoe UI" w:eastAsia="Times New Roman" w:hAnsi="Segoe UI" w:cs="Segoe UI"/>
                <w:color w:val="000000"/>
                <w:sz w:val="18"/>
                <w:szCs w:val="18"/>
                <w:lang w:eastAsia="pt-BR"/>
              </w:rPr>
              <w:t>Marinha do Brasil</w:t>
            </w:r>
          </w:p>
        </w:tc>
        <w:tc>
          <w:tcPr>
            <w:tcW w:w="1103" w:type="pct"/>
            <w:tcBorders>
              <w:top w:val="nil"/>
              <w:left w:val="nil"/>
              <w:bottom w:val="nil"/>
              <w:right w:val="nil"/>
            </w:tcBorders>
            <w:shd w:val="clear" w:color="auto" w:fill="auto"/>
            <w:vAlign w:val="bottom"/>
            <w:hideMark/>
          </w:tcPr>
          <w:p w14:paraId="0865306A" w14:textId="77777777" w:rsidR="00FB4E54" w:rsidRPr="00FB4E54" w:rsidRDefault="00FB4E54" w:rsidP="00FB4E54">
            <w:pPr>
              <w:spacing w:after="0" w:line="240" w:lineRule="auto"/>
              <w:jc w:val="right"/>
              <w:rPr>
                <w:rFonts w:ascii="Segoe UI" w:eastAsia="Times New Roman" w:hAnsi="Segoe UI" w:cs="Segoe UI"/>
                <w:color w:val="000000"/>
                <w:sz w:val="18"/>
                <w:szCs w:val="18"/>
                <w:lang w:eastAsia="pt-BR"/>
              </w:rPr>
            </w:pPr>
            <w:r w:rsidRPr="00FB4E54">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2CFF1426" w14:textId="77777777" w:rsidR="00FB4E54" w:rsidRPr="00FB4E54" w:rsidRDefault="00FB4E54" w:rsidP="00FB4E54">
            <w:pPr>
              <w:spacing w:after="0" w:line="240" w:lineRule="auto"/>
              <w:jc w:val="right"/>
              <w:rPr>
                <w:rFonts w:ascii="Segoe UI" w:eastAsia="Times New Roman" w:hAnsi="Segoe UI" w:cs="Segoe UI"/>
                <w:color w:val="000000"/>
                <w:sz w:val="18"/>
                <w:szCs w:val="18"/>
                <w:lang w:eastAsia="pt-BR"/>
              </w:rPr>
            </w:pPr>
          </w:p>
        </w:tc>
        <w:tc>
          <w:tcPr>
            <w:tcW w:w="930" w:type="pct"/>
            <w:tcBorders>
              <w:top w:val="nil"/>
              <w:left w:val="nil"/>
              <w:bottom w:val="nil"/>
              <w:right w:val="nil"/>
            </w:tcBorders>
            <w:shd w:val="clear" w:color="auto" w:fill="auto"/>
            <w:noWrap/>
            <w:vAlign w:val="bottom"/>
            <w:hideMark/>
          </w:tcPr>
          <w:p w14:paraId="50B4ADC7" w14:textId="77777777" w:rsidR="00FB4E54" w:rsidRPr="00FB4E54" w:rsidRDefault="00FB4E54" w:rsidP="00FB4E54">
            <w:pPr>
              <w:spacing w:after="0" w:line="240" w:lineRule="auto"/>
              <w:jc w:val="right"/>
              <w:rPr>
                <w:rFonts w:ascii="Segoe UI" w:eastAsia="Times New Roman" w:hAnsi="Segoe UI" w:cs="Segoe UI"/>
                <w:color w:val="000000"/>
                <w:sz w:val="18"/>
                <w:szCs w:val="18"/>
                <w:lang w:eastAsia="pt-BR"/>
              </w:rPr>
            </w:pPr>
            <w:r w:rsidRPr="00FB4E54">
              <w:rPr>
                <w:rFonts w:ascii="Segoe UI" w:eastAsia="Times New Roman" w:hAnsi="Segoe UI" w:cs="Segoe UI"/>
                <w:color w:val="000000"/>
                <w:sz w:val="18"/>
                <w:szCs w:val="18"/>
                <w:lang w:eastAsia="pt-BR"/>
              </w:rPr>
              <w:t>183</w:t>
            </w:r>
          </w:p>
        </w:tc>
      </w:tr>
      <w:tr w:rsidR="00FB4E54" w:rsidRPr="00FB4E54" w14:paraId="0247198C" w14:textId="77777777" w:rsidTr="008B08CE">
        <w:trPr>
          <w:trHeight w:val="255"/>
        </w:trPr>
        <w:tc>
          <w:tcPr>
            <w:tcW w:w="2867" w:type="pct"/>
            <w:tcBorders>
              <w:top w:val="nil"/>
              <w:left w:val="nil"/>
              <w:bottom w:val="nil"/>
              <w:right w:val="nil"/>
            </w:tcBorders>
            <w:shd w:val="clear" w:color="auto" w:fill="auto"/>
            <w:noWrap/>
            <w:vAlign w:val="bottom"/>
            <w:hideMark/>
          </w:tcPr>
          <w:p w14:paraId="21E06FD9" w14:textId="77777777" w:rsidR="00FB4E54" w:rsidRPr="00FB4E54" w:rsidRDefault="00FB4E54" w:rsidP="00FB4E54">
            <w:pPr>
              <w:spacing w:after="0" w:line="240" w:lineRule="auto"/>
              <w:jc w:val="right"/>
              <w:rPr>
                <w:rFonts w:ascii="Segoe UI" w:eastAsia="Times New Roman" w:hAnsi="Segoe UI" w:cs="Segoe UI"/>
                <w:color w:val="000000"/>
                <w:sz w:val="18"/>
                <w:szCs w:val="18"/>
                <w:lang w:eastAsia="pt-BR"/>
              </w:rPr>
            </w:pPr>
          </w:p>
        </w:tc>
        <w:tc>
          <w:tcPr>
            <w:tcW w:w="1103" w:type="pct"/>
            <w:tcBorders>
              <w:top w:val="single" w:sz="4" w:space="0" w:color="1B80C4"/>
              <w:left w:val="nil"/>
              <w:bottom w:val="double" w:sz="6" w:space="0" w:color="1B80C4"/>
              <w:right w:val="nil"/>
            </w:tcBorders>
            <w:shd w:val="clear" w:color="auto" w:fill="auto"/>
            <w:noWrap/>
            <w:vAlign w:val="center"/>
            <w:hideMark/>
          </w:tcPr>
          <w:p w14:paraId="3A2F962C" w14:textId="77777777" w:rsidR="00FB4E54" w:rsidRPr="00FB4E54" w:rsidRDefault="00FB4E54" w:rsidP="00FB4E54">
            <w:pPr>
              <w:spacing w:after="0" w:line="240" w:lineRule="auto"/>
              <w:jc w:val="right"/>
              <w:rPr>
                <w:rFonts w:ascii="Segoe UI" w:eastAsia="Times New Roman" w:hAnsi="Segoe UI" w:cs="Segoe UI"/>
                <w:b/>
                <w:bCs/>
                <w:color w:val="000000"/>
                <w:sz w:val="18"/>
                <w:szCs w:val="18"/>
                <w:lang w:eastAsia="pt-BR"/>
              </w:rPr>
            </w:pPr>
            <w:r w:rsidRPr="00FB4E54">
              <w:rPr>
                <w:rFonts w:ascii="Segoe UI" w:eastAsia="Times New Roman" w:hAnsi="Segoe UI" w:cs="Segoe UI"/>
                <w:b/>
                <w:bCs/>
                <w:color w:val="000000"/>
                <w:sz w:val="18"/>
                <w:szCs w:val="18"/>
                <w:lang w:eastAsia="pt-BR"/>
              </w:rPr>
              <w:t>76</w:t>
            </w:r>
          </w:p>
        </w:tc>
        <w:tc>
          <w:tcPr>
            <w:tcW w:w="100" w:type="pct"/>
            <w:tcBorders>
              <w:top w:val="nil"/>
              <w:left w:val="nil"/>
              <w:bottom w:val="nil"/>
              <w:right w:val="nil"/>
            </w:tcBorders>
            <w:shd w:val="clear" w:color="auto" w:fill="auto"/>
            <w:noWrap/>
            <w:vAlign w:val="bottom"/>
            <w:hideMark/>
          </w:tcPr>
          <w:p w14:paraId="4EA0F49E" w14:textId="77777777" w:rsidR="00FB4E54" w:rsidRPr="00FB4E54" w:rsidRDefault="00FB4E54" w:rsidP="00FB4E54">
            <w:pPr>
              <w:spacing w:after="0" w:line="240" w:lineRule="auto"/>
              <w:jc w:val="right"/>
              <w:rPr>
                <w:rFonts w:ascii="Segoe UI" w:eastAsia="Times New Roman" w:hAnsi="Segoe UI" w:cs="Segoe UI"/>
                <w:b/>
                <w:bCs/>
                <w:color w:val="000000"/>
                <w:sz w:val="18"/>
                <w:szCs w:val="18"/>
                <w:lang w:eastAsia="pt-BR"/>
              </w:rPr>
            </w:pPr>
          </w:p>
        </w:tc>
        <w:tc>
          <w:tcPr>
            <w:tcW w:w="930" w:type="pct"/>
            <w:tcBorders>
              <w:top w:val="single" w:sz="4" w:space="0" w:color="1B80C4"/>
              <w:left w:val="nil"/>
              <w:bottom w:val="double" w:sz="6" w:space="0" w:color="1B80C4"/>
              <w:right w:val="nil"/>
            </w:tcBorders>
            <w:shd w:val="clear" w:color="auto" w:fill="auto"/>
            <w:noWrap/>
            <w:vAlign w:val="center"/>
            <w:hideMark/>
          </w:tcPr>
          <w:p w14:paraId="0FD53B0D" w14:textId="77777777" w:rsidR="00FB4E54" w:rsidRPr="00FB4E54" w:rsidRDefault="00FB4E54" w:rsidP="00FB4E54">
            <w:pPr>
              <w:spacing w:after="0" w:line="240" w:lineRule="auto"/>
              <w:jc w:val="right"/>
              <w:rPr>
                <w:rFonts w:ascii="Segoe UI" w:eastAsia="Times New Roman" w:hAnsi="Segoe UI" w:cs="Segoe UI"/>
                <w:b/>
                <w:bCs/>
                <w:color w:val="000000"/>
                <w:sz w:val="18"/>
                <w:szCs w:val="18"/>
                <w:lang w:eastAsia="pt-BR"/>
              </w:rPr>
            </w:pPr>
            <w:r w:rsidRPr="00FB4E54">
              <w:rPr>
                <w:rFonts w:ascii="Segoe UI" w:eastAsia="Times New Roman" w:hAnsi="Segoe UI" w:cs="Segoe UI"/>
                <w:b/>
                <w:bCs/>
                <w:color w:val="000000"/>
                <w:sz w:val="18"/>
                <w:szCs w:val="18"/>
                <w:lang w:eastAsia="pt-BR"/>
              </w:rPr>
              <w:t>251</w:t>
            </w:r>
          </w:p>
        </w:tc>
      </w:tr>
    </w:tbl>
    <w:p w14:paraId="4D12F4B4" w14:textId="3FBDD4DA" w:rsidR="00DF48DA" w:rsidRPr="000757BC" w:rsidRDefault="00DF48DA" w:rsidP="00DF48DA">
      <w:pPr>
        <w:spacing w:before="240"/>
        <w:jc w:val="both"/>
        <w:rPr>
          <w:rFonts w:ascii="Segoe UI" w:hAnsi="Segoe UI" w:cs="Segoe UI"/>
          <w:b/>
          <w:color w:val="0070C0"/>
        </w:rPr>
      </w:pPr>
      <w:r>
        <w:rPr>
          <w:rFonts w:ascii="Segoe UI" w:hAnsi="Segoe UI" w:cs="Segoe UI"/>
          <w:b/>
          <w:color w:val="0070C0"/>
        </w:rPr>
        <w:t>32.5 – Pessoal Admitido</w:t>
      </w:r>
    </w:p>
    <w:tbl>
      <w:tblPr>
        <w:tblW w:w="4925" w:type="pct"/>
        <w:tblLayout w:type="fixed"/>
        <w:tblCellMar>
          <w:left w:w="70" w:type="dxa"/>
          <w:right w:w="70" w:type="dxa"/>
        </w:tblCellMar>
        <w:tblLook w:val="04A0" w:firstRow="1" w:lastRow="0" w:firstColumn="1" w:lastColumn="0" w:noHBand="0" w:noVBand="1"/>
      </w:tblPr>
      <w:tblGrid>
        <w:gridCol w:w="5462"/>
        <w:gridCol w:w="1873"/>
        <w:gridCol w:w="195"/>
        <w:gridCol w:w="195"/>
        <w:gridCol w:w="1630"/>
      </w:tblGrid>
      <w:tr w:rsidR="00534AB8" w:rsidRPr="007C0F71" w14:paraId="17BF9183" w14:textId="77777777" w:rsidTr="00DF48DA">
        <w:trPr>
          <w:trHeight w:val="240"/>
        </w:trPr>
        <w:tc>
          <w:tcPr>
            <w:tcW w:w="2920" w:type="pct"/>
            <w:tcBorders>
              <w:top w:val="nil"/>
              <w:left w:val="nil"/>
              <w:bottom w:val="nil"/>
              <w:right w:val="nil"/>
            </w:tcBorders>
            <w:shd w:val="clear" w:color="auto" w:fill="auto"/>
            <w:noWrap/>
            <w:vAlign w:val="bottom"/>
            <w:hideMark/>
          </w:tcPr>
          <w:p w14:paraId="15F7CD1C" w14:textId="77777777" w:rsidR="00534AB8" w:rsidRPr="007C0F71" w:rsidRDefault="00534AB8" w:rsidP="00A451BC">
            <w:pPr>
              <w:spacing w:after="0" w:line="240" w:lineRule="auto"/>
              <w:rPr>
                <w:rFonts w:ascii="Times New Roman" w:eastAsia="Times New Roman" w:hAnsi="Times New Roman" w:cs="Times New Roman"/>
                <w:sz w:val="24"/>
                <w:szCs w:val="24"/>
                <w:lang w:eastAsia="pt-BR"/>
              </w:rPr>
            </w:pPr>
          </w:p>
        </w:tc>
        <w:tc>
          <w:tcPr>
            <w:tcW w:w="2080" w:type="pct"/>
            <w:gridSpan w:val="4"/>
            <w:tcBorders>
              <w:top w:val="nil"/>
              <w:left w:val="nil"/>
              <w:bottom w:val="single" w:sz="4" w:space="0" w:color="FFFFFF"/>
              <w:right w:val="nil"/>
            </w:tcBorders>
            <w:shd w:val="clear" w:color="000000" w:fill="1B80C4"/>
            <w:noWrap/>
            <w:vAlign w:val="center"/>
            <w:hideMark/>
          </w:tcPr>
          <w:p w14:paraId="5E846264" w14:textId="77777777" w:rsidR="00534AB8" w:rsidRPr="007C0F71" w:rsidRDefault="00534AB8" w:rsidP="00A451BC">
            <w:pPr>
              <w:spacing w:after="0" w:line="240" w:lineRule="auto"/>
              <w:jc w:val="center"/>
              <w:rPr>
                <w:rFonts w:ascii="Segoe UI" w:eastAsia="Times New Roman" w:hAnsi="Segoe UI" w:cs="Segoe UI"/>
                <w:b/>
                <w:bCs/>
                <w:color w:val="FFFFFF"/>
                <w:sz w:val="18"/>
                <w:szCs w:val="18"/>
                <w:lang w:eastAsia="pt-BR"/>
              </w:rPr>
            </w:pPr>
            <w:r w:rsidRPr="007C0F71">
              <w:rPr>
                <w:rFonts w:ascii="Segoe UI" w:eastAsia="Times New Roman" w:hAnsi="Segoe UI" w:cs="Segoe UI"/>
                <w:b/>
                <w:bCs/>
                <w:color w:val="FFFFFF"/>
                <w:sz w:val="18"/>
                <w:szCs w:val="18"/>
                <w:lang w:eastAsia="pt-BR"/>
              </w:rPr>
              <w:t>31/12/2022</w:t>
            </w:r>
          </w:p>
        </w:tc>
      </w:tr>
      <w:tr w:rsidR="00534AB8" w:rsidRPr="007C0F71" w14:paraId="0610F12F" w14:textId="77777777" w:rsidTr="00DF48DA">
        <w:trPr>
          <w:trHeight w:val="240"/>
        </w:trPr>
        <w:tc>
          <w:tcPr>
            <w:tcW w:w="2920" w:type="pct"/>
            <w:tcBorders>
              <w:top w:val="nil"/>
              <w:left w:val="nil"/>
              <w:bottom w:val="nil"/>
              <w:right w:val="nil"/>
            </w:tcBorders>
            <w:shd w:val="clear" w:color="auto" w:fill="auto"/>
            <w:noWrap/>
            <w:vAlign w:val="bottom"/>
            <w:hideMark/>
          </w:tcPr>
          <w:p w14:paraId="2B3E19BF" w14:textId="77777777" w:rsidR="00534AB8" w:rsidRPr="007C0F71" w:rsidRDefault="00534AB8" w:rsidP="00A451BC">
            <w:pPr>
              <w:spacing w:after="0" w:line="240" w:lineRule="auto"/>
              <w:jc w:val="center"/>
              <w:rPr>
                <w:rFonts w:ascii="Segoe UI" w:eastAsia="Times New Roman" w:hAnsi="Segoe UI" w:cs="Segoe UI"/>
                <w:b/>
                <w:bCs/>
                <w:color w:val="FFFFFF"/>
                <w:sz w:val="18"/>
                <w:szCs w:val="18"/>
                <w:lang w:eastAsia="pt-BR"/>
              </w:rPr>
            </w:pPr>
          </w:p>
        </w:tc>
        <w:tc>
          <w:tcPr>
            <w:tcW w:w="1001" w:type="pct"/>
            <w:tcBorders>
              <w:top w:val="nil"/>
              <w:left w:val="nil"/>
              <w:bottom w:val="nil"/>
              <w:right w:val="nil"/>
            </w:tcBorders>
            <w:shd w:val="clear" w:color="000000" w:fill="1B80C4"/>
            <w:noWrap/>
            <w:vAlign w:val="bottom"/>
            <w:hideMark/>
          </w:tcPr>
          <w:p w14:paraId="086E6EFC" w14:textId="77777777" w:rsidR="00534AB8" w:rsidRPr="007C0F71" w:rsidRDefault="00534AB8" w:rsidP="00A451BC">
            <w:pPr>
              <w:spacing w:after="0" w:line="240" w:lineRule="auto"/>
              <w:jc w:val="center"/>
              <w:rPr>
                <w:rFonts w:ascii="Segoe UI" w:eastAsia="Times New Roman" w:hAnsi="Segoe UI" w:cs="Segoe UI"/>
                <w:b/>
                <w:bCs/>
                <w:color w:val="FFFFFF"/>
                <w:sz w:val="18"/>
                <w:szCs w:val="18"/>
                <w:lang w:eastAsia="pt-BR"/>
              </w:rPr>
            </w:pPr>
            <w:r w:rsidRPr="007C0F71">
              <w:rPr>
                <w:rFonts w:ascii="Segoe UI" w:eastAsia="Times New Roman" w:hAnsi="Segoe UI" w:cs="Segoe UI"/>
                <w:b/>
                <w:bCs/>
                <w:color w:val="FFFFFF"/>
                <w:sz w:val="18"/>
                <w:szCs w:val="18"/>
                <w:lang w:eastAsia="pt-BR"/>
              </w:rPr>
              <w:t xml:space="preserve"> ENBPar </w:t>
            </w:r>
          </w:p>
        </w:tc>
        <w:tc>
          <w:tcPr>
            <w:tcW w:w="104" w:type="pct"/>
            <w:tcBorders>
              <w:top w:val="nil"/>
              <w:left w:val="nil"/>
              <w:bottom w:val="nil"/>
              <w:right w:val="nil"/>
            </w:tcBorders>
            <w:shd w:val="clear" w:color="000000" w:fill="1B80C4"/>
            <w:noWrap/>
            <w:vAlign w:val="bottom"/>
            <w:hideMark/>
          </w:tcPr>
          <w:p w14:paraId="0FA46EAD" w14:textId="77777777" w:rsidR="00534AB8" w:rsidRPr="007C0F71" w:rsidRDefault="00534AB8" w:rsidP="00A451BC">
            <w:pPr>
              <w:spacing w:after="0" w:line="240" w:lineRule="auto"/>
              <w:jc w:val="center"/>
              <w:rPr>
                <w:rFonts w:ascii="Segoe UI" w:eastAsia="Times New Roman" w:hAnsi="Segoe UI" w:cs="Segoe UI"/>
                <w:b/>
                <w:bCs/>
                <w:color w:val="FFFFFF"/>
                <w:sz w:val="18"/>
                <w:szCs w:val="18"/>
                <w:lang w:eastAsia="pt-BR"/>
              </w:rPr>
            </w:pPr>
            <w:r w:rsidRPr="007C0F71">
              <w:rPr>
                <w:rFonts w:ascii="Segoe UI" w:eastAsia="Times New Roman" w:hAnsi="Segoe UI" w:cs="Segoe UI"/>
                <w:b/>
                <w:bCs/>
                <w:color w:val="FFFFFF"/>
                <w:sz w:val="18"/>
                <w:szCs w:val="18"/>
                <w:lang w:eastAsia="pt-BR"/>
              </w:rPr>
              <w:t> </w:t>
            </w:r>
          </w:p>
        </w:tc>
        <w:tc>
          <w:tcPr>
            <w:tcW w:w="104" w:type="pct"/>
            <w:tcBorders>
              <w:top w:val="nil"/>
              <w:left w:val="nil"/>
              <w:bottom w:val="nil"/>
              <w:right w:val="nil"/>
            </w:tcBorders>
            <w:shd w:val="clear" w:color="000000" w:fill="1B80C4"/>
            <w:noWrap/>
            <w:vAlign w:val="bottom"/>
            <w:hideMark/>
          </w:tcPr>
          <w:p w14:paraId="32368E02" w14:textId="77777777" w:rsidR="00534AB8" w:rsidRPr="007C0F71" w:rsidRDefault="00534AB8" w:rsidP="00A451BC">
            <w:pPr>
              <w:spacing w:after="0" w:line="240" w:lineRule="auto"/>
              <w:jc w:val="center"/>
              <w:rPr>
                <w:rFonts w:ascii="Segoe UI" w:eastAsia="Times New Roman" w:hAnsi="Segoe UI" w:cs="Segoe UI"/>
                <w:b/>
                <w:bCs/>
                <w:color w:val="FFFFFF"/>
                <w:sz w:val="18"/>
                <w:szCs w:val="18"/>
                <w:lang w:eastAsia="pt-BR"/>
              </w:rPr>
            </w:pPr>
            <w:r w:rsidRPr="007C0F71">
              <w:rPr>
                <w:rFonts w:ascii="Segoe UI" w:eastAsia="Times New Roman" w:hAnsi="Segoe UI" w:cs="Segoe UI"/>
                <w:b/>
                <w:bCs/>
                <w:color w:val="FFFFFF"/>
                <w:sz w:val="18"/>
                <w:szCs w:val="18"/>
                <w:lang w:eastAsia="pt-BR"/>
              </w:rPr>
              <w:t> </w:t>
            </w:r>
          </w:p>
        </w:tc>
        <w:tc>
          <w:tcPr>
            <w:tcW w:w="870" w:type="pct"/>
            <w:tcBorders>
              <w:top w:val="nil"/>
              <w:left w:val="nil"/>
              <w:bottom w:val="nil"/>
              <w:right w:val="nil"/>
            </w:tcBorders>
            <w:shd w:val="clear" w:color="000000" w:fill="1B80C4"/>
            <w:noWrap/>
            <w:vAlign w:val="bottom"/>
            <w:hideMark/>
          </w:tcPr>
          <w:p w14:paraId="71F2AE2D" w14:textId="759B0C8E" w:rsidR="00534AB8" w:rsidRPr="007C0F71" w:rsidRDefault="00534AB8" w:rsidP="00A451BC">
            <w:pPr>
              <w:spacing w:after="0" w:line="240" w:lineRule="auto"/>
              <w:jc w:val="center"/>
              <w:rPr>
                <w:rFonts w:ascii="Segoe UI" w:eastAsia="Times New Roman" w:hAnsi="Segoe UI" w:cs="Segoe UI"/>
                <w:b/>
                <w:bCs/>
                <w:color w:val="FFFFFF"/>
                <w:sz w:val="18"/>
                <w:szCs w:val="18"/>
                <w:lang w:eastAsia="pt-BR"/>
              </w:rPr>
            </w:pPr>
            <w:r w:rsidRPr="007C0F71">
              <w:rPr>
                <w:rFonts w:ascii="Segoe UI" w:eastAsia="Times New Roman" w:hAnsi="Segoe UI" w:cs="Segoe UI"/>
                <w:b/>
                <w:bCs/>
                <w:color w:val="FFFFFF"/>
                <w:sz w:val="18"/>
                <w:szCs w:val="18"/>
                <w:lang w:eastAsia="pt-BR"/>
              </w:rPr>
              <w:t xml:space="preserve"> </w:t>
            </w:r>
            <w:r w:rsidR="00BE1F21">
              <w:rPr>
                <w:rFonts w:ascii="Segoe UI" w:eastAsia="Times New Roman" w:hAnsi="Segoe UI" w:cs="Segoe UI"/>
                <w:b/>
                <w:bCs/>
                <w:color w:val="FFFFFF"/>
                <w:sz w:val="18"/>
                <w:szCs w:val="18"/>
                <w:lang w:eastAsia="pt-BR"/>
              </w:rPr>
              <w:t>Consolidado</w:t>
            </w:r>
            <w:r w:rsidRPr="007C0F71">
              <w:rPr>
                <w:rFonts w:ascii="Segoe UI" w:eastAsia="Times New Roman" w:hAnsi="Segoe UI" w:cs="Segoe UI"/>
                <w:b/>
                <w:bCs/>
                <w:color w:val="FFFFFF"/>
                <w:sz w:val="18"/>
                <w:szCs w:val="18"/>
                <w:lang w:eastAsia="pt-BR"/>
              </w:rPr>
              <w:t xml:space="preserve"> </w:t>
            </w:r>
          </w:p>
        </w:tc>
      </w:tr>
      <w:tr w:rsidR="00534AB8" w:rsidRPr="007C0F71" w14:paraId="4FDBA2C4" w14:textId="77777777" w:rsidTr="00DF48DA">
        <w:trPr>
          <w:trHeight w:val="255"/>
        </w:trPr>
        <w:tc>
          <w:tcPr>
            <w:tcW w:w="2920" w:type="pct"/>
            <w:tcBorders>
              <w:top w:val="nil"/>
              <w:left w:val="nil"/>
              <w:bottom w:val="nil"/>
              <w:right w:val="nil"/>
            </w:tcBorders>
            <w:shd w:val="clear" w:color="auto" w:fill="auto"/>
            <w:noWrap/>
            <w:vAlign w:val="bottom"/>
            <w:hideMark/>
          </w:tcPr>
          <w:p w14:paraId="53013CDD" w14:textId="4623E8E8" w:rsidR="00534AB8" w:rsidRPr="007C0F71" w:rsidRDefault="008B08CE" w:rsidP="00A451BC">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E</w:t>
            </w:r>
            <w:r w:rsidR="00534AB8" w:rsidRPr="007C0F71">
              <w:rPr>
                <w:rFonts w:ascii="Arial" w:eastAsia="Times New Roman" w:hAnsi="Arial" w:cs="Arial"/>
                <w:color w:val="000000"/>
                <w:sz w:val="20"/>
                <w:szCs w:val="20"/>
                <w:lang w:eastAsia="pt-BR"/>
              </w:rPr>
              <w:t>mpregados admitidos</w:t>
            </w:r>
          </w:p>
        </w:tc>
        <w:tc>
          <w:tcPr>
            <w:tcW w:w="1001" w:type="pct"/>
            <w:tcBorders>
              <w:top w:val="nil"/>
              <w:left w:val="nil"/>
              <w:bottom w:val="nil"/>
              <w:right w:val="nil"/>
            </w:tcBorders>
            <w:shd w:val="clear" w:color="auto" w:fill="auto"/>
            <w:noWrap/>
            <w:vAlign w:val="bottom"/>
            <w:hideMark/>
          </w:tcPr>
          <w:p w14:paraId="7188CB3D" w14:textId="50396196" w:rsidR="00534AB8" w:rsidRPr="007C0F71" w:rsidRDefault="00DF48DA" w:rsidP="00A451BC">
            <w:pPr>
              <w:spacing w:after="0" w:line="240" w:lineRule="auto"/>
              <w:jc w:val="right"/>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70</w:t>
            </w:r>
          </w:p>
        </w:tc>
        <w:tc>
          <w:tcPr>
            <w:tcW w:w="104" w:type="pct"/>
            <w:tcBorders>
              <w:top w:val="nil"/>
              <w:left w:val="nil"/>
              <w:bottom w:val="nil"/>
              <w:right w:val="nil"/>
            </w:tcBorders>
            <w:shd w:val="clear" w:color="auto" w:fill="auto"/>
            <w:noWrap/>
            <w:vAlign w:val="bottom"/>
            <w:hideMark/>
          </w:tcPr>
          <w:p w14:paraId="27E9E503" w14:textId="77777777" w:rsidR="00534AB8" w:rsidRPr="007C0F71" w:rsidRDefault="00534AB8" w:rsidP="00A451BC">
            <w:pPr>
              <w:spacing w:after="0" w:line="240" w:lineRule="auto"/>
              <w:jc w:val="right"/>
              <w:rPr>
                <w:rFonts w:ascii="Segoe UI" w:eastAsia="Times New Roman" w:hAnsi="Segoe UI" w:cs="Segoe UI"/>
                <w:color w:val="000000"/>
                <w:sz w:val="18"/>
                <w:szCs w:val="18"/>
                <w:lang w:eastAsia="pt-BR"/>
              </w:rPr>
            </w:pPr>
          </w:p>
        </w:tc>
        <w:tc>
          <w:tcPr>
            <w:tcW w:w="104" w:type="pct"/>
            <w:tcBorders>
              <w:top w:val="nil"/>
              <w:left w:val="nil"/>
              <w:bottom w:val="nil"/>
              <w:right w:val="nil"/>
            </w:tcBorders>
            <w:shd w:val="clear" w:color="auto" w:fill="auto"/>
            <w:noWrap/>
            <w:vAlign w:val="bottom"/>
            <w:hideMark/>
          </w:tcPr>
          <w:p w14:paraId="530375B0" w14:textId="77777777" w:rsidR="00534AB8" w:rsidRPr="007C0F71" w:rsidRDefault="00534AB8" w:rsidP="00A451BC">
            <w:pPr>
              <w:spacing w:after="0" w:line="240" w:lineRule="auto"/>
              <w:rPr>
                <w:rFonts w:ascii="Times New Roman" w:eastAsia="Times New Roman" w:hAnsi="Times New Roman" w:cs="Times New Roman"/>
                <w:sz w:val="20"/>
                <w:szCs w:val="20"/>
                <w:lang w:eastAsia="pt-BR"/>
              </w:rPr>
            </w:pPr>
          </w:p>
        </w:tc>
        <w:tc>
          <w:tcPr>
            <w:tcW w:w="870" w:type="pct"/>
            <w:tcBorders>
              <w:top w:val="nil"/>
              <w:left w:val="nil"/>
              <w:bottom w:val="nil"/>
              <w:right w:val="nil"/>
            </w:tcBorders>
            <w:shd w:val="clear" w:color="auto" w:fill="auto"/>
            <w:noWrap/>
            <w:vAlign w:val="bottom"/>
            <w:hideMark/>
          </w:tcPr>
          <w:p w14:paraId="46C6B35C" w14:textId="5A17E165" w:rsidR="00534AB8" w:rsidRPr="007C0F71" w:rsidRDefault="00534AB8" w:rsidP="00A451BC">
            <w:pPr>
              <w:spacing w:after="0" w:line="240" w:lineRule="auto"/>
              <w:rPr>
                <w:rFonts w:ascii="Segoe UI" w:eastAsia="Times New Roman" w:hAnsi="Segoe UI" w:cs="Segoe UI"/>
                <w:color w:val="000000"/>
                <w:sz w:val="18"/>
                <w:szCs w:val="18"/>
                <w:lang w:eastAsia="pt-BR"/>
              </w:rPr>
            </w:pPr>
            <w:r w:rsidRPr="007C0F71">
              <w:rPr>
                <w:rFonts w:ascii="Segoe UI" w:eastAsia="Times New Roman" w:hAnsi="Segoe UI" w:cs="Segoe UI"/>
                <w:color w:val="000000"/>
                <w:sz w:val="18"/>
                <w:szCs w:val="18"/>
                <w:lang w:eastAsia="pt-BR"/>
              </w:rPr>
              <w:t xml:space="preserve">                       </w:t>
            </w:r>
            <w:r w:rsidR="00DF48DA">
              <w:rPr>
                <w:rFonts w:ascii="Segoe UI" w:eastAsia="Times New Roman" w:hAnsi="Segoe UI" w:cs="Segoe UI"/>
                <w:color w:val="000000"/>
                <w:sz w:val="18"/>
                <w:szCs w:val="18"/>
                <w:lang w:eastAsia="pt-BR"/>
              </w:rPr>
              <w:t>213</w:t>
            </w:r>
            <w:r w:rsidRPr="007C0F71">
              <w:rPr>
                <w:rFonts w:ascii="Segoe UI" w:eastAsia="Times New Roman" w:hAnsi="Segoe UI" w:cs="Segoe UI"/>
                <w:color w:val="000000"/>
                <w:sz w:val="18"/>
                <w:szCs w:val="18"/>
                <w:lang w:eastAsia="pt-BR"/>
              </w:rPr>
              <w:t xml:space="preserve"> </w:t>
            </w:r>
          </w:p>
        </w:tc>
      </w:tr>
    </w:tbl>
    <w:p w14:paraId="0DC0DAC9" w14:textId="3A960791" w:rsidR="00534AB8" w:rsidRDefault="00534AB8" w:rsidP="00710E6D"/>
    <w:p w14:paraId="27C1C21D" w14:textId="77777777" w:rsidR="008B08CE" w:rsidRDefault="008B08CE">
      <w:pPr>
        <w:rPr>
          <w:rFonts w:ascii="Segoe UI" w:hAnsi="Segoe UI" w:cs="Segoe UI"/>
          <w:b/>
          <w:color w:val="0070C0"/>
        </w:rPr>
      </w:pPr>
      <w:r>
        <w:rPr>
          <w:rFonts w:ascii="Segoe UI" w:hAnsi="Segoe UI" w:cs="Segoe UI"/>
          <w:b/>
          <w:color w:val="0070C0"/>
        </w:rPr>
        <w:br w:type="page"/>
      </w:r>
    </w:p>
    <w:p w14:paraId="47F26288" w14:textId="6011D914" w:rsidR="002B1787" w:rsidRDefault="005B6BD5" w:rsidP="00326F3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lastRenderedPageBreak/>
        <w:t>3</w:t>
      </w:r>
      <w:r w:rsidR="002A4E82">
        <w:rPr>
          <w:rFonts w:ascii="Segoe UI" w:hAnsi="Segoe UI" w:cs="Segoe UI"/>
          <w:b/>
          <w:color w:val="0070C0"/>
        </w:rPr>
        <w:t>3</w:t>
      </w:r>
      <w:r w:rsidRPr="000757BC">
        <w:rPr>
          <w:rFonts w:ascii="Segoe UI" w:hAnsi="Segoe UI" w:cs="Segoe UI"/>
          <w:b/>
          <w:color w:val="0070C0"/>
        </w:rPr>
        <w:t xml:space="preserve"> </w:t>
      </w:r>
      <w:r w:rsidR="002B1787" w:rsidRPr="000757BC">
        <w:rPr>
          <w:rFonts w:ascii="Segoe UI" w:hAnsi="Segoe UI" w:cs="Segoe UI"/>
          <w:b/>
          <w:color w:val="0070C0"/>
        </w:rPr>
        <w:t>– SEGUROS</w:t>
      </w:r>
    </w:p>
    <w:p w14:paraId="38BAC609" w14:textId="706A2C6D" w:rsidR="00B53E3D" w:rsidRPr="000757BC" w:rsidRDefault="00B53E3D" w:rsidP="00400430">
      <w:pPr>
        <w:spacing w:before="240" w:after="120"/>
        <w:jc w:val="both"/>
        <w:rPr>
          <w:rFonts w:ascii="Segoe UI" w:hAnsi="Segoe UI" w:cs="Segoe UI"/>
        </w:rPr>
      </w:pPr>
      <w:r w:rsidRPr="000757BC">
        <w:rPr>
          <w:rFonts w:ascii="Segoe UI" w:hAnsi="Segoe UI" w:cs="Segoe UI"/>
        </w:rPr>
        <w:t xml:space="preserve">A </w:t>
      </w:r>
      <w:r w:rsidR="006156E3">
        <w:rPr>
          <w:rFonts w:ascii="Segoe UI" w:hAnsi="Segoe UI" w:cs="Segoe UI"/>
        </w:rPr>
        <w:t xml:space="preserve">Eletronuclear e </w:t>
      </w:r>
      <w:r w:rsidR="002A4E82">
        <w:rPr>
          <w:rFonts w:ascii="Segoe UI" w:hAnsi="Segoe UI" w:cs="Segoe UI"/>
        </w:rPr>
        <w:t xml:space="preserve">a </w:t>
      </w:r>
      <w:r w:rsidR="006156E3">
        <w:rPr>
          <w:rFonts w:ascii="Segoe UI" w:hAnsi="Segoe UI" w:cs="Segoe UI"/>
        </w:rPr>
        <w:t xml:space="preserve">INB </w:t>
      </w:r>
      <w:r w:rsidR="002C4F36" w:rsidRPr="000757BC">
        <w:rPr>
          <w:rFonts w:ascii="Segoe UI" w:hAnsi="Segoe UI" w:cs="Segoe UI"/>
        </w:rPr>
        <w:t>mantêm</w:t>
      </w:r>
      <w:r w:rsidRPr="000757BC">
        <w:rPr>
          <w:rFonts w:ascii="Segoe UI" w:hAnsi="Segoe UI" w:cs="Segoe UI"/>
        </w:rPr>
        <w:t xml:space="preserve"> política</w:t>
      </w:r>
      <w:r w:rsidR="00F4192D" w:rsidRPr="000757BC">
        <w:rPr>
          <w:rFonts w:ascii="Segoe UI" w:hAnsi="Segoe UI" w:cs="Segoe UI"/>
        </w:rPr>
        <w:t>s</w:t>
      </w:r>
      <w:r w:rsidRPr="000757BC">
        <w:rPr>
          <w:rFonts w:ascii="Segoe UI" w:hAnsi="Segoe UI" w:cs="Segoe UI"/>
        </w:rPr>
        <w:t xml:space="preserve"> de seguros considerada</w:t>
      </w:r>
      <w:r w:rsidR="00F4192D" w:rsidRPr="000757BC">
        <w:rPr>
          <w:rFonts w:ascii="Segoe UI" w:hAnsi="Segoe UI" w:cs="Segoe UI"/>
        </w:rPr>
        <w:t>s</w:t>
      </w:r>
      <w:r w:rsidRPr="000757BC">
        <w:rPr>
          <w:rFonts w:ascii="Segoe UI" w:hAnsi="Segoe UI" w:cs="Segoe UI"/>
        </w:rPr>
        <w:t xml:space="preserve"> pela</w:t>
      </w:r>
      <w:r w:rsidR="00F4192D" w:rsidRPr="000757BC">
        <w:rPr>
          <w:rFonts w:ascii="Segoe UI" w:hAnsi="Segoe UI" w:cs="Segoe UI"/>
        </w:rPr>
        <w:t>s</w:t>
      </w:r>
      <w:r w:rsidRPr="000757BC">
        <w:rPr>
          <w:rFonts w:ascii="Segoe UI" w:hAnsi="Segoe UI" w:cs="Segoe UI"/>
        </w:rPr>
        <w:t xml:space="preserve"> </w:t>
      </w:r>
      <w:r w:rsidR="00F4192D" w:rsidRPr="000757BC">
        <w:rPr>
          <w:rFonts w:ascii="Segoe UI" w:hAnsi="Segoe UI" w:cs="Segoe UI"/>
        </w:rPr>
        <w:t xml:space="preserve">administrações </w:t>
      </w:r>
      <w:r w:rsidRPr="000757BC">
        <w:rPr>
          <w:rFonts w:ascii="Segoe UI" w:hAnsi="Segoe UI" w:cs="Segoe UI"/>
        </w:rPr>
        <w:t>como suficiente</w:t>
      </w:r>
      <w:r w:rsidR="00F4192D" w:rsidRPr="000757BC">
        <w:rPr>
          <w:rFonts w:ascii="Segoe UI" w:hAnsi="Segoe UI" w:cs="Segoe UI"/>
        </w:rPr>
        <w:t>s</w:t>
      </w:r>
      <w:r w:rsidRPr="000757BC">
        <w:rPr>
          <w:rFonts w:ascii="Segoe UI" w:hAnsi="Segoe UI" w:cs="Segoe UI"/>
        </w:rPr>
        <w:t xml:space="preserve"> para cobrir eventuais perdas, considerando os principais ativos, bem como a responsabilidade civil inerente a</w:t>
      </w:r>
      <w:r w:rsidR="002A4E82">
        <w:rPr>
          <w:rFonts w:ascii="Segoe UI" w:hAnsi="Segoe UI" w:cs="Segoe UI"/>
        </w:rPr>
        <w:t>s</w:t>
      </w:r>
      <w:r w:rsidRPr="000757BC">
        <w:rPr>
          <w:rFonts w:ascii="Segoe UI" w:hAnsi="Segoe UI" w:cs="Segoe UI"/>
        </w:rPr>
        <w:t xml:space="preserve"> suas atividades. </w:t>
      </w:r>
    </w:p>
    <w:p w14:paraId="704C1DCF" w14:textId="77777777" w:rsidR="00B53E3D" w:rsidRPr="000757BC" w:rsidRDefault="00B53E3D" w:rsidP="00400430">
      <w:pPr>
        <w:spacing w:before="240" w:after="120"/>
        <w:jc w:val="both"/>
        <w:rPr>
          <w:rFonts w:ascii="Segoe UI" w:hAnsi="Segoe UI" w:cs="Segoe UI"/>
        </w:rPr>
      </w:pPr>
      <w:r w:rsidRPr="000757BC">
        <w:rPr>
          <w:rFonts w:ascii="Segoe UI" w:hAnsi="Segoe UI" w:cs="Segoe UI"/>
        </w:rPr>
        <w:t>Os valores segurados referem-se ao total das apólices vigentes para reembolso em caso de sinistro, representados pela quantidade de moeda de origem convertida para reais, pela respectiva cotação na data das demonstrações financeiras.</w:t>
      </w:r>
    </w:p>
    <w:p w14:paraId="33208689" w14:textId="77777777" w:rsidR="00B53E3D" w:rsidRPr="000757BC" w:rsidRDefault="00B53E3D" w:rsidP="00400430">
      <w:pPr>
        <w:spacing w:before="240" w:after="120"/>
        <w:jc w:val="both"/>
        <w:rPr>
          <w:rFonts w:ascii="Segoe UI" w:hAnsi="Segoe UI" w:cs="Segoe UI"/>
        </w:rPr>
      </w:pPr>
      <w:r w:rsidRPr="000757BC">
        <w:rPr>
          <w:rFonts w:ascii="Segoe UI" w:hAnsi="Segoe UI" w:cs="Segoe UI"/>
        </w:rPr>
        <w:t>Como prêmio, estão apresentados os valores pagos e a pagar das apólices, na moeda de origem, atualizados para equivalente em reais pela respectiva cotação na data das demonstrações financeiras.</w:t>
      </w:r>
    </w:p>
    <w:p w14:paraId="01D604D3" w14:textId="30DEF01F" w:rsidR="00BF0E14" w:rsidRPr="000757BC" w:rsidRDefault="00B53E3D" w:rsidP="00400430">
      <w:pPr>
        <w:spacing w:before="240" w:after="120"/>
        <w:jc w:val="both"/>
        <w:rPr>
          <w:rFonts w:ascii="Segoe UI" w:hAnsi="Segoe UI" w:cs="Segoe UI"/>
        </w:rPr>
      </w:pPr>
      <w:r w:rsidRPr="000757BC">
        <w:rPr>
          <w:rFonts w:ascii="Segoe UI" w:hAnsi="Segoe UI" w:cs="Segoe UI"/>
        </w:rPr>
        <w:t xml:space="preserve">Na </w:t>
      </w:r>
      <w:r w:rsidR="006601FD">
        <w:rPr>
          <w:rFonts w:ascii="Segoe UI" w:hAnsi="Segoe UI" w:cs="Segoe UI"/>
        </w:rPr>
        <w:t>c</w:t>
      </w:r>
      <w:r w:rsidR="00546002">
        <w:rPr>
          <w:rFonts w:ascii="Segoe UI" w:hAnsi="Segoe UI" w:cs="Segoe UI"/>
        </w:rPr>
        <w:t>ontrolada</w:t>
      </w:r>
      <w:r w:rsidRPr="000757BC">
        <w:rPr>
          <w:rFonts w:ascii="Segoe UI" w:hAnsi="Segoe UI" w:cs="Segoe UI"/>
        </w:rPr>
        <w:t xml:space="preserve"> Eletronuclear, o montante global segurado em </w:t>
      </w:r>
      <w:r w:rsidR="0051501D" w:rsidRPr="000757BC">
        <w:rPr>
          <w:rFonts w:ascii="Segoe UI" w:hAnsi="Segoe UI" w:cs="Segoe UI"/>
        </w:rPr>
        <w:t>31 de dezembro de 2022</w:t>
      </w:r>
      <w:r w:rsidRPr="000757BC">
        <w:rPr>
          <w:rFonts w:ascii="Segoe UI" w:hAnsi="Segoe UI" w:cs="Segoe UI"/>
        </w:rPr>
        <w:t>, é de R$33.</w:t>
      </w:r>
      <w:r w:rsidR="00A97DF6">
        <w:rPr>
          <w:rFonts w:ascii="Segoe UI" w:hAnsi="Segoe UI" w:cs="Segoe UI"/>
        </w:rPr>
        <w:t>199</w:t>
      </w:r>
      <w:r w:rsidR="002A4E82">
        <w:rPr>
          <w:rFonts w:ascii="Segoe UI" w:hAnsi="Segoe UI" w:cs="Segoe UI"/>
        </w:rPr>
        <w:t>.</w:t>
      </w:r>
      <w:r w:rsidR="00A97DF6">
        <w:rPr>
          <w:rFonts w:ascii="Segoe UI" w:hAnsi="Segoe UI" w:cs="Segoe UI"/>
        </w:rPr>
        <w:t>549</w:t>
      </w:r>
      <w:r w:rsidRPr="000757BC">
        <w:rPr>
          <w:rFonts w:ascii="Segoe UI" w:hAnsi="Segoe UI" w:cs="Segoe UI"/>
        </w:rPr>
        <w:t xml:space="preserve"> e está assim distribuído:</w:t>
      </w:r>
    </w:p>
    <w:tbl>
      <w:tblPr>
        <w:tblW w:w="5000" w:type="pct"/>
        <w:tblCellMar>
          <w:left w:w="70" w:type="dxa"/>
          <w:right w:w="70" w:type="dxa"/>
        </w:tblCellMar>
        <w:tblLook w:val="04A0" w:firstRow="1" w:lastRow="0" w:firstColumn="1" w:lastColumn="0" w:noHBand="0" w:noVBand="1"/>
      </w:tblPr>
      <w:tblGrid>
        <w:gridCol w:w="4663"/>
        <w:gridCol w:w="1128"/>
        <w:gridCol w:w="146"/>
        <w:gridCol w:w="1503"/>
        <w:gridCol w:w="146"/>
        <w:gridCol w:w="1911"/>
      </w:tblGrid>
      <w:tr w:rsidR="00C01ECA" w:rsidRPr="00C01ECA" w14:paraId="3E8AF2F1" w14:textId="77777777" w:rsidTr="00C01ECA">
        <w:trPr>
          <w:trHeight w:val="240"/>
        </w:trPr>
        <w:tc>
          <w:tcPr>
            <w:tcW w:w="2666" w:type="pct"/>
            <w:tcBorders>
              <w:top w:val="nil"/>
              <w:left w:val="nil"/>
              <w:bottom w:val="nil"/>
              <w:right w:val="nil"/>
            </w:tcBorders>
            <w:shd w:val="clear" w:color="auto" w:fill="auto"/>
            <w:vAlign w:val="bottom"/>
            <w:hideMark/>
          </w:tcPr>
          <w:p w14:paraId="2D17D85B" w14:textId="77777777" w:rsidR="00C01ECA" w:rsidRPr="00C01ECA" w:rsidRDefault="00C01ECA" w:rsidP="00C01ECA">
            <w:pPr>
              <w:spacing w:after="0" w:line="240" w:lineRule="auto"/>
              <w:rPr>
                <w:rFonts w:ascii="Times New Roman" w:eastAsia="Times New Roman" w:hAnsi="Times New Roman" w:cs="Times New Roman"/>
                <w:sz w:val="24"/>
                <w:szCs w:val="24"/>
                <w:lang w:eastAsia="pt-BR"/>
              </w:rPr>
            </w:pPr>
          </w:p>
        </w:tc>
        <w:tc>
          <w:tcPr>
            <w:tcW w:w="686" w:type="pct"/>
            <w:tcBorders>
              <w:top w:val="nil"/>
              <w:left w:val="nil"/>
              <w:bottom w:val="nil"/>
              <w:right w:val="nil"/>
            </w:tcBorders>
            <w:shd w:val="clear" w:color="000000" w:fill="1B80C4"/>
            <w:noWrap/>
            <w:vAlign w:val="bottom"/>
            <w:hideMark/>
          </w:tcPr>
          <w:p w14:paraId="06D3F74D" w14:textId="77777777" w:rsidR="00C01ECA" w:rsidRPr="00C01ECA" w:rsidRDefault="00C01ECA" w:rsidP="00C01ECA">
            <w:pPr>
              <w:spacing w:after="0" w:line="240" w:lineRule="auto"/>
              <w:jc w:val="center"/>
              <w:rPr>
                <w:rFonts w:ascii="Segoe UI" w:eastAsia="Times New Roman" w:hAnsi="Segoe UI" w:cs="Segoe UI"/>
                <w:b/>
                <w:bCs/>
                <w:color w:val="FFFFFF"/>
                <w:sz w:val="18"/>
                <w:szCs w:val="18"/>
                <w:lang w:eastAsia="pt-BR"/>
              </w:rPr>
            </w:pPr>
            <w:r w:rsidRPr="00C01ECA">
              <w:rPr>
                <w:rFonts w:ascii="Segoe UI" w:eastAsia="Times New Roman" w:hAnsi="Segoe UI" w:cs="Segoe UI"/>
                <w:b/>
                <w:bCs/>
                <w:color w:val="FFFFFF"/>
                <w:sz w:val="18"/>
                <w:szCs w:val="18"/>
                <w:lang w:eastAsia="pt-BR"/>
              </w:rPr>
              <w:t xml:space="preserve"> Vigência </w:t>
            </w:r>
          </w:p>
        </w:tc>
        <w:tc>
          <w:tcPr>
            <w:tcW w:w="121" w:type="pct"/>
            <w:tcBorders>
              <w:top w:val="nil"/>
              <w:left w:val="nil"/>
              <w:bottom w:val="nil"/>
              <w:right w:val="nil"/>
            </w:tcBorders>
            <w:shd w:val="clear" w:color="auto" w:fill="auto"/>
            <w:vAlign w:val="center"/>
            <w:hideMark/>
          </w:tcPr>
          <w:p w14:paraId="0CC2E917" w14:textId="77777777" w:rsidR="00C01ECA" w:rsidRPr="00C01ECA" w:rsidRDefault="00C01ECA" w:rsidP="00C01ECA">
            <w:pPr>
              <w:spacing w:after="0" w:line="240" w:lineRule="auto"/>
              <w:jc w:val="center"/>
              <w:rPr>
                <w:rFonts w:ascii="Segoe UI" w:eastAsia="Times New Roman" w:hAnsi="Segoe UI" w:cs="Segoe UI"/>
                <w:b/>
                <w:bCs/>
                <w:color w:val="FFFFFF"/>
                <w:sz w:val="18"/>
                <w:szCs w:val="18"/>
                <w:lang w:eastAsia="pt-BR"/>
              </w:rPr>
            </w:pPr>
          </w:p>
        </w:tc>
        <w:tc>
          <w:tcPr>
            <w:tcW w:w="624" w:type="pct"/>
            <w:tcBorders>
              <w:top w:val="nil"/>
              <w:left w:val="nil"/>
              <w:bottom w:val="nil"/>
              <w:right w:val="nil"/>
            </w:tcBorders>
            <w:shd w:val="clear" w:color="000000" w:fill="1B80C4"/>
            <w:noWrap/>
            <w:vAlign w:val="bottom"/>
            <w:hideMark/>
          </w:tcPr>
          <w:p w14:paraId="2C74DFF6" w14:textId="77777777" w:rsidR="00C01ECA" w:rsidRPr="00C01ECA" w:rsidRDefault="00C01ECA" w:rsidP="00C01ECA">
            <w:pPr>
              <w:spacing w:after="0" w:line="240" w:lineRule="auto"/>
              <w:jc w:val="center"/>
              <w:rPr>
                <w:rFonts w:ascii="Segoe UI" w:eastAsia="Times New Roman" w:hAnsi="Segoe UI" w:cs="Segoe UI"/>
                <w:b/>
                <w:bCs/>
                <w:color w:val="FFFFFF"/>
                <w:sz w:val="18"/>
                <w:szCs w:val="18"/>
                <w:lang w:eastAsia="pt-BR"/>
              </w:rPr>
            </w:pPr>
            <w:r w:rsidRPr="00C01ECA">
              <w:rPr>
                <w:rFonts w:ascii="Segoe UI" w:eastAsia="Times New Roman" w:hAnsi="Segoe UI" w:cs="Segoe UI"/>
                <w:b/>
                <w:bCs/>
                <w:color w:val="FFFFFF"/>
                <w:sz w:val="18"/>
                <w:szCs w:val="18"/>
                <w:lang w:eastAsia="pt-BR"/>
              </w:rPr>
              <w:t xml:space="preserve"> Valor Segurado </w:t>
            </w:r>
          </w:p>
        </w:tc>
        <w:tc>
          <w:tcPr>
            <w:tcW w:w="121" w:type="pct"/>
            <w:tcBorders>
              <w:top w:val="nil"/>
              <w:left w:val="nil"/>
              <w:bottom w:val="nil"/>
              <w:right w:val="nil"/>
            </w:tcBorders>
            <w:shd w:val="clear" w:color="auto" w:fill="auto"/>
            <w:vAlign w:val="center"/>
            <w:hideMark/>
          </w:tcPr>
          <w:p w14:paraId="1AC0BA95" w14:textId="77777777" w:rsidR="00C01ECA" w:rsidRPr="00C01ECA" w:rsidRDefault="00C01ECA" w:rsidP="00C01ECA">
            <w:pPr>
              <w:spacing w:after="0" w:line="240" w:lineRule="auto"/>
              <w:jc w:val="center"/>
              <w:rPr>
                <w:rFonts w:ascii="Segoe UI" w:eastAsia="Times New Roman" w:hAnsi="Segoe UI" w:cs="Segoe UI"/>
                <w:b/>
                <w:bCs/>
                <w:color w:val="FFFFFF"/>
                <w:sz w:val="18"/>
                <w:szCs w:val="18"/>
                <w:lang w:eastAsia="pt-BR"/>
              </w:rPr>
            </w:pPr>
          </w:p>
        </w:tc>
        <w:tc>
          <w:tcPr>
            <w:tcW w:w="781" w:type="pct"/>
            <w:tcBorders>
              <w:top w:val="nil"/>
              <w:left w:val="nil"/>
              <w:bottom w:val="nil"/>
              <w:right w:val="nil"/>
            </w:tcBorders>
            <w:shd w:val="clear" w:color="000000" w:fill="1B80C4"/>
            <w:noWrap/>
            <w:vAlign w:val="bottom"/>
            <w:hideMark/>
          </w:tcPr>
          <w:p w14:paraId="6EC2B447" w14:textId="77777777" w:rsidR="00C01ECA" w:rsidRPr="00C01ECA" w:rsidRDefault="00C01ECA" w:rsidP="00C01ECA">
            <w:pPr>
              <w:spacing w:after="0" w:line="240" w:lineRule="auto"/>
              <w:jc w:val="center"/>
              <w:rPr>
                <w:rFonts w:ascii="Segoe UI" w:eastAsia="Times New Roman" w:hAnsi="Segoe UI" w:cs="Segoe UI"/>
                <w:b/>
                <w:bCs/>
                <w:color w:val="FFFFFF"/>
                <w:sz w:val="18"/>
                <w:szCs w:val="18"/>
                <w:lang w:eastAsia="pt-BR"/>
              </w:rPr>
            </w:pPr>
            <w:r w:rsidRPr="00C01ECA">
              <w:rPr>
                <w:rFonts w:ascii="Segoe UI" w:eastAsia="Times New Roman" w:hAnsi="Segoe UI" w:cs="Segoe UI"/>
                <w:b/>
                <w:bCs/>
                <w:color w:val="FFFFFF"/>
                <w:sz w:val="18"/>
                <w:szCs w:val="18"/>
                <w:lang w:eastAsia="pt-BR"/>
              </w:rPr>
              <w:t xml:space="preserve"> Prêmio Equivalente </w:t>
            </w:r>
          </w:p>
        </w:tc>
      </w:tr>
      <w:tr w:rsidR="00C01ECA" w:rsidRPr="00C01ECA" w14:paraId="4A18A039" w14:textId="77777777" w:rsidTr="00C01ECA">
        <w:trPr>
          <w:trHeight w:val="240"/>
        </w:trPr>
        <w:tc>
          <w:tcPr>
            <w:tcW w:w="2666" w:type="pct"/>
            <w:tcBorders>
              <w:top w:val="nil"/>
              <w:left w:val="nil"/>
              <w:bottom w:val="nil"/>
              <w:right w:val="nil"/>
            </w:tcBorders>
            <w:shd w:val="clear" w:color="auto" w:fill="auto"/>
            <w:noWrap/>
            <w:vAlign w:val="center"/>
            <w:hideMark/>
          </w:tcPr>
          <w:p w14:paraId="7396D7CC" w14:textId="77777777" w:rsidR="00C01ECA" w:rsidRPr="00C01ECA" w:rsidRDefault="00C01ECA" w:rsidP="00C01ECA">
            <w:pPr>
              <w:spacing w:after="0" w:line="240" w:lineRule="auto"/>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Riscos nucleares:</w:t>
            </w:r>
          </w:p>
        </w:tc>
        <w:tc>
          <w:tcPr>
            <w:tcW w:w="686" w:type="pct"/>
            <w:tcBorders>
              <w:top w:val="nil"/>
              <w:left w:val="nil"/>
              <w:bottom w:val="nil"/>
              <w:right w:val="nil"/>
            </w:tcBorders>
            <w:shd w:val="clear" w:color="auto" w:fill="auto"/>
            <w:noWrap/>
            <w:vAlign w:val="center"/>
            <w:hideMark/>
          </w:tcPr>
          <w:p w14:paraId="7CE19B8D" w14:textId="77777777" w:rsidR="00C01ECA" w:rsidRPr="00C01ECA" w:rsidRDefault="00C01ECA" w:rsidP="00C01ECA">
            <w:pPr>
              <w:spacing w:after="0" w:line="240" w:lineRule="auto"/>
              <w:jc w:val="center"/>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30/10/2023</w:t>
            </w:r>
          </w:p>
        </w:tc>
        <w:tc>
          <w:tcPr>
            <w:tcW w:w="121" w:type="pct"/>
            <w:tcBorders>
              <w:top w:val="nil"/>
              <w:left w:val="nil"/>
              <w:bottom w:val="nil"/>
              <w:right w:val="nil"/>
            </w:tcBorders>
            <w:shd w:val="clear" w:color="auto" w:fill="auto"/>
            <w:noWrap/>
            <w:vAlign w:val="bottom"/>
            <w:hideMark/>
          </w:tcPr>
          <w:p w14:paraId="76196688" w14:textId="77777777" w:rsidR="00C01ECA" w:rsidRPr="00C01ECA" w:rsidRDefault="00C01ECA" w:rsidP="00C01ECA">
            <w:pPr>
              <w:spacing w:after="0" w:line="240" w:lineRule="auto"/>
              <w:jc w:val="center"/>
              <w:rPr>
                <w:rFonts w:ascii="Segoe UI" w:eastAsia="Times New Roman" w:hAnsi="Segoe UI" w:cs="Segoe UI"/>
                <w:b/>
                <w:bCs/>
                <w:color w:val="000000"/>
                <w:sz w:val="18"/>
                <w:szCs w:val="18"/>
                <w:lang w:eastAsia="pt-BR"/>
              </w:rPr>
            </w:pPr>
          </w:p>
        </w:tc>
        <w:tc>
          <w:tcPr>
            <w:tcW w:w="624" w:type="pct"/>
            <w:tcBorders>
              <w:top w:val="nil"/>
              <w:left w:val="nil"/>
              <w:bottom w:val="single" w:sz="4" w:space="0" w:color="1B80C4"/>
              <w:right w:val="nil"/>
            </w:tcBorders>
            <w:shd w:val="clear" w:color="auto" w:fill="auto"/>
            <w:noWrap/>
            <w:vAlign w:val="center"/>
            <w:hideMark/>
          </w:tcPr>
          <w:p w14:paraId="477F686A"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20.848.886</w:t>
            </w:r>
          </w:p>
        </w:tc>
        <w:tc>
          <w:tcPr>
            <w:tcW w:w="121" w:type="pct"/>
            <w:tcBorders>
              <w:top w:val="nil"/>
              <w:left w:val="nil"/>
              <w:bottom w:val="nil"/>
              <w:right w:val="nil"/>
            </w:tcBorders>
            <w:shd w:val="clear" w:color="auto" w:fill="auto"/>
            <w:noWrap/>
            <w:vAlign w:val="bottom"/>
            <w:hideMark/>
          </w:tcPr>
          <w:p w14:paraId="7DD591D5"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p>
        </w:tc>
        <w:tc>
          <w:tcPr>
            <w:tcW w:w="781" w:type="pct"/>
            <w:tcBorders>
              <w:top w:val="nil"/>
              <w:left w:val="nil"/>
              <w:bottom w:val="single" w:sz="4" w:space="0" w:color="1B80C4"/>
              <w:right w:val="nil"/>
            </w:tcBorders>
            <w:shd w:val="clear" w:color="auto" w:fill="auto"/>
            <w:noWrap/>
            <w:vAlign w:val="center"/>
            <w:hideMark/>
          </w:tcPr>
          <w:p w14:paraId="054884BB"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29.951</w:t>
            </w:r>
          </w:p>
        </w:tc>
      </w:tr>
      <w:tr w:rsidR="00C01ECA" w:rsidRPr="00C01ECA" w14:paraId="7632EB8D" w14:textId="77777777" w:rsidTr="00C01ECA">
        <w:trPr>
          <w:trHeight w:val="240"/>
        </w:trPr>
        <w:tc>
          <w:tcPr>
            <w:tcW w:w="2666" w:type="pct"/>
            <w:tcBorders>
              <w:top w:val="nil"/>
              <w:left w:val="nil"/>
              <w:bottom w:val="nil"/>
              <w:right w:val="nil"/>
            </w:tcBorders>
            <w:shd w:val="clear" w:color="auto" w:fill="auto"/>
            <w:noWrap/>
            <w:vAlign w:val="center"/>
            <w:hideMark/>
          </w:tcPr>
          <w:p w14:paraId="2DC77D94"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Danos materiais</w:t>
            </w:r>
          </w:p>
        </w:tc>
        <w:tc>
          <w:tcPr>
            <w:tcW w:w="686" w:type="pct"/>
            <w:tcBorders>
              <w:top w:val="nil"/>
              <w:left w:val="nil"/>
              <w:bottom w:val="nil"/>
              <w:right w:val="nil"/>
            </w:tcBorders>
            <w:shd w:val="clear" w:color="auto" w:fill="auto"/>
            <w:noWrap/>
            <w:vAlign w:val="bottom"/>
            <w:hideMark/>
          </w:tcPr>
          <w:p w14:paraId="59296C8F"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253682F7"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center"/>
            <w:hideMark/>
          </w:tcPr>
          <w:p w14:paraId="374B0F7A"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19.044.605</w:t>
            </w:r>
          </w:p>
        </w:tc>
        <w:tc>
          <w:tcPr>
            <w:tcW w:w="121" w:type="pct"/>
            <w:tcBorders>
              <w:top w:val="nil"/>
              <w:left w:val="nil"/>
              <w:bottom w:val="nil"/>
              <w:right w:val="nil"/>
            </w:tcBorders>
            <w:shd w:val="clear" w:color="auto" w:fill="auto"/>
            <w:noWrap/>
            <w:vAlign w:val="bottom"/>
            <w:hideMark/>
          </w:tcPr>
          <w:p w14:paraId="559D9BAD"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p>
        </w:tc>
        <w:tc>
          <w:tcPr>
            <w:tcW w:w="781" w:type="pct"/>
            <w:tcBorders>
              <w:top w:val="nil"/>
              <w:left w:val="nil"/>
              <w:bottom w:val="nil"/>
              <w:right w:val="nil"/>
            </w:tcBorders>
            <w:shd w:val="clear" w:color="auto" w:fill="auto"/>
            <w:noWrap/>
            <w:vAlign w:val="center"/>
            <w:hideMark/>
          </w:tcPr>
          <w:p w14:paraId="1A6A2C51"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20.964</w:t>
            </w:r>
          </w:p>
        </w:tc>
      </w:tr>
      <w:tr w:rsidR="00C01ECA" w:rsidRPr="00C01ECA" w14:paraId="6D3C41F6" w14:textId="77777777" w:rsidTr="00C01ECA">
        <w:trPr>
          <w:trHeight w:val="240"/>
        </w:trPr>
        <w:tc>
          <w:tcPr>
            <w:tcW w:w="2666" w:type="pct"/>
            <w:tcBorders>
              <w:top w:val="nil"/>
              <w:left w:val="nil"/>
              <w:bottom w:val="nil"/>
              <w:right w:val="nil"/>
            </w:tcBorders>
            <w:shd w:val="clear" w:color="auto" w:fill="auto"/>
            <w:noWrap/>
            <w:vAlign w:val="center"/>
            <w:hideMark/>
          </w:tcPr>
          <w:p w14:paraId="1A836F0B"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Responsabilidade civil</w:t>
            </w:r>
          </w:p>
        </w:tc>
        <w:tc>
          <w:tcPr>
            <w:tcW w:w="686" w:type="pct"/>
            <w:tcBorders>
              <w:top w:val="nil"/>
              <w:left w:val="nil"/>
              <w:bottom w:val="nil"/>
              <w:right w:val="nil"/>
            </w:tcBorders>
            <w:shd w:val="clear" w:color="auto" w:fill="auto"/>
            <w:noWrap/>
            <w:vAlign w:val="bottom"/>
            <w:hideMark/>
          </w:tcPr>
          <w:p w14:paraId="3F47C559"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3F6AC4B1"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center"/>
            <w:hideMark/>
          </w:tcPr>
          <w:p w14:paraId="7E08A093"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1.804.281</w:t>
            </w:r>
          </w:p>
        </w:tc>
        <w:tc>
          <w:tcPr>
            <w:tcW w:w="121" w:type="pct"/>
            <w:tcBorders>
              <w:top w:val="nil"/>
              <w:left w:val="nil"/>
              <w:bottom w:val="nil"/>
              <w:right w:val="nil"/>
            </w:tcBorders>
            <w:shd w:val="clear" w:color="auto" w:fill="auto"/>
            <w:noWrap/>
            <w:vAlign w:val="bottom"/>
            <w:hideMark/>
          </w:tcPr>
          <w:p w14:paraId="2C052549"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p>
        </w:tc>
        <w:tc>
          <w:tcPr>
            <w:tcW w:w="781" w:type="pct"/>
            <w:tcBorders>
              <w:top w:val="nil"/>
              <w:left w:val="nil"/>
              <w:bottom w:val="nil"/>
              <w:right w:val="nil"/>
            </w:tcBorders>
            <w:shd w:val="clear" w:color="auto" w:fill="auto"/>
            <w:noWrap/>
            <w:vAlign w:val="center"/>
            <w:hideMark/>
          </w:tcPr>
          <w:p w14:paraId="5C741AFD"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8.987</w:t>
            </w:r>
          </w:p>
        </w:tc>
      </w:tr>
      <w:tr w:rsidR="00C01ECA" w:rsidRPr="00C01ECA" w14:paraId="17D83388" w14:textId="77777777" w:rsidTr="00C01ECA">
        <w:trPr>
          <w:trHeight w:val="240"/>
        </w:trPr>
        <w:tc>
          <w:tcPr>
            <w:tcW w:w="2666" w:type="pct"/>
            <w:tcBorders>
              <w:top w:val="nil"/>
              <w:left w:val="nil"/>
              <w:bottom w:val="nil"/>
              <w:right w:val="nil"/>
            </w:tcBorders>
            <w:shd w:val="clear" w:color="auto" w:fill="auto"/>
            <w:noWrap/>
            <w:vAlign w:val="bottom"/>
            <w:hideMark/>
          </w:tcPr>
          <w:p w14:paraId="3BBB6358"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p>
        </w:tc>
        <w:tc>
          <w:tcPr>
            <w:tcW w:w="686" w:type="pct"/>
            <w:tcBorders>
              <w:top w:val="nil"/>
              <w:left w:val="nil"/>
              <w:bottom w:val="nil"/>
              <w:right w:val="nil"/>
            </w:tcBorders>
            <w:shd w:val="clear" w:color="auto" w:fill="auto"/>
            <w:noWrap/>
            <w:vAlign w:val="bottom"/>
            <w:hideMark/>
          </w:tcPr>
          <w:p w14:paraId="1EDEECE1"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121" w:type="pct"/>
            <w:tcBorders>
              <w:top w:val="nil"/>
              <w:left w:val="nil"/>
              <w:bottom w:val="nil"/>
              <w:right w:val="nil"/>
            </w:tcBorders>
            <w:shd w:val="clear" w:color="auto" w:fill="auto"/>
            <w:noWrap/>
            <w:vAlign w:val="bottom"/>
            <w:hideMark/>
          </w:tcPr>
          <w:p w14:paraId="69323945"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46CBFB7C"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121" w:type="pct"/>
            <w:tcBorders>
              <w:top w:val="nil"/>
              <w:left w:val="nil"/>
              <w:bottom w:val="nil"/>
              <w:right w:val="nil"/>
            </w:tcBorders>
            <w:shd w:val="clear" w:color="auto" w:fill="auto"/>
            <w:noWrap/>
            <w:vAlign w:val="bottom"/>
            <w:hideMark/>
          </w:tcPr>
          <w:p w14:paraId="1A7BA1B6"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781" w:type="pct"/>
            <w:tcBorders>
              <w:top w:val="nil"/>
              <w:left w:val="nil"/>
              <w:bottom w:val="nil"/>
              <w:right w:val="nil"/>
            </w:tcBorders>
            <w:shd w:val="clear" w:color="auto" w:fill="auto"/>
            <w:noWrap/>
            <w:vAlign w:val="bottom"/>
            <w:hideMark/>
          </w:tcPr>
          <w:p w14:paraId="13F7788B"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r>
      <w:tr w:rsidR="00C01ECA" w:rsidRPr="00C01ECA" w14:paraId="6503F0E9" w14:textId="77777777" w:rsidTr="00C01ECA">
        <w:trPr>
          <w:trHeight w:val="240"/>
        </w:trPr>
        <w:tc>
          <w:tcPr>
            <w:tcW w:w="2666" w:type="pct"/>
            <w:tcBorders>
              <w:top w:val="nil"/>
              <w:left w:val="nil"/>
              <w:bottom w:val="nil"/>
              <w:right w:val="nil"/>
            </w:tcBorders>
            <w:shd w:val="clear" w:color="auto" w:fill="auto"/>
            <w:noWrap/>
            <w:vAlign w:val="center"/>
            <w:hideMark/>
          </w:tcPr>
          <w:p w14:paraId="5C3DA360" w14:textId="77777777" w:rsidR="00C01ECA" w:rsidRPr="00C01ECA" w:rsidRDefault="00C01ECA" w:rsidP="00C01ECA">
            <w:pPr>
              <w:spacing w:after="0" w:line="240" w:lineRule="auto"/>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Riscos de Engenharia:</w:t>
            </w:r>
          </w:p>
        </w:tc>
        <w:tc>
          <w:tcPr>
            <w:tcW w:w="686" w:type="pct"/>
            <w:tcBorders>
              <w:top w:val="nil"/>
              <w:left w:val="nil"/>
              <w:bottom w:val="nil"/>
              <w:right w:val="nil"/>
            </w:tcBorders>
            <w:shd w:val="clear" w:color="auto" w:fill="auto"/>
            <w:noWrap/>
            <w:vAlign w:val="center"/>
            <w:hideMark/>
          </w:tcPr>
          <w:p w14:paraId="43B171D7" w14:textId="77777777" w:rsidR="00C01ECA" w:rsidRPr="00C01ECA" w:rsidRDefault="00C01ECA" w:rsidP="00C01ECA">
            <w:pPr>
              <w:spacing w:after="0" w:line="240" w:lineRule="auto"/>
              <w:jc w:val="center"/>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26/08/2023</w:t>
            </w:r>
          </w:p>
        </w:tc>
        <w:tc>
          <w:tcPr>
            <w:tcW w:w="121" w:type="pct"/>
            <w:tcBorders>
              <w:top w:val="nil"/>
              <w:left w:val="nil"/>
              <w:bottom w:val="nil"/>
              <w:right w:val="nil"/>
            </w:tcBorders>
            <w:shd w:val="clear" w:color="auto" w:fill="auto"/>
            <w:noWrap/>
            <w:vAlign w:val="bottom"/>
            <w:hideMark/>
          </w:tcPr>
          <w:p w14:paraId="09692864" w14:textId="77777777" w:rsidR="00C01ECA" w:rsidRPr="00C01ECA" w:rsidRDefault="00C01ECA" w:rsidP="00C01ECA">
            <w:pPr>
              <w:spacing w:after="0" w:line="240" w:lineRule="auto"/>
              <w:jc w:val="center"/>
              <w:rPr>
                <w:rFonts w:ascii="Segoe UI" w:eastAsia="Times New Roman" w:hAnsi="Segoe UI" w:cs="Segoe UI"/>
                <w:b/>
                <w:bCs/>
                <w:color w:val="000000"/>
                <w:sz w:val="18"/>
                <w:szCs w:val="18"/>
                <w:lang w:eastAsia="pt-BR"/>
              </w:rPr>
            </w:pPr>
          </w:p>
        </w:tc>
        <w:tc>
          <w:tcPr>
            <w:tcW w:w="624" w:type="pct"/>
            <w:tcBorders>
              <w:top w:val="nil"/>
              <w:left w:val="nil"/>
              <w:bottom w:val="single" w:sz="4" w:space="0" w:color="1B80C4"/>
              <w:right w:val="nil"/>
            </w:tcBorders>
            <w:shd w:val="clear" w:color="auto" w:fill="auto"/>
            <w:noWrap/>
            <w:vAlign w:val="center"/>
            <w:hideMark/>
          </w:tcPr>
          <w:p w14:paraId="223F2B4B"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11.769.031</w:t>
            </w:r>
          </w:p>
        </w:tc>
        <w:tc>
          <w:tcPr>
            <w:tcW w:w="121" w:type="pct"/>
            <w:tcBorders>
              <w:top w:val="nil"/>
              <w:left w:val="nil"/>
              <w:bottom w:val="nil"/>
              <w:right w:val="nil"/>
            </w:tcBorders>
            <w:shd w:val="clear" w:color="auto" w:fill="auto"/>
            <w:noWrap/>
            <w:vAlign w:val="bottom"/>
            <w:hideMark/>
          </w:tcPr>
          <w:p w14:paraId="6C6CA11A"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p>
        </w:tc>
        <w:tc>
          <w:tcPr>
            <w:tcW w:w="781" w:type="pct"/>
            <w:tcBorders>
              <w:top w:val="nil"/>
              <w:left w:val="nil"/>
              <w:bottom w:val="single" w:sz="4" w:space="0" w:color="1B80C4"/>
              <w:right w:val="nil"/>
            </w:tcBorders>
            <w:shd w:val="clear" w:color="auto" w:fill="auto"/>
            <w:noWrap/>
            <w:vAlign w:val="center"/>
            <w:hideMark/>
          </w:tcPr>
          <w:p w14:paraId="1E6D5FE1"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10.397</w:t>
            </w:r>
          </w:p>
        </w:tc>
      </w:tr>
      <w:tr w:rsidR="00C01ECA" w:rsidRPr="00C01ECA" w14:paraId="527A0226" w14:textId="77777777" w:rsidTr="00C01ECA">
        <w:trPr>
          <w:trHeight w:val="240"/>
        </w:trPr>
        <w:tc>
          <w:tcPr>
            <w:tcW w:w="2666" w:type="pct"/>
            <w:tcBorders>
              <w:top w:val="nil"/>
              <w:left w:val="nil"/>
              <w:bottom w:val="nil"/>
              <w:right w:val="nil"/>
            </w:tcBorders>
            <w:shd w:val="clear" w:color="auto" w:fill="auto"/>
            <w:noWrap/>
            <w:vAlign w:val="center"/>
            <w:hideMark/>
          </w:tcPr>
          <w:p w14:paraId="633E00FF"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Construção</w:t>
            </w:r>
          </w:p>
        </w:tc>
        <w:tc>
          <w:tcPr>
            <w:tcW w:w="686" w:type="pct"/>
            <w:tcBorders>
              <w:top w:val="nil"/>
              <w:left w:val="nil"/>
              <w:bottom w:val="nil"/>
              <w:right w:val="nil"/>
            </w:tcBorders>
            <w:shd w:val="clear" w:color="auto" w:fill="auto"/>
            <w:noWrap/>
            <w:vAlign w:val="bottom"/>
            <w:hideMark/>
          </w:tcPr>
          <w:p w14:paraId="5CB9151F"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436C21F9"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center"/>
            <w:hideMark/>
          </w:tcPr>
          <w:p w14:paraId="266033E3"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3.635.223</w:t>
            </w:r>
          </w:p>
        </w:tc>
        <w:tc>
          <w:tcPr>
            <w:tcW w:w="121" w:type="pct"/>
            <w:tcBorders>
              <w:top w:val="nil"/>
              <w:left w:val="nil"/>
              <w:bottom w:val="nil"/>
              <w:right w:val="nil"/>
            </w:tcBorders>
            <w:shd w:val="clear" w:color="auto" w:fill="auto"/>
            <w:noWrap/>
            <w:vAlign w:val="bottom"/>
            <w:hideMark/>
          </w:tcPr>
          <w:p w14:paraId="53B34A8E"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p>
        </w:tc>
        <w:tc>
          <w:tcPr>
            <w:tcW w:w="781" w:type="pct"/>
            <w:tcBorders>
              <w:top w:val="nil"/>
              <w:left w:val="nil"/>
              <w:bottom w:val="nil"/>
              <w:right w:val="nil"/>
            </w:tcBorders>
            <w:shd w:val="clear" w:color="auto" w:fill="auto"/>
            <w:noWrap/>
            <w:vAlign w:val="center"/>
            <w:hideMark/>
          </w:tcPr>
          <w:p w14:paraId="2040012E"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3.269</w:t>
            </w:r>
          </w:p>
        </w:tc>
      </w:tr>
      <w:tr w:rsidR="00C01ECA" w:rsidRPr="00C01ECA" w14:paraId="4232F60A" w14:textId="77777777" w:rsidTr="00C01ECA">
        <w:trPr>
          <w:trHeight w:val="240"/>
        </w:trPr>
        <w:tc>
          <w:tcPr>
            <w:tcW w:w="2666" w:type="pct"/>
            <w:tcBorders>
              <w:top w:val="nil"/>
              <w:left w:val="nil"/>
              <w:bottom w:val="nil"/>
              <w:right w:val="nil"/>
            </w:tcBorders>
            <w:shd w:val="clear" w:color="auto" w:fill="auto"/>
            <w:noWrap/>
            <w:vAlign w:val="center"/>
            <w:hideMark/>
          </w:tcPr>
          <w:p w14:paraId="2DB14DBD"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Responsabilidade civil</w:t>
            </w:r>
          </w:p>
        </w:tc>
        <w:tc>
          <w:tcPr>
            <w:tcW w:w="686" w:type="pct"/>
            <w:tcBorders>
              <w:top w:val="nil"/>
              <w:left w:val="nil"/>
              <w:bottom w:val="nil"/>
              <w:right w:val="nil"/>
            </w:tcBorders>
            <w:shd w:val="clear" w:color="auto" w:fill="auto"/>
            <w:noWrap/>
            <w:vAlign w:val="bottom"/>
            <w:hideMark/>
          </w:tcPr>
          <w:p w14:paraId="06000EA6"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4B3EB89E"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center"/>
            <w:hideMark/>
          </w:tcPr>
          <w:p w14:paraId="403D55B9"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30.000</w:t>
            </w:r>
          </w:p>
        </w:tc>
        <w:tc>
          <w:tcPr>
            <w:tcW w:w="121" w:type="pct"/>
            <w:tcBorders>
              <w:top w:val="nil"/>
              <w:left w:val="nil"/>
              <w:bottom w:val="nil"/>
              <w:right w:val="nil"/>
            </w:tcBorders>
            <w:shd w:val="clear" w:color="auto" w:fill="auto"/>
            <w:noWrap/>
            <w:vAlign w:val="bottom"/>
            <w:hideMark/>
          </w:tcPr>
          <w:p w14:paraId="0C0E6943"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p>
        </w:tc>
        <w:tc>
          <w:tcPr>
            <w:tcW w:w="781" w:type="pct"/>
            <w:tcBorders>
              <w:top w:val="nil"/>
              <w:left w:val="nil"/>
              <w:bottom w:val="nil"/>
              <w:right w:val="nil"/>
            </w:tcBorders>
            <w:shd w:val="clear" w:color="auto" w:fill="auto"/>
            <w:noWrap/>
            <w:vAlign w:val="center"/>
            <w:hideMark/>
          </w:tcPr>
          <w:p w14:paraId="1FE8D4A8"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270</w:t>
            </w:r>
          </w:p>
        </w:tc>
      </w:tr>
      <w:tr w:rsidR="00C01ECA" w:rsidRPr="00C01ECA" w14:paraId="2BF51A14" w14:textId="77777777" w:rsidTr="00C01ECA">
        <w:trPr>
          <w:trHeight w:val="240"/>
        </w:trPr>
        <w:tc>
          <w:tcPr>
            <w:tcW w:w="2666" w:type="pct"/>
            <w:tcBorders>
              <w:top w:val="nil"/>
              <w:left w:val="nil"/>
              <w:bottom w:val="nil"/>
              <w:right w:val="nil"/>
            </w:tcBorders>
            <w:shd w:val="clear" w:color="auto" w:fill="auto"/>
            <w:noWrap/>
            <w:vAlign w:val="center"/>
            <w:hideMark/>
          </w:tcPr>
          <w:p w14:paraId="3815C2A3"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Armazenamento de equipamentos</w:t>
            </w:r>
          </w:p>
        </w:tc>
        <w:tc>
          <w:tcPr>
            <w:tcW w:w="686" w:type="pct"/>
            <w:tcBorders>
              <w:top w:val="nil"/>
              <w:left w:val="nil"/>
              <w:bottom w:val="nil"/>
              <w:right w:val="nil"/>
            </w:tcBorders>
            <w:shd w:val="clear" w:color="auto" w:fill="auto"/>
            <w:noWrap/>
            <w:vAlign w:val="bottom"/>
            <w:hideMark/>
          </w:tcPr>
          <w:p w14:paraId="35D8BB5C" w14:textId="77777777" w:rsidR="00C01ECA" w:rsidRPr="00C01ECA" w:rsidRDefault="00C01ECA" w:rsidP="00C01ECA">
            <w:pPr>
              <w:spacing w:after="0" w:line="240" w:lineRule="auto"/>
              <w:ind w:firstLineChars="100" w:firstLine="180"/>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56989196"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center"/>
            <w:hideMark/>
          </w:tcPr>
          <w:p w14:paraId="3616072D"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8.103.808</w:t>
            </w:r>
          </w:p>
        </w:tc>
        <w:tc>
          <w:tcPr>
            <w:tcW w:w="121" w:type="pct"/>
            <w:tcBorders>
              <w:top w:val="nil"/>
              <w:left w:val="nil"/>
              <w:bottom w:val="nil"/>
              <w:right w:val="nil"/>
            </w:tcBorders>
            <w:shd w:val="clear" w:color="auto" w:fill="auto"/>
            <w:noWrap/>
            <w:vAlign w:val="bottom"/>
            <w:hideMark/>
          </w:tcPr>
          <w:p w14:paraId="061E2178"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p>
        </w:tc>
        <w:tc>
          <w:tcPr>
            <w:tcW w:w="781" w:type="pct"/>
            <w:tcBorders>
              <w:top w:val="nil"/>
              <w:left w:val="nil"/>
              <w:bottom w:val="nil"/>
              <w:right w:val="nil"/>
            </w:tcBorders>
            <w:shd w:val="clear" w:color="auto" w:fill="auto"/>
            <w:noWrap/>
            <w:vAlign w:val="center"/>
            <w:hideMark/>
          </w:tcPr>
          <w:p w14:paraId="4CF69D15"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6.858</w:t>
            </w:r>
          </w:p>
        </w:tc>
      </w:tr>
      <w:tr w:rsidR="00C01ECA" w:rsidRPr="00C01ECA" w14:paraId="6E0AA42D" w14:textId="77777777" w:rsidTr="00C01ECA">
        <w:trPr>
          <w:trHeight w:val="240"/>
        </w:trPr>
        <w:tc>
          <w:tcPr>
            <w:tcW w:w="2666" w:type="pct"/>
            <w:tcBorders>
              <w:top w:val="nil"/>
              <w:left w:val="nil"/>
              <w:bottom w:val="nil"/>
              <w:right w:val="nil"/>
            </w:tcBorders>
            <w:shd w:val="clear" w:color="auto" w:fill="auto"/>
            <w:noWrap/>
            <w:vAlign w:val="bottom"/>
            <w:hideMark/>
          </w:tcPr>
          <w:p w14:paraId="74F636DF" w14:textId="77777777" w:rsidR="00C01ECA" w:rsidRPr="00C01ECA" w:rsidRDefault="00C01ECA" w:rsidP="00C01ECA">
            <w:pPr>
              <w:spacing w:after="0" w:line="240" w:lineRule="auto"/>
              <w:jc w:val="right"/>
              <w:rPr>
                <w:rFonts w:ascii="Segoe UI" w:eastAsia="Times New Roman" w:hAnsi="Segoe UI" w:cs="Segoe UI"/>
                <w:color w:val="000000"/>
                <w:sz w:val="18"/>
                <w:szCs w:val="18"/>
                <w:lang w:eastAsia="pt-BR"/>
              </w:rPr>
            </w:pPr>
          </w:p>
        </w:tc>
        <w:tc>
          <w:tcPr>
            <w:tcW w:w="686" w:type="pct"/>
            <w:tcBorders>
              <w:top w:val="nil"/>
              <w:left w:val="nil"/>
              <w:bottom w:val="nil"/>
              <w:right w:val="nil"/>
            </w:tcBorders>
            <w:shd w:val="clear" w:color="auto" w:fill="auto"/>
            <w:noWrap/>
            <w:vAlign w:val="bottom"/>
            <w:hideMark/>
          </w:tcPr>
          <w:p w14:paraId="24A3FF67"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121" w:type="pct"/>
            <w:tcBorders>
              <w:top w:val="nil"/>
              <w:left w:val="nil"/>
              <w:bottom w:val="nil"/>
              <w:right w:val="nil"/>
            </w:tcBorders>
            <w:shd w:val="clear" w:color="auto" w:fill="auto"/>
            <w:noWrap/>
            <w:vAlign w:val="bottom"/>
            <w:hideMark/>
          </w:tcPr>
          <w:p w14:paraId="4289C598"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3A6E3462"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121" w:type="pct"/>
            <w:tcBorders>
              <w:top w:val="nil"/>
              <w:left w:val="nil"/>
              <w:bottom w:val="nil"/>
              <w:right w:val="nil"/>
            </w:tcBorders>
            <w:shd w:val="clear" w:color="auto" w:fill="auto"/>
            <w:noWrap/>
            <w:vAlign w:val="bottom"/>
            <w:hideMark/>
          </w:tcPr>
          <w:p w14:paraId="30DC571D"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781" w:type="pct"/>
            <w:tcBorders>
              <w:top w:val="nil"/>
              <w:left w:val="nil"/>
              <w:bottom w:val="nil"/>
              <w:right w:val="nil"/>
            </w:tcBorders>
            <w:shd w:val="clear" w:color="auto" w:fill="auto"/>
            <w:noWrap/>
            <w:vAlign w:val="bottom"/>
            <w:hideMark/>
          </w:tcPr>
          <w:p w14:paraId="1006C044"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r>
      <w:tr w:rsidR="00C01ECA" w:rsidRPr="00C01ECA" w14:paraId="35DEFD66" w14:textId="77777777" w:rsidTr="00C01ECA">
        <w:trPr>
          <w:trHeight w:val="240"/>
        </w:trPr>
        <w:tc>
          <w:tcPr>
            <w:tcW w:w="2666" w:type="pct"/>
            <w:tcBorders>
              <w:top w:val="nil"/>
              <w:left w:val="nil"/>
              <w:bottom w:val="nil"/>
              <w:right w:val="nil"/>
            </w:tcBorders>
            <w:shd w:val="clear" w:color="auto" w:fill="auto"/>
            <w:noWrap/>
            <w:vAlign w:val="center"/>
            <w:hideMark/>
          </w:tcPr>
          <w:p w14:paraId="29494A62" w14:textId="77777777" w:rsidR="00C01ECA" w:rsidRPr="00C01ECA" w:rsidRDefault="00C01ECA" w:rsidP="00C01ECA">
            <w:pPr>
              <w:spacing w:after="0" w:line="240" w:lineRule="auto"/>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Outros</w:t>
            </w:r>
          </w:p>
        </w:tc>
        <w:tc>
          <w:tcPr>
            <w:tcW w:w="686" w:type="pct"/>
            <w:tcBorders>
              <w:top w:val="nil"/>
              <w:left w:val="nil"/>
              <w:bottom w:val="nil"/>
              <w:right w:val="nil"/>
            </w:tcBorders>
            <w:shd w:val="clear" w:color="auto" w:fill="auto"/>
            <w:noWrap/>
            <w:vAlign w:val="center"/>
            <w:hideMark/>
          </w:tcPr>
          <w:p w14:paraId="7BB76B23" w14:textId="77777777" w:rsidR="00C01ECA" w:rsidRPr="00C01ECA" w:rsidRDefault="00C01ECA" w:rsidP="00C01ECA">
            <w:pPr>
              <w:spacing w:after="0" w:line="240" w:lineRule="auto"/>
              <w:rPr>
                <w:rFonts w:ascii="Segoe UI" w:eastAsia="Times New Roman" w:hAnsi="Segoe UI" w:cs="Segoe UI"/>
                <w:b/>
                <w:bCs/>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4696203D" w14:textId="77777777" w:rsidR="00C01ECA" w:rsidRPr="00C01ECA" w:rsidRDefault="00C01ECA" w:rsidP="00C01ECA">
            <w:pPr>
              <w:spacing w:after="0" w:line="240" w:lineRule="auto"/>
              <w:jc w:val="center"/>
              <w:rPr>
                <w:rFonts w:ascii="Times New Roman" w:eastAsia="Times New Roman" w:hAnsi="Times New Roman" w:cs="Times New Roman"/>
                <w:sz w:val="20"/>
                <w:szCs w:val="20"/>
                <w:lang w:eastAsia="pt-BR"/>
              </w:rPr>
            </w:pPr>
          </w:p>
        </w:tc>
        <w:tc>
          <w:tcPr>
            <w:tcW w:w="624" w:type="pct"/>
            <w:tcBorders>
              <w:top w:val="nil"/>
              <w:left w:val="nil"/>
              <w:bottom w:val="single" w:sz="4" w:space="0" w:color="1B80C4"/>
              <w:right w:val="nil"/>
            </w:tcBorders>
            <w:shd w:val="clear" w:color="auto" w:fill="auto"/>
            <w:noWrap/>
            <w:vAlign w:val="center"/>
            <w:hideMark/>
          </w:tcPr>
          <w:p w14:paraId="085FAE30"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581.632</w:t>
            </w:r>
          </w:p>
        </w:tc>
        <w:tc>
          <w:tcPr>
            <w:tcW w:w="121" w:type="pct"/>
            <w:tcBorders>
              <w:top w:val="nil"/>
              <w:left w:val="nil"/>
              <w:bottom w:val="nil"/>
              <w:right w:val="nil"/>
            </w:tcBorders>
            <w:shd w:val="clear" w:color="auto" w:fill="auto"/>
            <w:noWrap/>
            <w:vAlign w:val="bottom"/>
            <w:hideMark/>
          </w:tcPr>
          <w:p w14:paraId="59AA1BBC"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p>
        </w:tc>
        <w:tc>
          <w:tcPr>
            <w:tcW w:w="781" w:type="pct"/>
            <w:tcBorders>
              <w:top w:val="nil"/>
              <w:left w:val="nil"/>
              <w:bottom w:val="single" w:sz="4" w:space="0" w:color="1B80C4"/>
              <w:right w:val="nil"/>
            </w:tcBorders>
            <w:shd w:val="clear" w:color="auto" w:fill="auto"/>
            <w:noWrap/>
            <w:vAlign w:val="center"/>
            <w:hideMark/>
          </w:tcPr>
          <w:p w14:paraId="6DF6F341"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2.582</w:t>
            </w:r>
          </w:p>
        </w:tc>
      </w:tr>
      <w:tr w:rsidR="00C01ECA" w:rsidRPr="00C01ECA" w14:paraId="72283229" w14:textId="77777777" w:rsidTr="00C01ECA">
        <w:trPr>
          <w:trHeight w:val="240"/>
        </w:trPr>
        <w:tc>
          <w:tcPr>
            <w:tcW w:w="2666" w:type="pct"/>
            <w:tcBorders>
              <w:top w:val="nil"/>
              <w:left w:val="nil"/>
              <w:bottom w:val="nil"/>
              <w:right w:val="nil"/>
            </w:tcBorders>
            <w:shd w:val="clear" w:color="auto" w:fill="auto"/>
            <w:noWrap/>
            <w:vAlign w:val="center"/>
            <w:hideMark/>
          </w:tcPr>
          <w:p w14:paraId="46AC0467"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D&amp;O</w:t>
            </w:r>
          </w:p>
        </w:tc>
        <w:tc>
          <w:tcPr>
            <w:tcW w:w="686" w:type="pct"/>
            <w:tcBorders>
              <w:top w:val="nil"/>
              <w:left w:val="nil"/>
              <w:bottom w:val="nil"/>
              <w:right w:val="nil"/>
            </w:tcBorders>
            <w:shd w:val="clear" w:color="auto" w:fill="auto"/>
            <w:noWrap/>
            <w:vAlign w:val="center"/>
            <w:hideMark/>
          </w:tcPr>
          <w:p w14:paraId="5031AECC" w14:textId="77777777" w:rsidR="00C01ECA" w:rsidRPr="00C01ECA" w:rsidRDefault="00C01ECA" w:rsidP="00C01ECA">
            <w:pPr>
              <w:spacing w:after="0" w:line="240" w:lineRule="auto"/>
              <w:jc w:val="center"/>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01/04/2023</w:t>
            </w:r>
          </w:p>
        </w:tc>
        <w:tc>
          <w:tcPr>
            <w:tcW w:w="121" w:type="pct"/>
            <w:tcBorders>
              <w:top w:val="nil"/>
              <w:left w:val="nil"/>
              <w:bottom w:val="nil"/>
              <w:right w:val="nil"/>
            </w:tcBorders>
            <w:shd w:val="clear" w:color="auto" w:fill="auto"/>
            <w:noWrap/>
            <w:vAlign w:val="bottom"/>
            <w:hideMark/>
          </w:tcPr>
          <w:p w14:paraId="1D0B979C" w14:textId="77777777" w:rsidR="00C01ECA" w:rsidRPr="00C01ECA" w:rsidRDefault="00C01ECA" w:rsidP="00C01ECA">
            <w:pPr>
              <w:spacing w:after="0" w:line="240" w:lineRule="auto"/>
              <w:jc w:val="center"/>
              <w:rPr>
                <w:rFonts w:ascii="Segoe UI" w:eastAsia="Times New Roman" w:hAnsi="Segoe UI" w:cs="Segoe UI"/>
                <w:b/>
                <w:bCs/>
                <w:color w:val="000000"/>
                <w:sz w:val="18"/>
                <w:szCs w:val="18"/>
                <w:lang w:eastAsia="pt-BR"/>
              </w:rPr>
            </w:pPr>
          </w:p>
        </w:tc>
        <w:tc>
          <w:tcPr>
            <w:tcW w:w="624" w:type="pct"/>
            <w:tcBorders>
              <w:top w:val="nil"/>
              <w:left w:val="nil"/>
              <w:bottom w:val="nil"/>
              <w:right w:val="nil"/>
            </w:tcBorders>
            <w:shd w:val="clear" w:color="auto" w:fill="auto"/>
            <w:noWrap/>
            <w:vAlign w:val="bottom"/>
            <w:hideMark/>
          </w:tcPr>
          <w:p w14:paraId="60C40ACB"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 xml:space="preserve">                 70.000 </w:t>
            </w:r>
          </w:p>
        </w:tc>
        <w:tc>
          <w:tcPr>
            <w:tcW w:w="121" w:type="pct"/>
            <w:tcBorders>
              <w:top w:val="nil"/>
              <w:left w:val="nil"/>
              <w:bottom w:val="nil"/>
              <w:right w:val="nil"/>
            </w:tcBorders>
            <w:shd w:val="clear" w:color="auto" w:fill="auto"/>
            <w:noWrap/>
            <w:vAlign w:val="bottom"/>
            <w:hideMark/>
          </w:tcPr>
          <w:p w14:paraId="5BDF06C1"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p>
        </w:tc>
        <w:tc>
          <w:tcPr>
            <w:tcW w:w="781" w:type="pct"/>
            <w:tcBorders>
              <w:top w:val="nil"/>
              <w:left w:val="nil"/>
              <w:bottom w:val="nil"/>
              <w:right w:val="nil"/>
            </w:tcBorders>
            <w:shd w:val="clear" w:color="auto" w:fill="auto"/>
            <w:noWrap/>
            <w:vAlign w:val="bottom"/>
            <w:hideMark/>
          </w:tcPr>
          <w:p w14:paraId="1613015E"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 xml:space="preserve">                           2.295 </w:t>
            </w:r>
          </w:p>
        </w:tc>
      </w:tr>
      <w:tr w:rsidR="00C01ECA" w:rsidRPr="00C01ECA" w14:paraId="3294BEC4" w14:textId="77777777" w:rsidTr="00C01ECA">
        <w:trPr>
          <w:trHeight w:val="240"/>
        </w:trPr>
        <w:tc>
          <w:tcPr>
            <w:tcW w:w="2666" w:type="pct"/>
            <w:tcBorders>
              <w:top w:val="nil"/>
              <w:left w:val="nil"/>
              <w:bottom w:val="nil"/>
              <w:right w:val="nil"/>
            </w:tcBorders>
            <w:shd w:val="clear" w:color="auto" w:fill="auto"/>
            <w:noWrap/>
            <w:vAlign w:val="center"/>
            <w:hideMark/>
          </w:tcPr>
          <w:p w14:paraId="0B1945E2"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Diversos</w:t>
            </w:r>
          </w:p>
        </w:tc>
        <w:tc>
          <w:tcPr>
            <w:tcW w:w="686" w:type="pct"/>
            <w:tcBorders>
              <w:top w:val="nil"/>
              <w:left w:val="nil"/>
              <w:bottom w:val="nil"/>
              <w:right w:val="nil"/>
            </w:tcBorders>
            <w:shd w:val="clear" w:color="auto" w:fill="auto"/>
            <w:noWrap/>
            <w:vAlign w:val="center"/>
            <w:hideMark/>
          </w:tcPr>
          <w:p w14:paraId="639AB3A9"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p>
        </w:tc>
        <w:tc>
          <w:tcPr>
            <w:tcW w:w="121" w:type="pct"/>
            <w:tcBorders>
              <w:top w:val="nil"/>
              <w:left w:val="nil"/>
              <w:bottom w:val="nil"/>
              <w:right w:val="nil"/>
            </w:tcBorders>
            <w:shd w:val="clear" w:color="auto" w:fill="auto"/>
            <w:noWrap/>
            <w:vAlign w:val="bottom"/>
            <w:hideMark/>
          </w:tcPr>
          <w:p w14:paraId="40EB3BF4" w14:textId="77777777" w:rsidR="00C01ECA" w:rsidRPr="00C01ECA" w:rsidRDefault="00C01ECA" w:rsidP="00C01ECA">
            <w:pPr>
              <w:spacing w:after="0" w:line="240" w:lineRule="auto"/>
              <w:jc w:val="center"/>
              <w:rPr>
                <w:rFonts w:ascii="Times New Roman" w:eastAsia="Times New Roman" w:hAnsi="Times New Roman" w:cs="Times New Roman"/>
                <w:sz w:val="20"/>
                <w:szCs w:val="20"/>
                <w:lang w:eastAsia="pt-BR"/>
              </w:rPr>
            </w:pPr>
          </w:p>
        </w:tc>
        <w:tc>
          <w:tcPr>
            <w:tcW w:w="624" w:type="pct"/>
            <w:tcBorders>
              <w:top w:val="nil"/>
              <w:left w:val="nil"/>
              <w:bottom w:val="nil"/>
              <w:right w:val="nil"/>
            </w:tcBorders>
            <w:shd w:val="clear" w:color="auto" w:fill="auto"/>
            <w:noWrap/>
            <w:vAlign w:val="bottom"/>
            <w:hideMark/>
          </w:tcPr>
          <w:p w14:paraId="1B67C627"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 xml:space="preserve">               511.632 </w:t>
            </w:r>
          </w:p>
        </w:tc>
        <w:tc>
          <w:tcPr>
            <w:tcW w:w="121" w:type="pct"/>
            <w:tcBorders>
              <w:top w:val="nil"/>
              <w:left w:val="nil"/>
              <w:bottom w:val="nil"/>
              <w:right w:val="nil"/>
            </w:tcBorders>
            <w:shd w:val="clear" w:color="auto" w:fill="auto"/>
            <w:noWrap/>
            <w:vAlign w:val="bottom"/>
            <w:hideMark/>
          </w:tcPr>
          <w:p w14:paraId="772976B8"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p>
        </w:tc>
        <w:tc>
          <w:tcPr>
            <w:tcW w:w="781" w:type="pct"/>
            <w:tcBorders>
              <w:top w:val="nil"/>
              <w:left w:val="nil"/>
              <w:bottom w:val="nil"/>
              <w:right w:val="nil"/>
            </w:tcBorders>
            <w:shd w:val="clear" w:color="auto" w:fill="auto"/>
            <w:noWrap/>
            <w:vAlign w:val="bottom"/>
            <w:hideMark/>
          </w:tcPr>
          <w:p w14:paraId="0CBC65A9" w14:textId="77777777" w:rsidR="00C01ECA" w:rsidRPr="00C01ECA" w:rsidRDefault="00C01ECA" w:rsidP="00C01ECA">
            <w:pPr>
              <w:spacing w:after="0" w:line="240" w:lineRule="auto"/>
              <w:rPr>
                <w:rFonts w:ascii="Segoe UI" w:eastAsia="Times New Roman" w:hAnsi="Segoe UI" w:cs="Segoe UI"/>
                <w:color w:val="000000"/>
                <w:sz w:val="18"/>
                <w:szCs w:val="18"/>
                <w:lang w:eastAsia="pt-BR"/>
              </w:rPr>
            </w:pPr>
            <w:r w:rsidRPr="00C01ECA">
              <w:rPr>
                <w:rFonts w:ascii="Segoe UI" w:eastAsia="Times New Roman" w:hAnsi="Segoe UI" w:cs="Segoe UI"/>
                <w:color w:val="000000"/>
                <w:sz w:val="18"/>
                <w:szCs w:val="18"/>
                <w:lang w:eastAsia="pt-BR"/>
              </w:rPr>
              <w:t xml:space="preserve">                              287 </w:t>
            </w:r>
          </w:p>
        </w:tc>
      </w:tr>
      <w:tr w:rsidR="005212B3" w:rsidRPr="00C01ECA" w14:paraId="0508F85F" w14:textId="77777777" w:rsidTr="00497328">
        <w:trPr>
          <w:trHeight w:val="255"/>
        </w:trPr>
        <w:tc>
          <w:tcPr>
            <w:tcW w:w="2666" w:type="pct"/>
            <w:tcBorders>
              <w:top w:val="nil"/>
              <w:left w:val="nil"/>
              <w:bottom w:val="nil"/>
              <w:right w:val="nil"/>
            </w:tcBorders>
            <w:shd w:val="clear" w:color="auto" w:fill="auto"/>
            <w:noWrap/>
            <w:vAlign w:val="center"/>
            <w:hideMark/>
          </w:tcPr>
          <w:p w14:paraId="0F672BCA" w14:textId="77777777" w:rsidR="00C01ECA" w:rsidRPr="00C01ECA" w:rsidRDefault="00C01ECA" w:rsidP="00C01ECA">
            <w:pPr>
              <w:spacing w:after="0" w:line="240" w:lineRule="auto"/>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TOTAL</w:t>
            </w:r>
          </w:p>
        </w:tc>
        <w:tc>
          <w:tcPr>
            <w:tcW w:w="686" w:type="pct"/>
            <w:tcBorders>
              <w:top w:val="nil"/>
              <w:left w:val="nil"/>
              <w:bottom w:val="nil"/>
              <w:right w:val="nil"/>
            </w:tcBorders>
            <w:shd w:val="clear" w:color="auto" w:fill="auto"/>
            <w:noWrap/>
            <w:vAlign w:val="center"/>
            <w:hideMark/>
          </w:tcPr>
          <w:p w14:paraId="04079BE9" w14:textId="77777777" w:rsidR="00C01ECA" w:rsidRPr="00C01ECA" w:rsidRDefault="00C01ECA" w:rsidP="00C01ECA">
            <w:pPr>
              <w:spacing w:after="0" w:line="240" w:lineRule="auto"/>
              <w:rPr>
                <w:rFonts w:ascii="Segoe UI" w:eastAsia="Times New Roman" w:hAnsi="Segoe UI" w:cs="Segoe UI"/>
                <w:b/>
                <w:bCs/>
                <w:color w:val="000000"/>
                <w:sz w:val="18"/>
                <w:szCs w:val="18"/>
                <w:lang w:eastAsia="pt-BR"/>
              </w:rPr>
            </w:pPr>
          </w:p>
        </w:tc>
        <w:tc>
          <w:tcPr>
            <w:tcW w:w="121" w:type="pct"/>
            <w:tcBorders>
              <w:top w:val="nil"/>
              <w:left w:val="nil"/>
              <w:bottom w:val="nil"/>
              <w:right w:val="nil"/>
            </w:tcBorders>
            <w:shd w:val="clear" w:color="auto" w:fill="auto"/>
            <w:noWrap/>
            <w:vAlign w:val="center"/>
            <w:hideMark/>
          </w:tcPr>
          <w:p w14:paraId="32F4DD9C" w14:textId="77777777" w:rsidR="00C01ECA" w:rsidRPr="00C01ECA" w:rsidRDefault="00C01ECA" w:rsidP="00C01ECA">
            <w:pPr>
              <w:spacing w:after="0" w:line="240" w:lineRule="auto"/>
              <w:rPr>
                <w:rFonts w:ascii="Times New Roman" w:eastAsia="Times New Roman" w:hAnsi="Times New Roman" w:cs="Times New Roman"/>
                <w:sz w:val="20"/>
                <w:szCs w:val="20"/>
                <w:lang w:eastAsia="pt-BR"/>
              </w:rPr>
            </w:pPr>
          </w:p>
        </w:tc>
        <w:tc>
          <w:tcPr>
            <w:tcW w:w="624" w:type="pct"/>
            <w:tcBorders>
              <w:top w:val="single" w:sz="4" w:space="0" w:color="1B80C4"/>
              <w:left w:val="nil"/>
              <w:bottom w:val="single" w:sz="4" w:space="0" w:color="1B80C4"/>
              <w:right w:val="nil"/>
            </w:tcBorders>
            <w:shd w:val="clear" w:color="auto" w:fill="auto"/>
            <w:noWrap/>
            <w:vAlign w:val="center"/>
            <w:hideMark/>
          </w:tcPr>
          <w:p w14:paraId="76E68AB3"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33.199.549</w:t>
            </w:r>
          </w:p>
        </w:tc>
        <w:tc>
          <w:tcPr>
            <w:tcW w:w="121" w:type="pct"/>
            <w:tcBorders>
              <w:top w:val="nil"/>
              <w:left w:val="nil"/>
              <w:bottom w:val="nil"/>
              <w:right w:val="nil"/>
            </w:tcBorders>
            <w:shd w:val="clear" w:color="auto" w:fill="auto"/>
            <w:noWrap/>
            <w:vAlign w:val="center"/>
            <w:hideMark/>
          </w:tcPr>
          <w:p w14:paraId="0563FDDA"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p>
        </w:tc>
        <w:tc>
          <w:tcPr>
            <w:tcW w:w="781" w:type="pct"/>
            <w:tcBorders>
              <w:top w:val="single" w:sz="4" w:space="0" w:color="1B80C4"/>
              <w:left w:val="nil"/>
              <w:bottom w:val="single" w:sz="4" w:space="0" w:color="1B80C4"/>
              <w:right w:val="nil"/>
            </w:tcBorders>
            <w:shd w:val="clear" w:color="auto" w:fill="auto"/>
            <w:noWrap/>
            <w:vAlign w:val="center"/>
            <w:hideMark/>
          </w:tcPr>
          <w:p w14:paraId="680E3B61" w14:textId="77777777" w:rsidR="00C01ECA" w:rsidRPr="00C01ECA" w:rsidRDefault="00C01ECA" w:rsidP="00C01ECA">
            <w:pPr>
              <w:spacing w:after="0" w:line="240" w:lineRule="auto"/>
              <w:jc w:val="right"/>
              <w:rPr>
                <w:rFonts w:ascii="Segoe UI" w:eastAsia="Times New Roman" w:hAnsi="Segoe UI" w:cs="Segoe UI"/>
                <w:b/>
                <w:bCs/>
                <w:color w:val="000000"/>
                <w:sz w:val="18"/>
                <w:szCs w:val="18"/>
                <w:lang w:eastAsia="pt-BR"/>
              </w:rPr>
            </w:pPr>
            <w:r w:rsidRPr="00C01ECA">
              <w:rPr>
                <w:rFonts w:ascii="Segoe UI" w:eastAsia="Times New Roman" w:hAnsi="Segoe UI" w:cs="Segoe UI"/>
                <w:b/>
                <w:bCs/>
                <w:color w:val="000000"/>
                <w:sz w:val="18"/>
                <w:szCs w:val="18"/>
                <w:lang w:eastAsia="pt-BR"/>
              </w:rPr>
              <w:t>42.930</w:t>
            </w:r>
          </w:p>
        </w:tc>
      </w:tr>
      <w:tr w:rsidR="00497328" w:rsidRPr="00C01ECA" w14:paraId="138C36B2" w14:textId="77777777" w:rsidTr="00C01ECA">
        <w:trPr>
          <w:trHeight w:val="255"/>
        </w:trPr>
        <w:tc>
          <w:tcPr>
            <w:tcW w:w="2666" w:type="pct"/>
            <w:tcBorders>
              <w:top w:val="nil"/>
              <w:left w:val="nil"/>
              <w:bottom w:val="nil"/>
              <w:right w:val="nil"/>
            </w:tcBorders>
            <w:shd w:val="clear" w:color="auto" w:fill="auto"/>
            <w:noWrap/>
            <w:vAlign w:val="center"/>
          </w:tcPr>
          <w:p w14:paraId="65B6A7C7" w14:textId="77777777" w:rsidR="00497328" w:rsidRPr="00C01ECA" w:rsidRDefault="00497328" w:rsidP="00C01ECA">
            <w:pPr>
              <w:spacing w:after="0" w:line="240" w:lineRule="auto"/>
              <w:rPr>
                <w:rFonts w:ascii="Segoe UI" w:eastAsia="Times New Roman" w:hAnsi="Segoe UI" w:cs="Segoe UI"/>
                <w:b/>
                <w:bCs/>
                <w:color w:val="000000"/>
                <w:sz w:val="18"/>
                <w:szCs w:val="18"/>
                <w:lang w:eastAsia="pt-BR"/>
              </w:rPr>
            </w:pPr>
          </w:p>
        </w:tc>
        <w:tc>
          <w:tcPr>
            <w:tcW w:w="686" w:type="pct"/>
            <w:tcBorders>
              <w:top w:val="nil"/>
              <w:left w:val="nil"/>
              <w:bottom w:val="nil"/>
              <w:right w:val="nil"/>
            </w:tcBorders>
            <w:shd w:val="clear" w:color="auto" w:fill="auto"/>
            <w:noWrap/>
            <w:vAlign w:val="center"/>
          </w:tcPr>
          <w:p w14:paraId="2B4F6D63" w14:textId="77777777" w:rsidR="00497328" w:rsidRPr="00C01ECA" w:rsidRDefault="00497328" w:rsidP="00C01ECA">
            <w:pPr>
              <w:spacing w:after="0" w:line="240" w:lineRule="auto"/>
              <w:rPr>
                <w:rFonts w:ascii="Segoe UI" w:eastAsia="Times New Roman" w:hAnsi="Segoe UI" w:cs="Segoe UI"/>
                <w:b/>
                <w:bCs/>
                <w:color w:val="000000"/>
                <w:sz w:val="18"/>
                <w:szCs w:val="18"/>
                <w:lang w:eastAsia="pt-BR"/>
              </w:rPr>
            </w:pPr>
          </w:p>
        </w:tc>
        <w:tc>
          <w:tcPr>
            <w:tcW w:w="121" w:type="pct"/>
            <w:tcBorders>
              <w:top w:val="nil"/>
              <w:left w:val="nil"/>
              <w:bottom w:val="nil"/>
              <w:right w:val="nil"/>
            </w:tcBorders>
            <w:shd w:val="clear" w:color="auto" w:fill="auto"/>
            <w:noWrap/>
            <w:vAlign w:val="center"/>
          </w:tcPr>
          <w:p w14:paraId="21243E9E" w14:textId="77777777" w:rsidR="00497328" w:rsidRPr="00C01ECA" w:rsidRDefault="00497328" w:rsidP="00C01ECA">
            <w:pPr>
              <w:spacing w:after="0" w:line="240" w:lineRule="auto"/>
              <w:rPr>
                <w:rFonts w:ascii="Times New Roman" w:eastAsia="Times New Roman" w:hAnsi="Times New Roman" w:cs="Times New Roman"/>
                <w:sz w:val="20"/>
                <w:szCs w:val="20"/>
                <w:lang w:eastAsia="pt-BR"/>
              </w:rPr>
            </w:pPr>
          </w:p>
        </w:tc>
        <w:tc>
          <w:tcPr>
            <w:tcW w:w="624" w:type="pct"/>
            <w:tcBorders>
              <w:top w:val="single" w:sz="4" w:space="0" w:color="1B80C4"/>
              <w:left w:val="nil"/>
              <w:bottom w:val="double" w:sz="6" w:space="0" w:color="1B80C4"/>
              <w:right w:val="nil"/>
            </w:tcBorders>
            <w:shd w:val="clear" w:color="auto" w:fill="auto"/>
            <w:noWrap/>
            <w:vAlign w:val="center"/>
          </w:tcPr>
          <w:p w14:paraId="0682EA1A" w14:textId="77777777" w:rsidR="00497328" w:rsidRPr="00C01ECA" w:rsidRDefault="00497328" w:rsidP="00C01ECA">
            <w:pPr>
              <w:spacing w:after="0" w:line="240" w:lineRule="auto"/>
              <w:jc w:val="right"/>
              <w:rPr>
                <w:rFonts w:ascii="Segoe UI" w:eastAsia="Times New Roman" w:hAnsi="Segoe UI" w:cs="Segoe UI"/>
                <w:b/>
                <w:bCs/>
                <w:color w:val="000000"/>
                <w:sz w:val="18"/>
                <w:szCs w:val="18"/>
                <w:lang w:eastAsia="pt-BR"/>
              </w:rPr>
            </w:pPr>
          </w:p>
        </w:tc>
        <w:tc>
          <w:tcPr>
            <w:tcW w:w="121" w:type="pct"/>
            <w:tcBorders>
              <w:top w:val="nil"/>
              <w:left w:val="nil"/>
              <w:bottom w:val="nil"/>
              <w:right w:val="nil"/>
            </w:tcBorders>
            <w:shd w:val="clear" w:color="auto" w:fill="auto"/>
            <w:noWrap/>
            <w:vAlign w:val="center"/>
          </w:tcPr>
          <w:p w14:paraId="675B8B7C" w14:textId="77777777" w:rsidR="00497328" w:rsidRPr="00C01ECA" w:rsidRDefault="00497328" w:rsidP="00C01ECA">
            <w:pPr>
              <w:spacing w:after="0" w:line="240" w:lineRule="auto"/>
              <w:jc w:val="right"/>
              <w:rPr>
                <w:rFonts w:ascii="Segoe UI" w:eastAsia="Times New Roman" w:hAnsi="Segoe UI" w:cs="Segoe UI"/>
                <w:b/>
                <w:bCs/>
                <w:color w:val="000000"/>
                <w:sz w:val="18"/>
                <w:szCs w:val="18"/>
                <w:lang w:eastAsia="pt-BR"/>
              </w:rPr>
            </w:pPr>
          </w:p>
        </w:tc>
        <w:tc>
          <w:tcPr>
            <w:tcW w:w="781" w:type="pct"/>
            <w:tcBorders>
              <w:top w:val="single" w:sz="4" w:space="0" w:color="1B80C4"/>
              <w:left w:val="nil"/>
              <w:bottom w:val="double" w:sz="6" w:space="0" w:color="1B80C4"/>
              <w:right w:val="nil"/>
            </w:tcBorders>
            <w:shd w:val="clear" w:color="auto" w:fill="auto"/>
            <w:noWrap/>
            <w:vAlign w:val="center"/>
          </w:tcPr>
          <w:p w14:paraId="3E02FC0C" w14:textId="77777777" w:rsidR="00497328" w:rsidRPr="00C01ECA" w:rsidRDefault="00497328" w:rsidP="00C01ECA">
            <w:pPr>
              <w:spacing w:after="0" w:line="240" w:lineRule="auto"/>
              <w:jc w:val="right"/>
              <w:rPr>
                <w:rFonts w:ascii="Segoe UI" w:eastAsia="Times New Roman" w:hAnsi="Segoe UI" w:cs="Segoe UI"/>
                <w:b/>
                <w:bCs/>
                <w:color w:val="000000"/>
                <w:sz w:val="18"/>
                <w:szCs w:val="18"/>
                <w:lang w:eastAsia="pt-BR"/>
              </w:rPr>
            </w:pPr>
          </w:p>
        </w:tc>
      </w:tr>
    </w:tbl>
    <w:p w14:paraId="75B2D9C1" w14:textId="50D85157" w:rsidR="00D25362" w:rsidRDefault="00F4192D" w:rsidP="00F4192D">
      <w:pPr>
        <w:jc w:val="both"/>
        <w:rPr>
          <w:rFonts w:ascii="Segoe UI" w:hAnsi="Segoe UI" w:cs="Segoe UI"/>
        </w:rPr>
      </w:pPr>
      <w:r w:rsidRPr="000757BC">
        <w:rPr>
          <w:rFonts w:ascii="Segoe UI" w:hAnsi="Segoe UI" w:cs="Segoe UI"/>
        </w:rPr>
        <w:t>Na INB, o montante global segurado em 31 de dezembro de 2022, é de R$ 1.213.381 e está assim distribuído:</w:t>
      </w:r>
    </w:p>
    <w:tbl>
      <w:tblPr>
        <w:tblW w:w="5000" w:type="pct"/>
        <w:tblCellMar>
          <w:left w:w="70" w:type="dxa"/>
          <w:right w:w="70" w:type="dxa"/>
        </w:tblCellMar>
        <w:tblLook w:val="04A0" w:firstRow="1" w:lastRow="0" w:firstColumn="1" w:lastColumn="0" w:noHBand="0" w:noVBand="1"/>
      </w:tblPr>
      <w:tblGrid>
        <w:gridCol w:w="4050"/>
        <w:gridCol w:w="697"/>
        <w:gridCol w:w="1073"/>
        <w:gridCol w:w="148"/>
        <w:gridCol w:w="1521"/>
        <w:gridCol w:w="148"/>
        <w:gridCol w:w="1860"/>
      </w:tblGrid>
      <w:tr w:rsidR="00D25362" w:rsidRPr="00D25362" w14:paraId="38E62199" w14:textId="77777777" w:rsidTr="00D25362">
        <w:trPr>
          <w:trHeight w:val="300"/>
        </w:trPr>
        <w:tc>
          <w:tcPr>
            <w:tcW w:w="2132" w:type="pct"/>
            <w:tcBorders>
              <w:top w:val="nil"/>
              <w:left w:val="nil"/>
              <w:bottom w:val="nil"/>
              <w:right w:val="nil"/>
            </w:tcBorders>
            <w:shd w:val="clear" w:color="auto" w:fill="auto"/>
            <w:noWrap/>
            <w:vAlign w:val="bottom"/>
            <w:hideMark/>
          </w:tcPr>
          <w:p w14:paraId="4AD9FBF9" w14:textId="77777777" w:rsidR="00D25362" w:rsidRPr="00D25362" w:rsidRDefault="00D25362" w:rsidP="00D25362">
            <w:pPr>
              <w:spacing w:after="0" w:line="240" w:lineRule="auto"/>
              <w:rPr>
                <w:rFonts w:ascii="Times New Roman" w:eastAsia="Times New Roman" w:hAnsi="Times New Roman" w:cs="Times New Roman"/>
                <w:sz w:val="24"/>
                <w:szCs w:val="24"/>
                <w:lang w:eastAsia="pt-BR"/>
              </w:rPr>
            </w:pPr>
          </w:p>
        </w:tc>
        <w:tc>
          <w:tcPr>
            <w:tcW w:w="367" w:type="pct"/>
            <w:tcBorders>
              <w:top w:val="nil"/>
              <w:left w:val="nil"/>
              <w:bottom w:val="nil"/>
              <w:right w:val="nil"/>
            </w:tcBorders>
          </w:tcPr>
          <w:p w14:paraId="60E4BEB7" w14:textId="77777777" w:rsidR="00D25362" w:rsidRPr="00D25362" w:rsidRDefault="00D25362" w:rsidP="00D25362">
            <w:pPr>
              <w:spacing w:after="0" w:line="240" w:lineRule="auto"/>
              <w:jc w:val="center"/>
              <w:rPr>
                <w:rFonts w:ascii="Segoe UI" w:eastAsia="Times New Roman" w:hAnsi="Segoe UI" w:cs="Segoe UI"/>
                <w:b/>
                <w:bCs/>
                <w:color w:val="FFFFFF"/>
                <w:sz w:val="18"/>
                <w:szCs w:val="18"/>
                <w:lang w:eastAsia="pt-BR"/>
              </w:rPr>
            </w:pPr>
          </w:p>
        </w:tc>
        <w:tc>
          <w:tcPr>
            <w:tcW w:w="565" w:type="pct"/>
            <w:tcBorders>
              <w:top w:val="nil"/>
              <w:left w:val="nil"/>
              <w:bottom w:val="nil"/>
              <w:right w:val="nil"/>
            </w:tcBorders>
            <w:shd w:val="clear" w:color="000000" w:fill="1B80C4"/>
            <w:noWrap/>
            <w:vAlign w:val="bottom"/>
            <w:hideMark/>
          </w:tcPr>
          <w:p w14:paraId="27A45F84" w14:textId="2EFDFD22" w:rsidR="00D25362" w:rsidRPr="00D25362" w:rsidRDefault="00D25362" w:rsidP="00D25362">
            <w:pPr>
              <w:spacing w:after="0" w:line="240" w:lineRule="auto"/>
              <w:jc w:val="center"/>
              <w:rPr>
                <w:rFonts w:ascii="Segoe UI" w:eastAsia="Times New Roman" w:hAnsi="Segoe UI" w:cs="Segoe UI"/>
                <w:b/>
                <w:bCs/>
                <w:color w:val="FFFFFF"/>
                <w:sz w:val="18"/>
                <w:szCs w:val="18"/>
                <w:lang w:eastAsia="pt-BR"/>
              </w:rPr>
            </w:pPr>
            <w:r w:rsidRPr="00D25362">
              <w:rPr>
                <w:rFonts w:ascii="Segoe UI" w:eastAsia="Times New Roman" w:hAnsi="Segoe UI" w:cs="Segoe UI"/>
                <w:b/>
                <w:bCs/>
                <w:color w:val="FFFFFF"/>
                <w:sz w:val="18"/>
                <w:szCs w:val="18"/>
                <w:lang w:eastAsia="pt-BR"/>
              </w:rPr>
              <w:t xml:space="preserve"> Vigência </w:t>
            </w:r>
          </w:p>
        </w:tc>
        <w:tc>
          <w:tcPr>
            <w:tcW w:w="78" w:type="pct"/>
            <w:tcBorders>
              <w:top w:val="nil"/>
              <w:left w:val="nil"/>
              <w:bottom w:val="nil"/>
              <w:right w:val="nil"/>
            </w:tcBorders>
            <w:shd w:val="clear" w:color="auto" w:fill="auto"/>
            <w:noWrap/>
            <w:vAlign w:val="bottom"/>
            <w:hideMark/>
          </w:tcPr>
          <w:p w14:paraId="67F11F8C" w14:textId="77777777" w:rsidR="00D25362" w:rsidRPr="00D25362" w:rsidRDefault="00D25362" w:rsidP="00D25362">
            <w:pPr>
              <w:spacing w:after="0" w:line="240" w:lineRule="auto"/>
              <w:jc w:val="center"/>
              <w:rPr>
                <w:rFonts w:ascii="Segoe UI" w:eastAsia="Times New Roman" w:hAnsi="Segoe UI" w:cs="Segoe UI"/>
                <w:b/>
                <w:bCs/>
                <w:color w:val="FFFFFF"/>
                <w:sz w:val="18"/>
                <w:szCs w:val="18"/>
                <w:lang w:eastAsia="pt-BR"/>
              </w:rPr>
            </w:pPr>
          </w:p>
        </w:tc>
        <w:tc>
          <w:tcPr>
            <w:tcW w:w="801" w:type="pct"/>
            <w:tcBorders>
              <w:top w:val="nil"/>
              <w:left w:val="nil"/>
              <w:bottom w:val="nil"/>
              <w:right w:val="nil"/>
            </w:tcBorders>
            <w:shd w:val="clear" w:color="000000" w:fill="1B80C4"/>
            <w:noWrap/>
            <w:vAlign w:val="bottom"/>
            <w:hideMark/>
          </w:tcPr>
          <w:p w14:paraId="28541A79" w14:textId="77777777" w:rsidR="00D25362" w:rsidRPr="00D25362" w:rsidRDefault="00D25362" w:rsidP="00D25362">
            <w:pPr>
              <w:spacing w:after="0" w:line="240" w:lineRule="auto"/>
              <w:jc w:val="center"/>
              <w:rPr>
                <w:rFonts w:ascii="Segoe UI" w:eastAsia="Times New Roman" w:hAnsi="Segoe UI" w:cs="Segoe UI"/>
                <w:b/>
                <w:bCs/>
                <w:color w:val="FFFFFF"/>
                <w:sz w:val="18"/>
                <w:szCs w:val="18"/>
                <w:lang w:eastAsia="pt-BR"/>
              </w:rPr>
            </w:pPr>
            <w:r w:rsidRPr="00D25362">
              <w:rPr>
                <w:rFonts w:ascii="Segoe UI" w:eastAsia="Times New Roman" w:hAnsi="Segoe UI" w:cs="Segoe UI"/>
                <w:b/>
                <w:bCs/>
                <w:color w:val="FFFFFF"/>
                <w:sz w:val="18"/>
                <w:szCs w:val="18"/>
                <w:lang w:eastAsia="pt-BR"/>
              </w:rPr>
              <w:t xml:space="preserve"> Valor Segurado </w:t>
            </w:r>
          </w:p>
        </w:tc>
        <w:tc>
          <w:tcPr>
            <w:tcW w:w="78" w:type="pct"/>
            <w:tcBorders>
              <w:top w:val="nil"/>
              <w:left w:val="nil"/>
              <w:bottom w:val="nil"/>
              <w:right w:val="nil"/>
            </w:tcBorders>
            <w:shd w:val="clear" w:color="auto" w:fill="auto"/>
            <w:noWrap/>
            <w:vAlign w:val="bottom"/>
            <w:hideMark/>
          </w:tcPr>
          <w:p w14:paraId="3D885AEA" w14:textId="77777777" w:rsidR="00D25362" w:rsidRPr="00D25362" w:rsidRDefault="00D25362" w:rsidP="00D25362">
            <w:pPr>
              <w:spacing w:after="0" w:line="240" w:lineRule="auto"/>
              <w:jc w:val="center"/>
              <w:rPr>
                <w:rFonts w:ascii="Segoe UI" w:eastAsia="Times New Roman" w:hAnsi="Segoe UI" w:cs="Segoe UI"/>
                <w:b/>
                <w:bCs/>
                <w:color w:val="FFFFFF"/>
                <w:sz w:val="18"/>
                <w:szCs w:val="18"/>
                <w:lang w:eastAsia="pt-BR"/>
              </w:rPr>
            </w:pPr>
          </w:p>
        </w:tc>
        <w:tc>
          <w:tcPr>
            <w:tcW w:w="979" w:type="pct"/>
            <w:tcBorders>
              <w:top w:val="nil"/>
              <w:left w:val="nil"/>
              <w:bottom w:val="nil"/>
              <w:right w:val="nil"/>
            </w:tcBorders>
            <w:shd w:val="clear" w:color="000000" w:fill="1B80C4"/>
            <w:noWrap/>
            <w:vAlign w:val="bottom"/>
            <w:hideMark/>
          </w:tcPr>
          <w:p w14:paraId="33149D5F" w14:textId="77777777" w:rsidR="00D25362" w:rsidRPr="00D25362" w:rsidRDefault="00D25362" w:rsidP="00D25362">
            <w:pPr>
              <w:spacing w:after="0" w:line="240" w:lineRule="auto"/>
              <w:jc w:val="center"/>
              <w:rPr>
                <w:rFonts w:ascii="Segoe UI" w:eastAsia="Times New Roman" w:hAnsi="Segoe UI" w:cs="Segoe UI"/>
                <w:b/>
                <w:bCs/>
                <w:color w:val="FFFFFF"/>
                <w:sz w:val="18"/>
                <w:szCs w:val="18"/>
                <w:lang w:eastAsia="pt-BR"/>
              </w:rPr>
            </w:pPr>
            <w:r w:rsidRPr="00D25362">
              <w:rPr>
                <w:rFonts w:ascii="Segoe UI" w:eastAsia="Times New Roman" w:hAnsi="Segoe UI" w:cs="Segoe UI"/>
                <w:b/>
                <w:bCs/>
                <w:color w:val="FFFFFF"/>
                <w:sz w:val="18"/>
                <w:szCs w:val="18"/>
                <w:lang w:eastAsia="pt-BR"/>
              </w:rPr>
              <w:t xml:space="preserve"> Prêmio Equivalente </w:t>
            </w:r>
          </w:p>
        </w:tc>
      </w:tr>
      <w:tr w:rsidR="00D25362" w:rsidRPr="00D25362" w14:paraId="7546B0CB" w14:textId="77777777" w:rsidTr="00D25362">
        <w:trPr>
          <w:trHeight w:val="240"/>
        </w:trPr>
        <w:tc>
          <w:tcPr>
            <w:tcW w:w="2132" w:type="pct"/>
            <w:tcBorders>
              <w:top w:val="nil"/>
              <w:left w:val="nil"/>
              <w:bottom w:val="nil"/>
              <w:right w:val="nil"/>
            </w:tcBorders>
            <w:shd w:val="clear" w:color="auto" w:fill="auto"/>
            <w:noWrap/>
            <w:vAlign w:val="center"/>
            <w:hideMark/>
          </w:tcPr>
          <w:p w14:paraId="6FA3CD7C"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Responsabilidade civil</w:t>
            </w:r>
          </w:p>
        </w:tc>
        <w:tc>
          <w:tcPr>
            <w:tcW w:w="367" w:type="pct"/>
            <w:tcBorders>
              <w:top w:val="nil"/>
              <w:left w:val="nil"/>
              <w:bottom w:val="nil"/>
              <w:right w:val="nil"/>
            </w:tcBorders>
          </w:tcPr>
          <w:p w14:paraId="0F3C487D"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7A0F0541" w14:textId="15FFBE82"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09/11/2023</w:t>
            </w:r>
          </w:p>
        </w:tc>
        <w:tc>
          <w:tcPr>
            <w:tcW w:w="78" w:type="pct"/>
            <w:tcBorders>
              <w:top w:val="nil"/>
              <w:left w:val="nil"/>
              <w:bottom w:val="nil"/>
              <w:right w:val="nil"/>
            </w:tcBorders>
            <w:shd w:val="clear" w:color="auto" w:fill="auto"/>
            <w:noWrap/>
            <w:vAlign w:val="bottom"/>
            <w:hideMark/>
          </w:tcPr>
          <w:p w14:paraId="2D498E84"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801" w:type="pct"/>
            <w:tcBorders>
              <w:top w:val="nil"/>
              <w:left w:val="nil"/>
              <w:bottom w:val="nil"/>
              <w:right w:val="nil"/>
            </w:tcBorders>
            <w:shd w:val="clear" w:color="auto" w:fill="auto"/>
            <w:noWrap/>
            <w:vAlign w:val="center"/>
            <w:hideMark/>
          </w:tcPr>
          <w:p w14:paraId="79ED3A30"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10.000</w:t>
            </w:r>
          </w:p>
        </w:tc>
        <w:tc>
          <w:tcPr>
            <w:tcW w:w="78" w:type="pct"/>
            <w:tcBorders>
              <w:top w:val="nil"/>
              <w:left w:val="nil"/>
              <w:bottom w:val="nil"/>
              <w:right w:val="nil"/>
            </w:tcBorders>
            <w:shd w:val="clear" w:color="auto" w:fill="auto"/>
            <w:noWrap/>
            <w:vAlign w:val="bottom"/>
            <w:hideMark/>
          </w:tcPr>
          <w:p w14:paraId="1CDE3448"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979" w:type="pct"/>
            <w:tcBorders>
              <w:top w:val="nil"/>
              <w:left w:val="nil"/>
              <w:bottom w:val="nil"/>
              <w:right w:val="nil"/>
            </w:tcBorders>
            <w:shd w:val="clear" w:color="auto" w:fill="auto"/>
            <w:noWrap/>
            <w:vAlign w:val="bottom"/>
            <w:hideMark/>
          </w:tcPr>
          <w:p w14:paraId="138876EA"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500</w:t>
            </w:r>
          </w:p>
        </w:tc>
      </w:tr>
      <w:tr w:rsidR="00D25362" w:rsidRPr="00D25362" w14:paraId="29AFD903" w14:textId="77777777" w:rsidTr="00D25362">
        <w:trPr>
          <w:trHeight w:val="240"/>
        </w:trPr>
        <w:tc>
          <w:tcPr>
            <w:tcW w:w="2132" w:type="pct"/>
            <w:tcBorders>
              <w:top w:val="nil"/>
              <w:left w:val="nil"/>
              <w:bottom w:val="nil"/>
              <w:right w:val="nil"/>
            </w:tcBorders>
            <w:shd w:val="clear" w:color="auto" w:fill="auto"/>
            <w:noWrap/>
            <w:vAlign w:val="center"/>
            <w:hideMark/>
          </w:tcPr>
          <w:p w14:paraId="33F94805"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Unidades industriais</w:t>
            </w:r>
          </w:p>
        </w:tc>
        <w:tc>
          <w:tcPr>
            <w:tcW w:w="367" w:type="pct"/>
            <w:tcBorders>
              <w:top w:val="nil"/>
              <w:left w:val="nil"/>
              <w:bottom w:val="nil"/>
              <w:right w:val="nil"/>
            </w:tcBorders>
          </w:tcPr>
          <w:p w14:paraId="700DDB10"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7D4CAD6C" w14:textId="729598A5"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07/10/2023</w:t>
            </w:r>
          </w:p>
        </w:tc>
        <w:tc>
          <w:tcPr>
            <w:tcW w:w="78" w:type="pct"/>
            <w:tcBorders>
              <w:top w:val="nil"/>
              <w:left w:val="nil"/>
              <w:bottom w:val="nil"/>
              <w:right w:val="nil"/>
            </w:tcBorders>
            <w:shd w:val="clear" w:color="auto" w:fill="auto"/>
            <w:noWrap/>
            <w:vAlign w:val="bottom"/>
            <w:hideMark/>
          </w:tcPr>
          <w:p w14:paraId="01A5FEA0"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801" w:type="pct"/>
            <w:tcBorders>
              <w:top w:val="nil"/>
              <w:left w:val="nil"/>
              <w:bottom w:val="nil"/>
              <w:right w:val="nil"/>
            </w:tcBorders>
            <w:shd w:val="clear" w:color="auto" w:fill="auto"/>
            <w:noWrap/>
            <w:vAlign w:val="center"/>
            <w:hideMark/>
          </w:tcPr>
          <w:p w14:paraId="5825F34D"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680.800</w:t>
            </w:r>
          </w:p>
        </w:tc>
        <w:tc>
          <w:tcPr>
            <w:tcW w:w="78" w:type="pct"/>
            <w:tcBorders>
              <w:top w:val="nil"/>
              <w:left w:val="nil"/>
              <w:bottom w:val="nil"/>
              <w:right w:val="nil"/>
            </w:tcBorders>
            <w:shd w:val="clear" w:color="auto" w:fill="auto"/>
            <w:noWrap/>
            <w:vAlign w:val="bottom"/>
            <w:hideMark/>
          </w:tcPr>
          <w:p w14:paraId="42F3AD23"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979" w:type="pct"/>
            <w:tcBorders>
              <w:top w:val="nil"/>
              <w:left w:val="nil"/>
              <w:bottom w:val="nil"/>
              <w:right w:val="nil"/>
            </w:tcBorders>
            <w:shd w:val="clear" w:color="auto" w:fill="auto"/>
            <w:noWrap/>
            <w:vAlign w:val="bottom"/>
            <w:hideMark/>
          </w:tcPr>
          <w:p w14:paraId="1945E6B1"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8353</w:t>
            </w:r>
          </w:p>
        </w:tc>
      </w:tr>
      <w:tr w:rsidR="00D25362" w:rsidRPr="00D25362" w14:paraId="24DDBFF0" w14:textId="77777777" w:rsidTr="00D25362">
        <w:trPr>
          <w:trHeight w:val="240"/>
        </w:trPr>
        <w:tc>
          <w:tcPr>
            <w:tcW w:w="2132" w:type="pct"/>
            <w:tcBorders>
              <w:top w:val="nil"/>
              <w:left w:val="nil"/>
              <w:bottom w:val="nil"/>
              <w:right w:val="nil"/>
            </w:tcBorders>
            <w:shd w:val="clear" w:color="auto" w:fill="auto"/>
            <w:noWrap/>
            <w:vAlign w:val="center"/>
            <w:hideMark/>
          </w:tcPr>
          <w:p w14:paraId="5A251138"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Seguro de vida em grupo e acidentes pessoais</w:t>
            </w:r>
          </w:p>
        </w:tc>
        <w:tc>
          <w:tcPr>
            <w:tcW w:w="367" w:type="pct"/>
            <w:tcBorders>
              <w:top w:val="nil"/>
              <w:left w:val="nil"/>
              <w:bottom w:val="nil"/>
              <w:right w:val="nil"/>
            </w:tcBorders>
          </w:tcPr>
          <w:p w14:paraId="7F537E58"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5B1275F9" w14:textId="3297A9A2"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31/10/2023</w:t>
            </w:r>
          </w:p>
        </w:tc>
        <w:tc>
          <w:tcPr>
            <w:tcW w:w="78" w:type="pct"/>
            <w:tcBorders>
              <w:top w:val="nil"/>
              <w:left w:val="nil"/>
              <w:bottom w:val="nil"/>
              <w:right w:val="nil"/>
            </w:tcBorders>
            <w:shd w:val="clear" w:color="auto" w:fill="auto"/>
            <w:noWrap/>
            <w:vAlign w:val="bottom"/>
            <w:hideMark/>
          </w:tcPr>
          <w:p w14:paraId="6E44A91F"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801" w:type="pct"/>
            <w:tcBorders>
              <w:top w:val="nil"/>
              <w:left w:val="nil"/>
              <w:bottom w:val="nil"/>
              <w:right w:val="nil"/>
            </w:tcBorders>
            <w:shd w:val="clear" w:color="auto" w:fill="auto"/>
            <w:noWrap/>
            <w:vAlign w:val="center"/>
            <w:hideMark/>
          </w:tcPr>
          <w:p w14:paraId="5B18F808"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228.496</w:t>
            </w:r>
          </w:p>
        </w:tc>
        <w:tc>
          <w:tcPr>
            <w:tcW w:w="78" w:type="pct"/>
            <w:tcBorders>
              <w:top w:val="nil"/>
              <w:left w:val="nil"/>
              <w:bottom w:val="nil"/>
              <w:right w:val="nil"/>
            </w:tcBorders>
            <w:shd w:val="clear" w:color="auto" w:fill="auto"/>
            <w:noWrap/>
            <w:vAlign w:val="bottom"/>
            <w:hideMark/>
          </w:tcPr>
          <w:p w14:paraId="67F028CA"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979" w:type="pct"/>
            <w:tcBorders>
              <w:top w:val="nil"/>
              <w:left w:val="nil"/>
              <w:bottom w:val="nil"/>
              <w:right w:val="nil"/>
            </w:tcBorders>
            <w:shd w:val="clear" w:color="auto" w:fill="auto"/>
            <w:noWrap/>
            <w:vAlign w:val="bottom"/>
            <w:hideMark/>
          </w:tcPr>
          <w:p w14:paraId="0359BE14"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2086</w:t>
            </w:r>
          </w:p>
        </w:tc>
      </w:tr>
      <w:tr w:rsidR="00D25362" w:rsidRPr="00D25362" w14:paraId="3F03CF9C" w14:textId="77777777" w:rsidTr="00D25362">
        <w:trPr>
          <w:trHeight w:val="240"/>
        </w:trPr>
        <w:tc>
          <w:tcPr>
            <w:tcW w:w="2132" w:type="pct"/>
            <w:tcBorders>
              <w:top w:val="nil"/>
              <w:left w:val="nil"/>
              <w:bottom w:val="nil"/>
              <w:right w:val="nil"/>
            </w:tcBorders>
            <w:shd w:val="clear" w:color="auto" w:fill="auto"/>
            <w:noWrap/>
            <w:vAlign w:val="center"/>
            <w:hideMark/>
          </w:tcPr>
          <w:p w14:paraId="6A191647"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Escritórios</w:t>
            </w:r>
          </w:p>
        </w:tc>
        <w:tc>
          <w:tcPr>
            <w:tcW w:w="367" w:type="pct"/>
            <w:tcBorders>
              <w:top w:val="nil"/>
              <w:left w:val="nil"/>
              <w:bottom w:val="nil"/>
              <w:right w:val="nil"/>
            </w:tcBorders>
          </w:tcPr>
          <w:p w14:paraId="4B5C3931"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5F78958E" w14:textId="4CED6C30" w:rsidR="00D25362" w:rsidRPr="00D25362" w:rsidRDefault="00D25362" w:rsidP="00D25362">
            <w:pPr>
              <w:spacing w:after="0" w:line="240" w:lineRule="auto"/>
              <w:rPr>
                <w:rFonts w:ascii="Segoe UI" w:eastAsia="Times New Roman" w:hAnsi="Segoe UI" w:cs="Segoe UI"/>
                <w:color w:val="000000"/>
                <w:sz w:val="18"/>
                <w:szCs w:val="18"/>
                <w:lang w:eastAsia="pt-BR"/>
              </w:rPr>
            </w:pPr>
          </w:p>
        </w:tc>
        <w:tc>
          <w:tcPr>
            <w:tcW w:w="78" w:type="pct"/>
            <w:tcBorders>
              <w:top w:val="nil"/>
              <w:left w:val="nil"/>
              <w:bottom w:val="nil"/>
              <w:right w:val="nil"/>
            </w:tcBorders>
            <w:shd w:val="clear" w:color="auto" w:fill="auto"/>
            <w:noWrap/>
            <w:vAlign w:val="bottom"/>
            <w:hideMark/>
          </w:tcPr>
          <w:p w14:paraId="300E5AC7" w14:textId="77777777" w:rsidR="00D25362" w:rsidRPr="00D25362" w:rsidRDefault="00D25362" w:rsidP="00D25362">
            <w:pPr>
              <w:spacing w:after="0" w:line="240" w:lineRule="auto"/>
              <w:rPr>
                <w:rFonts w:ascii="Times New Roman" w:eastAsia="Times New Roman" w:hAnsi="Times New Roman" w:cs="Times New Roman"/>
                <w:sz w:val="20"/>
                <w:szCs w:val="20"/>
                <w:lang w:eastAsia="pt-BR"/>
              </w:rPr>
            </w:pPr>
          </w:p>
        </w:tc>
        <w:tc>
          <w:tcPr>
            <w:tcW w:w="801" w:type="pct"/>
            <w:tcBorders>
              <w:top w:val="nil"/>
              <w:left w:val="nil"/>
              <w:bottom w:val="nil"/>
              <w:right w:val="nil"/>
            </w:tcBorders>
            <w:shd w:val="clear" w:color="auto" w:fill="auto"/>
            <w:noWrap/>
            <w:vAlign w:val="center"/>
            <w:hideMark/>
          </w:tcPr>
          <w:p w14:paraId="31BD573D"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21.085</w:t>
            </w:r>
          </w:p>
        </w:tc>
        <w:tc>
          <w:tcPr>
            <w:tcW w:w="78" w:type="pct"/>
            <w:tcBorders>
              <w:top w:val="nil"/>
              <w:left w:val="nil"/>
              <w:bottom w:val="nil"/>
              <w:right w:val="nil"/>
            </w:tcBorders>
            <w:shd w:val="clear" w:color="auto" w:fill="auto"/>
            <w:noWrap/>
            <w:vAlign w:val="bottom"/>
            <w:hideMark/>
          </w:tcPr>
          <w:p w14:paraId="47C89BEC"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979" w:type="pct"/>
            <w:tcBorders>
              <w:top w:val="nil"/>
              <w:left w:val="nil"/>
              <w:bottom w:val="nil"/>
              <w:right w:val="nil"/>
            </w:tcBorders>
            <w:shd w:val="clear" w:color="auto" w:fill="auto"/>
            <w:noWrap/>
            <w:vAlign w:val="bottom"/>
            <w:hideMark/>
          </w:tcPr>
          <w:p w14:paraId="761281A0"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6</w:t>
            </w:r>
          </w:p>
        </w:tc>
      </w:tr>
      <w:tr w:rsidR="00D25362" w:rsidRPr="00D25362" w14:paraId="1F653038" w14:textId="77777777" w:rsidTr="00D25362">
        <w:trPr>
          <w:trHeight w:val="240"/>
        </w:trPr>
        <w:tc>
          <w:tcPr>
            <w:tcW w:w="2132" w:type="pct"/>
            <w:tcBorders>
              <w:top w:val="nil"/>
              <w:left w:val="nil"/>
              <w:bottom w:val="nil"/>
              <w:right w:val="nil"/>
            </w:tcBorders>
            <w:shd w:val="clear" w:color="auto" w:fill="auto"/>
            <w:noWrap/>
            <w:vAlign w:val="center"/>
            <w:hideMark/>
          </w:tcPr>
          <w:p w14:paraId="10407083"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Veículos (a)</w:t>
            </w:r>
          </w:p>
        </w:tc>
        <w:tc>
          <w:tcPr>
            <w:tcW w:w="367" w:type="pct"/>
            <w:tcBorders>
              <w:top w:val="nil"/>
              <w:left w:val="nil"/>
              <w:bottom w:val="nil"/>
              <w:right w:val="nil"/>
            </w:tcBorders>
          </w:tcPr>
          <w:p w14:paraId="1D99E74B"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13290717" w14:textId="0E2431DF" w:rsidR="00D25362" w:rsidRPr="00D25362" w:rsidRDefault="00D25362" w:rsidP="00D25362">
            <w:pPr>
              <w:spacing w:after="0" w:line="240" w:lineRule="auto"/>
              <w:rPr>
                <w:rFonts w:ascii="Segoe UI" w:eastAsia="Times New Roman" w:hAnsi="Segoe UI" w:cs="Segoe UI"/>
                <w:color w:val="000000"/>
                <w:sz w:val="18"/>
                <w:szCs w:val="18"/>
                <w:lang w:eastAsia="pt-BR"/>
              </w:rPr>
            </w:pPr>
          </w:p>
        </w:tc>
        <w:tc>
          <w:tcPr>
            <w:tcW w:w="78" w:type="pct"/>
            <w:tcBorders>
              <w:top w:val="nil"/>
              <w:left w:val="nil"/>
              <w:bottom w:val="nil"/>
              <w:right w:val="nil"/>
            </w:tcBorders>
            <w:shd w:val="clear" w:color="auto" w:fill="auto"/>
            <w:noWrap/>
            <w:vAlign w:val="bottom"/>
            <w:hideMark/>
          </w:tcPr>
          <w:p w14:paraId="2801CB5C" w14:textId="77777777" w:rsidR="00D25362" w:rsidRPr="00D25362" w:rsidRDefault="00D25362" w:rsidP="00D25362">
            <w:pPr>
              <w:spacing w:after="0" w:line="240" w:lineRule="auto"/>
              <w:rPr>
                <w:rFonts w:ascii="Times New Roman" w:eastAsia="Times New Roman" w:hAnsi="Times New Roman" w:cs="Times New Roman"/>
                <w:sz w:val="20"/>
                <w:szCs w:val="20"/>
                <w:lang w:eastAsia="pt-BR"/>
              </w:rPr>
            </w:pPr>
          </w:p>
        </w:tc>
        <w:tc>
          <w:tcPr>
            <w:tcW w:w="801" w:type="pct"/>
            <w:tcBorders>
              <w:top w:val="nil"/>
              <w:left w:val="nil"/>
              <w:bottom w:val="nil"/>
              <w:right w:val="nil"/>
            </w:tcBorders>
            <w:shd w:val="clear" w:color="auto" w:fill="auto"/>
            <w:noWrap/>
            <w:vAlign w:val="center"/>
            <w:hideMark/>
          </w:tcPr>
          <w:p w14:paraId="67E33F44"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FIPE</w:t>
            </w:r>
          </w:p>
        </w:tc>
        <w:tc>
          <w:tcPr>
            <w:tcW w:w="78" w:type="pct"/>
            <w:tcBorders>
              <w:top w:val="nil"/>
              <w:left w:val="nil"/>
              <w:bottom w:val="nil"/>
              <w:right w:val="nil"/>
            </w:tcBorders>
            <w:shd w:val="clear" w:color="auto" w:fill="auto"/>
            <w:noWrap/>
            <w:vAlign w:val="bottom"/>
            <w:hideMark/>
          </w:tcPr>
          <w:p w14:paraId="13FF1269"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979" w:type="pct"/>
            <w:tcBorders>
              <w:top w:val="nil"/>
              <w:left w:val="nil"/>
              <w:bottom w:val="nil"/>
              <w:right w:val="nil"/>
            </w:tcBorders>
            <w:shd w:val="clear" w:color="auto" w:fill="auto"/>
            <w:noWrap/>
            <w:vAlign w:val="center"/>
            <w:hideMark/>
          </w:tcPr>
          <w:p w14:paraId="3B71FF8A"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FIPE</w:t>
            </w:r>
          </w:p>
        </w:tc>
      </w:tr>
      <w:tr w:rsidR="00D25362" w:rsidRPr="00D25362" w14:paraId="77921D48" w14:textId="77777777" w:rsidTr="00D25362">
        <w:trPr>
          <w:trHeight w:val="240"/>
        </w:trPr>
        <w:tc>
          <w:tcPr>
            <w:tcW w:w="2132" w:type="pct"/>
            <w:tcBorders>
              <w:top w:val="nil"/>
              <w:left w:val="nil"/>
              <w:bottom w:val="nil"/>
              <w:right w:val="nil"/>
            </w:tcBorders>
            <w:shd w:val="clear" w:color="auto" w:fill="auto"/>
            <w:noWrap/>
            <w:vAlign w:val="center"/>
            <w:hideMark/>
          </w:tcPr>
          <w:p w14:paraId="07F79B14"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Transporte nacional – avarias no estoque (b)</w:t>
            </w:r>
          </w:p>
        </w:tc>
        <w:tc>
          <w:tcPr>
            <w:tcW w:w="367" w:type="pct"/>
            <w:tcBorders>
              <w:top w:val="nil"/>
              <w:left w:val="nil"/>
              <w:bottom w:val="nil"/>
              <w:right w:val="nil"/>
            </w:tcBorders>
          </w:tcPr>
          <w:p w14:paraId="2BADBE16"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410513B9" w14:textId="657DF1AF"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23/10/2023</w:t>
            </w:r>
          </w:p>
        </w:tc>
        <w:tc>
          <w:tcPr>
            <w:tcW w:w="78" w:type="pct"/>
            <w:tcBorders>
              <w:top w:val="nil"/>
              <w:left w:val="nil"/>
              <w:bottom w:val="nil"/>
              <w:right w:val="nil"/>
            </w:tcBorders>
            <w:shd w:val="clear" w:color="auto" w:fill="auto"/>
            <w:noWrap/>
            <w:vAlign w:val="bottom"/>
            <w:hideMark/>
          </w:tcPr>
          <w:p w14:paraId="7AD288A7"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801" w:type="pct"/>
            <w:tcBorders>
              <w:top w:val="nil"/>
              <w:left w:val="nil"/>
              <w:bottom w:val="nil"/>
              <w:right w:val="nil"/>
            </w:tcBorders>
            <w:shd w:val="clear" w:color="auto" w:fill="auto"/>
            <w:noWrap/>
            <w:vAlign w:val="center"/>
            <w:hideMark/>
          </w:tcPr>
          <w:p w14:paraId="79D176CF"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1.000</w:t>
            </w:r>
          </w:p>
        </w:tc>
        <w:tc>
          <w:tcPr>
            <w:tcW w:w="78" w:type="pct"/>
            <w:tcBorders>
              <w:top w:val="nil"/>
              <w:left w:val="nil"/>
              <w:bottom w:val="nil"/>
              <w:right w:val="nil"/>
            </w:tcBorders>
            <w:shd w:val="clear" w:color="auto" w:fill="auto"/>
            <w:noWrap/>
            <w:vAlign w:val="bottom"/>
            <w:hideMark/>
          </w:tcPr>
          <w:p w14:paraId="73C7E50C"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979" w:type="pct"/>
            <w:tcBorders>
              <w:top w:val="nil"/>
              <w:left w:val="nil"/>
              <w:bottom w:val="nil"/>
              <w:right w:val="nil"/>
            </w:tcBorders>
            <w:shd w:val="clear" w:color="auto" w:fill="auto"/>
            <w:vAlign w:val="bottom"/>
            <w:hideMark/>
          </w:tcPr>
          <w:p w14:paraId="56AAF552"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 xml:space="preserve"> - </w:t>
            </w:r>
          </w:p>
        </w:tc>
      </w:tr>
      <w:tr w:rsidR="00D25362" w:rsidRPr="00D25362" w14:paraId="1FBAAB3A" w14:textId="77777777" w:rsidTr="00D25362">
        <w:trPr>
          <w:trHeight w:val="240"/>
        </w:trPr>
        <w:tc>
          <w:tcPr>
            <w:tcW w:w="2132" w:type="pct"/>
            <w:tcBorders>
              <w:top w:val="nil"/>
              <w:left w:val="nil"/>
              <w:bottom w:val="nil"/>
              <w:right w:val="nil"/>
            </w:tcBorders>
            <w:shd w:val="clear" w:color="auto" w:fill="auto"/>
            <w:noWrap/>
            <w:vAlign w:val="center"/>
            <w:hideMark/>
          </w:tcPr>
          <w:p w14:paraId="3B7A52D6" w14:textId="77777777" w:rsidR="00D25362" w:rsidRPr="00D25362" w:rsidRDefault="00D25362" w:rsidP="00D25362">
            <w:pPr>
              <w:spacing w:after="0" w:line="240" w:lineRule="auto"/>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 xml:space="preserve">Transporte internacional – avarias no estoque (c) </w:t>
            </w:r>
          </w:p>
        </w:tc>
        <w:tc>
          <w:tcPr>
            <w:tcW w:w="367" w:type="pct"/>
            <w:tcBorders>
              <w:top w:val="nil"/>
              <w:left w:val="nil"/>
              <w:bottom w:val="nil"/>
              <w:right w:val="nil"/>
            </w:tcBorders>
          </w:tcPr>
          <w:p w14:paraId="17AC115D"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5EC8A2FF" w14:textId="1F4E3DF8"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24/08/2023</w:t>
            </w:r>
          </w:p>
        </w:tc>
        <w:tc>
          <w:tcPr>
            <w:tcW w:w="78" w:type="pct"/>
            <w:tcBorders>
              <w:top w:val="nil"/>
              <w:left w:val="nil"/>
              <w:bottom w:val="nil"/>
              <w:right w:val="nil"/>
            </w:tcBorders>
            <w:shd w:val="clear" w:color="auto" w:fill="auto"/>
            <w:noWrap/>
            <w:vAlign w:val="bottom"/>
            <w:hideMark/>
          </w:tcPr>
          <w:p w14:paraId="522206DF"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801" w:type="pct"/>
            <w:tcBorders>
              <w:top w:val="nil"/>
              <w:left w:val="nil"/>
              <w:bottom w:val="nil"/>
              <w:right w:val="nil"/>
            </w:tcBorders>
            <w:shd w:val="clear" w:color="auto" w:fill="auto"/>
            <w:noWrap/>
            <w:vAlign w:val="center"/>
            <w:hideMark/>
          </w:tcPr>
          <w:p w14:paraId="7E6E8AF9"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272.000</w:t>
            </w:r>
          </w:p>
        </w:tc>
        <w:tc>
          <w:tcPr>
            <w:tcW w:w="78" w:type="pct"/>
            <w:tcBorders>
              <w:top w:val="nil"/>
              <w:left w:val="nil"/>
              <w:bottom w:val="nil"/>
              <w:right w:val="nil"/>
            </w:tcBorders>
            <w:shd w:val="clear" w:color="auto" w:fill="auto"/>
            <w:noWrap/>
            <w:vAlign w:val="bottom"/>
            <w:hideMark/>
          </w:tcPr>
          <w:p w14:paraId="71D67D39"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979" w:type="pct"/>
            <w:tcBorders>
              <w:top w:val="nil"/>
              <w:left w:val="nil"/>
              <w:bottom w:val="nil"/>
              <w:right w:val="nil"/>
            </w:tcBorders>
            <w:shd w:val="clear" w:color="auto" w:fill="auto"/>
            <w:vAlign w:val="bottom"/>
            <w:hideMark/>
          </w:tcPr>
          <w:p w14:paraId="4C8EDCD5"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r w:rsidRPr="00D25362">
              <w:rPr>
                <w:rFonts w:ascii="Segoe UI" w:eastAsia="Times New Roman" w:hAnsi="Segoe UI" w:cs="Segoe UI"/>
                <w:color w:val="000000"/>
                <w:sz w:val="18"/>
                <w:szCs w:val="18"/>
                <w:lang w:eastAsia="pt-BR"/>
              </w:rPr>
              <w:t xml:space="preserve"> - </w:t>
            </w:r>
          </w:p>
        </w:tc>
      </w:tr>
      <w:tr w:rsidR="00D25362" w:rsidRPr="00D25362" w14:paraId="1E515F0B" w14:textId="77777777" w:rsidTr="00D25362">
        <w:trPr>
          <w:trHeight w:val="255"/>
        </w:trPr>
        <w:tc>
          <w:tcPr>
            <w:tcW w:w="2132" w:type="pct"/>
            <w:tcBorders>
              <w:top w:val="nil"/>
              <w:left w:val="nil"/>
              <w:bottom w:val="nil"/>
              <w:right w:val="nil"/>
            </w:tcBorders>
            <w:shd w:val="clear" w:color="auto" w:fill="auto"/>
            <w:noWrap/>
            <w:vAlign w:val="bottom"/>
            <w:hideMark/>
          </w:tcPr>
          <w:p w14:paraId="57478D5C" w14:textId="77777777" w:rsidR="00D25362" w:rsidRPr="00D25362" w:rsidRDefault="00D25362" w:rsidP="00D25362">
            <w:pPr>
              <w:spacing w:after="0" w:line="240" w:lineRule="auto"/>
              <w:jc w:val="right"/>
              <w:rPr>
                <w:rFonts w:ascii="Segoe UI" w:eastAsia="Times New Roman" w:hAnsi="Segoe UI" w:cs="Segoe UI"/>
                <w:color w:val="000000"/>
                <w:sz w:val="18"/>
                <w:szCs w:val="18"/>
                <w:lang w:eastAsia="pt-BR"/>
              </w:rPr>
            </w:pPr>
          </w:p>
        </w:tc>
        <w:tc>
          <w:tcPr>
            <w:tcW w:w="367" w:type="pct"/>
            <w:tcBorders>
              <w:top w:val="nil"/>
              <w:left w:val="nil"/>
              <w:bottom w:val="nil"/>
              <w:right w:val="nil"/>
            </w:tcBorders>
          </w:tcPr>
          <w:p w14:paraId="30238F08" w14:textId="77777777" w:rsidR="00D25362" w:rsidRPr="00D25362" w:rsidRDefault="00D25362" w:rsidP="00D25362">
            <w:pPr>
              <w:spacing w:after="0" w:line="240" w:lineRule="auto"/>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noWrap/>
            <w:vAlign w:val="bottom"/>
            <w:hideMark/>
          </w:tcPr>
          <w:p w14:paraId="6F06F296" w14:textId="4EEE89A6" w:rsidR="00D25362" w:rsidRPr="00D25362" w:rsidRDefault="00D25362" w:rsidP="00D25362">
            <w:pPr>
              <w:spacing w:after="0" w:line="240" w:lineRule="auto"/>
              <w:rPr>
                <w:rFonts w:ascii="Times New Roman" w:eastAsia="Times New Roman" w:hAnsi="Times New Roman" w:cs="Times New Roman"/>
                <w:sz w:val="20"/>
                <w:szCs w:val="20"/>
                <w:lang w:eastAsia="pt-BR"/>
              </w:rPr>
            </w:pPr>
          </w:p>
        </w:tc>
        <w:tc>
          <w:tcPr>
            <w:tcW w:w="78" w:type="pct"/>
            <w:tcBorders>
              <w:top w:val="nil"/>
              <w:left w:val="nil"/>
              <w:bottom w:val="nil"/>
              <w:right w:val="nil"/>
            </w:tcBorders>
            <w:shd w:val="clear" w:color="auto" w:fill="auto"/>
            <w:noWrap/>
            <w:vAlign w:val="bottom"/>
            <w:hideMark/>
          </w:tcPr>
          <w:p w14:paraId="78956178" w14:textId="77777777" w:rsidR="00D25362" w:rsidRPr="00D25362" w:rsidRDefault="00D25362" w:rsidP="00D25362">
            <w:pPr>
              <w:spacing w:after="0" w:line="240" w:lineRule="auto"/>
              <w:rPr>
                <w:rFonts w:ascii="Times New Roman" w:eastAsia="Times New Roman" w:hAnsi="Times New Roman" w:cs="Times New Roman"/>
                <w:sz w:val="20"/>
                <w:szCs w:val="20"/>
                <w:lang w:eastAsia="pt-BR"/>
              </w:rPr>
            </w:pPr>
          </w:p>
        </w:tc>
        <w:tc>
          <w:tcPr>
            <w:tcW w:w="801" w:type="pct"/>
            <w:tcBorders>
              <w:top w:val="single" w:sz="4" w:space="0" w:color="1B80C4"/>
              <w:left w:val="nil"/>
              <w:bottom w:val="double" w:sz="6" w:space="0" w:color="1B80C4"/>
              <w:right w:val="nil"/>
            </w:tcBorders>
            <w:shd w:val="clear" w:color="auto" w:fill="auto"/>
            <w:noWrap/>
            <w:vAlign w:val="center"/>
            <w:hideMark/>
          </w:tcPr>
          <w:p w14:paraId="15C937E6" w14:textId="77777777" w:rsidR="00D25362" w:rsidRPr="00D25362" w:rsidRDefault="00D25362" w:rsidP="00D25362">
            <w:pPr>
              <w:spacing w:after="0" w:line="240" w:lineRule="auto"/>
              <w:jc w:val="right"/>
              <w:rPr>
                <w:rFonts w:ascii="Segoe UI" w:eastAsia="Times New Roman" w:hAnsi="Segoe UI" w:cs="Segoe UI"/>
                <w:b/>
                <w:bCs/>
                <w:color w:val="000000"/>
                <w:sz w:val="18"/>
                <w:szCs w:val="18"/>
                <w:lang w:eastAsia="pt-BR"/>
              </w:rPr>
            </w:pPr>
            <w:r w:rsidRPr="00D25362">
              <w:rPr>
                <w:rFonts w:ascii="Segoe UI" w:eastAsia="Times New Roman" w:hAnsi="Segoe UI" w:cs="Segoe UI"/>
                <w:b/>
                <w:bCs/>
                <w:color w:val="000000"/>
                <w:sz w:val="18"/>
                <w:szCs w:val="18"/>
                <w:lang w:eastAsia="pt-BR"/>
              </w:rPr>
              <w:t>1.213.381</w:t>
            </w:r>
          </w:p>
        </w:tc>
        <w:tc>
          <w:tcPr>
            <w:tcW w:w="78" w:type="pct"/>
            <w:tcBorders>
              <w:top w:val="nil"/>
              <w:left w:val="nil"/>
              <w:bottom w:val="nil"/>
              <w:right w:val="nil"/>
            </w:tcBorders>
            <w:shd w:val="clear" w:color="auto" w:fill="auto"/>
            <w:noWrap/>
            <w:vAlign w:val="bottom"/>
            <w:hideMark/>
          </w:tcPr>
          <w:p w14:paraId="63723D68" w14:textId="77777777" w:rsidR="00D25362" w:rsidRPr="00D25362" w:rsidRDefault="00D25362" w:rsidP="00D25362">
            <w:pPr>
              <w:spacing w:after="0" w:line="240" w:lineRule="auto"/>
              <w:jc w:val="right"/>
              <w:rPr>
                <w:rFonts w:ascii="Segoe UI" w:eastAsia="Times New Roman" w:hAnsi="Segoe UI" w:cs="Segoe UI"/>
                <w:b/>
                <w:bCs/>
                <w:color w:val="000000"/>
                <w:sz w:val="18"/>
                <w:szCs w:val="18"/>
                <w:lang w:eastAsia="pt-BR"/>
              </w:rPr>
            </w:pPr>
          </w:p>
        </w:tc>
        <w:tc>
          <w:tcPr>
            <w:tcW w:w="979" w:type="pct"/>
            <w:tcBorders>
              <w:top w:val="single" w:sz="4" w:space="0" w:color="1B80C4"/>
              <w:left w:val="nil"/>
              <w:bottom w:val="double" w:sz="6" w:space="0" w:color="1B80C4"/>
              <w:right w:val="nil"/>
            </w:tcBorders>
            <w:shd w:val="clear" w:color="auto" w:fill="auto"/>
            <w:noWrap/>
            <w:vAlign w:val="center"/>
            <w:hideMark/>
          </w:tcPr>
          <w:p w14:paraId="30AAAA3B" w14:textId="77777777" w:rsidR="00D25362" w:rsidRPr="00D25362" w:rsidRDefault="00D25362" w:rsidP="00D25362">
            <w:pPr>
              <w:spacing w:after="0" w:line="240" w:lineRule="auto"/>
              <w:jc w:val="right"/>
              <w:rPr>
                <w:rFonts w:ascii="Segoe UI" w:eastAsia="Times New Roman" w:hAnsi="Segoe UI" w:cs="Segoe UI"/>
                <w:b/>
                <w:bCs/>
                <w:color w:val="000000"/>
                <w:sz w:val="18"/>
                <w:szCs w:val="18"/>
                <w:lang w:eastAsia="pt-BR"/>
              </w:rPr>
            </w:pPr>
            <w:r w:rsidRPr="00D25362">
              <w:rPr>
                <w:rFonts w:ascii="Segoe UI" w:eastAsia="Times New Roman" w:hAnsi="Segoe UI" w:cs="Segoe UI"/>
                <w:b/>
                <w:bCs/>
                <w:color w:val="000000"/>
                <w:sz w:val="18"/>
                <w:szCs w:val="18"/>
                <w:lang w:eastAsia="pt-BR"/>
              </w:rPr>
              <w:t>10.945</w:t>
            </w:r>
          </w:p>
        </w:tc>
      </w:tr>
    </w:tbl>
    <w:p w14:paraId="7C16EEE5" w14:textId="77777777" w:rsidR="00691091" w:rsidRDefault="00691091" w:rsidP="00F4192D">
      <w:pPr>
        <w:jc w:val="both"/>
        <w:rPr>
          <w:rFonts w:ascii="Segoe UI" w:hAnsi="Segoe UI" w:cs="Segoe UI"/>
          <w:noProof/>
          <w:sz w:val="17"/>
          <w:szCs w:val="17"/>
          <w:lang w:eastAsia="pt-BR"/>
        </w:rPr>
      </w:pPr>
    </w:p>
    <w:p w14:paraId="7F78A76C" w14:textId="7A2D7CF4" w:rsidR="00F4192D" w:rsidRPr="00326F39" w:rsidRDefault="00F4192D" w:rsidP="00E03252">
      <w:pPr>
        <w:pStyle w:val="PargrafodaLista"/>
        <w:numPr>
          <w:ilvl w:val="1"/>
          <w:numId w:val="9"/>
        </w:numPr>
        <w:spacing w:before="120" w:after="240" w:line="259" w:lineRule="auto"/>
        <w:ind w:left="426" w:hanging="426"/>
        <w:rPr>
          <w:rFonts w:ascii="Segoe UI" w:hAnsi="Segoe UI" w:cs="Segoe UI"/>
          <w:sz w:val="20"/>
          <w:szCs w:val="20"/>
        </w:rPr>
      </w:pPr>
      <w:r w:rsidRPr="00326F39">
        <w:rPr>
          <w:rFonts w:ascii="Segoe UI" w:hAnsi="Segoe UI" w:cs="Segoe UI"/>
          <w:sz w:val="20"/>
          <w:szCs w:val="20"/>
        </w:rPr>
        <w:t>Em caso de sinistro, a indenização é de 100% da tabela FIPE. Quando não existe referência na tabela FIPE, a indenização é realizada por valor determinado, discriminado no Termo de Referência e consequentemente em apólice.</w:t>
      </w:r>
    </w:p>
    <w:p w14:paraId="52BBCF32" w14:textId="3FD9ED49" w:rsidR="00F4192D" w:rsidRPr="00326F39" w:rsidRDefault="00F4192D" w:rsidP="00E03252">
      <w:pPr>
        <w:pStyle w:val="PargrafodaLista"/>
        <w:numPr>
          <w:ilvl w:val="1"/>
          <w:numId w:val="9"/>
        </w:numPr>
        <w:spacing w:before="120" w:after="240" w:line="259" w:lineRule="auto"/>
        <w:ind w:left="426" w:hanging="426"/>
        <w:rPr>
          <w:rFonts w:ascii="Segoe UI" w:hAnsi="Segoe UI" w:cs="Segoe UI"/>
          <w:sz w:val="20"/>
          <w:szCs w:val="20"/>
        </w:rPr>
      </w:pPr>
      <w:r w:rsidRPr="00326F39">
        <w:rPr>
          <w:rFonts w:ascii="Segoe UI" w:hAnsi="Segoe UI" w:cs="Segoe UI"/>
          <w:sz w:val="20"/>
          <w:szCs w:val="20"/>
        </w:rPr>
        <w:lastRenderedPageBreak/>
        <w:t>Valor total de R$ 1.000 por embarque.</w:t>
      </w:r>
    </w:p>
    <w:p w14:paraId="0A089FD6" w14:textId="4628F0B9" w:rsidR="00F4192D" w:rsidRDefault="00F4192D" w:rsidP="00E03252">
      <w:pPr>
        <w:pStyle w:val="PargrafodaLista"/>
        <w:numPr>
          <w:ilvl w:val="1"/>
          <w:numId w:val="9"/>
        </w:numPr>
        <w:spacing w:before="120" w:after="240" w:line="259" w:lineRule="auto"/>
        <w:ind w:left="426" w:hanging="426"/>
        <w:rPr>
          <w:rFonts w:ascii="Segoe UI" w:hAnsi="Segoe UI" w:cs="Segoe UI"/>
          <w:sz w:val="20"/>
          <w:szCs w:val="20"/>
        </w:rPr>
      </w:pPr>
      <w:r w:rsidRPr="00326F39">
        <w:rPr>
          <w:rFonts w:ascii="Segoe UI" w:hAnsi="Segoe UI" w:cs="Segoe UI"/>
          <w:sz w:val="20"/>
          <w:szCs w:val="20"/>
        </w:rPr>
        <w:t>Valor total de US$ 50.000 por embarque.</w:t>
      </w:r>
    </w:p>
    <w:p w14:paraId="167071D2" w14:textId="1195F864" w:rsidR="002B1787" w:rsidRPr="000757BC" w:rsidRDefault="005B6BD5" w:rsidP="00326F3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4</w:t>
      </w:r>
      <w:r w:rsidRPr="000757BC">
        <w:rPr>
          <w:rFonts w:ascii="Segoe UI" w:hAnsi="Segoe UI" w:cs="Segoe UI"/>
          <w:b/>
          <w:color w:val="0070C0"/>
        </w:rPr>
        <w:t xml:space="preserve"> </w:t>
      </w:r>
      <w:r w:rsidR="002B1787" w:rsidRPr="000757BC">
        <w:rPr>
          <w:rFonts w:ascii="Segoe UI" w:hAnsi="Segoe UI" w:cs="Segoe UI"/>
          <w:b/>
          <w:color w:val="0070C0"/>
        </w:rPr>
        <w:t xml:space="preserve">– COMPROMISSOS OPERACIONAIS DE LONGO PRAZO </w:t>
      </w:r>
    </w:p>
    <w:p w14:paraId="72CB5370" w14:textId="5A49A5ED" w:rsidR="00AA27EF" w:rsidRPr="000757BC" w:rsidRDefault="00AA27EF" w:rsidP="00400430">
      <w:pPr>
        <w:spacing w:before="120" w:after="240"/>
        <w:jc w:val="both"/>
        <w:rPr>
          <w:rFonts w:ascii="Segoe UI" w:hAnsi="Segoe UI" w:cs="Segoe UI"/>
        </w:rPr>
      </w:pPr>
      <w:r w:rsidRPr="000757BC">
        <w:rPr>
          <w:rFonts w:ascii="Segoe UI" w:hAnsi="Segoe UI" w:cs="Segoe UI"/>
        </w:rPr>
        <w:t>Além das obrigações registradas no presente balanço, a Companhia</w:t>
      </w:r>
      <w:r w:rsidR="002C6122" w:rsidRPr="000757BC">
        <w:rPr>
          <w:rFonts w:ascii="Segoe UI" w:hAnsi="Segoe UI" w:cs="Segoe UI"/>
        </w:rPr>
        <w:t xml:space="preserve"> e sua</w:t>
      </w:r>
      <w:r w:rsidR="00586507" w:rsidRPr="000757BC">
        <w:rPr>
          <w:rFonts w:ascii="Segoe UI" w:hAnsi="Segoe UI" w:cs="Segoe UI"/>
        </w:rPr>
        <w:t>s</w:t>
      </w:r>
      <w:r w:rsidR="002C6122" w:rsidRPr="000757BC">
        <w:rPr>
          <w:rFonts w:ascii="Segoe UI" w:hAnsi="Segoe UI" w:cs="Segoe UI"/>
        </w:rPr>
        <w:t xml:space="preserve"> </w:t>
      </w:r>
      <w:r w:rsidR="006601FD">
        <w:rPr>
          <w:rFonts w:ascii="Segoe UI" w:hAnsi="Segoe UI" w:cs="Segoe UI"/>
        </w:rPr>
        <w:t>c</w:t>
      </w:r>
      <w:r w:rsidR="00546002">
        <w:rPr>
          <w:rFonts w:ascii="Segoe UI" w:hAnsi="Segoe UI" w:cs="Segoe UI"/>
        </w:rPr>
        <w:t>ontrolada</w:t>
      </w:r>
      <w:r w:rsidR="00586507" w:rsidRPr="000757BC">
        <w:rPr>
          <w:rFonts w:ascii="Segoe UI" w:hAnsi="Segoe UI" w:cs="Segoe UI"/>
        </w:rPr>
        <w:t>s</w:t>
      </w:r>
      <w:r w:rsidRPr="000757BC">
        <w:rPr>
          <w:rFonts w:ascii="Segoe UI" w:hAnsi="Segoe UI" w:cs="Segoe UI"/>
        </w:rPr>
        <w:t xml:space="preserve"> possu</w:t>
      </w:r>
      <w:r w:rsidR="002C6122" w:rsidRPr="000757BC">
        <w:rPr>
          <w:rFonts w:ascii="Segoe UI" w:hAnsi="Segoe UI" w:cs="Segoe UI"/>
        </w:rPr>
        <w:t>em</w:t>
      </w:r>
      <w:r w:rsidRPr="000757BC">
        <w:rPr>
          <w:rFonts w:ascii="Segoe UI" w:hAnsi="Segoe UI" w:cs="Segoe UI"/>
        </w:rPr>
        <w:t xml:space="preserve"> outros compromissos contratados até a data do balanço, mas ainda não incorridos e cujas realizações ocorrerão nos próximos exercícios, portanto </w:t>
      </w:r>
      <w:r w:rsidR="002C6122" w:rsidRPr="000757BC">
        <w:rPr>
          <w:rFonts w:ascii="Segoe UI" w:hAnsi="Segoe UI" w:cs="Segoe UI"/>
        </w:rPr>
        <w:t xml:space="preserve">sem registros patrimoniais em </w:t>
      </w:r>
      <w:r w:rsidR="0051501D" w:rsidRPr="000757BC">
        <w:rPr>
          <w:rFonts w:ascii="Segoe UI" w:hAnsi="Segoe UI" w:cs="Segoe UI"/>
        </w:rPr>
        <w:t>31 de dezembro de 2022</w:t>
      </w:r>
      <w:r w:rsidRPr="000757BC">
        <w:rPr>
          <w:rFonts w:ascii="Segoe UI" w:hAnsi="Segoe UI" w:cs="Segoe UI"/>
        </w:rPr>
        <w:t xml:space="preserve">.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7D4CDAD5" w14:textId="4CB1C615" w:rsidR="00AA27EF" w:rsidRPr="000757BC" w:rsidRDefault="005B6BD5" w:rsidP="00C81535">
      <w:pPr>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4</w:t>
      </w:r>
      <w:r w:rsidR="00AA27EF" w:rsidRPr="000757BC">
        <w:rPr>
          <w:rFonts w:ascii="Segoe UI" w:hAnsi="Segoe UI" w:cs="Segoe UI"/>
          <w:b/>
          <w:bCs/>
          <w:color w:val="0070C0"/>
        </w:rPr>
        <w:t>.1 – Venda de energia elétrica</w:t>
      </w:r>
    </w:p>
    <w:p w14:paraId="087413FE" w14:textId="0EB5D024" w:rsidR="00AA27EF" w:rsidRPr="000757BC" w:rsidRDefault="00AA27EF" w:rsidP="00400430">
      <w:pPr>
        <w:spacing w:before="120" w:after="240"/>
        <w:jc w:val="both"/>
        <w:rPr>
          <w:rFonts w:ascii="Segoe UI" w:hAnsi="Segoe UI" w:cs="Segoe UI"/>
        </w:rPr>
      </w:pPr>
      <w:r w:rsidRPr="000757BC">
        <w:rPr>
          <w:rFonts w:ascii="Segoe UI" w:hAnsi="Segoe UI" w:cs="Segoe UI"/>
        </w:rPr>
        <w:t xml:space="preserve">Com a regulamentação da </w:t>
      </w:r>
      <w:r w:rsidR="00700C06">
        <w:rPr>
          <w:rFonts w:ascii="Segoe UI" w:hAnsi="Segoe UI" w:cs="Segoe UI"/>
        </w:rPr>
        <w:t>ANEEL</w:t>
      </w:r>
      <w:r w:rsidRPr="000757BC">
        <w:rPr>
          <w:rFonts w:ascii="Segoe UI" w:hAnsi="Segoe UI" w:cs="Segoe UI"/>
        </w:rPr>
        <w:t xml:space="preserve"> para o dispositivo do art.11, da Lei</w:t>
      </w:r>
      <w:r w:rsidR="004966B9" w:rsidRPr="000757BC">
        <w:rPr>
          <w:rFonts w:ascii="Segoe UI" w:hAnsi="Segoe UI" w:cs="Segoe UI"/>
        </w:rPr>
        <w:t xml:space="preserve"> nº</w:t>
      </w:r>
      <w:r w:rsidRPr="000757BC">
        <w:rPr>
          <w:rFonts w:ascii="Segoe UI" w:hAnsi="Segoe UI" w:cs="Segoe UI"/>
        </w:rPr>
        <w:t xml:space="preserve"> 12.111/2009 e mediante a edição da Resolução Normativa nº 1.009, de 22 de março de 2022, toda a receita decorrente da geração das </w:t>
      </w:r>
      <w:r w:rsidR="00700C06">
        <w:rPr>
          <w:rFonts w:ascii="Segoe UI" w:hAnsi="Segoe UI" w:cs="Segoe UI"/>
        </w:rPr>
        <w:t>u</w:t>
      </w:r>
      <w:r w:rsidRPr="000757BC">
        <w:rPr>
          <w:rFonts w:ascii="Segoe UI" w:hAnsi="Segoe UI" w:cs="Segoe UI"/>
        </w:rPr>
        <w:t xml:space="preserve">sinas Angra 1 e 2 será rateada entre todas as concessionárias, permissionárias ou autorizadas de serviço público de distribuição do SIN, de acordo com as cotas-partes estabelecidas pela </w:t>
      </w:r>
      <w:r w:rsidR="00700C06">
        <w:rPr>
          <w:rFonts w:ascii="Segoe UI" w:hAnsi="Segoe UI" w:cs="Segoe UI"/>
        </w:rPr>
        <w:t>ANEEL</w:t>
      </w:r>
      <w:r w:rsidRPr="000757BC">
        <w:rPr>
          <w:rFonts w:ascii="Segoe UI" w:hAnsi="Segoe UI" w:cs="Segoe UI"/>
        </w:rPr>
        <w:t xml:space="preserve"> para o período de 2022 a 2029. A Resolução Homologatória </w:t>
      </w:r>
      <w:r w:rsidR="00700C06">
        <w:rPr>
          <w:rFonts w:ascii="Segoe UI" w:hAnsi="Segoe UI" w:cs="Segoe UI"/>
        </w:rPr>
        <w:t>ANEEL</w:t>
      </w:r>
      <w:r w:rsidRPr="000757BC">
        <w:rPr>
          <w:rFonts w:ascii="Segoe UI" w:hAnsi="Segoe UI" w:cs="Segoe UI"/>
        </w:rPr>
        <w:t xml:space="preserve"> nº </w:t>
      </w:r>
      <w:r w:rsidRPr="000757BC">
        <w:rPr>
          <w:rFonts w:ascii="Segoe UI" w:hAnsi="Segoe UI" w:cs="Segoe UI"/>
          <w:iCs/>
        </w:rPr>
        <w:t>3.002</w:t>
      </w:r>
      <w:r w:rsidRPr="000757BC">
        <w:rPr>
          <w:rFonts w:ascii="Segoe UI" w:hAnsi="Segoe UI" w:cs="Segoe UI"/>
        </w:rPr>
        <w:t xml:space="preserve">/2021 estabeleceu a receita fixa de R$ </w:t>
      </w:r>
      <w:r w:rsidRPr="000757BC">
        <w:rPr>
          <w:rFonts w:ascii="Segoe UI" w:hAnsi="Segoe UI" w:cs="Segoe UI"/>
          <w:iCs/>
        </w:rPr>
        <w:t>4.6</w:t>
      </w:r>
      <w:r w:rsidR="00DF2D4F">
        <w:rPr>
          <w:rFonts w:ascii="Segoe UI" w:hAnsi="Segoe UI" w:cs="Segoe UI"/>
          <w:iCs/>
        </w:rPr>
        <w:t>6</w:t>
      </w:r>
      <w:r w:rsidRPr="000757BC">
        <w:rPr>
          <w:rFonts w:ascii="Segoe UI" w:hAnsi="Segoe UI" w:cs="Segoe UI"/>
          <w:iCs/>
        </w:rPr>
        <w:t>2.</w:t>
      </w:r>
      <w:r w:rsidR="003E0551">
        <w:rPr>
          <w:rFonts w:ascii="Segoe UI" w:hAnsi="Segoe UI" w:cs="Segoe UI"/>
          <w:iCs/>
        </w:rPr>
        <w:t>204</w:t>
      </w:r>
      <w:r w:rsidRPr="000757BC">
        <w:rPr>
          <w:rFonts w:ascii="Segoe UI" w:hAnsi="Segoe UI" w:cs="Segoe UI"/>
          <w:iCs/>
        </w:rPr>
        <w:t xml:space="preserve"> </w:t>
      </w:r>
      <w:r w:rsidRPr="000757BC">
        <w:rPr>
          <w:rFonts w:ascii="Segoe UI" w:hAnsi="Segoe UI" w:cs="Segoe UI"/>
        </w:rPr>
        <w:t xml:space="preserve">para o ano de 2022, relativa às Centrais de Geração Angra 1 e 2. </w:t>
      </w:r>
    </w:p>
    <w:p w14:paraId="682FBF6D" w14:textId="699C62E9" w:rsidR="00AA27EF" w:rsidRPr="000757BC" w:rsidRDefault="00AA27EF" w:rsidP="00400430">
      <w:pPr>
        <w:pStyle w:val="Default"/>
        <w:spacing w:before="120" w:after="240" w:line="259" w:lineRule="auto"/>
        <w:jc w:val="both"/>
        <w:rPr>
          <w:rFonts w:ascii="Segoe UI" w:hAnsi="Segoe UI" w:cs="Segoe UI"/>
          <w:color w:val="auto"/>
          <w:sz w:val="22"/>
          <w:szCs w:val="22"/>
        </w:rPr>
      </w:pPr>
      <w:r w:rsidRPr="000757BC">
        <w:rPr>
          <w:rFonts w:ascii="Segoe UI" w:hAnsi="Segoe UI" w:cs="Segoe UI"/>
          <w:color w:val="auto"/>
          <w:sz w:val="22"/>
          <w:szCs w:val="22"/>
        </w:rPr>
        <w:t>Conforme está previsto nos procedimentos estabelecidos pela A</w:t>
      </w:r>
      <w:r w:rsidR="00700C06">
        <w:rPr>
          <w:rFonts w:ascii="Segoe UI" w:hAnsi="Segoe UI" w:cs="Segoe UI"/>
          <w:color w:val="auto"/>
          <w:sz w:val="22"/>
          <w:szCs w:val="22"/>
        </w:rPr>
        <w:t>NEEL</w:t>
      </w:r>
      <w:r w:rsidRPr="000757BC">
        <w:rPr>
          <w:rFonts w:ascii="Segoe UI" w:hAnsi="Segoe UI" w:cs="Segoe UI"/>
          <w:color w:val="auto"/>
          <w:sz w:val="22"/>
          <w:szCs w:val="22"/>
        </w:rPr>
        <w:t xml:space="preserve">, as atualizações da receita fixa das </w:t>
      </w:r>
      <w:r w:rsidR="002A4E82">
        <w:rPr>
          <w:rFonts w:ascii="Segoe UI" w:hAnsi="Segoe UI" w:cs="Segoe UI"/>
          <w:color w:val="auto"/>
          <w:sz w:val="22"/>
          <w:szCs w:val="22"/>
        </w:rPr>
        <w:t>u</w:t>
      </w:r>
      <w:r w:rsidRPr="000757BC">
        <w:rPr>
          <w:rFonts w:ascii="Segoe UI" w:hAnsi="Segoe UI" w:cs="Segoe UI"/>
          <w:color w:val="auto"/>
          <w:sz w:val="22"/>
          <w:szCs w:val="22"/>
        </w:rPr>
        <w:t>sinas Angra 1 e 2 ocorrerão nas seguintes condições:</w:t>
      </w:r>
    </w:p>
    <w:p w14:paraId="5D7B8772" w14:textId="77777777" w:rsidR="00AA27EF" w:rsidRPr="000757BC" w:rsidRDefault="00AA27EF" w:rsidP="00E03252">
      <w:pPr>
        <w:pStyle w:val="Default"/>
        <w:numPr>
          <w:ilvl w:val="0"/>
          <w:numId w:val="3"/>
        </w:numPr>
        <w:adjustRightInd/>
        <w:spacing w:before="120" w:after="240" w:line="259" w:lineRule="auto"/>
        <w:ind w:left="1418" w:hanging="425"/>
        <w:jc w:val="both"/>
        <w:rPr>
          <w:rFonts w:ascii="Segoe UI" w:hAnsi="Segoe UI" w:cs="Segoe UI"/>
          <w:color w:val="auto"/>
          <w:sz w:val="22"/>
          <w:szCs w:val="22"/>
        </w:rPr>
      </w:pPr>
      <w:r w:rsidRPr="000757BC">
        <w:rPr>
          <w:rFonts w:ascii="Segoe UI" w:hAnsi="Segoe UI" w:cs="Segoe UI"/>
          <w:color w:val="auto"/>
          <w:sz w:val="22"/>
          <w:szCs w:val="22"/>
        </w:rPr>
        <w:t>Reajustes tarifários anuais, representados pela atualização inflacionária dos valores do período;</w:t>
      </w:r>
    </w:p>
    <w:p w14:paraId="67080950" w14:textId="77777777" w:rsidR="00AA27EF" w:rsidRPr="000757BC" w:rsidRDefault="00AA27EF" w:rsidP="00E03252">
      <w:pPr>
        <w:pStyle w:val="Default"/>
        <w:numPr>
          <w:ilvl w:val="0"/>
          <w:numId w:val="3"/>
        </w:numPr>
        <w:adjustRightInd/>
        <w:spacing w:before="120" w:after="240" w:line="259" w:lineRule="auto"/>
        <w:ind w:left="1418" w:hanging="425"/>
        <w:jc w:val="both"/>
        <w:rPr>
          <w:rFonts w:ascii="Segoe UI" w:hAnsi="Segoe UI" w:cs="Segoe UI"/>
          <w:color w:val="auto"/>
          <w:sz w:val="22"/>
          <w:szCs w:val="22"/>
        </w:rPr>
      </w:pPr>
      <w:r w:rsidRPr="000757BC">
        <w:rPr>
          <w:rFonts w:ascii="Segoe UI" w:hAnsi="Segoe UI" w:cs="Segoe UI"/>
          <w:color w:val="auto"/>
          <w:sz w:val="22"/>
          <w:szCs w:val="22"/>
        </w:rPr>
        <w:t>Revisões tarifárias a cada intervalo de três anos;</w:t>
      </w:r>
    </w:p>
    <w:p w14:paraId="3A5A274B" w14:textId="39502797" w:rsidR="00BD50AB" w:rsidRPr="000757BC" w:rsidRDefault="00AA27EF" w:rsidP="00E03252">
      <w:pPr>
        <w:pStyle w:val="PargrafodaLista"/>
        <w:numPr>
          <w:ilvl w:val="0"/>
          <w:numId w:val="3"/>
        </w:numPr>
        <w:autoSpaceDE w:val="0"/>
        <w:autoSpaceDN w:val="0"/>
        <w:spacing w:before="120" w:after="240" w:line="259" w:lineRule="auto"/>
        <w:ind w:left="1418" w:hanging="425"/>
        <w:contextualSpacing/>
        <w:rPr>
          <w:rFonts w:ascii="Segoe UI" w:hAnsi="Segoe UI" w:cs="Segoe UI"/>
          <w:szCs w:val="22"/>
        </w:rPr>
      </w:pPr>
      <w:r w:rsidRPr="000757BC">
        <w:rPr>
          <w:rFonts w:ascii="Segoe UI" w:hAnsi="Segoe UI" w:cs="Segoe UI"/>
          <w:szCs w:val="22"/>
        </w:rPr>
        <w:t xml:space="preserve">Revisões extraordinárias poderão ser realizadas por solicitação da </w:t>
      </w:r>
      <w:r w:rsidR="004A4B03">
        <w:rPr>
          <w:rFonts w:ascii="Segoe UI" w:hAnsi="Segoe UI" w:cs="Segoe UI"/>
          <w:szCs w:val="22"/>
        </w:rPr>
        <w:t xml:space="preserve">Eletronuclear </w:t>
      </w:r>
      <w:r w:rsidRPr="000757BC">
        <w:rPr>
          <w:rFonts w:ascii="Segoe UI" w:hAnsi="Segoe UI" w:cs="Segoe UI"/>
          <w:szCs w:val="22"/>
        </w:rPr>
        <w:t>ou por iniciativa da A</w:t>
      </w:r>
      <w:r w:rsidR="00700C06">
        <w:rPr>
          <w:rFonts w:ascii="Segoe UI" w:hAnsi="Segoe UI" w:cs="Segoe UI"/>
          <w:szCs w:val="22"/>
        </w:rPr>
        <w:t>NEEL</w:t>
      </w:r>
      <w:r w:rsidRPr="000757BC">
        <w:rPr>
          <w:rFonts w:ascii="Segoe UI" w:hAnsi="Segoe UI" w:cs="Segoe UI"/>
          <w:szCs w:val="22"/>
        </w:rPr>
        <w:t xml:space="preserve">, para cobertura de custos excepcionais, visando restabelecer o equilíbrio econômico-financeiro dos empreendimentos. </w:t>
      </w:r>
    </w:p>
    <w:tbl>
      <w:tblPr>
        <w:tblW w:w="5000" w:type="pct"/>
        <w:tblCellMar>
          <w:left w:w="70" w:type="dxa"/>
          <w:right w:w="70" w:type="dxa"/>
        </w:tblCellMar>
        <w:tblLook w:val="04A0" w:firstRow="1" w:lastRow="0" w:firstColumn="1" w:lastColumn="0" w:noHBand="0" w:noVBand="1"/>
      </w:tblPr>
      <w:tblGrid>
        <w:gridCol w:w="1574"/>
        <w:gridCol w:w="1119"/>
        <w:gridCol w:w="1119"/>
        <w:gridCol w:w="1119"/>
        <w:gridCol w:w="1119"/>
        <w:gridCol w:w="1119"/>
        <w:gridCol w:w="1166"/>
        <w:gridCol w:w="1162"/>
      </w:tblGrid>
      <w:tr w:rsidR="00872333" w:rsidRPr="00872333" w14:paraId="14C8F51A" w14:textId="77777777" w:rsidTr="006379AE">
        <w:trPr>
          <w:trHeight w:val="300"/>
        </w:trPr>
        <w:tc>
          <w:tcPr>
            <w:tcW w:w="829" w:type="pct"/>
            <w:tcBorders>
              <w:top w:val="nil"/>
              <w:left w:val="nil"/>
              <w:bottom w:val="nil"/>
              <w:right w:val="nil"/>
            </w:tcBorders>
            <w:shd w:val="clear" w:color="000000" w:fill="1B80C4"/>
            <w:noWrap/>
            <w:vAlign w:val="bottom"/>
            <w:hideMark/>
          </w:tcPr>
          <w:p w14:paraId="794F10AE" w14:textId="77777777" w:rsidR="00872333" w:rsidRPr="00872333" w:rsidRDefault="00872333" w:rsidP="00872333">
            <w:pPr>
              <w:spacing w:after="0" w:line="240" w:lineRule="auto"/>
              <w:rPr>
                <w:rFonts w:ascii="Segoe UI" w:eastAsia="Times New Roman" w:hAnsi="Segoe UI" w:cs="Segoe UI"/>
                <w:color w:val="FFFFFF"/>
                <w:sz w:val="20"/>
                <w:szCs w:val="20"/>
                <w:lang w:eastAsia="pt-BR"/>
              </w:rPr>
            </w:pPr>
            <w:r w:rsidRPr="00872333">
              <w:rPr>
                <w:rFonts w:ascii="Segoe UI" w:eastAsia="Times New Roman" w:hAnsi="Segoe UI" w:cs="Segoe UI"/>
                <w:color w:val="FFFFFF"/>
                <w:sz w:val="20"/>
                <w:szCs w:val="20"/>
                <w:lang w:eastAsia="pt-BR"/>
              </w:rPr>
              <w:t> </w:t>
            </w:r>
          </w:p>
        </w:tc>
        <w:tc>
          <w:tcPr>
            <w:tcW w:w="589" w:type="pct"/>
            <w:tcBorders>
              <w:top w:val="nil"/>
              <w:left w:val="nil"/>
              <w:bottom w:val="nil"/>
              <w:right w:val="nil"/>
            </w:tcBorders>
            <w:shd w:val="clear" w:color="000000" w:fill="1B80C4"/>
            <w:noWrap/>
            <w:vAlign w:val="bottom"/>
            <w:hideMark/>
          </w:tcPr>
          <w:p w14:paraId="693FDDB7" w14:textId="7F7A82BB"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2023</w:t>
            </w:r>
          </w:p>
        </w:tc>
        <w:tc>
          <w:tcPr>
            <w:tcW w:w="589" w:type="pct"/>
            <w:tcBorders>
              <w:top w:val="nil"/>
              <w:left w:val="nil"/>
              <w:bottom w:val="nil"/>
              <w:right w:val="nil"/>
            </w:tcBorders>
            <w:shd w:val="clear" w:color="000000" w:fill="1B80C4"/>
            <w:noWrap/>
            <w:vAlign w:val="bottom"/>
            <w:hideMark/>
          </w:tcPr>
          <w:p w14:paraId="5229B515" w14:textId="19F633A0"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2024</w:t>
            </w:r>
          </w:p>
        </w:tc>
        <w:tc>
          <w:tcPr>
            <w:tcW w:w="589" w:type="pct"/>
            <w:tcBorders>
              <w:top w:val="nil"/>
              <w:left w:val="nil"/>
              <w:bottom w:val="nil"/>
              <w:right w:val="nil"/>
            </w:tcBorders>
            <w:shd w:val="clear" w:color="000000" w:fill="1B80C4"/>
            <w:noWrap/>
            <w:vAlign w:val="bottom"/>
            <w:hideMark/>
          </w:tcPr>
          <w:p w14:paraId="2514CD48" w14:textId="3046467C"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2025</w:t>
            </w:r>
          </w:p>
        </w:tc>
        <w:tc>
          <w:tcPr>
            <w:tcW w:w="589" w:type="pct"/>
            <w:tcBorders>
              <w:top w:val="nil"/>
              <w:left w:val="nil"/>
              <w:bottom w:val="nil"/>
              <w:right w:val="nil"/>
            </w:tcBorders>
            <w:shd w:val="clear" w:color="000000" w:fill="1B80C4"/>
            <w:noWrap/>
            <w:vAlign w:val="bottom"/>
            <w:hideMark/>
          </w:tcPr>
          <w:p w14:paraId="2A141727" w14:textId="130ACDD4"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2026</w:t>
            </w:r>
          </w:p>
        </w:tc>
        <w:tc>
          <w:tcPr>
            <w:tcW w:w="589" w:type="pct"/>
            <w:tcBorders>
              <w:top w:val="nil"/>
              <w:left w:val="nil"/>
              <w:bottom w:val="nil"/>
              <w:right w:val="nil"/>
            </w:tcBorders>
            <w:shd w:val="clear" w:color="000000" w:fill="1B80C4"/>
            <w:noWrap/>
            <w:vAlign w:val="bottom"/>
            <w:hideMark/>
          </w:tcPr>
          <w:p w14:paraId="5FC8FE65" w14:textId="2086FC22"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2027</w:t>
            </w:r>
          </w:p>
        </w:tc>
        <w:tc>
          <w:tcPr>
            <w:tcW w:w="614" w:type="pct"/>
            <w:tcBorders>
              <w:top w:val="nil"/>
              <w:left w:val="nil"/>
              <w:bottom w:val="nil"/>
              <w:right w:val="nil"/>
            </w:tcBorders>
            <w:shd w:val="clear" w:color="000000" w:fill="1B80C4"/>
            <w:noWrap/>
            <w:vAlign w:val="bottom"/>
            <w:hideMark/>
          </w:tcPr>
          <w:p w14:paraId="3CD4509E" w14:textId="75836E14"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Após</w:t>
            </w:r>
            <w:r w:rsidR="00D03BB1">
              <w:rPr>
                <w:rFonts w:ascii="Segoe UI" w:eastAsia="Times New Roman" w:hAnsi="Segoe UI" w:cs="Segoe UI"/>
                <w:b/>
                <w:bCs/>
                <w:color w:val="FFFFFF"/>
                <w:sz w:val="18"/>
                <w:szCs w:val="18"/>
                <w:lang w:eastAsia="pt-BR"/>
              </w:rPr>
              <w:t xml:space="preserve"> </w:t>
            </w:r>
            <w:r w:rsidRPr="00872333">
              <w:rPr>
                <w:rFonts w:ascii="Segoe UI" w:eastAsia="Times New Roman" w:hAnsi="Segoe UI" w:cs="Segoe UI"/>
                <w:b/>
                <w:bCs/>
                <w:color w:val="FFFFFF"/>
                <w:sz w:val="18"/>
                <w:szCs w:val="18"/>
                <w:lang w:eastAsia="pt-BR"/>
              </w:rPr>
              <w:t>2027</w:t>
            </w:r>
          </w:p>
        </w:tc>
        <w:tc>
          <w:tcPr>
            <w:tcW w:w="613" w:type="pct"/>
            <w:tcBorders>
              <w:top w:val="nil"/>
              <w:left w:val="nil"/>
              <w:bottom w:val="nil"/>
              <w:right w:val="nil"/>
            </w:tcBorders>
            <w:shd w:val="clear" w:color="000000" w:fill="1B80C4"/>
            <w:noWrap/>
            <w:vAlign w:val="bottom"/>
            <w:hideMark/>
          </w:tcPr>
          <w:p w14:paraId="382594C4" w14:textId="58B35A61"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Total</w:t>
            </w:r>
          </w:p>
        </w:tc>
      </w:tr>
      <w:tr w:rsidR="00872333" w:rsidRPr="00872333" w14:paraId="511A0354" w14:textId="77777777" w:rsidTr="006379AE">
        <w:trPr>
          <w:trHeight w:val="300"/>
        </w:trPr>
        <w:tc>
          <w:tcPr>
            <w:tcW w:w="829" w:type="pct"/>
            <w:tcBorders>
              <w:top w:val="nil"/>
              <w:left w:val="nil"/>
              <w:bottom w:val="nil"/>
              <w:right w:val="nil"/>
            </w:tcBorders>
            <w:shd w:val="clear" w:color="auto" w:fill="auto"/>
            <w:noWrap/>
            <w:vAlign w:val="bottom"/>
            <w:hideMark/>
          </w:tcPr>
          <w:p w14:paraId="7C6FAE60" w14:textId="77777777" w:rsidR="00872333" w:rsidRPr="00872333" w:rsidRDefault="00872333" w:rsidP="00872333">
            <w:pPr>
              <w:spacing w:after="0" w:line="240" w:lineRule="auto"/>
              <w:rPr>
                <w:rFonts w:ascii="Segoe UI" w:eastAsia="Times New Roman" w:hAnsi="Segoe UI" w:cs="Segoe UI"/>
                <w:color w:val="000000"/>
                <w:sz w:val="20"/>
                <w:szCs w:val="20"/>
                <w:lang w:eastAsia="pt-BR"/>
              </w:rPr>
            </w:pPr>
            <w:r w:rsidRPr="00872333">
              <w:rPr>
                <w:rFonts w:ascii="Segoe UI" w:eastAsia="Times New Roman" w:hAnsi="Segoe UI" w:cs="Segoe UI"/>
                <w:color w:val="000000"/>
                <w:sz w:val="20"/>
                <w:szCs w:val="20"/>
                <w:lang w:eastAsia="pt-BR"/>
              </w:rPr>
              <w:t>Concessionárias</w:t>
            </w:r>
          </w:p>
        </w:tc>
        <w:tc>
          <w:tcPr>
            <w:tcW w:w="589" w:type="pct"/>
            <w:tcBorders>
              <w:top w:val="nil"/>
              <w:left w:val="nil"/>
              <w:bottom w:val="nil"/>
              <w:right w:val="nil"/>
            </w:tcBorders>
            <w:shd w:val="clear" w:color="auto" w:fill="auto"/>
            <w:noWrap/>
            <w:vAlign w:val="bottom"/>
            <w:hideMark/>
          </w:tcPr>
          <w:p w14:paraId="63818119" w14:textId="13E9CE6F" w:rsidR="00872333" w:rsidRPr="00872333" w:rsidRDefault="00872333" w:rsidP="00872333">
            <w:pPr>
              <w:spacing w:after="0" w:line="240" w:lineRule="auto"/>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4.662.204</w:t>
            </w:r>
          </w:p>
        </w:tc>
        <w:tc>
          <w:tcPr>
            <w:tcW w:w="589" w:type="pct"/>
            <w:tcBorders>
              <w:top w:val="nil"/>
              <w:left w:val="nil"/>
              <w:bottom w:val="nil"/>
              <w:right w:val="nil"/>
            </w:tcBorders>
            <w:shd w:val="clear" w:color="auto" w:fill="auto"/>
            <w:noWrap/>
            <w:vAlign w:val="bottom"/>
            <w:hideMark/>
          </w:tcPr>
          <w:p w14:paraId="7A428F65" w14:textId="449A0074" w:rsidR="00872333" w:rsidRPr="00872333" w:rsidRDefault="00872333" w:rsidP="00872333">
            <w:pPr>
              <w:spacing w:after="0" w:line="240" w:lineRule="auto"/>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4.662.204</w:t>
            </w:r>
          </w:p>
        </w:tc>
        <w:tc>
          <w:tcPr>
            <w:tcW w:w="589" w:type="pct"/>
            <w:tcBorders>
              <w:top w:val="nil"/>
              <w:left w:val="nil"/>
              <w:bottom w:val="nil"/>
              <w:right w:val="nil"/>
            </w:tcBorders>
            <w:shd w:val="clear" w:color="auto" w:fill="auto"/>
            <w:noWrap/>
            <w:vAlign w:val="bottom"/>
            <w:hideMark/>
          </w:tcPr>
          <w:p w14:paraId="6684046F" w14:textId="7AB70FEF" w:rsidR="00872333" w:rsidRPr="00872333" w:rsidRDefault="00872333" w:rsidP="00872333">
            <w:pPr>
              <w:spacing w:after="0" w:line="240" w:lineRule="auto"/>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4.662.204</w:t>
            </w:r>
          </w:p>
        </w:tc>
        <w:tc>
          <w:tcPr>
            <w:tcW w:w="589" w:type="pct"/>
            <w:tcBorders>
              <w:top w:val="nil"/>
              <w:left w:val="nil"/>
              <w:bottom w:val="nil"/>
              <w:right w:val="nil"/>
            </w:tcBorders>
            <w:shd w:val="clear" w:color="auto" w:fill="auto"/>
            <w:noWrap/>
            <w:vAlign w:val="bottom"/>
            <w:hideMark/>
          </w:tcPr>
          <w:p w14:paraId="71AB0225" w14:textId="07103218" w:rsidR="00872333" w:rsidRPr="00872333" w:rsidRDefault="00872333" w:rsidP="00872333">
            <w:pPr>
              <w:spacing w:after="0" w:line="240" w:lineRule="auto"/>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4.662.204</w:t>
            </w:r>
          </w:p>
        </w:tc>
        <w:tc>
          <w:tcPr>
            <w:tcW w:w="589" w:type="pct"/>
            <w:tcBorders>
              <w:top w:val="nil"/>
              <w:left w:val="nil"/>
              <w:bottom w:val="nil"/>
              <w:right w:val="nil"/>
            </w:tcBorders>
            <w:shd w:val="clear" w:color="auto" w:fill="auto"/>
            <w:noWrap/>
            <w:vAlign w:val="bottom"/>
            <w:hideMark/>
          </w:tcPr>
          <w:p w14:paraId="487E2DE4" w14:textId="1F409350" w:rsidR="00872333" w:rsidRPr="00872333" w:rsidRDefault="00872333" w:rsidP="00872333">
            <w:pPr>
              <w:spacing w:after="0" w:line="240" w:lineRule="auto"/>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4.662.204</w:t>
            </w:r>
          </w:p>
        </w:tc>
        <w:tc>
          <w:tcPr>
            <w:tcW w:w="614" w:type="pct"/>
            <w:tcBorders>
              <w:top w:val="nil"/>
              <w:left w:val="nil"/>
              <w:bottom w:val="nil"/>
              <w:right w:val="nil"/>
            </w:tcBorders>
            <w:shd w:val="clear" w:color="auto" w:fill="auto"/>
            <w:noWrap/>
            <w:vAlign w:val="bottom"/>
            <w:hideMark/>
          </w:tcPr>
          <w:p w14:paraId="2BB365C3" w14:textId="3DE8B121" w:rsidR="00872333" w:rsidRPr="00872333" w:rsidRDefault="00872333" w:rsidP="00872333">
            <w:pPr>
              <w:spacing w:after="0" w:line="240" w:lineRule="auto"/>
              <w:rPr>
                <w:rFonts w:ascii="Segoe UI" w:eastAsia="Times New Roman" w:hAnsi="Segoe UI" w:cs="Segoe UI"/>
                <w:color w:val="000000"/>
                <w:sz w:val="20"/>
                <w:szCs w:val="20"/>
                <w:lang w:eastAsia="pt-BR"/>
              </w:rPr>
            </w:pPr>
            <w:r w:rsidRPr="00872333">
              <w:rPr>
                <w:rFonts w:ascii="Segoe UI" w:eastAsia="Times New Roman" w:hAnsi="Segoe UI" w:cs="Segoe UI"/>
                <w:color w:val="000000"/>
                <w:sz w:val="20"/>
                <w:szCs w:val="20"/>
                <w:lang w:eastAsia="pt-BR"/>
              </w:rPr>
              <w:t>13.986.612</w:t>
            </w:r>
          </w:p>
        </w:tc>
        <w:tc>
          <w:tcPr>
            <w:tcW w:w="613" w:type="pct"/>
            <w:tcBorders>
              <w:top w:val="nil"/>
              <w:left w:val="nil"/>
              <w:bottom w:val="nil"/>
              <w:right w:val="nil"/>
            </w:tcBorders>
            <w:shd w:val="clear" w:color="auto" w:fill="auto"/>
            <w:noWrap/>
            <w:vAlign w:val="bottom"/>
            <w:hideMark/>
          </w:tcPr>
          <w:p w14:paraId="1C53ACD4" w14:textId="48A0FCBB" w:rsidR="00872333" w:rsidRPr="00872333" w:rsidRDefault="00872333" w:rsidP="00872333">
            <w:pPr>
              <w:spacing w:after="0" w:line="240" w:lineRule="auto"/>
              <w:jc w:val="right"/>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37.297.632</w:t>
            </w:r>
          </w:p>
        </w:tc>
      </w:tr>
    </w:tbl>
    <w:p w14:paraId="042E7BDD" w14:textId="77777777" w:rsidR="00872333" w:rsidRPr="002C19C5" w:rsidRDefault="00872333" w:rsidP="008457B5">
      <w:pPr>
        <w:widowControl w:val="0"/>
        <w:autoSpaceDE w:val="0"/>
        <w:autoSpaceDN w:val="0"/>
        <w:spacing w:before="120" w:after="240"/>
        <w:jc w:val="both"/>
        <w:rPr>
          <w:rFonts w:ascii="Segoe UI" w:hAnsi="Segoe UI" w:cs="Segoe UI"/>
          <w:b/>
          <w:color w:val="0070C0"/>
          <w:sz w:val="12"/>
          <w:szCs w:val="12"/>
        </w:rPr>
      </w:pPr>
    </w:p>
    <w:p w14:paraId="5A151A3D" w14:textId="77777777" w:rsidR="00497328" w:rsidRDefault="00497328">
      <w:pPr>
        <w:rPr>
          <w:rFonts w:ascii="Segoe UI" w:hAnsi="Segoe UI" w:cs="Segoe UI"/>
          <w:b/>
          <w:bCs/>
          <w:color w:val="0070C0"/>
        </w:rPr>
      </w:pPr>
      <w:r>
        <w:rPr>
          <w:rFonts w:ascii="Segoe UI" w:hAnsi="Segoe UI" w:cs="Segoe UI"/>
          <w:b/>
          <w:bCs/>
          <w:color w:val="0070C0"/>
        </w:rPr>
        <w:br w:type="page"/>
      </w:r>
    </w:p>
    <w:p w14:paraId="3EBC9A8D" w14:textId="141A900E" w:rsidR="00AA27EF" w:rsidRPr="00D775C7" w:rsidRDefault="005B6BD5" w:rsidP="008457B5">
      <w:pPr>
        <w:widowControl w:val="0"/>
        <w:autoSpaceDE w:val="0"/>
        <w:autoSpaceDN w:val="0"/>
        <w:spacing w:before="120" w:after="240"/>
        <w:jc w:val="both"/>
        <w:rPr>
          <w:rFonts w:ascii="Segoe UI" w:hAnsi="Segoe UI" w:cs="Segoe UI"/>
          <w:b/>
          <w:bCs/>
          <w:color w:val="0070C0"/>
        </w:rPr>
      </w:pPr>
      <w:r w:rsidRPr="00D775C7">
        <w:rPr>
          <w:rFonts w:ascii="Segoe UI" w:hAnsi="Segoe UI" w:cs="Segoe UI"/>
          <w:b/>
          <w:bCs/>
          <w:color w:val="0070C0"/>
        </w:rPr>
        <w:lastRenderedPageBreak/>
        <w:t>3</w:t>
      </w:r>
      <w:r w:rsidR="002A4E82">
        <w:rPr>
          <w:rFonts w:ascii="Segoe UI" w:hAnsi="Segoe UI" w:cs="Segoe UI"/>
          <w:b/>
          <w:bCs/>
          <w:color w:val="0070C0"/>
        </w:rPr>
        <w:t>4</w:t>
      </w:r>
      <w:r w:rsidR="00AA27EF" w:rsidRPr="00D775C7">
        <w:rPr>
          <w:rFonts w:ascii="Segoe UI" w:hAnsi="Segoe UI" w:cs="Segoe UI"/>
          <w:b/>
          <w:bCs/>
          <w:color w:val="0070C0"/>
        </w:rPr>
        <w:t>.2 – Combustível nuclear</w:t>
      </w:r>
    </w:p>
    <w:p w14:paraId="6481DBE7" w14:textId="59A1E93F" w:rsidR="00AA27EF" w:rsidRPr="000757BC" w:rsidRDefault="00AA27EF" w:rsidP="008457B5">
      <w:pPr>
        <w:tabs>
          <w:tab w:val="center" w:pos="4782"/>
          <w:tab w:val="right" w:pos="9564"/>
        </w:tabs>
        <w:spacing w:before="120" w:after="240"/>
        <w:jc w:val="both"/>
        <w:rPr>
          <w:rFonts w:ascii="Segoe UI" w:hAnsi="Segoe UI" w:cs="Segoe UI"/>
        </w:rPr>
      </w:pPr>
      <w:r w:rsidRPr="000757BC">
        <w:rPr>
          <w:rFonts w:ascii="Segoe UI" w:hAnsi="Segoe UI" w:cs="Segoe UI"/>
        </w:rPr>
        <w:t xml:space="preserve">Contratos assinados </w:t>
      </w:r>
      <w:r w:rsidR="002A4E82">
        <w:rPr>
          <w:rFonts w:ascii="Segoe UI" w:hAnsi="Segoe UI" w:cs="Segoe UI"/>
        </w:rPr>
        <w:t>entre</w:t>
      </w:r>
      <w:r w:rsidRPr="000757BC">
        <w:rPr>
          <w:rFonts w:ascii="Segoe UI" w:hAnsi="Segoe UI" w:cs="Segoe UI"/>
        </w:rPr>
        <w:t xml:space="preserve"> a INB</w:t>
      </w:r>
      <w:r w:rsidR="002E3646">
        <w:rPr>
          <w:rFonts w:ascii="Segoe UI" w:hAnsi="Segoe UI" w:cs="Segoe UI"/>
        </w:rPr>
        <w:t xml:space="preserve"> </w:t>
      </w:r>
      <w:r w:rsidR="002E3646" w:rsidRPr="00D87EFE">
        <w:rPr>
          <w:rFonts w:ascii="Segoe UI" w:hAnsi="Segoe UI" w:cs="Segoe UI"/>
        </w:rPr>
        <w:t>e Eletronuclear</w:t>
      </w:r>
      <w:r w:rsidRPr="000757BC">
        <w:rPr>
          <w:rFonts w:ascii="Segoe UI" w:hAnsi="Segoe UI" w:cs="Segoe UI"/>
        </w:rPr>
        <w:t xml:space="preserve">, para aquisição de matéria-prima para produção de energia elétrica e combustível nuclear para as próximas recargas das </w:t>
      </w:r>
      <w:r w:rsidR="007C0256">
        <w:rPr>
          <w:rFonts w:ascii="Segoe UI" w:hAnsi="Segoe UI" w:cs="Segoe UI"/>
        </w:rPr>
        <w:t>u</w:t>
      </w:r>
      <w:r w:rsidRPr="000757BC">
        <w:rPr>
          <w:rFonts w:ascii="Segoe UI" w:hAnsi="Segoe UI" w:cs="Segoe UI"/>
        </w:rPr>
        <w:t>sinas Angra 1 e 2, bem como a carga inicial e futuras recargas de Angra 3 conforme quadro demonstrativo a seguir:</w:t>
      </w:r>
    </w:p>
    <w:tbl>
      <w:tblPr>
        <w:tblW w:w="5000" w:type="pct"/>
        <w:tblCellMar>
          <w:left w:w="70" w:type="dxa"/>
          <w:right w:w="70" w:type="dxa"/>
        </w:tblCellMar>
        <w:tblLook w:val="04A0" w:firstRow="1" w:lastRow="0" w:firstColumn="1" w:lastColumn="0" w:noHBand="0" w:noVBand="1"/>
      </w:tblPr>
      <w:tblGrid>
        <w:gridCol w:w="1960"/>
        <w:gridCol w:w="1087"/>
        <w:gridCol w:w="1087"/>
        <w:gridCol w:w="1087"/>
        <w:gridCol w:w="1087"/>
        <w:gridCol w:w="1087"/>
        <w:gridCol w:w="1032"/>
        <w:gridCol w:w="1070"/>
      </w:tblGrid>
      <w:tr w:rsidR="00872333" w:rsidRPr="00872333" w14:paraId="3923A74D" w14:textId="77777777" w:rsidTr="00D03BB1">
        <w:trPr>
          <w:trHeight w:val="300"/>
        </w:trPr>
        <w:tc>
          <w:tcPr>
            <w:tcW w:w="1033" w:type="pct"/>
            <w:tcBorders>
              <w:top w:val="nil"/>
              <w:left w:val="nil"/>
              <w:bottom w:val="nil"/>
              <w:right w:val="nil"/>
            </w:tcBorders>
            <w:shd w:val="clear" w:color="000000" w:fill="1B80C4"/>
            <w:noWrap/>
            <w:vAlign w:val="bottom"/>
            <w:hideMark/>
          </w:tcPr>
          <w:p w14:paraId="5400AEF3" w14:textId="77777777" w:rsidR="00872333" w:rsidRPr="00872333" w:rsidRDefault="00872333" w:rsidP="00872333">
            <w:pPr>
              <w:spacing w:after="0" w:line="240" w:lineRule="auto"/>
              <w:rPr>
                <w:rFonts w:ascii="Segoe UI" w:eastAsia="Times New Roman" w:hAnsi="Segoe UI" w:cs="Segoe UI"/>
                <w:color w:val="FFFFFF"/>
                <w:sz w:val="20"/>
                <w:szCs w:val="20"/>
                <w:lang w:eastAsia="pt-BR"/>
              </w:rPr>
            </w:pPr>
            <w:r w:rsidRPr="00872333">
              <w:rPr>
                <w:rFonts w:ascii="Segoe UI" w:eastAsia="Times New Roman" w:hAnsi="Segoe UI" w:cs="Segoe UI"/>
                <w:color w:val="FFFFFF"/>
                <w:sz w:val="20"/>
                <w:szCs w:val="20"/>
                <w:lang w:eastAsia="pt-BR"/>
              </w:rPr>
              <w:t> </w:t>
            </w:r>
          </w:p>
        </w:tc>
        <w:tc>
          <w:tcPr>
            <w:tcW w:w="573" w:type="pct"/>
            <w:tcBorders>
              <w:top w:val="nil"/>
              <w:left w:val="nil"/>
              <w:bottom w:val="nil"/>
              <w:right w:val="nil"/>
            </w:tcBorders>
            <w:shd w:val="clear" w:color="000000" w:fill="1B80C4"/>
            <w:noWrap/>
            <w:vAlign w:val="bottom"/>
            <w:hideMark/>
          </w:tcPr>
          <w:p w14:paraId="394472A0" w14:textId="53B5DF03" w:rsidR="00872333" w:rsidRPr="00872333" w:rsidRDefault="00D03BB1"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2023</w:t>
            </w:r>
          </w:p>
        </w:tc>
        <w:tc>
          <w:tcPr>
            <w:tcW w:w="573" w:type="pct"/>
            <w:tcBorders>
              <w:top w:val="nil"/>
              <w:left w:val="nil"/>
              <w:bottom w:val="nil"/>
              <w:right w:val="nil"/>
            </w:tcBorders>
            <w:shd w:val="clear" w:color="000000" w:fill="1B80C4"/>
            <w:noWrap/>
            <w:vAlign w:val="bottom"/>
            <w:hideMark/>
          </w:tcPr>
          <w:p w14:paraId="11EE2F82" w14:textId="4C5405C0" w:rsidR="00872333" w:rsidRPr="00872333" w:rsidRDefault="00D03BB1"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2024</w:t>
            </w:r>
          </w:p>
        </w:tc>
        <w:tc>
          <w:tcPr>
            <w:tcW w:w="573" w:type="pct"/>
            <w:tcBorders>
              <w:top w:val="nil"/>
              <w:left w:val="nil"/>
              <w:bottom w:val="nil"/>
              <w:right w:val="nil"/>
            </w:tcBorders>
            <w:shd w:val="clear" w:color="000000" w:fill="1B80C4"/>
            <w:noWrap/>
            <w:vAlign w:val="bottom"/>
            <w:hideMark/>
          </w:tcPr>
          <w:p w14:paraId="79A1375C" w14:textId="554C1323" w:rsidR="00872333" w:rsidRPr="00872333" w:rsidRDefault="00D03BB1"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2025</w:t>
            </w:r>
          </w:p>
        </w:tc>
        <w:tc>
          <w:tcPr>
            <w:tcW w:w="573" w:type="pct"/>
            <w:tcBorders>
              <w:top w:val="nil"/>
              <w:left w:val="nil"/>
              <w:bottom w:val="nil"/>
              <w:right w:val="nil"/>
            </w:tcBorders>
            <w:shd w:val="clear" w:color="000000" w:fill="1B80C4"/>
            <w:noWrap/>
            <w:vAlign w:val="bottom"/>
            <w:hideMark/>
          </w:tcPr>
          <w:p w14:paraId="38D5B9E9" w14:textId="70265AD5" w:rsidR="00872333" w:rsidRPr="00872333" w:rsidRDefault="00D03BB1"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2026</w:t>
            </w:r>
          </w:p>
        </w:tc>
        <w:tc>
          <w:tcPr>
            <w:tcW w:w="573" w:type="pct"/>
            <w:tcBorders>
              <w:top w:val="nil"/>
              <w:left w:val="nil"/>
              <w:bottom w:val="nil"/>
              <w:right w:val="nil"/>
            </w:tcBorders>
            <w:shd w:val="clear" w:color="000000" w:fill="1B80C4"/>
            <w:noWrap/>
            <w:vAlign w:val="bottom"/>
            <w:hideMark/>
          </w:tcPr>
          <w:p w14:paraId="7A49F24A" w14:textId="28C89B9B" w:rsidR="00872333" w:rsidRPr="00872333" w:rsidRDefault="00D03BB1"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2027</w:t>
            </w:r>
          </w:p>
        </w:tc>
        <w:tc>
          <w:tcPr>
            <w:tcW w:w="538" w:type="pct"/>
            <w:tcBorders>
              <w:top w:val="nil"/>
              <w:left w:val="nil"/>
              <w:bottom w:val="nil"/>
              <w:right w:val="nil"/>
            </w:tcBorders>
            <w:shd w:val="clear" w:color="000000" w:fill="1B80C4"/>
            <w:noWrap/>
            <w:vAlign w:val="bottom"/>
            <w:hideMark/>
          </w:tcPr>
          <w:p w14:paraId="01E0E823" w14:textId="14EBB370" w:rsidR="00872333" w:rsidRPr="00872333" w:rsidRDefault="00D03BB1"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Após</w:t>
            </w:r>
            <w:r>
              <w:rPr>
                <w:rFonts w:ascii="Segoe UI" w:eastAsia="Times New Roman" w:hAnsi="Segoe UI" w:cs="Segoe UI"/>
                <w:b/>
                <w:bCs/>
                <w:color w:val="FFFFFF"/>
                <w:sz w:val="18"/>
                <w:szCs w:val="18"/>
                <w:lang w:eastAsia="pt-BR"/>
              </w:rPr>
              <w:t xml:space="preserve"> </w:t>
            </w:r>
            <w:r w:rsidRPr="00872333">
              <w:rPr>
                <w:rFonts w:ascii="Segoe UI" w:eastAsia="Times New Roman" w:hAnsi="Segoe UI" w:cs="Segoe UI"/>
                <w:b/>
                <w:bCs/>
                <w:color w:val="FFFFFF"/>
                <w:sz w:val="18"/>
                <w:szCs w:val="18"/>
                <w:lang w:eastAsia="pt-BR"/>
              </w:rPr>
              <w:t>2027</w:t>
            </w:r>
          </w:p>
        </w:tc>
        <w:tc>
          <w:tcPr>
            <w:tcW w:w="564" w:type="pct"/>
            <w:tcBorders>
              <w:top w:val="nil"/>
              <w:left w:val="nil"/>
              <w:bottom w:val="nil"/>
              <w:right w:val="nil"/>
            </w:tcBorders>
            <w:shd w:val="clear" w:color="000000" w:fill="1B80C4"/>
            <w:noWrap/>
            <w:vAlign w:val="bottom"/>
            <w:hideMark/>
          </w:tcPr>
          <w:p w14:paraId="2C3645E2" w14:textId="568C6435" w:rsidR="00872333" w:rsidRPr="00872333" w:rsidRDefault="00872333" w:rsidP="00C81535">
            <w:pPr>
              <w:spacing w:after="0" w:line="240" w:lineRule="auto"/>
              <w:jc w:val="right"/>
              <w:rPr>
                <w:rFonts w:ascii="Segoe UI" w:eastAsia="Times New Roman" w:hAnsi="Segoe UI" w:cs="Segoe UI"/>
                <w:b/>
                <w:bCs/>
                <w:color w:val="FFFFFF"/>
                <w:sz w:val="18"/>
                <w:szCs w:val="18"/>
                <w:lang w:eastAsia="pt-BR"/>
              </w:rPr>
            </w:pPr>
            <w:r w:rsidRPr="00872333">
              <w:rPr>
                <w:rFonts w:ascii="Segoe UI" w:eastAsia="Times New Roman" w:hAnsi="Segoe UI" w:cs="Segoe UI"/>
                <w:b/>
                <w:bCs/>
                <w:color w:val="FFFFFF"/>
                <w:sz w:val="18"/>
                <w:szCs w:val="18"/>
                <w:lang w:eastAsia="pt-BR"/>
              </w:rPr>
              <w:t>Total</w:t>
            </w:r>
          </w:p>
        </w:tc>
      </w:tr>
      <w:tr w:rsidR="00872333" w:rsidRPr="00872333" w14:paraId="26E77CD4" w14:textId="77777777" w:rsidTr="00D03BB1">
        <w:trPr>
          <w:trHeight w:val="300"/>
        </w:trPr>
        <w:tc>
          <w:tcPr>
            <w:tcW w:w="1033" w:type="pct"/>
            <w:tcBorders>
              <w:top w:val="nil"/>
              <w:left w:val="nil"/>
              <w:bottom w:val="nil"/>
              <w:right w:val="nil"/>
            </w:tcBorders>
            <w:shd w:val="clear" w:color="auto" w:fill="auto"/>
            <w:noWrap/>
            <w:vAlign w:val="bottom"/>
            <w:hideMark/>
          </w:tcPr>
          <w:p w14:paraId="27D6084B" w14:textId="38D2A785" w:rsidR="00872333" w:rsidRPr="00872333" w:rsidRDefault="00872333" w:rsidP="00872333">
            <w:pPr>
              <w:spacing w:after="0" w:line="240" w:lineRule="auto"/>
              <w:rPr>
                <w:rFonts w:ascii="Segoe UI" w:eastAsia="Times New Roman" w:hAnsi="Segoe UI" w:cs="Segoe UI"/>
                <w:color w:val="000000"/>
                <w:sz w:val="20"/>
                <w:szCs w:val="20"/>
                <w:lang w:eastAsia="pt-BR"/>
              </w:rPr>
            </w:pPr>
            <w:r w:rsidRPr="00872333">
              <w:rPr>
                <w:rFonts w:ascii="Segoe UI" w:eastAsia="Times New Roman" w:hAnsi="Segoe UI" w:cs="Segoe UI"/>
                <w:color w:val="000000"/>
                <w:sz w:val="20"/>
                <w:szCs w:val="20"/>
                <w:lang w:eastAsia="pt-BR"/>
              </w:rPr>
              <w:t>Combustível nuclear</w:t>
            </w:r>
          </w:p>
        </w:tc>
        <w:tc>
          <w:tcPr>
            <w:tcW w:w="573" w:type="pct"/>
            <w:tcBorders>
              <w:top w:val="nil"/>
              <w:left w:val="nil"/>
              <w:bottom w:val="nil"/>
              <w:right w:val="nil"/>
            </w:tcBorders>
            <w:shd w:val="clear" w:color="auto" w:fill="auto"/>
            <w:noWrap/>
            <w:vAlign w:val="bottom"/>
            <w:hideMark/>
          </w:tcPr>
          <w:p w14:paraId="5908FE7C" w14:textId="08085EEA" w:rsidR="00872333" w:rsidRPr="00872333" w:rsidRDefault="00872333" w:rsidP="006379AE">
            <w:pPr>
              <w:spacing w:after="0" w:line="240" w:lineRule="auto"/>
              <w:jc w:val="right"/>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615.600</w:t>
            </w:r>
          </w:p>
        </w:tc>
        <w:tc>
          <w:tcPr>
            <w:tcW w:w="573" w:type="pct"/>
            <w:tcBorders>
              <w:top w:val="nil"/>
              <w:left w:val="nil"/>
              <w:bottom w:val="nil"/>
              <w:right w:val="nil"/>
            </w:tcBorders>
            <w:shd w:val="clear" w:color="auto" w:fill="auto"/>
            <w:noWrap/>
            <w:vAlign w:val="bottom"/>
            <w:hideMark/>
          </w:tcPr>
          <w:p w14:paraId="4917C1B3" w14:textId="3FA622BA" w:rsidR="00872333" w:rsidRPr="00872333" w:rsidRDefault="00872333" w:rsidP="006379AE">
            <w:pPr>
              <w:spacing w:after="0" w:line="240" w:lineRule="auto"/>
              <w:jc w:val="right"/>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1.041.304</w:t>
            </w:r>
          </w:p>
        </w:tc>
        <w:tc>
          <w:tcPr>
            <w:tcW w:w="573" w:type="pct"/>
            <w:tcBorders>
              <w:top w:val="nil"/>
              <w:left w:val="nil"/>
              <w:bottom w:val="nil"/>
              <w:right w:val="nil"/>
            </w:tcBorders>
            <w:shd w:val="clear" w:color="auto" w:fill="auto"/>
            <w:noWrap/>
            <w:vAlign w:val="bottom"/>
            <w:hideMark/>
          </w:tcPr>
          <w:p w14:paraId="2F6EC406" w14:textId="5E3B4AAF" w:rsidR="00872333" w:rsidRPr="00872333" w:rsidRDefault="00872333" w:rsidP="006379AE">
            <w:pPr>
              <w:spacing w:after="0" w:line="240" w:lineRule="auto"/>
              <w:jc w:val="right"/>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1.407.759</w:t>
            </w:r>
          </w:p>
        </w:tc>
        <w:tc>
          <w:tcPr>
            <w:tcW w:w="573" w:type="pct"/>
            <w:tcBorders>
              <w:top w:val="nil"/>
              <w:left w:val="nil"/>
              <w:bottom w:val="nil"/>
              <w:right w:val="nil"/>
            </w:tcBorders>
            <w:shd w:val="clear" w:color="auto" w:fill="auto"/>
            <w:noWrap/>
            <w:vAlign w:val="bottom"/>
            <w:hideMark/>
          </w:tcPr>
          <w:p w14:paraId="4762E568" w14:textId="0F57533E" w:rsidR="00872333" w:rsidRPr="00872333" w:rsidRDefault="00872333" w:rsidP="006379AE">
            <w:pPr>
              <w:spacing w:after="0" w:line="240" w:lineRule="auto"/>
              <w:jc w:val="right"/>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1.606.751</w:t>
            </w:r>
          </w:p>
        </w:tc>
        <w:tc>
          <w:tcPr>
            <w:tcW w:w="573" w:type="pct"/>
            <w:tcBorders>
              <w:top w:val="nil"/>
              <w:left w:val="nil"/>
              <w:bottom w:val="nil"/>
              <w:right w:val="nil"/>
            </w:tcBorders>
            <w:shd w:val="clear" w:color="auto" w:fill="auto"/>
            <w:noWrap/>
            <w:vAlign w:val="bottom"/>
            <w:hideMark/>
          </w:tcPr>
          <w:p w14:paraId="3807AEB5" w14:textId="470C7CC4" w:rsidR="00872333" w:rsidRPr="00872333" w:rsidRDefault="00872333" w:rsidP="006379AE">
            <w:pPr>
              <w:spacing w:after="0" w:line="240" w:lineRule="auto"/>
              <w:jc w:val="right"/>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1.285.702</w:t>
            </w:r>
          </w:p>
        </w:tc>
        <w:tc>
          <w:tcPr>
            <w:tcW w:w="538" w:type="pct"/>
            <w:tcBorders>
              <w:top w:val="nil"/>
              <w:left w:val="nil"/>
              <w:bottom w:val="nil"/>
              <w:right w:val="nil"/>
            </w:tcBorders>
            <w:shd w:val="clear" w:color="auto" w:fill="auto"/>
            <w:noWrap/>
            <w:vAlign w:val="bottom"/>
            <w:hideMark/>
          </w:tcPr>
          <w:p w14:paraId="19C62D1F" w14:textId="72145093" w:rsidR="00872333" w:rsidRPr="00872333" w:rsidRDefault="00872333" w:rsidP="006379AE">
            <w:pPr>
              <w:spacing w:after="0" w:line="240" w:lineRule="auto"/>
              <w:jc w:val="right"/>
              <w:rPr>
                <w:rFonts w:ascii="Segoe UI" w:eastAsia="Times New Roman" w:hAnsi="Segoe UI" w:cs="Segoe UI"/>
                <w:color w:val="000000"/>
                <w:sz w:val="20"/>
                <w:szCs w:val="20"/>
                <w:lang w:eastAsia="pt-BR"/>
              </w:rPr>
            </w:pPr>
            <w:r w:rsidRPr="00872333">
              <w:rPr>
                <w:rFonts w:ascii="Segoe UI" w:eastAsia="Times New Roman" w:hAnsi="Segoe UI" w:cs="Segoe UI"/>
                <w:color w:val="000000"/>
                <w:sz w:val="20"/>
                <w:szCs w:val="20"/>
                <w:lang w:eastAsia="pt-BR"/>
              </w:rPr>
              <w:t>285.109</w:t>
            </w:r>
          </w:p>
        </w:tc>
        <w:tc>
          <w:tcPr>
            <w:tcW w:w="564" w:type="pct"/>
            <w:tcBorders>
              <w:top w:val="nil"/>
              <w:left w:val="nil"/>
              <w:bottom w:val="nil"/>
              <w:right w:val="nil"/>
            </w:tcBorders>
            <w:shd w:val="clear" w:color="auto" w:fill="auto"/>
            <w:noWrap/>
            <w:vAlign w:val="bottom"/>
            <w:hideMark/>
          </w:tcPr>
          <w:p w14:paraId="62BDD028" w14:textId="5789FC2C" w:rsidR="00872333" w:rsidRPr="00872333" w:rsidRDefault="00872333" w:rsidP="006379AE">
            <w:pPr>
              <w:spacing w:after="0" w:line="240" w:lineRule="auto"/>
              <w:jc w:val="right"/>
              <w:rPr>
                <w:rFonts w:ascii="Segoe UI" w:eastAsia="Times New Roman" w:hAnsi="Segoe UI" w:cs="Segoe UI"/>
                <w:sz w:val="20"/>
                <w:szCs w:val="20"/>
                <w:lang w:eastAsia="pt-BR"/>
              </w:rPr>
            </w:pPr>
            <w:r w:rsidRPr="00872333">
              <w:rPr>
                <w:rFonts w:ascii="Segoe UI" w:eastAsia="Times New Roman" w:hAnsi="Segoe UI" w:cs="Segoe UI"/>
                <w:sz w:val="20"/>
                <w:szCs w:val="20"/>
                <w:lang w:eastAsia="pt-BR"/>
              </w:rPr>
              <w:t>6.242.225</w:t>
            </w:r>
          </w:p>
        </w:tc>
      </w:tr>
    </w:tbl>
    <w:p w14:paraId="36422D9D" w14:textId="77777777" w:rsidR="00D109A9" w:rsidRPr="002C19C5" w:rsidRDefault="00D109A9" w:rsidP="00D109A9">
      <w:pPr>
        <w:rPr>
          <w:rFonts w:ascii="Segoe UI" w:hAnsi="Segoe UI" w:cs="Segoe UI"/>
          <w:b/>
          <w:color w:val="0070C0"/>
          <w:sz w:val="12"/>
          <w:szCs w:val="12"/>
        </w:rPr>
      </w:pPr>
    </w:p>
    <w:p w14:paraId="009A40AD" w14:textId="77777777" w:rsidR="0018287B" w:rsidRDefault="0018287B" w:rsidP="00D109A9">
      <w:pPr>
        <w:rPr>
          <w:rFonts w:ascii="Segoe UI" w:hAnsi="Segoe UI" w:cs="Segoe UI"/>
          <w:b/>
          <w:bCs/>
          <w:color w:val="0070C0"/>
        </w:rPr>
      </w:pPr>
    </w:p>
    <w:p w14:paraId="141F3A03" w14:textId="5971DF8E" w:rsidR="00AA27EF" w:rsidRPr="000757BC" w:rsidRDefault="001017E7" w:rsidP="00D109A9">
      <w:pPr>
        <w:rPr>
          <w:rFonts w:ascii="Segoe UI" w:hAnsi="Segoe UI" w:cs="Segoe UI"/>
          <w:b/>
          <w:bCs/>
          <w:color w:val="0070C0"/>
        </w:rPr>
      </w:pPr>
      <w:r w:rsidRPr="000757BC">
        <w:rPr>
          <w:rFonts w:ascii="Segoe UI" w:hAnsi="Segoe UI" w:cs="Segoe UI"/>
          <w:b/>
          <w:bCs/>
          <w:color w:val="0070C0"/>
        </w:rPr>
        <w:t xml:space="preserve"> </w:t>
      </w:r>
      <w:r w:rsidR="005B6BD5" w:rsidRPr="000757BC">
        <w:rPr>
          <w:rFonts w:ascii="Segoe UI" w:hAnsi="Segoe UI" w:cs="Segoe UI"/>
          <w:b/>
          <w:bCs/>
          <w:color w:val="0070C0"/>
        </w:rPr>
        <w:t>3</w:t>
      </w:r>
      <w:r w:rsidR="002A4E82">
        <w:rPr>
          <w:rFonts w:ascii="Segoe UI" w:hAnsi="Segoe UI" w:cs="Segoe UI"/>
          <w:b/>
          <w:bCs/>
          <w:color w:val="0070C0"/>
        </w:rPr>
        <w:t>4</w:t>
      </w:r>
      <w:r w:rsidR="00AA27EF" w:rsidRPr="000757BC">
        <w:rPr>
          <w:rFonts w:ascii="Segoe UI" w:hAnsi="Segoe UI" w:cs="Segoe UI"/>
          <w:b/>
          <w:bCs/>
          <w:color w:val="0070C0"/>
        </w:rPr>
        <w:t>.3 – Compromissos socioambientais</w:t>
      </w:r>
    </w:p>
    <w:p w14:paraId="0D014083" w14:textId="48B3F6D3" w:rsidR="00AA27EF" w:rsidRPr="000757BC" w:rsidRDefault="00AA27EF" w:rsidP="00F87BEC">
      <w:pPr>
        <w:spacing w:before="120" w:after="240"/>
        <w:jc w:val="both"/>
        <w:rPr>
          <w:rFonts w:ascii="Segoe UI" w:hAnsi="Segoe UI" w:cs="Segoe UI"/>
        </w:rPr>
      </w:pPr>
      <w:r w:rsidRPr="000757BC">
        <w:rPr>
          <w:rFonts w:ascii="Segoe UI" w:hAnsi="Segoe UI" w:cs="Segoe UI"/>
        </w:rPr>
        <w:t xml:space="preserve">Termos de compromissos assumidos com os Municípios, nos quais a </w:t>
      </w:r>
      <w:r w:rsidR="004A4B03">
        <w:rPr>
          <w:rFonts w:ascii="Segoe UI" w:hAnsi="Segoe UI" w:cs="Segoe UI"/>
        </w:rPr>
        <w:t xml:space="preserve">Eletronuclear </w:t>
      </w:r>
      <w:r w:rsidRPr="000757BC">
        <w:rPr>
          <w:rFonts w:ascii="Segoe UI" w:hAnsi="Segoe UI" w:cs="Segoe UI"/>
        </w:rPr>
        <w:t>se compromete a celebrar convênios específicos de portes socioambientais, vinculados ao empreendimento Angra 3, visando à execução dos programas e projetos em consonância com as condicionantes estabelecidas pelo I</w:t>
      </w:r>
      <w:r w:rsidR="00825EB8">
        <w:rPr>
          <w:rFonts w:ascii="Segoe UI" w:hAnsi="Segoe UI" w:cs="Segoe UI"/>
        </w:rPr>
        <w:t>BAMA</w:t>
      </w:r>
      <w:r w:rsidRPr="000757BC">
        <w:rPr>
          <w:rFonts w:ascii="Segoe UI" w:hAnsi="Segoe UI" w:cs="Segoe UI"/>
        </w:rPr>
        <w:t xml:space="preserve"> conforme quadro demonstrativo a seguir:</w:t>
      </w:r>
    </w:p>
    <w:tbl>
      <w:tblPr>
        <w:tblW w:w="5000" w:type="pct"/>
        <w:tblCellMar>
          <w:left w:w="70" w:type="dxa"/>
          <w:right w:w="70" w:type="dxa"/>
        </w:tblCellMar>
        <w:tblLook w:val="04A0" w:firstRow="1" w:lastRow="0" w:firstColumn="1" w:lastColumn="0" w:noHBand="0" w:noVBand="1"/>
      </w:tblPr>
      <w:tblGrid>
        <w:gridCol w:w="2778"/>
        <w:gridCol w:w="934"/>
        <w:gridCol w:w="934"/>
        <w:gridCol w:w="935"/>
        <w:gridCol w:w="935"/>
        <w:gridCol w:w="935"/>
        <w:gridCol w:w="1025"/>
        <w:gridCol w:w="1021"/>
      </w:tblGrid>
      <w:tr w:rsidR="00F61DCE" w:rsidRPr="00F61DCE" w14:paraId="59DC0B8F" w14:textId="77777777" w:rsidTr="00F61DCE">
        <w:trPr>
          <w:trHeight w:val="300"/>
        </w:trPr>
        <w:tc>
          <w:tcPr>
            <w:tcW w:w="1317" w:type="pct"/>
            <w:tcBorders>
              <w:top w:val="nil"/>
              <w:left w:val="nil"/>
              <w:bottom w:val="nil"/>
              <w:right w:val="nil"/>
            </w:tcBorders>
            <w:shd w:val="clear" w:color="000000" w:fill="1B80C4"/>
            <w:noWrap/>
            <w:vAlign w:val="bottom"/>
            <w:hideMark/>
          </w:tcPr>
          <w:p w14:paraId="3B031537" w14:textId="77777777" w:rsidR="00F61DCE" w:rsidRPr="00F61DCE" w:rsidRDefault="00F61DCE" w:rsidP="00F61DCE">
            <w:pPr>
              <w:spacing w:after="0" w:line="240" w:lineRule="auto"/>
              <w:rPr>
                <w:rFonts w:ascii="Segoe UI" w:eastAsia="Times New Roman" w:hAnsi="Segoe UI" w:cs="Segoe UI"/>
                <w:color w:val="FFFFFF"/>
                <w:sz w:val="20"/>
                <w:szCs w:val="20"/>
                <w:lang w:eastAsia="pt-BR"/>
              </w:rPr>
            </w:pPr>
            <w:r w:rsidRPr="00F61DCE">
              <w:rPr>
                <w:rFonts w:ascii="Segoe UI" w:eastAsia="Times New Roman" w:hAnsi="Segoe UI" w:cs="Segoe UI"/>
                <w:color w:val="FFFFFF"/>
                <w:sz w:val="20"/>
                <w:szCs w:val="20"/>
                <w:lang w:eastAsia="pt-BR"/>
              </w:rPr>
              <w:t> </w:t>
            </w:r>
          </w:p>
        </w:tc>
        <w:tc>
          <w:tcPr>
            <w:tcW w:w="513" w:type="pct"/>
            <w:tcBorders>
              <w:top w:val="nil"/>
              <w:left w:val="nil"/>
              <w:bottom w:val="nil"/>
              <w:right w:val="nil"/>
            </w:tcBorders>
            <w:shd w:val="clear" w:color="000000" w:fill="1B80C4"/>
            <w:noWrap/>
            <w:vAlign w:val="bottom"/>
            <w:hideMark/>
          </w:tcPr>
          <w:p w14:paraId="0051C483" w14:textId="4EDA0044" w:rsidR="00F61DCE" w:rsidRPr="00F61DCE" w:rsidRDefault="00F61DCE" w:rsidP="00C81535">
            <w:pPr>
              <w:spacing w:after="0" w:line="240" w:lineRule="auto"/>
              <w:jc w:val="right"/>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2023</w:t>
            </w:r>
          </w:p>
        </w:tc>
        <w:tc>
          <w:tcPr>
            <w:tcW w:w="513" w:type="pct"/>
            <w:tcBorders>
              <w:top w:val="nil"/>
              <w:left w:val="nil"/>
              <w:bottom w:val="nil"/>
              <w:right w:val="nil"/>
            </w:tcBorders>
            <w:shd w:val="clear" w:color="000000" w:fill="1B80C4"/>
            <w:noWrap/>
            <w:vAlign w:val="bottom"/>
            <w:hideMark/>
          </w:tcPr>
          <w:p w14:paraId="5BEC8DC9" w14:textId="1C49042D" w:rsidR="00F61DCE" w:rsidRPr="00F61DCE" w:rsidRDefault="00F61DCE" w:rsidP="00C81535">
            <w:pPr>
              <w:spacing w:after="0" w:line="240" w:lineRule="auto"/>
              <w:jc w:val="right"/>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2024</w:t>
            </w:r>
          </w:p>
        </w:tc>
        <w:tc>
          <w:tcPr>
            <w:tcW w:w="513" w:type="pct"/>
            <w:tcBorders>
              <w:top w:val="nil"/>
              <w:left w:val="nil"/>
              <w:bottom w:val="nil"/>
              <w:right w:val="nil"/>
            </w:tcBorders>
            <w:shd w:val="clear" w:color="000000" w:fill="1B80C4"/>
            <w:noWrap/>
            <w:vAlign w:val="bottom"/>
            <w:hideMark/>
          </w:tcPr>
          <w:p w14:paraId="1D083AB4" w14:textId="3831F329" w:rsidR="00F61DCE" w:rsidRPr="00F61DCE" w:rsidRDefault="00F61DCE" w:rsidP="00C81535">
            <w:pPr>
              <w:spacing w:after="0" w:line="240" w:lineRule="auto"/>
              <w:jc w:val="right"/>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2025</w:t>
            </w:r>
          </w:p>
        </w:tc>
        <w:tc>
          <w:tcPr>
            <w:tcW w:w="513" w:type="pct"/>
            <w:tcBorders>
              <w:top w:val="nil"/>
              <w:left w:val="nil"/>
              <w:bottom w:val="nil"/>
              <w:right w:val="nil"/>
            </w:tcBorders>
            <w:shd w:val="clear" w:color="000000" w:fill="1B80C4"/>
            <w:noWrap/>
            <w:vAlign w:val="bottom"/>
            <w:hideMark/>
          </w:tcPr>
          <w:p w14:paraId="5FC0D5B8" w14:textId="6F4A4A4D" w:rsidR="00F61DCE" w:rsidRPr="00F61DCE" w:rsidRDefault="00F61DCE" w:rsidP="00C81535">
            <w:pPr>
              <w:spacing w:after="0" w:line="240" w:lineRule="auto"/>
              <w:jc w:val="right"/>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2026</w:t>
            </w:r>
          </w:p>
        </w:tc>
        <w:tc>
          <w:tcPr>
            <w:tcW w:w="513" w:type="pct"/>
            <w:tcBorders>
              <w:top w:val="nil"/>
              <w:left w:val="nil"/>
              <w:bottom w:val="nil"/>
              <w:right w:val="nil"/>
            </w:tcBorders>
            <w:shd w:val="clear" w:color="000000" w:fill="1B80C4"/>
            <w:noWrap/>
            <w:vAlign w:val="bottom"/>
            <w:hideMark/>
          </w:tcPr>
          <w:p w14:paraId="03D3D4E1" w14:textId="10116715" w:rsidR="00F61DCE" w:rsidRPr="00F61DCE" w:rsidRDefault="00F61DCE" w:rsidP="00C81535">
            <w:pPr>
              <w:spacing w:after="0" w:line="240" w:lineRule="auto"/>
              <w:jc w:val="right"/>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2027</w:t>
            </w:r>
          </w:p>
        </w:tc>
        <w:tc>
          <w:tcPr>
            <w:tcW w:w="560" w:type="pct"/>
            <w:tcBorders>
              <w:top w:val="nil"/>
              <w:left w:val="nil"/>
              <w:bottom w:val="nil"/>
              <w:right w:val="nil"/>
            </w:tcBorders>
            <w:shd w:val="clear" w:color="000000" w:fill="1B80C4"/>
            <w:noWrap/>
            <w:vAlign w:val="bottom"/>
            <w:hideMark/>
          </w:tcPr>
          <w:p w14:paraId="709A77D4" w14:textId="1D99ACD2" w:rsidR="00F61DCE" w:rsidRPr="00F61DCE" w:rsidRDefault="00F61DCE" w:rsidP="00C81535">
            <w:pPr>
              <w:spacing w:after="0" w:line="240" w:lineRule="auto"/>
              <w:jc w:val="right"/>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Após2027</w:t>
            </w:r>
          </w:p>
        </w:tc>
        <w:tc>
          <w:tcPr>
            <w:tcW w:w="560" w:type="pct"/>
            <w:tcBorders>
              <w:top w:val="nil"/>
              <w:left w:val="nil"/>
              <w:bottom w:val="nil"/>
              <w:right w:val="nil"/>
            </w:tcBorders>
            <w:shd w:val="clear" w:color="000000" w:fill="1B80C4"/>
            <w:noWrap/>
            <w:vAlign w:val="bottom"/>
            <w:hideMark/>
          </w:tcPr>
          <w:p w14:paraId="70F3F3C7" w14:textId="11BCB387" w:rsidR="00F61DCE" w:rsidRPr="00F61DCE" w:rsidRDefault="00F61DCE" w:rsidP="00C81535">
            <w:pPr>
              <w:spacing w:after="0" w:line="240" w:lineRule="auto"/>
              <w:jc w:val="right"/>
              <w:rPr>
                <w:rFonts w:ascii="Segoe UI" w:eastAsia="Times New Roman" w:hAnsi="Segoe UI" w:cs="Segoe UI"/>
                <w:b/>
                <w:bCs/>
                <w:color w:val="FFFFFF"/>
                <w:sz w:val="18"/>
                <w:szCs w:val="18"/>
                <w:lang w:eastAsia="pt-BR"/>
              </w:rPr>
            </w:pPr>
            <w:r w:rsidRPr="00F61DCE">
              <w:rPr>
                <w:rFonts w:ascii="Segoe UI" w:eastAsia="Times New Roman" w:hAnsi="Segoe UI" w:cs="Segoe UI"/>
                <w:b/>
                <w:bCs/>
                <w:color w:val="FFFFFF"/>
                <w:sz w:val="18"/>
                <w:szCs w:val="18"/>
                <w:lang w:eastAsia="pt-BR"/>
              </w:rPr>
              <w:t>Total</w:t>
            </w:r>
          </w:p>
        </w:tc>
      </w:tr>
      <w:tr w:rsidR="00F61DCE" w:rsidRPr="00F61DCE" w14:paraId="4719850F" w14:textId="77777777" w:rsidTr="00F61DCE">
        <w:trPr>
          <w:trHeight w:val="300"/>
        </w:trPr>
        <w:tc>
          <w:tcPr>
            <w:tcW w:w="1317" w:type="pct"/>
            <w:tcBorders>
              <w:top w:val="nil"/>
              <w:left w:val="nil"/>
              <w:bottom w:val="nil"/>
              <w:right w:val="nil"/>
            </w:tcBorders>
            <w:shd w:val="clear" w:color="auto" w:fill="auto"/>
            <w:noWrap/>
            <w:vAlign w:val="bottom"/>
            <w:hideMark/>
          </w:tcPr>
          <w:p w14:paraId="69B446F0" w14:textId="77777777" w:rsidR="00F61DCE" w:rsidRPr="00F61DCE" w:rsidRDefault="00F61DCE" w:rsidP="00F61DCE">
            <w:pPr>
              <w:spacing w:after="0" w:line="240" w:lineRule="auto"/>
              <w:rPr>
                <w:rFonts w:ascii="Segoe UI" w:eastAsia="Times New Roman" w:hAnsi="Segoe UI" w:cs="Segoe UI"/>
                <w:color w:val="000000"/>
                <w:sz w:val="20"/>
                <w:szCs w:val="20"/>
                <w:lang w:eastAsia="pt-BR"/>
              </w:rPr>
            </w:pPr>
            <w:r w:rsidRPr="00F61DCE">
              <w:rPr>
                <w:rFonts w:ascii="Segoe UI" w:eastAsia="Times New Roman" w:hAnsi="Segoe UI" w:cs="Segoe UI"/>
                <w:color w:val="000000"/>
                <w:sz w:val="20"/>
                <w:szCs w:val="20"/>
                <w:lang w:eastAsia="pt-BR"/>
              </w:rPr>
              <w:t>Compromisso Socioambiental</w:t>
            </w:r>
          </w:p>
        </w:tc>
        <w:tc>
          <w:tcPr>
            <w:tcW w:w="513" w:type="pct"/>
            <w:tcBorders>
              <w:top w:val="nil"/>
              <w:left w:val="nil"/>
              <w:bottom w:val="nil"/>
              <w:right w:val="nil"/>
            </w:tcBorders>
            <w:shd w:val="clear" w:color="auto" w:fill="auto"/>
            <w:noWrap/>
            <w:vAlign w:val="bottom"/>
            <w:hideMark/>
          </w:tcPr>
          <w:p w14:paraId="441244CC" w14:textId="0444B79E"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86.806</w:t>
            </w:r>
          </w:p>
        </w:tc>
        <w:tc>
          <w:tcPr>
            <w:tcW w:w="513" w:type="pct"/>
            <w:tcBorders>
              <w:top w:val="nil"/>
              <w:left w:val="nil"/>
              <w:bottom w:val="nil"/>
              <w:right w:val="nil"/>
            </w:tcBorders>
            <w:shd w:val="clear" w:color="auto" w:fill="auto"/>
            <w:noWrap/>
            <w:vAlign w:val="bottom"/>
            <w:hideMark/>
          </w:tcPr>
          <w:p w14:paraId="0BE61743" w14:textId="5BBCB05C"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99.514</w:t>
            </w:r>
          </w:p>
        </w:tc>
        <w:tc>
          <w:tcPr>
            <w:tcW w:w="513" w:type="pct"/>
            <w:tcBorders>
              <w:top w:val="nil"/>
              <w:left w:val="nil"/>
              <w:bottom w:val="nil"/>
              <w:right w:val="nil"/>
            </w:tcBorders>
            <w:shd w:val="clear" w:color="auto" w:fill="auto"/>
            <w:noWrap/>
            <w:vAlign w:val="bottom"/>
            <w:hideMark/>
          </w:tcPr>
          <w:p w14:paraId="15170DF4" w14:textId="31C15FA9"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94.574</w:t>
            </w:r>
          </w:p>
        </w:tc>
        <w:tc>
          <w:tcPr>
            <w:tcW w:w="513" w:type="pct"/>
            <w:tcBorders>
              <w:top w:val="nil"/>
              <w:left w:val="nil"/>
              <w:bottom w:val="nil"/>
              <w:right w:val="nil"/>
            </w:tcBorders>
            <w:shd w:val="clear" w:color="auto" w:fill="auto"/>
            <w:noWrap/>
            <w:vAlign w:val="bottom"/>
            <w:hideMark/>
          </w:tcPr>
          <w:p w14:paraId="307F0E5A" w14:textId="18A9D063"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82.895</w:t>
            </w:r>
          </w:p>
        </w:tc>
        <w:tc>
          <w:tcPr>
            <w:tcW w:w="513" w:type="pct"/>
            <w:tcBorders>
              <w:top w:val="nil"/>
              <w:left w:val="nil"/>
              <w:bottom w:val="nil"/>
              <w:right w:val="nil"/>
            </w:tcBorders>
            <w:shd w:val="clear" w:color="auto" w:fill="auto"/>
            <w:noWrap/>
            <w:vAlign w:val="bottom"/>
            <w:hideMark/>
          </w:tcPr>
          <w:p w14:paraId="15565BD4" w14:textId="0183EDAF"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69.938</w:t>
            </w:r>
          </w:p>
        </w:tc>
        <w:tc>
          <w:tcPr>
            <w:tcW w:w="560" w:type="pct"/>
            <w:tcBorders>
              <w:top w:val="nil"/>
              <w:left w:val="nil"/>
              <w:bottom w:val="nil"/>
              <w:right w:val="nil"/>
            </w:tcBorders>
            <w:shd w:val="clear" w:color="auto" w:fill="auto"/>
            <w:noWrap/>
            <w:vAlign w:val="bottom"/>
            <w:hideMark/>
          </w:tcPr>
          <w:p w14:paraId="2D0D9248" w14:textId="621CFA55" w:rsidR="00F61DCE" w:rsidRPr="00F61DCE" w:rsidRDefault="00F61DCE" w:rsidP="00F61DCE">
            <w:pPr>
              <w:spacing w:after="0" w:line="240" w:lineRule="auto"/>
              <w:jc w:val="right"/>
              <w:rPr>
                <w:rFonts w:ascii="Segoe UI" w:eastAsia="Times New Roman" w:hAnsi="Segoe UI" w:cs="Segoe UI"/>
                <w:color w:val="000000"/>
                <w:sz w:val="20"/>
                <w:szCs w:val="20"/>
                <w:lang w:eastAsia="pt-BR"/>
              </w:rPr>
            </w:pPr>
            <w:r w:rsidRPr="00F61DCE">
              <w:rPr>
                <w:rFonts w:ascii="Segoe UI" w:eastAsia="Times New Roman" w:hAnsi="Segoe UI" w:cs="Segoe UI"/>
                <w:color w:val="000000"/>
                <w:sz w:val="20"/>
                <w:szCs w:val="20"/>
                <w:lang w:eastAsia="pt-BR"/>
              </w:rPr>
              <w:t>-</w:t>
            </w:r>
          </w:p>
        </w:tc>
        <w:tc>
          <w:tcPr>
            <w:tcW w:w="560" w:type="pct"/>
            <w:tcBorders>
              <w:top w:val="nil"/>
              <w:left w:val="nil"/>
              <w:bottom w:val="nil"/>
              <w:right w:val="nil"/>
            </w:tcBorders>
            <w:shd w:val="clear" w:color="auto" w:fill="auto"/>
            <w:noWrap/>
            <w:vAlign w:val="bottom"/>
            <w:hideMark/>
          </w:tcPr>
          <w:p w14:paraId="7CB1ABD2" w14:textId="39EB04F1" w:rsidR="00F61DCE" w:rsidRPr="00F61DCE" w:rsidRDefault="00F61DCE" w:rsidP="00F61DCE">
            <w:pPr>
              <w:spacing w:after="0" w:line="240" w:lineRule="auto"/>
              <w:jc w:val="right"/>
              <w:rPr>
                <w:rFonts w:ascii="Segoe UI" w:eastAsia="Times New Roman" w:hAnsi="Segoe UI" w:cs="Segoe UI"/>
                <w:sz w:val="20"/>
                <w:szCs w:val="20"/>
                <w:lang w:eastAsia="pt-BR"/>
              </w:rPr>
            </w:pPr>
            <w:r w:rsidRPr="00F61DCE">
              <w:rPr>
                <w:rFonts w:ascii="Segoe UI" w:eastAsia="Times New Roman" w:hAnsi="Segoe UI" w:cs="Segoe UI"/>
                <w:sz w:val="20"/>
                <w:szCs w:val="20"/>
                <w:lang w:eastAsia="pt-BR"/>
              </w:rPr>
              <w:t>433.727</w:t>
            </w:r>
          </w:p>
        </w:tc>
      </w:tr>
    </w:tbl>
    <w:p w14:paraId="0913D8D4" w14:textId="77777777" w:rsidR="0018287B" w:rsidRDefault="0018287B" w:rsidP="00F87BEC">
      <w:pPr>
        <w:widowControl w:val="0"/>
        <w:autoSpaceDE w:val="0"/>
        <w:autoSpaceDN w:val="0"/>
        <w:spacing w:before="240" w:after="120"/>
        <w:jc w:val="both"/>
        <w:rPr>
          <w:rFonts w:ascii="Segoe UI" w:hAnsi="Segoe UI" w:cs="Segoe UI"/>
          <w:b/>
          <w:bCs/>
          <w:color w:val="0070C0"/>
        </w:rPr>
      </w:pPr>
    </w:p>
    <w:p w14:paraId="1240604A" w14:textId="70F88504" w:rsidR="00AA27EF" w:rsidRPr="000757BC" w:rsidRDefault="005B6BD5" w:rsidP="00F87BEC">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4</w:t>
      </w:r>
      <w:r w:rsidR="00AA27EF" w:rsidRPr="000757BC">
        <w:rPr>
          <w:rFonts w:ascii="Segoe UI" w:hAnsi="Segoe UI" w:cs="Segoe UI"/>
          <w:b/>
          <w:bCs/>
          <w:color w:val="0070C0"/>
        </w:rPr>
        <w:t>.4–Aquisições</w:t>
      </w:r>
      <w:r w:rsidR="00F61DCE">
        <w:rPr>
          <w:rFonts w:ascii="Segoe UI" w:hAnsi="Segoe UI" w:cs="Segoe UI"/>
          <w:b/>
          <w:bCs/>
          <w:color w:val="0070C0"/>
        </w:rPr>
        <w:t xml:space="preserve"> </w:t>
      </w:r>
      <w:r w:rsidR="00AA27EF" w:rsidRPr="000757BC">
        <w:rPr>
          <w:rFonts w:ascii="Segoe UI" w:hAnsi="Segoe UI" w:cs="Segoe UI"/>
          <w:b/>
          <w:bCs/>
          <w:color w:val="0070C0"/>
        </w:rPr>
        <w:t>de</w:t>
      </w:r>
      <w:r w:rsidR="00F61DCE">
        <w:rPr>
          <w:rFonts w:ascii="Segoe UI" w:hAnsi="Segoe UI" w:cs="Segoe UI"/>
          <w:b/>
          <w:bCs/>
          <w:color w:val="0070C0"/>
        </w:rPr>
        <w:t xml:space="preserve"> </w:t>
      </w:r>
      <w:r w:rsidR="00AA27EF" w:rsidRPr="000757BC">
        <w:rPr>
          <w:rFonts w:ascii="Segoe UI" w:hAnsi="Segoe UI" w:cs="Segoe UI"/>
          <w:b/>
          <w:bCs/>
          <w:color w:val="0070C0"/>
        </w:rPr>
        <w:t>bens</w:t>
      </w:r>
      <w:r w:rsidR="00F61DCE">
        <w:rPr>
          <w:rFonts w:ascii="Segoe UI" w:hAnsi="Segoe UI" w:cs="Segoe UI"/>
          <w:b/>
          <w:bCs/>
          <w:color w:val="0070C0"/>
        </w:rPr>
        <w:t xml:space="preserve"> </w:t>
      </w:r>
      <w:r w:rsidR="00AA27EF" w:rsidRPr="000757BC">
        <w:rPr>
          <w:rFonts w:ascii="Segoe UI" w:hAnsi="Segoe UI" w:cs="Segoe UI"/>
          <w:b/>
          <w:bCs/>
          <w:color w:val="0070C0"/>
        </w:rPr>
        <w:t>e</w:t>
      </w:r>
      <w:r w:rsidR="00F61DCE">
        <w:rPr>
          <w:rFonts w:ascii="Segoe UI" w:hAnsi="Segoe UI" w:cs="Segoe UI"/>
          <w:b/>
          <w:bCs/>
          <w:color w:val="0070C0"/>
        </w:rPr>
        <w:t xml:space="preserve"> </w:t>
      </w:r>
      <w:r w:rsidR="00AA27EF" w:rsidRPr="000757BC">
        <w:rPr>
          <w:rFonts w:ascii="Segoe UI" w:hAnsi="Segoe UI" w:cs="Segoe UI"/>
          <w:b/>
          <w:bCs/>
          <w:color w:val="0070C0"/>
        </w:rPr>
        <w:t>serviços</w:t>
      </w:r>
    </w:p>
    <w:p w14:paraId="4ABAB260" w14:textId="6C59D5CB" w:rsidR="00AA27EF" w:rsidRPr="000757BC" w:rsidRDefault="00AA27EF" w:rsidP="00F87BEC">
      <w:pPr>
        <w:spacing w:before="240" w:after="120"/>
        <w:jc w:val="both"/>
        <w:rPr>
          <w:rFonts w:ascii="Segoe UI" w:hAnsi="Segoe UI" w:cs="Segoe UI"/>
        </w:rPr>
      </w:pPr>
      <w:r w:rsidRPr="000757BC">
        <w:rPr>
          <w:rFonts w:ascii="Segoe UI" w:hAnsi="Segoe UI" w:cs="Segoe UI"/>
        </w:rPr>
        <w:t>Contratos</w:t>
      </w:r>
      <w:r w:rsidR="00F61DCE">
        <w:rPr>
          <w:rFonts w:ascii="Segoe UI" w:hAnsi="Segoe UI" w:cs="Segoe UI"/>
        </w:rPr>
        <w:t xml:space="preserve"> </w:t>
      </w:r>
      <w:r w:rsidRPr="000757BC">
        <w:rPr>
          <w:rFonts w:ascii="Segoe UI" w:hAnsi="Segoe UI" w:cs="Segoe UI"/>
        </w:rPr>
        <w:t>assinados</w:t>
      </w:r>
      <w:r w:rsidR="00F61DCE">
        <w:rPr>
          <w:rFonts w:ascii="Segoe UI" w:hAnsi="Segoe UI" w:cs="Segoe UI"/>
        </w:rPr>
        <w:t xml:space="preserve"> </w:t>
      </w:r>
      <w:r w:rsidRPr="000757BC">
        <w:rPr>
          <w:rFonts w:ascii="Segoe UI" w:hAnsi="Segoe UI" w:cs="Segoe UI"/>
        </w:rPr>
        <w:t>com</w:t>
      </w:r>
      <w:r w:rsidR="00F61DCE">
        <w:rPr>
          <w:rFonts w:ascii="Segoe UI" w:hAnsi="Segoe UI" w:cs="Segoe UI"/>
        </w:rPr>
        <w:t xml:space="preserve"> </w:t>
      </w:r>
      <w:r w:rsidRPr="000757BC">
        <w:rPr>
          <w:rFonts w:ascii="Segoe UI" w:hAnsi="Segoe UI" w:cs="Segoe UI"/>
        </w:rPr>
        <w:t>fornecedores</w:t>
      </w:r>
      <w:r w:rsidR="00F61DCE">
        <w:rPr>
          <w:rFonts w:ascii="Segoe UI" w:hAnsi="Segoe UI" w:cs="Segoe UI"/>
        </w:rPr>
        <w:t xml:space="preserve"> </w:t>
      </w:r>
      <w:r w:rsidRPr="000757BC">
        <w:rPr>
          <w:rFonts w:ascii="Segoe UI" w:hAnsi="Segoe UI" w:cs="Segoe UI"/>
        </w:rPr>
        <w:t>diversos</w:t>
      </w:r>
      <w:r w:rsidR="00F61DCE">
        <w:rPr>
          <w:rFonts w:ascii="Segoe UI" w:hAnsi="Segoe UI" w:cs="Segoe UI"/>
        </w:rPr>
        <w:t xml:space="preserve"> </w:t>
      </w:r>
      <w:r w:rsidRPr="000757BC">
        <w:rPr>
          <w:rFonts w:ascii="Segoe UI" w:hAnsi="Segoe UI" w:cs="Segoe UI"/>
        </w:rPr>
        <w:t>para</w:t>
      </w:r>
      <w:r w:rsidR="00F61DCE">
        <w:rPr>
          <w:rFonts w:ascii="Segoe UI" w:hAnsi="Segoe UI" w:cs="Segoe UI"/>
        </w:rPr>
        <w:t xml:space="preserve"> </w:t>
      </w:r>
      <w:r w:rsidRPr="000757BC">
        <w:rPr>
          <w:rFonts w:ascii="Segoe UI" w:hAnsi="Segoe UI" w:cs="Segoe UI"/>
        </w:rPr>
        <w:t>aquisição</w:t>
      </w:r>
      <w:r w:rsidR="00F61DCE">
        <w:rPr>
          <w:rFonts w:ascii="Segoe UI" w:hAnsi="Segoe UI" w:cs="Segoe UI"/>
        </w:rPr>
        <w:t xml:space="preserve"> </w:t>
      </w:r>
      <w:r w:rsidRPr="000757BC">
        <w:rPr>
          <w:rFonts w:ascii="Segoe UI" w:hAnsi="Segoe UI" w:cs="Segoe UI"/>
        </w:rPr>
        <w:t>de</w:t>
      </w:r>
      <w:r w:rsidR="00F61DCE">
        <w:rPr>
          <w:rFonts w:ascii="Segoe UI" w:hAnsi="Segoe UI" w:cs="Segoe UI"/>
        </w:rPr>
        <w:t xml:space="preserve"> bens </w:t>
      </w:r>
      <w:r w:rsidRPr="000757BC">
        <w:rPr>
          <w:rFonts w:ascii="Segoe UI" w:hAnsi="Segoe UI" w:cs="Segoe UI"/>
        </w:rPr>
        <w:t>e</w:t>
      </w:r>
      <w:r w:rsidR="00F61DCE">
        <w:rPr>
          <w:rFonts w:ascii="Segoe UI" w:hAnsi="Segoe UI" w:cs="Segoe UI"/>
        </w:rPr>
        <w:t xml:space="preserve"> </w:t>
      </w:r>
      <w:r w:rsidRPr="000757BC">
        <w:rPr>
          <w:rFonts w:ascii="Segoe UI" w:hAnsi="Segoe UI" w:cs="Segoe UI"/>
        </w:rPr>
        <w:t>serviços</w:t>
      </w:r>
      <w:r w:rsidR="00F61DCE">
        <w:rPr>
          <w:rFonts w:ascii="Segoe UI" w:hAnsi="Segoe UI" w:cs="Segoe UI"/>
        </w:rPr>
        <w:t xml:space="preserve"> </w:t>
      </w:r>
      <w:r w:rsidRPr="000757BC">
        <w:rPr>
          <w:rFonts w:ascii="Segoe UI" w:hAnsi="Segoe UI" w:cs="Segoe UI"/>
        </w:rPr>
        <w:t>das</w:t>
      </w:r>
      <w:r w:rsidR="00F61DCE">
        <w:rPr>
          <w:rFonts w:ascii="Segoe UI" w:hAnsi="Segoe UI" w:cs="Segoe UI"/>
        </w:rPr>
        <w:t xml:space="preserve"> </w:t>
      </w:r>
      <w:r w:rsidR="00825EB8">
        <w:rPr>
          <w:rFonts w:ascii="Segoe UI" w:hAnsi="Segoe UI" w:cs="Segoe UI"/>
        </w:rPr>
        <w:t>u</w:t>
      </w:r>
      <w:r w:rsidRPr="000757BC">
        <w:rPr>
          <w:rFonts w:ascii="Segoe UI" w:hAnsi="Segoe UI" w:cs="Segoe UI"/>
        </w:rPr>
        <w:t>sinas</w:t>
      </w:r>
      <w:r w:rsidR="00F61DCE">
        <w:rPr>
          <w:rFonts w:ascii="Segoe UI" w:hAnsi="Segoe UI" w:cs="Segoe UI"/>
        </w:rPr>
        <w:t xml:space="preserve"> </w:t>
      </w:r>
      <w:r w:rsidRPr="000757BC">
        <w:rPr>
          <w:rFonts w:ascii="Segoe UI" w:hAnsi="Segoe UI" w:cs="Segoe UI"/>
        </w:rPr>
        <w:t>Angra1,</w:t>
      </w:r>
      <w:r w:rsidR="00F61DCE">
        <w:rPr>
          <w:rFonts w:ascii="Segoe UI" w:hAnsi="Segoe UI" w:cs="Segoe UI"/>
        </w:rPr>
        <w:t xml:space="preserve"> </w:t>
      </w:r>
      <w:r w:rsidRPr="000757BC">
        <w:rPr>
          <w:rFonts w:ascii="Segoe UI" w:hAnsi="Segoe UI" w:cs="Segoe UI"/>
        </w:rPr>
        <w:t>2</w:t>
      </w:r>
      <w:r w:rsidR="00F61DCE">
        <w:rPr>
          <w:rFonts w:ascii="Segoe UI" w:hAnsi="Segoe UI" w:cs="Segoe UI"/>
        </w:rPr>
        <w:t xml:space="preserve"> </w:t>
      </w:r>
      <w:r w:rsidRPr="000757BC">
        <w:rPr>
          <w:rFonts w:ascii="Segoe UI" w:hAnsi="Segoe UI" w:cs="Segoe UI"/>
        </w:rPr>
        <w:t>e</w:t>
      </w:r>
      <w:r w:rsidR="00F61DCE">
        <w:rPr>
          <w:rFonts w:ascii="Segoe UI" w:hAnsi="Segoe UI" w:cs="Segoe UI"/>
        </w:rPr>
        <w:t xml:space="preserve"> </w:t>
      </w:r>
      <w:r w:rsidRPr="000757BC">
        <w:rPr>
          <w:rFonts w:ascii="Segoe UI" w:hAnsi="Segoe UI" w:cs="Segoe UI"/>
        </w:rPr>
        <w:t>3,</w:t>
      </w:r>
      <w:r w:rsidR="00F61DCE">
        <w:rPr>
          <w:rFonts w:ascii="Segoe UI" w:hAnsi="Segoe UI" w:cs="Segoe UI"/>
        </w:rPr>
        <w:t xml:space="preserve"> </w:t>
      </w:r>
      <w:r w:rsidRPr="000757BC">
        <w:rPr>
          <w:rFonts w:ascii="Segoe UI" w:hAnsi="Segoe UI" w:cs="Segoe UI"/>
        </w:rPr>
        <w:t>necessários</w:t>
      </w:r>
      <w:r w:rsidR="00F61DCE">
        <w:rPr>
          <w:rFonts w:ascii="Segoe UI" w:hAnsi="Segoe UI" w:cs="Segoe UI"/>
        </w:rPr>
        <w:t xml:space="preserve"> </w:t>
      </w:r>
      <w:r w:rsidRPr="000757BC">
        <w:rPr>
          <w:rFonts w:ascii="Segoe UI" w:hAnsi="Segoe UI" w:cs="Segoe UI"/>
        </w:rPr>
        <w:t>à</w:t>
      </w:r>
      <w:r w:rsidR="00F61DCE">
        <w:rPr>
          <w:rFonts w:ascii="Segoe UI" w:hAnsi="Segoe UI" w:cs="Segoe UI"/>
        </w:rPr>
        <w:t xml:space="preserve"> </w:t>
      </w:r>
      <w:r w:rsidRPr="000757BC">
        <w:rPr>
          <w:rFonts w:ascii="Segoe UI" w:hAnsi="Segoe UI" w:cs="Segoe UI"/>
        </w:rPr>
        <w:t>garantia</w:t>
      </w:r>
      <w:r w:rsidR="00F61DCE">
        <w:rPr>
          <w:rFonts w:ascii="Segoe UI" w:hAnsi="Segoe UI" w:cs="Segoe UI"/>
        </w:rPr>
        <w:t xml:space="preserve"> </w:t>
      </w:r>
      <w:r w:rsidRPr="000757BC">
        <w:rPr>
          <w:rFonts w:ascii="Segoe UI" w:hAnsi="Segoe UI" w:cs="Segoe UI"/>
        </w:rPr>
        <w:t>de</w:t>
      </w:r>
      <w:r w:rsidR="00F61DCE">
        <w:rPr>
          <w:rFonts w:ascii="Segoe UI" w:hAnsi="Segoe UI" w:cs="Segoe UI"/>
        </w:rPr>
        <w:t xml:space="preserve"> </w:t>
      </w:r>
      <w:r w:rsidRPr="000757BC">
        <w:rPr>
          <w:rFonts w:ascii="Segoe UI" w:hAnsi="Segoe UI" w:cs="Segoe UI"/>
        </w:rPr>
        <w:t>performance</w:t>
      </w:r>
      <w:r w:rsidR="00F61DCE">
        <w:rPr>
          <w:rFonts w:ascii="Segoe UI" w:hAnsi="Segoe UI" w:cs="Segoe UI"/>
        </w:rPr>
        <w:t xml:space="preserve"> </w:t>
      </w:r>
      <w:r w:rsidRPr="000757BC">
        <w:rPr>
          <w:rFonts w:ascii="Segoe UI" w:hAnsi="Segoe UI" w:cs="Segoe UI"/>
        </w:rPr>
        <w:t>operacional</w:t>
      </w:r>
      <w:r w:rsidR="00F61DCE">
        <w:rPr>
          <w:rFonts w:ascii="Segoe UI" w:hAnsi="Segoe UI" w:cs="Segoe UI"/>
        </w:rPr>
        <w:t xml:space="preserve"> </w:t>
      </w:r>
      <w:r w:rsidRPr="000757BC">
        <w:rPr>
          <w:rFonts w:ascii="Segoe UI" w:hAnsi="Segoe UI" w:cs="Segoe UI"/>
        </w:rPr>
        <w:t>desses</w:t>
      </w:r>
      <w:r w:rsidR="00F61DCE">
        <w:rPr>
          <w:rFonts w:ascii="Segoe UI" w:hAnsi="Segoe UI" w:cs="Segoe UI"/>
        </w:rPr>
        <w:t xml:space="preserve"> </w:t>
      </w:r>
      <w:r w:rsidRPr="000757BC">
        <w:rPr>
          <w:rFonts w:ascii="Segoe UI" w:hAnsi="Segoe UI" w:cs="Segoe UI"/>
        </w:rPr>
        <w:t>ativos</w:t>
      </w:r>
      <w:r w:rsidR="00F61DCE">
        <w:rPr>
          <w:rFonts w:ascii="Segoe UI" w:hAnsi="Segoe UI" w:cs="Segoe UI"/>
        </w:rPr>
        <w:t xml:space="preserve"> </w:t>
      </w:r>
      <w:r w:rsidRPr="000757BC">
        <w:rPr>
          <w:rFonts w:ascii="Segoe UI" w:hAnsi="Segoe UI" w:cs="Segoe UI"/>
        </w:rPr>
        <w:t>conforme</w:t>
      </w:r>
      <w:r w:rsidR="00F61DCE">
        <w:rPr>
          <w:rFonts w:ascii="Segoe UI" w:hAnsi="Segoe UI" w:cs="Segoe UI"/>
        </w:rPr>
        <w:t xml:space="preserve"> </w:t>
      </w:r>
      <w:r w:rsidRPr="000757BC">
        <w:rPr>
          <w:rFonts w:ascii="Segoe UI" w:hAnsi="Segoe UI" w:cs="Segoe UI"/>
        </w:rPr>
        <w:t>quadro</w:t>
      </w:r>
      <w:r w:rsidR="00F61DCE">
        <w:rPr>
          <w:rFonts w:ascii="Segoe UI" w:hAnsi="Segoe UI" w:cs="Segoe UI"/>
        </w:rPr>
        <w:t xml:space="preserve"> </w:t>
      </w:r>
      <w:r w:rsidRPr="000757BC">
        <w:rPr>
          <w:rFonts w:ascii="Segoe UI" w:hAnsi="Segoe UI" w:cs="Segoe UI"/>
        </w:rPr>
        <w:t>demonstrativo</w:t>
      </w:r>
      <w:r w:rsidR="00F61DCE">
        <w:rPr>
          <w:rFonts w:ascii="Segoe UI" w:hAnsi="Segoe UI" w:cs="Segoe UI"/>
        </w:rPr>
        <w:t xml:space="preserve"> </w:t>
      </w:r>
      <w:r w:rsidRPr="000757BC">
        <w:rPr>
          <w:rFonts w:ascii="Segoe UI" w:hAnsi="Segoe UI" w:cs="Segoe UI"/>
        </w:rPr>
        <w:t>a</w:t>
      </w:r>
      <w:r w:rsidR="00F61DCE">
        <w:rPr>
          <w:rFonts w:ascii="Segoe UI" w:hAnsi="Segoe UI" w:cs="Segoe UI"/>
        </w:rPr>
        <w:t xml:space="preserve"> </w:t>
      </w:r>
      <w:r w:rsidRPr="000757BC">
        <w:rPr>
          <w:rFonts w:ascii="Segoe UI" w:hAnsi="Segoe UI" w:cs="Segoe UI"/>
        </w:rPr>
        <w:t>seguir:</w:t>
      </w:r>
    </w:p>
    <w:tbl>
      <w:tblPr>
        <w:tblW w:w="5000" w:type="pct"/>
        <w:tblCellMar>
          <w:left w:w="70" w:type="dxa"/>
          <w:right w:w="70" w:type="dxa"/>
        </w:tblCellMar>
        <w:tblLook w:val="04A0" w:firstRow="1" w:lastRow="0" w:firstColumn="1" w:lastColumn="0" w:noHBand="0" w:noVBand="1"/>
      </w:tblPr>
      <w:tblGrid>
        <w:gridCol w:w="2503"/>
        <w:gridCol w:w="974"/>
        <w:gridCol w:w="974"/>
        <w:gridCol w:w="974"/>
        <w:gridCol w:w="974"/>
        <w:gridCol w:w="974"/>
        <w:gridCol w:w="1064"/>
        <w:gridCol w:w="1060"/>
      </w:tblGrid>
      <w:tr w:rsidR="006379AE" w:rsidRPr="006379AE" w14:paraId="7335693B" w14:textId="77777777" w:rsidTr="006379AE">
        <w:trPr>
          <w:trHeight w:val="300"/>
        </w:trPr>
        <w:tc>
          <w:tcPr>
            <w:tcW w:w="1317" w:type="pct"/>
            <w:tcBorders>
              <w:top w:val="nil"/>
              <w:left w:val="nil"/>
              <w:bottom w:val="nil"/>
              <w:right w:val="nil"/>
            </w:tcBorders>
            <w:shd w:val="clear" w:color="000000" w:fill="1B80C4"/>
            <w:noWrap/>
            <w:vAlign w:val="bottom"/>
            <w:hideMark/>
          </w:tcPr>
          <w:p w14:paraId="710885A8" w14:textId="64E4559E" w:rsidR="006379AE" w:rsidRPr="006379AE" w:rsidRDefault="006379AE" w:rsidP="006379AE">
            <w:pPr>
              <w:spacing w:after="0" w:line="240" w:lineRule="auto"/>
              <w:rPr>
                <w:rFonts w:ascii="Segoe UI" w:eastAsia="Times New Roman" w:hAnsi="Segoe UI" w:cs="Segoe UI"/>
                <w:color w:val="FFFFFF"/>
                <w:sz w:val="20"/>
                <w:szCs w:val="20"/>
                <w:lang w:eastAsia="pt-BR"/>
              </w:rPr>
            </w:pPr>
          </w:p>
        </w:tc>
        <w:tc>
          <w:tcPr>
            <w:tcW w:w="513" w:type="pct"/>
            <w:tcBorders>
              <w:top w:val="nil"/>
              <w:left w:val="nil"/>
              <w:bottom w:val="nil"/>
              <w:right w:val="nil"/>
            </w:tcBorders>
            <w:shd w:val="clear" w:color="000000" w:fill="1B80C4"/>
            <w:noWrap/>
            <w:vAlign w:val="bottom"/>
            <w:hideMark/>
          </w:tcPr>
          <w:p w14:paraId="6EFC7E62" w14:textId="4B0B1080" w:rsidR="006379AE" w:rsidRPr="006379AE" w:rsidRDefault="006379AE" w:rsidP="00C81535">
            <w:pPr>
              <w:spacing w:after="0" w:line="240" w:lineRule="auto"/>
              <w:rPr>
                <w:rFonts w:ascii="Segoe UI" w:eastAsia="Times New Roman" w:hAnsi="Segoe UI" w:cs="Segoe UI"/>
                <w:b/>
                <w:bCs/>
                <w:color w:val="FFFFFF"/>
                <w:sz w:val="18"/>
                <w:szCs w:val="18"/>
                <w:lang w:eastAsia="pt-BR"/>
              </w:rPr>
            </w:pPr>
            <w:r w:rsidRPr="006379AE">
              <w:rPr>
                <w:rFonts w:ascii="Segoe UI" w:eastAsia="Times New Roman" w:hAnsi="Segoe UI" w:cs="Segoe UI"/>
                <w:b/>
                <w:bCs/>
                <w:color w:val="FFFFFF"/>
                <w:sz w:val="18"/>
                <w:szCs w:val="18"/>
                <w:lang w:eastAsia="pt-BR"/>
              </w:rPr>
              <w:t>2023</w:t>
            </w:r>
          </w:p>
        </w:tc>
        <w:tc>
          <w:tcPr>
            <w:tcW w:w="513" w:type="pct"/>
            <w:tcBorders>
              <w:top w:val="nil"/>
              <w:left w:val="nil"/>
              <w:bottom w:val="nil"/>
              <w:right w:val="nil"/>
            </w:tcBorders>
            <w:shd w:val="clear" w:color="000000" w:fill="1B80C4"/>
            <w:noWrap/>
            <w:vAlign w:val="bottom"/>
            <w:hideMark/>
          </w:tcPr>
          <w:p w14:paraId="67895548" w14:textId="0284DB6A" w:rsidR="006379AE" w:rsidRPr="006379AE" w:rsidRDefault="006379AE" w:rsidP="00C81535">
            <w:pPr>
              <w:spacing w:after="0" w:line="240" w:lineRule="auto"/>
              <w:rPr>
                <w:rFonts w:ascii="Segoe UI" w:eastAsia="Times New Roman" w:hAnsi="Segoe UI" w:cs="Segoe UI"/>
                <w:b/>
                <w:bCs/>
                <w:color w:val="FFFFFF"/>
                <w:sz w:val="18"/>
                <w:szCs w:val="18"/>
                <w:lang w:eastAsia="pt-BR"/>
              </w:rPr>
            </w:pPr>
            <w:r w:rsidRPr="006379AE">
              <w:rPr>
                <w:rFonts w:ascii="Segoe UI" w:eastAsia="Times New Roman" w:hAnsi="Segoe UI" w:cs="Segoe UI"/>
                <w:b/>
                <w:bCs/>
                <w:color w:val="FFFFFF"/>
                <w:sz w:val="18"/>
                <w:szCs w:val="18"/>
                <w:lang w:eastAsia="pt-BR"/>
              </w:rPr>
              <w:t>2024</w:t>
            </w:r>
          </w:p>
        </w:tc>
        <w:tc>
          <w:tcPr>
            <w:tcW w:w="513" w:type="pct"/>
            <w:tcBorders>
              <w:top w:val="nil"/>
              <w:left w:val="nil"/>
              <w:bottom w:val="nil"/>
              <w:right w:val="nil"/>
            </w:tcBorders>
            <w:shd w:val="clear" w:color="000000" w:fill="1B80C4"/>
            <w:noWrap/>
            <w:vAlign w:val="bottom"/>
            <w:hideMark/>
          </w:tcPr>
          <w:p w14:paraId="1A99A9B6" w14:textId="3DE22DFA" w:rsidR="006379AE" w:rsidRPr="006379AE" w:rsidRDefault="006379AE" w:rsidP="00C81535">
            <w:pPr>
              <w:spacing w:after="0" w:line="240" w:lineRule="auto"/>
              <w:rPr>
                <w:rFonts w:ascii="Segoe UI" w:eastAsia="Times New Roman" w:hAnsi="Segoe UI" w:cs="Segoe UI"/>
                <w:b/>
                <w:bCs/>
                <w:color w:val="FFFFFF"/>
                <w:sz w:val="18"/>
                <w:szCs w:val="18"/>
                <w:lang w:eastAsia="pt-BR"/>
              </w:rPr>
            </w:pPr>
            <w:r w:rsidRPr="006379AE">
              <w:rPr>
                <w:rFonts w:ascii="Segoe UI" w:eastAsia="Times New Roman" w:hAnsi="Segoe UI" w:cs="Segoe UI"/>
                <w:b/>
                <w:bCs/>
                <w:color w:val="FFFFFF"/>
                <w:sz w:val="18"/>
                <w:szCs w:val="18"/>
                <w:lang w:eastAsia="pt-BR"/>
              </w:rPr>
              <w:t>2025</w:t>
            </w:r>
          </w:p>
        </w:tc>
        <w:tc>
          <w:tcPr>
            <w:tcW w:w="513" w:type="pct"/>
            <w:tcBorders>
              <w:top w:val="nil"/>
              <w:left w:val="nil"/>
              <w:bottom w:val="nil"/>
              <w:right w:val="nil"/>
            </w:tcBorders>
            <w:shd w:val="clear" w:color="000000" w:fill="1B80C4"/>
            <w:noWrap/>
            <w:vAlign w:val="bottom"/>
            <w:hideMark/>
          </w:tcPr>
          <w:p w14:paraId="14107CF1" w14:textId="290A99B4" w:rsidR="006379AE" w:rsidRPr="006379AE" w:rsidRDefault="006379AE" w:rsidP="00C81535">
            <w:pPr>
              <w:spacing w:after="0" w:line="240" w:lineRule="auto"/>
              <w:rPr>
                <w:rFonts w:ascii="Segoe UI" w:eastAsia="Times New Roman" w:hAnsi="Segoe UI" w:cs="Segoe UI"/>
                <w:b/>
                <w:bCs/>
                <w:color w:val="FFFFFF"/>
                <w:sz w:val="18"/>
                <w:szCs w:val="18"/>
                <w:lang w:eastAsia="pt-BR"/>
              </w:rPr>
            </w:pPr>
            <w:r w:rsidRPr="006379AE">
              <w:rPr>
                <w:rFonts w:ascii="Segoe UI" w:eastAsia="Times New Roman" w:hAnsi="Segoe UI" w:cs="Segoe UI"/>
                <w:b/>
                <w:bCs/>
                <w:color w:val="FFFFFF"/>
                <w:sz w:val="18"/>
                <w:szCs w:val="18"/>
                <w:lang w:eastAsia="pt-BR"/>
              </w:rPr>
              <w:t>2026</w:t>
            </w:r>
          </w:p>
        </w:tc>
        <w:tc>
          <w:tcPr>
            <w:tcW w:w="513" w:type="pct"/>
            <w:tcBorders>
              <w:top w:val="nil"/>
              <w:left w:val="nil"/>
              <w:bottom w:val="nil"/>
              <w:right w:val="nil"/>
            </w:tcBorders>
            <w:shd w:val="clear" w:color="000000" w:fill="1B80C4"/>
            <w:noWrap/>
            <w:vAlign w:val="bottom"/>
            <w:hideMark/>
          </w:tcPr>
          <w:p w14:paraId="5795EA83" w14:textId="16B75C9E" w:rsidR="006379AE" w:rsidRPr="006379AE" w:rsidRDefault="006379AE" w:rsidP="00C81535">
            <w:pPr>
              <w:spacing w:after="0" w:line="240" w:lineRule="auto"/>
              <w:rPr>
                <w:rFonts w:ascii="Segoe UI" w:eastAsia="Times New Roman" w:hAnsi="Segoe UI" w:cs="Segoe UI"/>
                <w:b/>
                <w:bCs/>
                <w:color w:val="FFFFFF"/>
                <w:sz w:val="18"/>
                <w:szCs w:val="18"/>
                <w:lang w:eastAsia="pt-BR"/>
              </w:rPr>
            </w:pPr>
            <w:r w:rsidRPr="006379AE">
              <w:rPr>
                <w:rFonts w:ascii="Segoe UI" w:eastAsia="Times New Roman" w:hAnsi="Segoe UI" w:cs="Segoe UI"/>
                <w:b/>
                <w:bCs/>
                <w:color w:val="FFFFFF"/>
                <w:sz w:val="18"/>
                <w:szCs w:val="18"/>
                <w:lang w:eastAsia="pt-BR"/>
              </w:rPr>
              <w:t>2027</w:t>
            </w:r>
          </w:p>
        </w:tc>
        <w:tc>
          <w:tcPr>
            <w:tcW w:w="560" w:type="pct"/>
            <w:tcBorders>
              <w:top w:val="nil"/>
              <w:left w:val="nil"/>
              <w:bottom w:val="nil"/>
              <w:right w:val="nil"/>
            </w:tcBorders>
            <w:shd w:val="clear" w:color="000000" w:fill="1B80C4"/>
            <w:noWrap/>
            <w:vAlign w:val="bottom"/>
            <w:hideMark/>
          </w:tcPr>
          <w:p w14:paraId="2D528FF0" w14:textId="72FFA07F" w:rsidR="006379AE" w:rsidRPr="006379AE" w:rsidRDefault="006379AE" w:rsidP="00C81535">
            <w:pPr>
              <w:spacing w:after="0" w:line="240" w:lineRule="auto"/>
              <w:rPr>
                <w:rFonts w:ascii="Segoe UI" w:eastAsia="Times New Roman" w:hAnsi="Segoe UI" w:cs="Segoe UI"/>
                <w:b/>
                <w:bCs/>
                <w:color w:val="FFFFFF"/>
                <w:sz w:val="18"/>
                <w:szCs w:val="18"/>
                <w:lang w:eastAsia="pt-BR"/>
              </w:rPr>
            </w:pPr>
            <w:r w:rsidRPr="006379AE">
              <w:rPr>
                <w:rFonts w:ascii="Segoe UI" w:eastAsia="Times New Roman" w:hAnsi="Segoe UI" w:cs="Segoe UI"/>
                <w:b/>
                <w:bCs/>
                <w:color w:val="FFFFFF"/>
                <w:sz w:val="18"/>
                <w:szCs w:val="18"/>
                <w:lang w:eastAsia="pt-BR"/>
              </w:rPr>
              <w:t>Após2027</w:t>
            </w:r>
          </w:p>
        </w:tc>
        <w:tc>
          <w:tcPr>
            <w:tcW w:w="560" w:type="pct"/>
            <w:tcBorders>
              <w:top w:val="nil"/>
              <w:left w:val="nil"/>
              <w:bottom w:val="nil"/>
              <w:right w:val="nil"/>
            </w:tcBorders>
            <w:shd w:val="clear" w:color="000000" w:fill="1B80C4"/>
            <w:noWrap/>
            <w:vAlign w:val="bottom"/>
            <w:hideMark/>
          </w:tcPr>
          <w:p w14:paraId="5368B6B0" w14:textId="1A120B52" w:rsidR="006379AE" w:rsidRPr="006379AE" w:rsidRDefault="006379AE" w:rsidP="00C81535">
            <w:pPr>
              <w:spacing w:after="0" w:line="240" w:lineRule="auto"/>
              <w:rPr>
                <w:rFonts w:ascii="Segoe UI" w:eastAsia="Times New Roman" w:hAnsi="Segoe UI" w:cs="Segoe UI"/>
                <w:b/>
                <w:bCs/>
                <w:color w:val="FFFFFF"/>
                <w:sz w:val="18"/>
                <w:szCs w:val="18"/>
                <w:lang w:eastAsia="pt-BR"/>
              </w:rPr>
            </w:pPr>
            <w:r w:rsidRPr="006379AE">
              <w:rPr>
                <w:rFonts w:ascii="Segoe UI" w:eastAsia="Times New Roman" w:hAnsi="Segoe UI" w:cs="Segoe UI"/>
                <w:b/>
                <w:bCs/>
                <w:color w:val="FFFFFF"/>
                <w:sz w:val="18"/>
                <w:szCs w:val="18"/>
                <w:lang w:eastAsia="pt-BR"/>
              </w:rPr>
              <w:t>Total</w:t>
            </w:r>
          </w:p>
        </w:tc>
      </w:tr>
      <w:tr w:rsidR="006379AE" w:rsidRPr="006379AE" w14:paraId="0A9F7DB9" w14:textId="77777777" w:rsidTr="006379AE">
        <w:trPr>
          <w:trHeight w:val="300"/>
        </w:trPr>
        <w:tc>
          <w:tcPr>
            <w:tcW w:w="1317" w:type="pct"/>
            <w:tcBorders>
              <w:top w:val="nil"/>
              <w:left w:val="nil"/>
              <w:bottom w:val="nil"/>
              <w:right w:val="nil"/>
            </w:tcBorders>
            <w:shd w:val="clear" w:color="auto" w:fill="auto"/>
            <w:vAlign w:val="bottom"/>
            <w:hideMark/>
          </w:tcPr>
          <w:p w14:paraId="631300D4" w14:textId="77777777" w:rsidR="006379AE" w:rsidRPr="006379AE" w:rsidRDefault="006379AE" w:rsidP="006379AE">
            <w:pPr>
              <w:spacing w:after="0" w:line="240" w:lineRule="auto"/>
              <w:rPr>
                <w:rFonts w:ascii="Segoe UI" w:eastAsia="Times New Roman" w:hAnsi="Segoe UI" w:cs="Segoe UI"/>
                <w:color w:val="000000"/>
                <w:sz w:val="20"/>
                <w:szCs w:val="20"/>
                <w:lang w:eastAsia="pt-BR"/>
              </w:rPr>
            </w:pPr>
            <w:r w:rsidRPr="006379AE">
              <w:rPr>
                <w:rFonts w:ascii="Segoe UI" w:eastAsia="Times New Roman" w:hAnsi="Segoe UI" w:cs="Segoe UI"/>
                <w:color w:val="000000"/>
                <w:sz w:val="20"/>
                <w:szCs w:val="20"/>
                <w:lang w:eastAsia="pt-BR"/>
              </w:rPr>
              <w:t>Fornecedores</w:t>
            </w:r>
          </w:p>
        </w:tc>
        <w:tc>
          <w:tcPr>
            <w:tcW w:w="513" w:type="pct"/>
            <w:tcBorders>
              <w:top w:val="nil"/>
              <w:left w:val="nil"/>
              <w:bottom w:val="nil"/>
              <w:right w:val="nil"/>
            </w:tcBorders>
            <w:shd w:val="clear" w:color="auto" w:fill="auto"/>
            <w:noWrap/>
            <w:vAlign w:val="bottom"/>
            <w:hideMark/>
          </w:tcPr>
          <w:p w14:paraId="6B13C3B8" w14:textId="10206523" w:rsidR="006379AE" w:rsidRPr="006379AE" w:rsidRDefault="006379AE" w:rsidP="006379AE">
            <w:pPr>
              <w:spacing w:after="0" w:line="240" w:lineRule="auto"/>
              <w:jc w:val="right"/>
              <w:rPr>
                <w:rFonts w:ascii="Segoe UI" w:eastAsia="Times New Roman" w:hAnsi="Segoe UI" w:cs="Segoe UI"/>
                <w:sz w:val="20"/>
                <w:szCs w:val="20"/>
                <w:lang w:eastAsia="pt-BR"/>
              </w:rPr>
            </w:pPr>
            <w:r w:rsidRPr="006379AE">
              <w:rPr>
                <w:rFonts w:ascii="Segoe UI" w:eastAsia="Times New Roman" w:hAnsi="Segoe UI" w:cs="Segoe UI"/>
                <w:sz w:val="20"/>
                <w:szCs w:val="20"/>
                <w:lang w:eastAsia="pt-BR"/>
              </w:rPr>
              <w:t>337.899</w:t>
            </w:r>
          </w:p>
        </w:tc>
        <w:tc>
          <w:tcPr>
            <w:tcW w:w="513" w:type="pct"/>
            <w:tcBorders>
              <w:top w:val="nil"/>
              <w:left w:val="nil"/>
              <w:bottom w:val="nil"/>
              <w:right w:val="nil"/>
            </w:tcBorders>
            <w:shd w:val="clear" w:color="auto" w:fill="auto"/>
            <w:noWrap/>
            <w:vAlign w:val="bottom"/>
            <w:hideMark/>
          </w:tcPr>
          <w:p w14:paraId="70484999" w14:textId="3563BE96" w:rsidR="006379AE" w:rsidRPr="006379AE" w:rsidRDefault="006379AE" w:rsidP="006379AE">
            <w:pPr>
              <w:spacing w:after="0" w:line="240" w:lineRule="auto"/>
              <w:jc w:val="right"/>
              <w:rPr>
                <w:rFonts w:ascii="Segoe UI" w:eastAsia="Times New Roman" w:hAnsi="Segoe UI" w:cs="Segoe UI"/>
                <w:sz w:val="20"/>
                <w:szCs w:val="20"/>
                <w:lang w:eastAsia="pt-BR"/>
              </w:rPr>
            </w:pPr>
            <w:r w:rsidRPr="006379AE">
              <w:rPr>
                <w:rFonts w:ascii="Segoe UI" w:eastAsia="Times New Roman" w:hAnsi="Segoe UI" w:cs="Segoe UI"/>
                <w:sz w:val="20"/>
                <w:szCs w:val="20"/>
                <w:lang w:eastAsia="pt-BR"/>
              </w:rPr>
              <w:t>970.810</w:t>
            </w:r>
          </w:p>
        </w:tc>
        <w:tc>
          <w:tcPr>
            <w:tcW w:w="513" w:type="pct"/>
            <w:tcBorders>
              <w:top w:val="nil"/>
              <w:left w:val="nil"/>
              <w:bottom w:val="nil"/>
              <w:right w:val="nil"/>
            </w:tcBorders>
            <w:shd w:val="clear" w:color="auto" w:fill="auto"/>
            <w:noWrap/>
            <w:vAlign w:val="bottom"/>
            <w:hideMark/>
          </w:tcPr>
          <w:p w14:paraId="203C782E" w14:textId="43CEA025" w:rsidR="006379AE" w:rsidRPr="006379AE" w:rsidRDefault="006379AE" w:rsidP="006379AE">
            <w:pPr>
              <w:spacing w:after="0" w:line="240" w:lineRule="auto"/>
              <w:jc w:val="right"/>
              <w:rPr>
                <w:rFonts w:ascii="Segoe UI" w:eastAsia="Times New Roman" w:hAnsi="Segoe UI" w:cs="Segoe UI"/>
                <w:sz w:val="20"/>
                <w:szCs w:val="20"/>
                <w:lang w:eastAsia="pt-BR"/>
              </w:rPr>
            </w:pPr>
            <w:r w:rsidRPr="006379AE">
              <w:rPr>
                <w:rFonts w:ascii="Segoe UI" w:eastAsia="Times New Roman" w:hAnsi="Segoe UI" w:cs="Segoe UI"/>
                <w:sz w:val="20"/>
                <w:szCs w:val="20"/>
                <w:lang w:eastAsia="pt-BR"/>
              </w:rPr>
              <w:t>549.197</w:t>
            </w:r>
          </w:p>
        </w:tc>
        <w:tc>
          <w:tcPr>
            <w:tcW w:w="513" w:type="pct"/>
            <w:tcBorders>
              <w:top w:val="nil"/>
              <w:left w:val="nil"/>
              <w:bottom w:val="nil"/>
              <w:right w:val="nil"/>
            </w:tcBorders>
            <w:shd w:val="clear" w:color="auto" w:fill="auto"/>
            <w:noWrap/>
            <w:vAlign w:val="bottom"/>
            <w:hideMark/>
          </w:tcPr>
          <w:p w14:paraId="4ADB5174" w14:textId="56314BD1" w:rsidR="006379AE" w:rsidRPr="006379AE" w:rsidRDefault="006379AE" w:rsidP="006379AE">
            <w:pPr>
              <w:spacing w:after="0" w:line="240" w:lineRule="auto"/>
              <w:jc w:val="right"/>
              <w:rPr>
                <w:rFonts w:ascii="Segoe UI" w:eastAsia="Times New Roman" w:hAnsi="Segoe UI" w:cs="Segoe UI"/>
                <w:sz w:val="20"/>
                <w:szCs w:val="20"/>
                <w:lang w:eastAsia="pt-BR"/>
              </w:rPr>
            </w:pPr>
            <w:r w:rsidRPr="006379AE">
              <w:rPr>
                <w:rFonts w:ascii="Segoe UI" w:eastAsia="Times New Roman" w:hAnsi="Segoe UI" w:cs="Segoe UI"/>
                <w:sz w:val="20"/>
                <w:szCs w:val="20"/>
                <w:lang w:eastAsia="pt-BR"/>
              </w:rPr>
              <w:t>130.758</w:t>
            </w:r>
          </w:p>
        </w:tc>
        <w:tc>
          <w:tcPr>
            <w:tcW w:w="513" w:type="pct"/>
            <w:tcBorders>
              <w:top w:val="nil"/>
              <w:left w:val="nil"/>
              <w:bottom w:val="nil"/>
              <w:right w:val="nil"/>
            </w:tcBorders>
            <w:shd w:val="clear" w:color="auto" w:fill="auto"/>
            <w:noWrap/>
            <w:vAlign w:val="bottom"/>
            <w:hideMark/>
          </w:tcPr>
          <w:p w14:paraId="5AD0B9B0" w14:textId="0DC61F41" w:rsidR="006379AE" w:rsidRPr="006379AE" w:rsidRDefault="006379AE" w:rsidP="006379AE">
            <w:pPr>
              <w:spacing w:after="0" w:line="240" w:lineRule="auto"/>
              <w:jc w:val="right"/>
              <w:rPr>
                <w:rFonts w:ascii="Segoe UI" w:eastAsia="Times New Roman" w:hAnsi="Segoe UI" w:cs="Segoe UI"/>
                <w:sz w:val="20"/>
                <w:szCs w:val="20"/>
                <w:lang w:eastAsia="pt-BR"/>
              </w:rPr>
            </w:pPr>
            <w:r w:rsidRPr="006379AE">
              <w:rPr>
                <w:rFonts w:ascii="Segoe UI" w:eastAsia="Times New Roman" w:hAnsi="Segoe UI" w:cs="Segoe UI"/>
                <w:sz w:val="20"/>
                <w:szCs w:val="20"/>
                <w:lang w:eastAsia="pt-BR"/>
              </w:rPr>
              <w:t>14.648</w:t>
            </w:r>
          </w:p>
        </w:tc>
        <w:tc>
          <w:tcPr>
            <w:tcW w:w="560" w:type="pct"/>
            <w:tcBorders>
              <w:top w:val="nil"/>
              <w:left w:val="nil"/>
              <w:bottom w:val="nil"/>
              <w:right w:val="nil"/>
            </w:tcBorders>
            <w:shd w:val="clear" w:color="auto" w:fill="auto"/>
            <w:noWrap/>
            <w:vAlign w:val="bottom"/>
            <w:hideMark/>
          </w:tcPr>
          <w:p w14:paraId="14707A05" w14:textId="76016336" w:rsidR="006379AE" w:rsidRPr="006379AE" w:rsidRDefault="006379AE" w:rsidP="006379AE">
            <w:pPr>
              <w:spacing w:after="0" w:line="240" w:lineRule="auto"/>
              <w:jc w:val="right"/>
              <w:rPr>
                <w:rFonts w:ascii="Segoe UI" w:eastAsia="Times New Roman" w:hAnsi="Segoe UI" w:cs="Segoe UI"/>
                <w:color w:val="000000"/>
                <w:sz w:val="20"/>
                <w:szCs w:val="20"/>
                <w:lang w:eastAsia="pt-BR"/>
              </w:rPr>
            </w:pPr>
            <w:r w:rsidRPr="006379AE">
              <w:rPr>
                <w:rFonts w:ascii="Segoe UI" w:eastAsia="Times New Roman" w:hAnsi="Segoe UI" w:cs="Segoe UI"/>
                <w:color w:val="000000"/>
                <w:sz w:val="20"/>
                <w:szCs w:val="20"/>
                <w:lang w:eastAsia="pt-BR"/>
              </w:rPr>
              <w:t>1.748</w:t>
            </w:r>
          </w:p>
        </w:tc>
        <w:tc>
          <w:tcPr>
            <w:tcW w:w="560" w:type="pct"/>
            <w:tcBorders>
              <w:top w:val="nil"/>
              <w:left w:val="nil"/>
              <w:bottom w:val="nil"/>
              <w:right w:val="nil"/>
            </w:tcBorders>
            <w:shd w:val="clear" w:color="auto" w:fill="auto"/>
            <w:noWrap/>
            <w:vAlign w:val="bottom"/>
            <w:hideMark/>
          </w:tcPr>
          <w:p w14:paraId="3A05C691" w14:textId="644ED878" w:rsidR="006379AE" w:rsidRPr="006379AE" w:rsidRDefault="006379AE" w:rsidP="006379AE">
            <w:pPr>
              <w:spacing w:after="0" w:line="240" w:lineRule="auto"/>
              <w:jc w:val="right"/>
              <w:rPr>
                <w:rFonts w:ascii="Segoe UI" w:eastAsia="Times New Roman" w:hAnsi="Segoe UI" w:cs="Segoe UI"/>
                <w:sz w:val="20"/>
                <w:szCs w:val="20"/>
                <w:lang w:eastAsia="pt-BR"/>
              </w:rPr>
            </w:pPr>
            <w:r w:rsidRPr="006379AE">
              <w:rPr>
                <w:rFonts w:ascii="Segoe UI" w:eastAsia="Times New Roman" w:hAnsi="Segoe UI" w:cs="Segoe UI"/>
                <w:sz w:val="20"/>
                <w:szCs w:val="20"/>
                <w:lang w:eastAsia="pt-BR"/>
              </w:rPr>
              <w:t>2.005.060</w:t>
            </w:r>
          </w:p>
        </w:tc>
      </w:tr>
    </w:tbl>
    <w:p w14:paraId="4CD2D4E6" w14:textId="77777777" w:rsidR="007E0D8E" w:rsidRDefault="007E0D8E" w:rsidP="004A1E74">
      <w:pPr>
        <w:jc w:val="both"/>
        <w:rPr>
          <w:rFonts w:ascii="Segoe UI" w:hAnsi="Segoe UI" w:cs="Segoe UI"/>
          <w:noProof/>
          <w:lang w:eastAsia="pt-BR"/>
        </w:rPr>
      </w:pPr>
    </w:p>
    <w:p w14:paraId="1FF300E3" w14:textId="13DA8344" w:rsidR="00F54F83" w:rsidRPr="000757BC" w:rsidRDefault="00F54F83" w:rsidP="00482C5E">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5</w:t>
      </w:r>
      <w:r w:rsidR="00880463">
        <w:rPr>
          <w:rFonts w:ascii="Segoe UI" w:hAnsi="Segoe UI" w:cs="Segoe UI"/>
          <w:b/>
          <w:color w:val="0070C0"/>
        </w:rPr>
        <w:t xml:space="preserve"> </w:t>
      </w:r>
      <w:r w:rsidRPr="000757BC">
        <w:rPr>
          <w:rFonts w:ascii="Segoe UI" w:hAnsi="Segoe UI" w:cs="Segoe UI"/>
          <w:b/>
          <w:color w:val="0070C0"/>
        </w:rPr>
        <w:t>–</w:t>
      </w:r>
      <w:r w:rsidR="00880463">
        <w:rPr>
          <w:rFonts w:ascii="Segoe UI" w:hAnsi="Segoe UI" w:cs="Segoe UI"/>
          <w:b/>
          <w:color w:val="0070C0"/>
        </w:rPr>
        <w:t xml:space="preserve"> </w:t>
      </w:r>
      <w:r w:rsidRPr="000757BC">
        <w:rPr>
          <w:rFonts w:ascii="Segoe UI" w:hAnsi="Segoe UI" w:cs="Segoe UI"/>
          <w:b/>
          <w:color w:val="0070C0"/>
        </w:rPr>
        <w:t>EVENTOS</w:t>
      </w:r>
      <w:r w:rsidR="002C19C5">
        <w:rPr>
          <w:rFonts w:ascii="Segoe UI" w:hAnsi="Segoe UI" w:cs="Segoe UI"/>
          <w:b/>
          <w:color w:val="0070C0"/>
        </w:rPr>
        <w:t xml:space="preserve"> </w:t>
      </w:r>
      <w:r w:rsidR="002C19C5" w:rsidRPr="000757BC">
        <w:rPr>
          <w:rFonts w:ascii="Segoe UI" w:hAnsi="Segoe UI" w:cs="Segoe UI"/>
          <w:b/>
          <w:color w:val="0070C0"/>
        </w:rPr>
        <w:t>SUB</w:t>
      </w:r>
      <w:r w:rsidR="002C19C5">
        <w:rPr>
          <w:rFonts w:ascii="Segoe UI" w:hAnsi="Segoe UI" w:cs="Segoe UI"/>
          <w:b/>
          <w:color w:val="0070C0"/>
        </w:rPr>
        <w:t>SEQUENTES</w:t>
      </w:r>
    </w:p>
    <w:p w14:paraId="4831DC15" w14:textId="0D637B9F" w:rsidR="005B547E" w:rsidRPr="0009744B" w:rsidRDefault="005B547E" w:rsidP="005B547E">
      <w:pPr>
        <w:widowControl w:val="0"/>
        <w:autoSpaceDE w:val="0"/>
        <w:autoSpaceDN w:val="0"/>
        <w:spacing w:before="240" w:after="120"/>
        <w:jc w:val="both"/>
        <w:rPr>
          <w:rFonts w:ascii="Segoe UI" w:hAnsi="Segoe UI" w:cs="Segoe UI"/>
          <w:b/>
          <w:bCs/>
          <w:color w:val="0070C0"/>
        </w:rPr>
      </w:pPr>
      <w:bookmarkStart w:id="26" w:name="_Hlk125553016"/>
      <w:r w:rsidRPr="0009744B">
        <w:rPr>
          <w:rFonts w:ascii="Segoe UI" w:hAnsi="Segoe UI" w:cs="Segoe UI"/>
          <w:b/>
          <w:bCs/>
          <w:color w:val="0070C0"/>
        </w:rPr>
        <w:t>35.1 - Empréstimos e Financiamentos (Liberação de recursos)</w:t>
      </w:r>
    </w:p>
    <w:p w14:paraId="7F9876E8" w14:textId="70D9EB7E" w:rsidR="00456F7E" w:rsidRPr="0009744B" w:rsidRDefault="001E6036" w:rsidP="002E5292">
      <w:pPr>
        <w:jc w:val="both"/>
        <w:rPr>
          <w:rFonts w:ascii="Segoe UI" w:hAnsi="Segoe UI" w:cs="Segoe UI"/>
        </w:rPr>
      </w:pPr>
      <w:r w:rsidRPr="0009744B">
        <w:rPr>
          <w:rFonts w:ascii="Segoe UI" w:hAnsi="Segoe UI" w:cs="Segoe UI"/>
        </w:rPr>
        <w:t>Em 03 de fevereiro de 2023 ocorreu a terceira liberação de recursos do “</w:t>
      </w:r>
      <w:r w:rsidRPr="0009744B">
        <w:rPr>
          <w:rFonts w:ascii="Segoe UI" w:hAnsi="Segoe UI" w:cs="Segoe UI"/>
          <w:i/>
          <w:iCs/>
        </w:rPr>
        <w:t>Credit Agreement</w:t>
      </w:r>
      <w:r w:rsidRPr="0009744B">
        <w:rPr>
          <w:rFonts w:ascii="Segoe UI" w:hAnsi="Segoe UI" w:cs="Segoe UI"/>
        </w:rPr>
        <w:t>” (</w:t>
      </w:r>
      <w:r w:rsidR="00BF6EB6" w:rsidRPr="0009744B">
        <w:rPr>
          <w:rFonts w:ascii="Segoe UI" w:hAnsi="Segoe UI" w:cs="Segoe UI"/>
        </w:rPr>
        <w:t>N</w:t>
      </w:r>
      <w:r w:rsidRPr="0009744B">
        <w:rPr>
          <w:rFonts w:ascii="Segoe UI" w:hAnsi="Segoe UI" w:cs="Segoe UI"/>
        </w:rPr>
        <w:t xml:space="preserve">ota </w:t>
      </w:r>
      <w:r w:rsidR="00BF6EB6" w:rsidRPr="0009744B">
        <w:rPr>
          <w:rFonts w:ascii="Segoe UI" w:hAnsi="Segoe UI" w:cs="Segoe UI"/>
        </w:rPr>
        <w:t xml:space="preserve">Explicativa </w:t>
      </w:r>
      <w:r w:rsidRPr="0009744B">
        <w:rPr>
          <w:rFonts w:ascii="Segoe UI" w:hAnsi="Segoe UI" w:cs="Segoe UI"/>
        </w:rPr>
        <w:t xml:space="preserve">16) firmado com o Banco Santander, com garantia do </w:t>
      </w:r>
      <w:r w:rsidRPr="0009744B">
        <w:rPr>
          <w:rFonts w:ascii="Segoe UI" w:hAnsi="Segoe UI" w:cs="Segoe UI"/>
          <w:i/>
          <w:iCs/>
        </w:rPr>
        <w:t>US EximBank</w:t>
      </w:r>
      <w:r w:rsidRPr="0009744B">
        <w:rPr>
          <w:rFonts w:ascii="Segoe UI" w:hAnsi="Segoe UI" w:cs="Segoe UI"/>
        </w:rPr>
        <w:t>, no valor de R$ 1.763,6 mil (US$ 339, 4 mil), na Eletronuclear</w:t>
      </w:r>
    </w:p>
    <w:p w14:paraId="411BCB47" w14:textId="6CA4E7F4" w:rsidR="005B547E" w:rsidRPr="0009744B" w:rsidRDefault="005B547E" w:rsidP="005B547E">
      <w:pPr>
        <w:widowControl w:val="0"/>
        <w:autoSpaceDE w:val="0"/>
        <w:autoSpaceDN w:val="0"/>
        <w:spacing w:before="240" w:after="120"/>
        <w:jc w:val="both"/>
        <w:rPr>
          <w:rFonts w:ascii="Segoe UI" w:hAnsi="Segoe UI" w:cs="Segoe UI"/>
          <w:b/>
          <w:bCs/>
          <w:color w:val="0070C0"/>
        </w:rPr>
      </w:pPr>
      <w:r w:rsidRPr="0009744B">
        <w:rPr>
          <w:rFonts w:ascii="Segoe UI" w:hAnsi="Segoe UI" w:cs="Segoe UI"/>
          <w:b/>
          <w:bCs/>
          <w:color w:val="0070C0"/>
        </w:rPr>
        <w:t>35.2 - Liquidação antecipada do contrato de aquisição de Itaipu</w:t>
      </w:r>
    </w:p>
    <w:p w14:paraId="618730ED" w14:textId="7103FDC3" w:rsidR="006A3114" w:rsidRPr="0009744B" w:rsidRDefault="006A3114" w:rsidP="006A3114">
      <w:pPr>
        <w:jc w:val="both"/>
        <w:rPr>
          <w:rFonts w:ascii="Segoe UI" w:hAnsi="Segoe UI" w:cs="Segoe UI"/>
        </w:rPr>
      </w:pPr>
      <w:r w:rsidRPr="0009744B">
        <w:rPr>
          <w:rFonts w:ascii="Segoe UI" w:hAnsi="Segoe UI" w:cs="Segoe UI"/>
        </w:rPr>
        <w:t xml:space="preserve">Em 14 de </w:t>
      </w:r>
      <w:r w:rsidR="00BF6EB6" w:rsidRPr="0009744B">
        <w:rPr>
          <w:rFonts w:ascii="Segoe UI" w:hAnsi="Segoe UI" w:cs="Segoe UI"/>
        </w:rPr>
        <w:t>março</w:t>
      </w:r>
      <w:r w:rsidRPr="0009744B">
        <w:rPr>
          <w:rFonts w:ascii="Segoe UI" w:hAnsi="Segoe UI" w:cs="Segoe UI"/>
        </w:rPr>
        <w:t>, foi aprovado pelo Conselho de Administração da ENBPar a liquidação antecipada do Contrato Transferência Societária e Outras Avenças entre a ENBPar e a Eletrobras, que trata da aquisição de Itaipu.</w:t>
      </w:r>
    </w:p>
    <w:p w14:paraId="4F547079" w14:textId="48137B1A" w:rsidR="005D5AEF" w:rsidRPr="005B547E" w:rsidRDefault="005D5AEF" w:rsidP="005D5AEF">
      <w:pPr>
        <w:widowControl w:val="0"/>
        <w:autoSpaceDE w:val="0"/>
        <w:autoSpaceDN w:val="0"/>
        <w:spacing w:before="240" w:after="120"/>
        <w:jc w:val="both"/>
        <w:rPr>
          <w:rFonts w:ascii="Segoe UI" w:hAnsi="Segoe UI" w:cs="Segoe UI"/>
          <w:b/>
          <w:bCs/>
          <w:color w:val="0070C0"/>
        </w:rPr>
      </w:pPr>
      <w:r w:rsidRPr="0009744B">
        <w:rPr>
          <w:rFonts w:ascii="Segoe UI" w:hAnsi="Segoe UI" w:cs="Segoe UI"/>
          <w:b/>
          <w:bCs/>
          <w:color w:val="0070C0"/>
        </w:rPr>
        <w:lastRenderedPageBreak/>
        <w:t xml:space="preserve">35.3 - </w:t>
      </w:r>
      <w:r w:rsidR="000D63A0" w:rsidRPr="0009744B">
        <w:rPr>
          <w:rFonts w:ascii="Segoe UI" w:hAnsi="Segoe UI" w:cs="Segoe UI"/>
          <w:b/>
          <w:bCs/>
          <w:color w:val="0070C0"/>
        </w:rPr>
        <w:t xml:space="preserve">Assinatura do </w:t>
      </w:r>
      <w:r w:rsidR="00980231" w:rsidRPr="0009744B">
        <w:rPr>
          <w:rFonts w:ascii="Segoe UI" w:hAnsi="Segoe UI" w:cs="Segoe UI"/>
          <w:b/>
          <w:bCs/>
          <w:color w:val="0070C0"/>
        </w:rPr>
        <w:t xml:space="preserve">acordo de cooperação </w:t>
      </w:r>
      <w:r w:rsidR="00197752" w:rsidRPr="0009744B">
        <w:rPr>
          <w:rFonts w:ascii="Segoe UI" w:hAnsi="Segoe UI" w:cs="Segoe UI"/>
          <w:b/>
          <w:bCs/>
          <w:color w:val="0070C0"/>
        </w:rPr>
        <w:t>entre a ENBPar e Itaipu</w:t>
      </w:r>
    </w:p>
    <w:p w14:paraId="18A08449" w14:textId="296DC70F" w:rsidR="0031484B" w:rsidRPr="00EB16F2" w:rsidRDefault="0031484B" w:rsidP="0031484B">
      <w:pPr>
        <w:jc w:val="both"/>
        <w:rPr>
          <w:rFonts w:ascii="Segoe UI" w:hAnsi="Segoe UI" w:cs="Segoe UI"/>
        </w:rPr>
      </w:pPr>
      <w:r w:rsidRPr="00EB16F2">
        <w:rPr>
          <w:rFonts w:ascii="Segoe UI" w:hAnsi="Segoe UI" w:cs="Segoe UI"/>
        </w:rPr>
        <w:t>Em 21 de março</w:t>
      </w:r>
      <w:r w:rsidR="00EB16F2">
        <w:rPr>
          <w:rFonts w:ascii="Segoe UI" w:hAnsi="Segoe UI" w:cs="Segoe UI"/>
        </w:rPr>
        <w:t>,</w:t>
      </w:r>
      <w:r w:rsidRPr="00EB16F2">
        <w:rPr>
          <w:rFonts w:ascii="Segoe UI" w:hAnsi="Segoe UI" w:cs="Segoe UI"/>
        </w:rPr>
        <w:t xml:space="preserve"> foi assinado o Acordo de Cooperação</w:t>
      </w:r>
      <w:r w:rsidRPr="00EB16F2">
        <w:rPr>
          <w:rFonts w:ascii="Segoe UI" w:hAnsi="Segoe UI" w:cs="Segoe UI"/>
          <w:b/>
          <w:bCs/>
        </w:rPr>
        <w:t> </w:t>
      </w:r>
      <w:r w:rsidRPr="00EB16F2">
        <w:rPr>
          <w:rFonts w:ascii="Segoe UI" w:hAnsi="Segoe UI" w:cs="Segoe UI"/>
        </w:rPr>
        <w:t>entre a ENBPar e Itaipu, que tem por objeto a cessão não onerosa de espaço</w:t>
      </w:r>
      <w:r w:rsidR="00EB16F2">
        <w:rPr>
          <w:rFonts w:ascii="Segoe UI" w:hAnsi="Segoe UI" w:cs="Segoe UI"/>
        </w:rPr>
        <w:t xml:space="preserve"> físico</w:t>
      </w:r>
      <w:r w:rsidRPr="00EB16F2">
        <w:rPr>
          <w:rFonts w:ascii="Segoe UI" w:hAnsi="Segoe UI" w:cs="Segoe UI"/>
        </w:rPr>
        <w:t xml:space="preserve"> e mobiliário, para instalação da Sede do Escritório da Itaipu Binacional em Brasília - DF.  Esse Acordo foi elaborado através do cálculo de comutatividade entre os gastos de Itaipu em apoio à estruturação da ENBPar e, por outro lado, aqueles a serem custeados pela ENBPar na manutenção do espaço. Como resultado, definiu-se o prazo de vigência do referido Acordo em 29 meses para manter o equilíbrio econômico na transação entre as partes.</w:t>
      </w:r>
    </w:p>
    <w:p w14:paraId="5B0AF94B" w14:textId="2C5DC7DE" w:rsidR="00456F7E" w:rsidRDefault="00456F7E" w:rsidP="002E5292">
      <w:pPr>
        <w:jc w:val="both"/>
        <w:rPr>
          <w:rFonts w:ascii="Segoe UI" w:hAnsi="Segoe UI" w:cs="Segoe UI"/>
          <w:highlight w:val="cyan"/>
        </w:rPr>
      </w:pPr>
    </w:p>
    <w:p w14:paraId="5300B4AA" w14:textId="77777777" w:rsidR="00813009" w:rsidRDefault="00813009" w:rsidP="002E5292">
      <w:pPr>
        <w:jc w:val="both"/>
        <w:rPr>
          <w:rFonts w:ascii="Segoe UI" w:hAnsi="Segoe UI" w:cs="Segoe UI"/>
          <w:highlight w:val="cyan"/>
        </w:rPr>
      </w:pPr>
    </w:p>
    <w:p w14:paraId="23468C1A" w14:textId="77777777" w:rsidR="00813009" w:rsidRPr="00813009" w:rsidRDefault="00813009" w:rsidP="002E5292">
      <w:pPr>
        <w:jc w:val="both"/>
        <w:rPr>
          <w:rFonts w:ascii="Segoe UI" w:hAnsi="Segoe UI" w:cs="Segoe UI"/>
          <w:highlight w:val="cyan"/>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456F7E" w14:paraId="7FA63E61" w14:textId="77777777" w:rsidTr="00456F7E">
        <w:tc>
          <w:tcPr>
            <w:tcW w:w="5000" w:type="pct"/>
          </w:tcPr>
          <w:p w14:paraId="40ADE11C" w14:textId="48643BBB" w:rsidR="00456F7E" w:rsidRPr="00456F7E" w:rsidRDefault="00456F7E" w:rsidP="00456F7E">
            <w:pPr>
              <w:jc w:val="center"/>
              <w:rPr>
                <w:rFonts w:ascii="Segoe UI" w:hAnsi="Segoe UI" w:cs="Segoe UI"/>
              </w:rPr>
            </w:pPr>
            <w:r w:rsidRPr="00456F7E">
              <w:rPr>
                <w:rFonts w:ascii="Segoe UI" w:hAnsi="Segoe UI" w:cs="Segoe UI"/>
              </w:rPr>
              <w:t>_______________</w:t>
            </w:r>
            <w:r>
              <w:rPr>
                <w:rFonts w:ascii="Segoe UI" w:hAnsi="Segoe UI" w:cs="Segoe UI"/>
              </w:rPr>
              <w:t>_________</w:t>
            </w:r>
            <w:r w:rsidRPr="00456F7E">
              <w:rPr>
                <w:rFonts w:ascii="Segoe UI" w:hAnsi="Segoe UI" w:cs="Segoe UI"/>
              </w:rPr>
              <w:t>__</w:t>
            </w:r>
            <w:r>
              <w:rPr>
                <w:rFonts w:ascii="Segoe UI" w:hAnsi="Segoe UI" w:cs="Segoe UI"/>
              </w:rPr>
              <w:t>__</w:t>
            </w:r>
            <w:r w:rsidRPr="00456F7E">
              <w:rPr>
                <w:rFonts w:ascii="Segoe UI" w:hAnsi="Segoe UI" w:cs="Segoe UI"/>
              </w:rPr>
              <w:t>_________________</w:t>
            </w:r>
          </w:p>
        </w:tc>
      </w:tr>
      <w:tr w:rsidR="00456F7E" w14:paraId="2676877E" w14:textId="77777777" w:rsidTr="00456F7E">
        <w:tc>
          <w:tcPr>
            <w:tcW w:w="5000" w:type="pct"/>
          </w:tcPr>
          <w:p w14:paraId="27B3FD9C" w14:textId="45D13A52" w:rsidR="00456F7E" w:rsidRPr="00456F7E" w:rsidRDefault="00456F7E" w:rsidP="00456F7E">
            <w:pPr>
              <w:jc w:val="center"/>
              <w:rPr>
                <w:rFonts w:ascii="Segoe UI" w:hAnsi="Segoe UI" w:cs="Segoe UI"/>
              </w:rPr>
            </w:pPr>
            <w:r w:rsidRPr="00456F7E">
              <w:rPr>
                <w:rFonts w:ascii="Segoe UI" w:hAnsi="Segoe UI" w:cs="Segoe UI"/>
                <w:b/>
                <w:bCs/>
              </w:rPr>
              <w:t>Ney Zanella dos Santos</w:t>
            </w:r>
          </w:p>
        </w:tc>
      </w:tr>
      <w:tr w:rsidR="00456F7E" w14:paraId="48E2E6DF" w14:textId="77777777" w:rsidTr="00456F7E">
        <w:tc>
          <w:tcPr>
            <w:tcW w:w="5000" w:type="pct"/>
          </w:tcPr>
          <w:p w14:paraId="6B737F2E" w14:textId="4B12DB60" w:rsidR="00456F7E" w:rsidRPr="00456F7E" w:rsidRDefault="00456F7E" w:rsidP="00456F7E">
            <w:pPr>
              <w:jc w:val="center"/>
              <w:rPr>
                <w:rFonts w:ascii="Segoe UI" w:hAnsi="Segoe UI" w:cs="Segoe UI"/>
              </w:rPr>
            </w:pPr>
            <w:r w:rsidRPr="00456F7E">
              <w:rPr>
                <w:rFonts w:ascii="Segoe UI" w:hAnsi="Segoe UI" w:cs="Segoe UI"/>
              </w:rPr>
              <w:t>Diretor Presidente</w:t>
            </w:r>
          </w:p>
        </w:tc>
      </w:tr>
    </w:tbl>
    <w:p w14:paraId="27E7834B" w14:textId="02452809" w:rsidR="0099521D" w:rsidRPr="000757BC" w:rsidRDefault="0099521D" w:rsidP="002E5292">
      <w:pPr>
        <w:jc w:val="both"/>
        <w:rPr>
          <w:rFonts w:ascii="Segoe UI" w:hAnsi="Segoe UI" w:cs="Segoe UI"/>
        </w:rPr>
      </w:pPr>
    </w:p>
    <w:p w14:paraId="321D86A9" w14:textId="11CAED83" w:rsidR="00456F7E" w:rsidRDefault="00456F7E" w:rsidP="002E5292">
      <w:pPr>
        <w:jc w:val="both"/>
        <w:rPr>
          <w:rFonts w:ascii="Segoe UI" w:hAnsi="Segoe UI" w:cs="Segoe UI"/>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456F7E" w14:paraId="1F7C0804" w14:textId="77777777" w:rsidTr="00456F7E">
        <w:tc>
          <w:tcPr>
            <w:tcW w:w="5000" w:type="pct"/>
          </w:tcPr>
          <w:p w14:paraId="6A6E2B32" w14:textId="62EB1C14" w:rsidR="00456F7E" w:rsidRPr="000757BC" w:rsidRDefault="00456F7E" w:rsidP="006D287D">
            <w:pPr>
              <w:jc w:val="center"/>
              <w:rPr>
                <w:rFonts w:ascii="Segoe UI" w:hAnsi="Segoe UI" w:cs="Segoe UI"/>
                <w:b/>
                <w:bCs/>
              </w:rPr>
            </w:pPr>
            <w:r>
              <w:rPr>
                <w:rFonts w:ascii="Segoe UI" w:hAnsi="Segoe UI" w:cs="Segoe UI"/>
                <w:b/>
                <w:bCs/>
              </w:rPr>
              <w:t>___________________________________________</w:t>
            </w:r>
          </w:p>
        </w:tc>
      </w:tr>
      <w:tr w:rsidR="00456F7E" w14:paraId="208B646F" w14:textId="77777777" w:rsidTr="00456F7E">
        <w:tc>
          <w:tcPr>
            <w:tcW w:w="5000" w:type="pct"/>
          </w:tcPr>
          <w:p w14:paraId="2C67AE03" w14:textId="77777777" w:rsidR="00456F7E" w:rsidRDefault="00456F7E" w:rsidP="006D287D">
            <w:pPr>
              <w:jc w:val="center"/>
              <w:rPr>
                <w:rFonts w:ascii="Segoe UI" w:hAnsi="Segoe UI" w:cs="Segoe UI"/>
              </w:rPr>
            </w:pPr>
            <w:r w:rsidRPr="000757BC">
              <w:rPr>
                <w:rFonts w:ascii="Segoe UI" w:hAnsi="Segoe UI" w:cs="Segoe UI"/>
                <w:b/>
                <w:bCs/>
              </w:rPr>
              <w:t>Armando</w:t>
            </w:r>
            <w:r>
              <w:rPr>
                <w:rFonts w:ascii="Segoe UI" w:hAnsi="Segoe UI" w:cs="Segoe UI"/>
                <w:b/>
                <w:bCs/>
              </w:rPr>
              <w:t xml:space="preserve"> </w:t>
            </w:r>
            <w:r w:rsidRPr="000757BC">
              <w:rPr>
                <w:rFonts w:ascii="Segoe UI" w:hAnsi="Segoe UI" w:cs="Segoe UI"/>
                <w:b/>
                <w:bCs/>
              </w:rPr>
              <w:t>Casado</w:t>
            </w:r>
            <w:r>
              <w:rPr>
                <w:rFonts w:ascii="Segoe UI" w:hAnsi="Segoe UI" w:cs="Segoe UI"/>
                <w:b/>
                <w:bCs/>
              </w:rPr>
              <w:t xml:space="preserve"> </w:t>
            </w:r>
            <w:r w:rsidRPr="000757BC">
              <w:rPr>
                <w:rFonts w:ascii="Segoe UI" w:hAnsi="Segoe UI" w:cs="Segoe UI"/>
                <w:b/>
                <w:bCs/>
              </w:rPr>
              <w:t>de</w:t>
            </w:r>
            <w:r>
              <w:rPr>
                <w:rFonts w:ascii="Segoe UI" w:hAnsi="Segoe UI" w:cs="Segoe UI"/>
                <w:b/>
                <w:bCs/>
              </w:rPr>
              <w:t xml:space="preserve"> </w:t>
            </w:r>
            <w:r w:rsidRPr="000757BC">
              <w:rPr>
                <w:rFonts w:ascii="Segoe UI" w:hAnsi="Segoe UI" w:cs="Segoe UI"/>
                <w:b/>
                <w:bCs/>
              </w:rPr>
              <w:t>Araújo</w:t>
            </w:r>
          </w:p>
        </w:tc>
      </w:tr>
      <w:tr w:rsidR="00456F7E" w14:paraId="4B0737B9" w14:textId="77777777" w:rsidTr="00456F7E">
        <w:tc>
          <w:tcPr>
            <w:tcW w:w="5000" w:type="pct"/>
          </w:tcPr>
          <w:p w14:paraId="66A7B63D" w14:textId="77777777" w:rsidR="00456F7E" w:rsidRDefault="00456F7E" w:rsidP="006D287D">
            <w:pPr>
              <w:jc w:val="center"/>
              <w:rPr>
                <w:rFonts w:ascii="Segoe UI" w:hAnsi="Segoe UI" w:cs="Segoe UI"/>
              </w:rPr>
            </w:pPr>
            <w:r w:rsidRPr="000757BC">
              <w:rPr>
                <w:rFonts w:ascii="Segoe UI" w:hAnsi="Segoe UI" w:cs="Segoe UI"/>
              </w:rPr>
              <w:t>Diretor</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Finanças</w:t>
            </w:r>
          </w:p>
        </w:tc>
      </w:tr>
    </w:tbl>
    <w:p w14:paraId="31066AB2" w14:textId="5E37F9AA" w:rsidR="00456F7E" w:rsidRDefault="00456F7E" w:rsidP="002E5292">
      <w:pPr>
        <w:jc w:val="both"/>
        <w:rPr>
          <w:rFonts w:ascii="Segoe UI" w:hAnsi="Segoe UI" w:cs="Segoe UI"/>
        </w:rPr>
      </w:pPr>
    </w:p>
    <w:p w14:paraId="2471E825" w14:textId="40E390CF" w:rsidR="00456F7E" w:rsidRDefault="00456F7E" w:rsidP="002E5292">
      <w:pPr>
        <w:jc w:val="both"/>
        <w:rPr>
          <w:rFonts w:ascii="Segoe UI" w:hAnsi="Segoe UI" w:cs="Segoe UI"/>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456F7E" w14:paraId="3D6A2707" w14:textId="77777777" w:rsidTr="00456F7E">
        <w:tc>
          <w:tcPr>
            <w:tcW w:w="5000" w:type="pct"/>
          </w:tcPr>
          <w:p w14:paraId="2EE25F2E" w14:textId="5C59E458" w:rsidR="00456F7E" w:rsidRPr="000757BC" w:rsidRDefault="00456F7E" w:rsidP="006D287D">
            <w:pPr>
              <w:jc w:val="center"/>
              <w:rPr>
                <w:rFonts w:ascii="Segoe UI" w:hAnsi="Segoe UI" w:cs="Segoe UI"/>
                <w:b/>
                <w:bCs/>
              </w:rPr>
            </w:pPr>
            <w:r>
              <w:rPr>
                <w:rFonts w:ascii="Segoe UI" w:hAnsi="Segoe UI" w:cs="Segoe UI"/>
                <w:b/>
                <w:bCs/>
              </w:rPr>
              <w:t>__________________________________________</w:t>
            </w:r>
          </w:p>
        </w:tc>
      </w:tr>
      <w:tr w:rsidR="00456F7E" w14:paraId="67A480D1" w14:textId="77777777" w:rsidTr="00456F7E">
        <w:tc>
          <w:tcPr>
            <w:tcW w:w="5000" w:type="pct"/>
          </w:tcPr>
          <w:p w14:paraId="34B37AD0" w14:textId="73109F5F" w:rsidR="00456F7E" w:rsidRDefault="00456F7E" w:rsidP="006D287D">
            <w:pPr>
              <w:jc w:val="center"/>
              <w:rPr>
                <w:rFonts w:ascii="Segoe UI" w:hAnsi="Segoe UI" w:cs="Segoe UI"/>
              </w:rPr>
            </w:pPr>
            <w:r w:rsidRPr="000757BC">
              <w:rPr>
                <w:rFonts w:ascii="Segoe UI" w:hAnsi="Segoe UI" w:cs="Segoe UI"/>
                <w:b/>
                <w:bCs/>
              </w:rPr>
              <w:t>Stênio</w:t>
            </w:r>
            <w:r>
              <w:rPr>
                <w:rFonts w:ascii="Segoe UI" w:hAnsi="Segoe UI" w:cs="Segoe UI"/>
                <w:b/>
                <w:bCs/>
              </w:rPr>
              <w:t xml:space="preserve"> </w:t>
            </w:r>
            <w:r w:rsidRPr="000757BC">
              <w:rPr>
                <w:rFonts w:ascii="Segoe UI" w:hAnsi="Segoe UI" w:cs="Segoe UI"/>
                <w:b/>
                <w:bCs/>
              </w:rPr>
              <w:t>Schneider</w:t>
            </w:r>
            <w:r>
              <w:rPr>
                <w:rFonts w:ascii="Segoe UI" w:hAnsi="Segoe UI" w:cs="Segoe UI"/>
                <w:b/>
                <w:bCs/>
              </w:rPr>
              <w:t xml:space="preserve"> </w:t>
            </w:r>
            <w:r w:rsidRPr="000757BC">
              <w:rPr>
                <w:rFonts w:ascii="Segoe UI" w:hAnsi="Segoe UI" w:cs="Segoe UI"/>
                <w:b/>
                <w:bCs/>
              </w:rPr>
              <w:t>Cardona</w:t>
            </w:r>
            <w:r>
              <w:rPr>
                <w:rFonts w:ascii="Segoe UI" w:hAnsi="Segoe UI" w:cs="Segoe UI"/>
                <w:b/>
                <w:bCs/>
              </w:rPr>
              <w:t xml:space="preserve"> </w:t>
            </w:r>
            <w:r w:rsidRPr="000757BC">
              <w:rPr>
                <w:rFonts w:ascii="Segoe UI" w:hAnsi="Segoe UI" w:cs="Segoe UI"/>
                <w:b/>
                <w:bCs/>
              </w:rPr>
              <w:t>Rocha</w:t>
            </w:r>
          </w:p>
        </w:tc>
      </w:tr>
      <w:tr w:rsidR="00456F7E" w14:paraId="37222DFE" w14:textId="77777777" w:rsidTr="00456F7E">
        <w:tc>
          <w:tcPr>
            <w:tcW w:w="5000" w:type="pct"/>
          </w:tcPr>
          <w:p w14:paraId="2CEEBECC" w14:textId="1CB79C63" w:rsidR="00456F7E" w:rsidRDefault="00456F7E" w:rsidP="00456F7E">
            <w:pPr>
              <w:jc w:val="center"/>
              <w:rPr>
                <w:rFonts w:ascii="Segoe UI" w:hAnsi="Segoe UI" w:cs="Segoe UI"/>
              </w:rPr>
            </w:pPr>
            <w:r w:rsidRPr="000757BC">
              <w:rPr>
                <w:rFonts w:ascii="Segoe UI" w:hAnsi="Segoe UI" w:cs="Segoe UI"/>
              </w:rPr>
              <w:t>Superintendente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Contabilidade</w:t>
            </w:r>
          </w:p>
        </w:tc>
      </w:tr>
      <w:tr w:rsidR="00456F7E" w14:paraId="5648C566" w14:textId="77777777" w:rsidTr="00456F7E">
        <w:tc>
          <w:tcPr>
            <w:tcW w:w="5000" w:type="pct"/>
          </w:tcPr>
          <w:p w14:paraId="1BF30D0F" w14:textId="6082A311" w:rsidR="00456F7E" w:rsidRPr="000757BC" w:rsidRDefault="00501754" w:rsidP="00456F7E">
            <w:pPr>
              <w:jc w:val="center"/>
              <w:rPr>
                <w:rFonts w:ascii="Segoe UI" w:hAnsi="Segoe UI" w:cs="Segoe UI"/>
              </w:rPr>
            </w:pPr>
            <w:r>
              <w:rPr>
                <w:rFonts w:ascii="Segoe UI" w:hAnsi="Segoe UI" w:cs="Segoe UI"/>
              </w:rPr>
              <w:t xml:space="preserve">CRC – </w:t>
            </w:r>
            <w:r w:rsidR="00456F7E" w:rsidRPr="000757BC">
              <w:rPr>
                <w:rFonts w:ascii="Segoe UI" w:hAnsi="Segoe UI" w:cs="Segoe UI"/>
              </w:rPr>
              <w:t>DF</w:t>
            </w:r>
            <w:r>
              <w:rPr>
                <w:rFonts w:ascii="Segoe UI" w:hAnsi="Segoe UI" w:cs="Segoe UI"/>
              </w:rPr>
              <w:t xml:space="preserve"> </w:t>
            </w:r>
            <w:r w:rsidR="00456F7E" w:rsidRPr="000757BC">
              <w:rPr>
                <w:rFonts w:ascii="Segoe UI" w:hAnsi="Segoe UI" w:cs="Segoe UI"/>
              </w:rPr>
              <w:t>019.744/O</w:t>
            </w:r>
          </w:p>
        </w:tc>
      </w:tr>
    </w:tbl>
    <w:p w14:paraId="6CFF617F" w14:textId="48930FA5" w:rsidR="00CE6C5E" w:rsidRPr="000757BC" w:rsidRDefault="00CE6C5E" w:rsidP="002E5292">
      <w:pPr>
        <w:jc w:val="both"/>
        <w:rPr>
          <w:rFonts w:ascii="Segoe UI" w:hAnsi="Segoe UI" w:cs="Segoe UI"/>
        </w:rPr>
      </w:pPr>
    </w:p>
    <w:p w14:paraId="4CCC07AE" w14:textId="6B2FEE21" w:rsidR="002E5292" w:rsidRPr="000757BC" w:rsidRDefault="002E5292" w:rsidP="002E5292">
      <w:pPr>
        <w:jc w:val="both"/>
        <w:rPr>
          <w:rFonts w:ascii="Segoe UI" w:hAnsi="Segoe UI" w:cs="Segoe U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456F7E" w14:paraId="1F489278" w14:textId="77777777" w:rsidTr="00456F7E">
        <w:tc>
          <w:tcPr>
            <w:tcW w:w="4743" w:type="dxa"/>
          </w:tcPr>
          <w:bookmarkEnd w:id="26"/>
          <w:p w14:paraId="69538640" w14:textId="61EE9142" w:rsidR="00456F7E" w:rsidRPr="000757BC" w:rsidRDefault="00456F7E" w:rsidP="006D287D">
            <w:pPr>
              <w:jc w:val="center"/>
              <w:rPr>
                <w:rFonts w:ascii="Segoe UI" w:hAnsi="Segoe UI" w:cs="Segoe UI"/>
                <w:b/>
                <w:bCs/>
              </w:rPr>
            </w:pPr>
            <w:r>
              <w:rPr>
                <w:rFonts w:ascii="Segoe UI" w:hAnsi="Segoe UI" w:cs="Segoe UI"/>
                <w:b/>
                <w:bCs/>
              </w:rPr>
              <w:t>____________________________________</w:t>
            </w:r>
          </w:p>
        </w:tc>
        <w:tc>
          <w:tcPr>
            <w:tcW w:w="4744" w:type="dxa"/>
          </w:tcPr>
          <w:p w14:paraId="44522B01" w14:textId="63C91715" w:rsidR="00456F7E" w:rsidRPr="000757BC" w:rsidRDefault="00456F7E" w:rsidP="006D287D">
            <w:pPr>
              <w:jc w:val="center"/>
              <w:rPr>
                <w:rFonts w:ascii="Segoe UI" w:hAnsi="Segoe UI" w:cs="Segoe UI"/>
                <w:b/>
                <w:bCs/>
              </w:rPr>
            </w:pPr>
            <w:r>
              <w:rPr>
                <w:rFonts w:ascii="Segoe UI" w:hAnsi="Segoe UI" w:cs="Segoe UI"/>
                <w:b/>
                <w:bCs/>
              </w:rPr>
              <w:t>_______________________________________</w:t>
            </w:r>
          </w:p>
        </w:tc>
      </w:tr>
      <w:tr w:rsidR="00456F7E" w14:paraId="5BEA16F1" w14:textId="77777777" w:rsidTr="00456F7E">
        <w:tc>
          <w:tcPr>
            <w:tcW w:w="4743" w:type="dxa"/>
          </w:tcPr>
          <w:p w14:paraId="17F68DC8" w14:textId="21F78C93" w:rsidR="00456F7E" w:rsidRDefault="00456F7E" w:rsidP="006D287D">
            <w:pPr>
              <w:jc w:val="center"/>
              <w:rPr>
                <w:rFonts w:ascii="Segoe UI" w:hAnsi="Segoe UI" w:cs="Segoe UI"/>
              </w:rPr>
            </w:pPr>
            <w:r w:rsidRPr="000757BC">
              <w:rPr>
                <w:rFonts w:ascii="Segoe UI" w:hAnsi="Segoe UI" w:cs="Segoe UI"/>
                <w:b/>
                <w:bCs/>
              </w:rPr>
              <w:t>Erica</w:t>
            </w:r>
            <w:r>
              <w:rPr>
                <w:rFonts w:ascii="Segoe UI" w:hAnsi="Segoe UI" w:cs="Segoe UI"/>
                <w:b/>
                <w:bCs/>
              </w:rPr>
              <w:t xml:space="preserve"> </w:t>
            </w:r>
            <w:r w:rsidRPr="000757BC">
              <w:rPr>
                <w:rFonts w:ascii="Segoe UI" w:hAnsi="Segoe UI" w:cs="Segoe UI"/>
                <w:b/>
                <w:bCs/>
              </w:rPr>
              <w:t>Rocha</w:t>
            </w:r>
            <w:r>
              <w:rPr>
                <w:rFonts w:ascii="Segoe UI" w:hAnsi="Segoe UI" w:cs="Segoe UI"/>
                <w:b/>
                <w:bCs/>
              </w:rPr>
              <w:t xml:space="preserve"> </w:t>
            </w:r>
            <w:r w:rsidRPr="000757BC">
              <w:rPr>
                <w:rFonts w:ascii="Segoe UI" w:hAnsi="Segoe UI" w:cs="Segoe UI"/>
                <w:b/>
                <w:bCs/>
              </w:rPr>
              <w:t>Vinhal</w:t>
            </w:r>
          </w:p>
        </w:tc>
        <w:tc>
          <w:tcPr>
            <w:tcW w:w="4744" w:type="dxa"/>
          </w:tcPr>
          <w:p w14:paraId="68A9FA09" w14:textId="52CB27FF" w:rsidR="00456F7E" w:rsidRDefault="00456F7E" w:rsidP="006D287D">
            <w:pPr>
              <w:jc w:val="center"/>
              <w:rPr>
                <w:rFonts w:ascii="Segoe UI" w:hAnsi="Segoe UI" w:cs="Segoe UI"/>
              </w:rPr>
            </w:pPr>
            <w:r w:rsidRPr="000757BC">
              <w:rPr>
                <w:rFonts w:ascii="Segoe UI" w:hAnsi="Segoe UI" w:cs="Segoe UI"/>
                <w:b/>
                <w:bCs/>
              </w:rPr>
              <w:t>Gustavo</w:t>
            </w:r>
            <w:r>
              <w:rPr>
                <w:rFonts w:ascii="Segoe UI" w:hAnsi="Segoe UI" w:cs="Segoe UI"/>
                <w:b/>
                <w:bCs/>
              </w:rPr>
              <w:t xml:space="preserve"> </w:t>
            </w:r>
            <w:r w:rsidRPr="000757BC">
              <w:rPr>
                <w:rFonts w:ascii="Segoe UI" w:hAnsi="Segoe UI" w:cs="Segoe UI"/>
                <w:b/>
                <w:bCs/>
              </w:rPr>
              <w:t>de</w:t>
            </w:r>
            <w:r>
              <w:rPr>
                <w:rFonts w:ascii="Segoe UI" w:hAnsi="Segoe UI" w:cs="Segoe UI"/>
                <w:b/>
                <w:bCs/>
              </w:rPr>
              <w:t xml:space="preserve"> </w:t>
            </w:r>
            <w:r w:rsidRPr="000757BC">
              <w:rPr>
                <w:rFonts w:ascii="Segoe UI" w:hAnsi="Segoe UI" w:cs="Segoe UI"/>
                <w:b/>
                <w:bCs/>
              </w:rPr>
              <w:t>Sousa</w:t>
            </w:r>
            <w:r>
              <w:rPr>
                <w:rFonts w:ascii="Segoe UI" w:hAnsi="Segoe UI" w:cs="Segoe UI"/>
                <w:b/>
                <w:bCs/>
              </w:rPr>
              <w:t xml:space="preserve"> </w:t>
            </w:r>
            <w:r w:rsidRPr="000757BC">
              <w:rPr>
                <w:rFonts w:ascii="Segoe UI" w:hAnsi="Segoe UI" w:cs="Segoe UI"/>
                <w:b/>
                <w:bCs/>
              </w:rPr>
              <w:t>Avelino</w:t>
            </w:r>
          </w:p>
        </w:tc>
      </w:tr>
      <w:tr w:rsidR="00456F7E" w14:paraId="0CC3C569" w14:textId="77777777" w:rsidTr="00456F7E">
        <w:tc>
          <w:tcPr>
            <w:tcW w:w="4743" w:type="dxa"/>
          </w:tcPr>
          <w:p w14:paraId="51DFE738" w14:textId="0953707B" w:rsidR="00456F7E" w:rsidRPr="000757BC" w:rsidRDefault="00456F7E" w:rsidP="00456F7E">
            <w:pPr>
              <w:tabs>
                <w:tab w:val="left" w:pos="567"/>
                <w:tab w:val="left" w:pos="1134"/>
                <w:tab w:val="left" w:pos="1701"/>
                <w:tab w:val="left" w:pos="2268"/>
                <w:tab w:val="left" w:pos="2835"/>
              </w:tabs>
              <w:jc w:val="center"/>
              <w:outlineLvl w:val="0"/>
              <w:rPr>
                <w:rFonts w:ascii="Segoe UI" w:hAnsi="Segoe UI" w:cs="Segoe UI"/>
              </w:rPr>
            </w:pPr>
            <w:r w:rsidRPr="000757BC">
              <w:rPr>
                <w:rFonts w:ascii="Segoe UI" w:hAnsi="Segoe UI" w:cs="Segoe UI"/>
              </w:rPr>
              <w:t>Gerente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Gestão</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Ativos</w:t>
            </w:r>
            <w:r>
              <w:rPr>
                <w:rFonts w:ascii="Segoe UI" w:hAnsi="Segoe UI" w:cs="Segoe UI"/>
              </w:rPr>
              <w:t xml:space="preserve"> </w:t>
            </w:r>
            <w:r w:rsidRPr="000757BC">
              <w:rPr>
                <w:rFonts w:ascii="Segoe UI" w:hAnsi="Segoe UI" w:cs="Segoe UI"/>
              </w:rPr>
              <w:t>e</w:t>
            </w:r>
          </w:p>
          <w:p w14:paraId="3E7EF611" w14:textId="2627B526" w:rsidR="00456F7E" w:rsidRDefault="00456F7E" w:rsidP="00456F7E">
            <w:pPr>
              <w:tabs>
                <w:tab w:val="left" w:pos="567"/>
                <w:tab w:val="left" w:pos="1134"/>
                <w:tab w:val="left" w:pos="1701"/>
                <w:tab w:val="left" w:pos="2268"/>
                <w:tab w:val="left" w:pos="2835"/>
              </w:tabs>
              <w:jc w:val="center"/>
              <w:outlineLvl w:val="0"/>
              <w:rPr>
                <w:rFonts w:ascii="Segoe UI" w:hAnsi="Segoe UI" w:cs="Segoe UI"/>
              </w:rPr>
            </w:pPr>
            <w:r w:rsidRPr="000757BC">
              <w:rPr>
                <w:rFonts w:ascii="Segoe UI" w:hAnsi="Segoe UI" w:cs="Segoe UI"/>
              </w:rPr>
              <w:t>Demonstrações</w:t>
            </w:r>
            <w:r>
              <w:rPr>
                <w:rFonts w:ascii="Segoe UI" w:hAnsi="Segoe UI" w:cs="Segoe UI"/>
              </w:rPr>
              <w:t xml:space="preserve"> </w:t>
            </w:r>
            <w:r w:rsidRPr="000757BC">
              <w:rPr>
                <w:rFonts w:ascii="Segoe UI" w:hAnsi="Segoe UI" w:cs="Segoe UI"/>
              </w:rPr>
              <w:t>Financeiras</w:t>
            </w:r>
          </w:p>
        </w:tc>
        <w:tc>
          <w:tcPr>
            <w:tcW w:w="4744" w:type="dxa"/>
          </w:tcPr>
          <w:p w14:paraId="27B2ADD6" w14:textId="6E43B844" w:rsidR="00456F7E" w:rsidRDefault="00456F7E" w:rsidP="006D287D">
            <w:pPr>
              <w:jc w:val="center"/>
              <w:rPr>
                <w:rFonts w:ascii="Segoe UI" w:hAnsi="Segoe UI" w:cs="Segoe UI"/>
              </w:rPr>
            </w:pPr>
            <w:r w:rsidRPr="000757BC">
              <w:rPr>
                <w:rFonts w:ascii="Segoe UI" w:hAnsi="Segoe UI" w:cs="Segoe UI"/>
              </w:rPr>
              <w:t>Gerente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Contabilidade</w:t>
            </w:r>
            <w:r>
              <w:rPr>
                <w:rFonts w:ascii="Segoe UI" w:hAnsi="Segoe UI" w:cs="Segoe UI"/>
              </w:rPr>
              <w:t xml:space="preserve"> </w:t>
            </w:r>
            <w:r w:rsidRPr="000757BC">
              <w:rPr>
                <w:rFonts w:ascii="Segoe UI" w:hAnsi="Segoe UI" w:cs="Segoe UI"/>
              </w:rPr>
              <w:t>Geral</w:t>
            </w:r>
            <w:r>
              <w:rPr>
                <w:rFonts w:ascii="Segoe UI" w:hAnsi="Segoe UI" w:cs="Segoe UI"/>
              </w:rPr>
              <w:t xml:space="preserve"> </w:t>
            </w:r>
            <w:r w:rsidRPr="000757BC">
              <w:rPr>
                <w:rFonts w:ascii="Segoe UI" w:hAnsi="Segoe UI" w:cs="Segoe UI"/>
              </w:rPr>
              <w:t>e</w:t>
            </w:r>
            <w:r>
              <w:rPr>
                <w:rFonts w:ascii="Segoe UI" w:hAnsi="Segoe UI" w:cs="Segoe UI"/>
              </w:rPr>
              <w:t xml:space="preserve"> </w:t>
            </w:r>
            <w:r w:rsidRPr="000757BC">
              <w:rPr>
                <w:rFonts w:ascii="Segoe UI" w:hAnsi="Segoe UI" w:cs="Segoe UI"/>
              </w:rPr>
              <w:t>Planejamento</w:t>
            </w:r>
            <w:r>
              <w:rPr>
                <w:rFonts w:ascii="Segoe UI" w:hAnsi="Segoe UI" w:cs="Segoe UI"/>
              </w:rPr>
              <w:t xml:space="preserve"> </w:t>
            </w:r>
            <w:r w:rsidRPr="000757BC">
              <w:rPr>
                <w:rFonts w:ascii="Segoe UI" w:hAnsi="Segoe UI" w:cs="Segoe UI"/>
              </w:rPr>
              <w:t>Fiscal</w:t>
            </w:r>
            <w:r>
              <w:rPr>
                <w:rFonts w:ascii="Segoe UI" w:hAnsi="Segoe UI" w:cs="Segoe UI"/>
              </w:rPr>
              <w:t xml:space="preserve"> </w:t>
            </w:r>
            <w:r w:rsidRPr="000757BC">
              <w:rPr>
                <w:rFonts w:ascii="Segoe UI" w:hAnsi="Segoe UI" w:cs="Segoe UI"/>
              </w:rPr>
              <w:t>e</w:t>
            </w:r>
            <w:r>
              <w:rPr>
                <w:rFonts w:ascii="Segoe UI" w:hAnsi="Segoe UI" w:cs="Segoe UI"/>
              </w:rPr>
              <w:t xml:space="preserve"> </w:t>
            </w:r>
            <w:r w:rsidRPr="000757BC">
              <w:rPr>
                <w:rFonts w:ascii="Segoe UI" w:hAnsi="Segoe UI" w:cs="Segoe UI"/>
              </w:rPr>
              <w:t>Tributário</w:t>
            </w:r>
          </w:p>
        </w:tc>
      </w:tr>
      <w:tr w:rsidR="00456F7E" w14:paraId="1F331A1B" w14:textId="77777777" w:rsidTr="00456F7E">
        <w:tc>
          <w:tcPr>
            <w:tcW w:w="4743" w:type="dxa"/>
          </w:tcPr>
          <w:p w14:paraId="1C0CFA61" w14:textId="5998F2D7" w:rsidR="00456F7E" w:rsidRPr="000757BC" w:rsidRDefault="00456F7E" w:rsidP="00456F7E">
            <w:pPr>
              <w:tabs>
                <w:tab w:val="left" w:pos="567"/>
                <w:tab w:val="left" w:pos="1134"/>
                <w:tab w:val="left" w:pos="1701"/>
                <w:tab w:val="left" w:pos="2268"/>
                <w:tab w:val="left" w:pos="2835"/>
              </w:tabs>
              <w:jc w:val="center"/>
              <w:outlineLvl w:val="0"/>
              <w:rPr>
                <w:rFonts w:ascii="Segoe UI" w:hAnsi="Segoe UI" w:cs="Segoe UI"/>
              </w:rPr>
            </w:pPr>
            <w:r>
              <w:rPr>
                <w:rFonts w:ascii="Segoe UI" w:hAnsi="Segoe UI" w:cs="Segoe UI"/>
              </w:rPr>
              <w:t>CRC</w:t>
            </w:r>
            <w:r w:rsidR="00501754">
              <w:rPr>
                <w:rFonts w:ascii="Segoe UI" w:hAnsi="Segoe UI" w:cs="Segoe UI"/>
              </w:rPr>
              <w:t xml:space="preserve"> </w:t>
            </w:r>
            <w:r>
              <w:rPr>
                <w:rFonts w:ascii="Segoe UI" w:hAnsi="Segoe UI" w:cs="Segoe UI"/>
              </w:rPr>
              <w:t>–</w:t>
            </w:r>
            <w:r w:rsidR="00501754">
              <w:rPr>
                <w:rFonts w:ascii="Segoe UI" w:hAnsi="Segoe UI" w:cs="Segoe UI"/>
              </w:rPr>
              <w:t xml:space="preserve"> </w:t>
            </w:r>
            <w:r>
              <w:rPr>
                <w:rFonts w:ascii="Segoe UI" w:hAnsi="Segoe UI" w:cs="Segoe UI"/>
              </w:rPr>
              <w:t>DF</w:t>
            </w:r>
            <w:r w:rsidR="00501754">
              <w:rPr>
                <w:rFonts w:ascii="Segoe UI" w:hAnsi="Segoe UI" w:cs="Segoe UI"/>
              </w:rPr>
              <w:t xml:space="preserve"> </w:t>
            </w:r>
            <w:r>
              <w:rPr>
                <w:rFonts w:ascii="Segoe UI" w:hAnsi="Segoe UI" w:cs="Segoe UI"/>
              </w:rPr>
              <w:t>015.987/O</w:t>
            </w:r>
          </w:p>
        </w:tc>
        <w:tc>
          <w:tcPr>
            <w:tcW w:w="4744" w:type="dxa"/>
          </w:tcPr>
          <w:p w14:paraId="38EE0B45" w14:textId="4E60E38A" w:rsidR="00456F7E" w:rsidRPr="000757BC" w:rsidRDefault="00456F7E" w:rsidP="006D287D">
            <w:pPr>
              <w:jc w:val="center"/>
              <w:rPr>
                <w:rFonts w:ascii="Segoe UI" w:hAnsi="Segoe UI" w:cs="Segoe UI"/>
              </w:rPr>
            </w:pPr>
            <w:r w:rsidRPr="00501754">
              <w:rPr>
                <w:rFonts w:ascii="Segoe UI" w:hAnsi="Segoe UI" w:cs="Segoe UI"/>
              </w:rPr>
              <w:t xml:space="preserve">CRC </w:t>
            </w:r>
            <w:r w:rsidR="00501754" w:rsidRPr="00501754">
              <w:rPr>
                <w:rFonts w:ascii="Segoe UI" w:hAnsi="Segoe UI" w:cs="Segoe UI"/>
              </w:rPr>
              <w:t>–</w:t>
            </w:r>
            <w:r w:rsidRPr="00501754">
              <w:rPr>
                <w:rFonts w:ascii="Segoe UI" w:hAnsi="Segoe UI" w:cs="Segoe UI"/>
              </w:rPr>
              <w:t xml:space="preserve"> DF</w:t>
            </w:r>
            <w:r w:rsidR="00501754">
              <w:rPr>
                <w:rFonts w:ascii="Segoe UI" w:hAnsi="Segoe UI" w:cs="Segoe UI"/>
              </w:rPr>
              <w:t xml:space="preserve"> </w:t>
            </w:r>
            <w:r w:rsidR="00501754" w:rsidRPr="00501754">
              <w:rPr>
                <w:rFonts w:ascii="Segoe UI" w:hAnsi="Segoe UI" w:cs="Segoe UI"/>
              </w:rPr>
              <w:t>021</w:t>
            </w:r>
            <w:r w:rsidR="00501754">
              <w:rPr>
                <w:rFonts w:ascii="Segoe UI" w:hAnsi="Segoe UI" w:cs="Segoe UI"/>
              </w:rPr>
              <w:t>.</w:t>
            </w:r>
            <w:r w:rsidR="00501754" w:rsidRPr="00501754">
              <w:rPr>
                <w:rFonts w:ascii="Segoe UI" w:hAnsi="Segoe UI" w:cs="Segoe UI"/>
              </w:rPr>
              <w:t>828/O</w:t>
            </w:r>
          </w:p>
        </w:tc>
      </w:tr>
    </w:tbl>
    <w:p w14:paraId="509B1571" w14:textId="11B37F11" w:rsidR="00540376" w:rsidRPr="00540376" w:rsidRDefault="00540376" w:rsidP="002E5292">
      <w:pPr>
        <w:jc w:val="both"/>
        <w:rPr>
          <w:rFonts w:ascii="Segoe UI" w:hAnsi="Segoe UI" w:cs="Segoe UI"/>
        </w:rPr>
      </w:pPr>
    </w:p>
    <w:p w14:paraId="6A47BA79" w14:textId="682B7B25" w:rsidR="004244C3" w:rsidRPr="004244C3" w:rsidRDefault="004244C3" w:rsidP="00491827">
      <w:pPr>
        <w:jc w:val="center"/>
        <w:rPr>
          <w:rFonts w:ascii="CIDFont+F3" w:hAnsi="CIDFont+F3" w:cs="CIDFont+F3"/>
          <w:sz w:val="20"/>
          <w:szCs w:val="20"/>
        </w:rPr>
      </w:pPr>
      <w:r w:rsidRPr="004244C3">
        <w:rPr>
          <w:rFonts w:ascii="CIDFont+F3" w:hAnsi="CIDFont+F3" w:cs="CIDFont+F3"/>
          <w:sz w:val="20"/>
          <w:szCs w:val="20"/>
        </w:rPr>
        <w:t>(O documento assinado pelos responsáveis está disponível na sede da Companhia)</w:t>
      </w:r>
    </w:p>
    <w:p w14:paraId="172A3960" w14:textId="5D74F0D3" w:rsidR="00540376" w:rsidRPr="00540376" w:rsidRDefault="00491827" w:rsidP="00491827">
      <w:pPr>
        <w:jc w:val="center"/>
      </w:pPr>
      <w:r>
        <w:rPr>
          <w:rFonts w:ascii="CIDFont+F3" w:hAnsi="CIDFont+F3" w:cs="CIDFont+F3"/>
        </w:rPr>
        <w:t>* * *</w:t>
      </w:r>
    </w:p>
    <w:sectPr w:rsidR="00540376" w:rsidRPr="00540376" w:rsidSect="00F61DCE">
      <w:headerReference w:type="even" r:id="rId25"/>
      <w:headerReference w:type="default" r:id="rId26"/>
      <w:headerReference w:type="first" r:id="rId27"/>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2EC1" w14:textId="77777777" w:rsidR="001B7D4A" w:rsidRDefault="001B7D4A" w:rsidP="00B02848">
      <w:pPr>
        <w:spacing w:after="0" w:line="240" w:lineRule="auto"/>
      </w:pPr>
      <w:r>
        <w:separator/>
      </w:r>
    </w:p>
  </w:endnote>
  <w:endnote w:type="continuationSeparator" w:id="0">
    <w:p w14:paraId="4B9B1573" w14:textId="77777777" w:rsidR="001B7D4A" w:rsidRDefault="001B7D4A" w:rsidP="00B02848">
      <w:pPr>
        <w:spacing w:after="0" w:line="240" w:lineRule="auto"/>
      </w:pPr>
      <w:r>
        <w:continuationSeparator/>
      </w:r>
    </w:p>
  </w:endnote>
  <w:endnote w:type="continuationNotice" w:id="1">
    <w:p w14:paraId="74E740E0" w14:textId="77777777" w:rsidR="001B7D4A" w:rsidRDefault="001B7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45561"/>
      <w:docPartObj>
        <w:docPartGallery w:val="Page Numbers (Bottom of Page)"/>
        <w:docPartUnique/>
      </w:docPartObj>
    </w:sdtPr>
    <w:sdtContent>
      <w:p w14:paraId="3F5EEC43" w14:textId="4C17FE82" w:rsidR="00EE7C31" w:rsidRDefault="00EE7C31">
        <w:pPr>
          <w:pStyle w:val="Rodap"/>
          <w:jc w:val="right"/>
        </w:pPr>
        <w:r>
          <w:fldChar w:fldCharType="begin"/>
        </w:r>
        <w:r>
          <w:instrText>PAGE   \* MERGEFORMAT</w:instrText>
        </w:r>
        <w:r>
          <w:fldChar w:fldCharType="separate"/>
        </w:r>
        <w:r w:rsidR="00CA2696">
          <w:rPr>
            <w:noProof/>
          </w:rPr>
          <w:t>21</w:t>
        </w:r>
        <w:r>
          <w:fldChar w:fldCharType="end"/>
        </w:r>
        <w:r w:rsidR="007E0D8E">
          <w:t>/</w:t>
        </w:r>
        <w:r w:rsidR="00D67536">
          <w:t>7</w:t>
        </w:r>
        <w:r w:rsidR="001156FC">
          <w:t>9</w:t>
        </w:r>
      </w:p>
    </w:sdtContent>
  </w:sdt>
  <w:p w14:paraId="379A97B6" w14:textId="6C5A6888" w:rsidR="00EE7C31" w:rsidRDefault="00D37B59">
    <w:pPr>
      <w:pStyle w:val="Rodap"/>
    </w:pPr>
    <w:r w:rsidRPr="004A466A">
      <w:rPr>
        <w:noProof/>
        <w:sz w:val="12"/>
        <w:szCs w:val="12"/>
      </w:rPr>
      <w:drawing>
        <wp:inline distT="0" distB="0" distL="0" distR="0" wp14:anchorId="47375BFC" wp14:editId="24FA9E94">
          <wp:extent cx="5760000" cy="45681"/>
          <wp:effectExtent l="0" t="0" r="0" b="0"/>
          <wp:docPr id="911764676" name="Picture 91176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5760000" cy="456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725570"/>
      <w:docPartObj>
        <w:docPartGallery w:val="Page Numbers (Bottom of Page)"/>
        <w:docPartUnique/>
      </w:docPartObj>
    </w:sdtPr>
    <w:sdtContent>
      <w:p w14:paraId="78FC372B" w14:textId="05AFD66E" w:rsidR="00C529EF" w:rsidRDefault="00C529EF">
        <w:pPr>
          <w:pStyle w:val="Rodap"/>
          <w:jc w:val="right"/>
        </w:pPr>
        <w:r>
          <w:fldChar w:fldCharType="begin"/>
        </w:r>
        <w:r>
          <w:instrText>PAGE   \* MERGEFORMAT</w:instrText>
        </w:r>
        <w:r>
          <w:fldChar w:fldCharType="separate"/>
        </w:r>
        <w:r>
          <w:rPr>
            <w:noProof/>
          </w:rPr>
          <w:t>21</w:t>
        </w:r>
        <w:r>
          <w:fldChar w:fldCharType="end"/>
        </w:r>
        <w:r>
          <w:t>/</w:t>
        </w:r>
        <w:r w:rsidR="00D67536">
          <w:t>7</w:t>
        </w:r>
        <w:r w:rsidR="001156FC">
          <w:t>9</w:t>
        </w:r>
      </w:p>
    </w:sdtContent>
  </w:sdt>
  <w:p w14:paraId="7EDD7703" w14:textId="1B7D3403" w:rsidR="00C529EF" w:rsidRDefault="00C529EF">
    <w:pPr>
      <w:pStyle w:val="Rodap"/>
    </w:pPr>
    <w:r w:rsidRPr="004A466A">
      <w:rPr>
        <w:noProof/>
        <w:sz w:val="12"/>
        <w:szCs w:val="12"/>
      </w:rPr>
      <w:drawing>
        <wp:inline distT="0" distB="0" distL="0" distR="0" wp14:anchorId="112B9AD0" wp14:editId="76EF5B30">
          <wp:extent cx="5760000" cy="45681"/>
          <wp:effectExtent l="0" t="0" r="0" b="0"/>
          <wp:docPr id="525031424" name="Picture 52503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5760000" cy="456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652583"/>
      <w:docPartObj>
        <w:docPartGallery w:val="Page Numbers (Bottom of Page)"/>
        <w:docPartUnique/>
      </w:docPartObj>
    </w:sdtPr>
    <w:sdtContent>
      <w:p w14:paraId="1236A097" w14:textId="6AA24F8E" w:rsidR="00C529EF" w:rsidRDefault="00C529EF">
        <w:pPr>
          <w:pStyle w:val="Rodap"/>
          <w:jc w:val="right"/>
        </w:pPr>
        <w:r>
          <w:fldChar w:fldCharType="begin"/>
        </w:r>
        <w:r>
          <w:instrText>PAGE   \* MERGEFORMAT</w:instrText>
        </w:r>
        <w:r>
          <w:fldChar w:fldCharType="separate"/>
        </w:r>
        <w:r>
          <w:rPr>
            <w:noProof/>
          </w:rPr>
          <w:t>21</w:t>
        </w:r>
        <w:r>
          <w:fldChar w:fldCharType="end"/>
        </w:r>
        <w:r>
          <w:t>/</w:t>
        </w:r>
        <w:r w:rsidR="00D67536">
          <w:t>7</w:t>
        </w:r>
        <w:r w:rsidR="001156FC">
          <w:t>9</w:t>
        </w:r>
      </w:p>
    </w:sdtContent>
  </w:sdt>
  <w:p w14:paraId="54BB7F45" w14:textId="1A354ACE" w:rsidR="00C529EF" w:rsidRDefault="00C529EF">
    <w:pPr>
      <w:pStyle w:val="Rodap"/>
    </w:pPr>
    <w:r w:rsidRPr="004A466A">
      <w:rPr>
        <w:noProof/>
        <w:sz w:val="12"/>
        <w:szCs w:val="12"/>
      </w:rPr>
      <w:drawing>
        <wp:inline distT="0" distB="0" distL="0" distR="0" wp14:anchorId="380E5FAC" wp14:editId="2E0FF83A">
          <wp:extent cx="9180000" cy="72805"/>
          <wp:effectExtent l="0" t="0" r="0" b="3810"/>
          <wp:docPr id="454893963" name="Picture 45489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9180000" cy="7280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25368"/>
      <w:docPartObj>
        <w:docPartGallery w:val="Page Numbers (Bottom of Page)"/>
        <w:docPartUnique/>
      </w:docPartObj>
    </w:sdtPr>
    <w:sdtContent>
      <w:p w14:paraId="4FE2A8CE" w14:textId="1CD77F1B" w:rsidR="00C529EF" w:rsidRDefault="00C529EF">
        <w:pPr>
          <w:pStyle w:val="Rodap"/>
          <w:jc w:val="right"/>
        </w:pPr>
        <w:r>
          <w:fldChar w:fldCharType="begin"/>
        </w:r>
        <w:r>
          <w:instrText>PAGE   \* MERGEFORMAT</w:instrText>
        </w:r>
        <w:r>
          <w:fldChar w:fldCharType="separate"/>
        </w:r>
        <w:r>
          <w:rPr>
            <w:noProof/>
          </w:rPr>
          <w:t>21</w:t>
        </w:r>
        <w:r>
          <w:fldChar w:fldCharType="end"/>
        </w:r>
        <w:r>
          <w:t>/</w:t>
        </w:r>
        <w:r w:rsidR="001A372C">
          <w:t>7</w:t>
        </w:r>
        <w:r w:rsidR="009E7DAD">
          <w:t>9</w:t>
        </w:r>
      </w:p>
    </w:sdtContent>
  </w:sdt>
  <w:p w14:paraId="4572D08F" w14:textId="496CBB77" w:rsidR="00C529EF" w:rsidRDefault="00C529EF">
    <w:pPr>
      <w:pStyle w:val="Rodap"/>
    </w:pPr>
    <w:r w:rsidRPr="004A466A">
      <w:rPr>
        <w:noProof/>
        <w:sz w:val="12"/>
        <w:szCs w:val="12"/>
      </w:rPr>
      <w:drawing>
        <wp:inline distT="0" distB="0" distL="0" distR="0" wp14:anchorId="60B7E31A" wp14:editId="60A5F9CB">
          <wp:extent cx="6012000" cy="47683"/>
          <wp:effectExtent l="0" t="0" r="0" b="9525"/>
          <wp:docPr id="2092819574" name="Picture 209281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6012000" cy="476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6B7F" w14:textId="77777777" w:rsidR="001B7D4A" w:rsidRDefault="001B7D4A" w:rsidP="00B02848">
      <w:pPr>
        <w:spacing w:after="0" w:line="240" w:lineRule="auto"/>
      </w:pPr>
      <w:r>
        <w:separator/>
      </w:r>
    </w:p>
  </w:footnote>
  <w:footnote w:type="continuationSeparator" w:id="0">
    <w:p w14:paraId="322ACE71" w14:textId="77777777" w:rsidR="001B7D4A" w:rsidRDefault="001B7D4A" w:rsidP="00B02848">
      <w:pPr>
        <w:spacing w:after="0" w:line="240" w:lineRule="auto"/>
      </w:pPr>
      <w:r>
        <w:continuationSeparator/>
      </w:r>
    </w:p>
  </w:footnote>
  <w:footnote w:type="continuationNotice" w:id="1">
    <w:p w14:paraId="0FFAE729" w14:textId="77777777" w:rsidR="001B7D4A" w:rsidRDefault="001B7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7525" w14:textId="3C699F24" w:rsidR="00EE7C31" w:rsidRDefault="00EE7C31" w:rsidP="00B02848">
    <w:pPr>
      <w:pStyle w:val="Cabealho"/>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FC7F" w14:textId="44407506" w:rsidR="00FB0B76" w:rsidRDefault="00FB0B76">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C580" w14:textId="4A37591F" w:rsidR="00C529EF" w:rsidRPr="004A466A" w:rsidRDefault="00C529EF"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4" behindDoc="0" locked="0" layoutInCell="1" allowOverlap="1" wp14:anchorId="6CAD9E63" wp14:editId="5BA22C95">
          <wp:simplePos x="0" y="0"/>
          <wp:positionH relativeFrom="margin">
            <wp:align>left</wp:align>
          </wp:positionH>
          <wp:positionV relativeFrom="paragraph">
            <wp:posOffset>11127</wp:posOffset>
          </wp:positionV>
          <wp:extent cx="885763" cy="254442"/>
          <wp:effectExtent l="0" t="0" r="0" b="0"/>
          <wp:wrapSquare wrapText="bothSides"/>
          <wp:docPr id="396931247" name="Picture 396931247"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74998029" w14:textId="77777777" w:rsidR="00C529EF" w:rsidRPr="007C4DBA" w:rsidRDefault="00C529EF" w:rsidP="00C529EF">
    <w:pPr>
      <w:pStyle w:val="Cabealho"/>
      <w:ind w:left="284"/>
      <w:rPr>
        <w:rFonts w:ascii="Segoe UI" w:hAnsi="Segoe UI" w:cs="Segoe UI"/>
        <w:b/>
        <w:color w:val="7C7C7B"/>
        <w:sz w:val="12"/>
        <w:szCs w:val="12"/>
      </w:rPr>
    </w:pPr>
  </w:p>
  <w:p w14:paraId="3FD69BBB" w14:textId="3F2B4660" w:rsidR="00C529EF" w:rsidRPr="004A466A" w:rsidRDefault="00C529EF"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Notas Explicativas</w:t>
    </w:r>
  </w:p>
  <w:p w14:paraId="27213212" w14:textId="77777777" w:rsidR="00C529EF" w:rsidRPr="004A466A" w:rsidRDefault="00C529EF" w:rsidP="00822443">
    <w:pPr>
      <w:pStyle w:val="Cabealho"/>
      <w:ind w:left="284"/>
      <w:jc w:val="center"/>
      <w:rPr>
        <w:rFonts w:ascii="Segoe UI" w:hAnsi="Segoe UI" w:cs="Segoe UI"/>
        <w:noProof/>
        <w:color w:val="7C7C7B"/>
        <w:sz w:val="20"/>
        <w:szCs w:val="20"/>
      </w:rPr>
    </w:pPr>
    <w:r w:rsidRPr="004A466A">
      <w:rPr>
        <w:rFonts w:ascii="Segoe UI" w:hAnsi="Segoe UI" w:cs="Segoe UI"/>
        <w:noProof/>
        <w:color w:val="7C7C7B"/>
        <w:sz w:val="20"/>
        <w:szCs w:val="20"/>
      </w:rPr>
      <w:t>Em 31 de dezembro de 2022</w:t>
    </w:r>
  </w:p>
  <w:p w14:paraId="3F8AADE9" w14:textId="0B475292" w:rsidR="00C529EF" w:rsidRDefault="00C529EF" w:rsidP="00822443">
    <w:pPr>
      <w:pStyle w:val="Cabealho"/>
      <w:ind w:left="284"/>
      <w:jc w:val="center"/>
    </w:pPr>
    <w:r w:rsidRPr="004A466A">
      <w:rPr>
        <w:rFonts w:ascii="Segoe UI" w:hAnsi="Segoe UI" w:cs="Segoe UI"/>
        <w:i/>
        <w:iCs/>
        <w:noProof/>
        <w:color w:val="7C7C7B"/>
        <w:sz w:val="20"/>
        <w:szCs w:val="20"/>
      </w:rPr>
      <w:t>(Em milhares de reais)</w:t>
    </w:r>
  </w:p>
  <w:p w14:paraId="463EA786" w14:textId="77777777" w:rsidR="00C529EF" w:rsidRPr="004A466A" w:rsidRDefault="00C529EF" w:rsidP="00C529EF">
    <w:pPr>
      <w:pStyle w:val="Cabealho"/>
      <w:rPr>
        <w:rFonts w:ascii="Segoe UI" w:hAnsi="Segoe UI" w:cs="Segoe UI"/>
        <w:i/>
        <w:iCs/>
        <w:color w:val="7C7C7B"/>
        <w:sz w:val="20"/>
        <w:szCs w:val="20"/>
      </w:rPr>
    </w:pPr>
    <w:r w:rsidRPr="004A466A">
      <w:rPr>
        <w:noProof/>
        <w:sz w:val="12"/>
        <w:szCs w:val="12"/>
      </w:rPr>
      <w:drawing>
        <wp:inline distT="0" distB="0" distL="0" distR="0" wp14:anchorId="77952A44" wp14:editId="7C9CEF1C">
          <wp:extent cx="6012000" cy="47673"/>
          <wp:effectExtent l="0" t="0" r="0" b="9525"/>
          <wp:docPr id="881353984" name="Picture 88135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6012000" cy="47673"/>
                  </a:xfrm>
                  <a:prstGeom prst="rect">
                    <a:avLst/>
                  </a:prstGeom>
                </pic:spPr>
              </pic:pic>
            </a:graphicData>
          </a:graphic>
        </wp:inline>
      </w:drawing>
    </w:r>
  </w:p>
  <w:p w14:paraId="7D447F4F" w14:textId="77777777" w:rsidR="00EE7C31" w:rsidRPr="00C529EF" w:rsidRDefault="00EE7C31" w:rsidP="00C529EF">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5273" w14:textId="51D06F08" w:rsidR="00FB0B76" w:rsidRDefault="00FB0B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EBFC" w14:textId="31525AAA" w:rsidR="00FB0B76" w:rsidRDefault="00FB0B7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647D" w14:textId="3FDEE708" w:rsidR="00D37B59" w:rsidRPr="004A466A" w:rsidRDefault="00F609AF" w:rsidP="00D37B59">
    <w:pPr>
      <w:pStyle w:val="Cabealho"/>
      <w:ind w:left="-142"/>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5" behindDoc="0" locked="0" layoutInCell="1" allowOverlap="1" wp14:anchorId="62ECE593" wp14:editId="1E5F2709">
          <wp:simplePos x="0" y="0"/>
          <wp:positionH relativeFrom="margin">
            <wp:posOffset>-200853</wp:posOffset>
          </wp:positionH>
          <wp:positionV relativeFrom="paragraph">
            <wp:posOffset>-13362</wp:posOffset>
          </wp:positionV>
          <wp:extent cx="885763" cy="254442"/>
          <wp:effectExtent l="0" t="0" r="0" b="0"/>
          <wp:wrapSquare wrapText="bothSides"/>
          <wp:docPr id="857589990" name="Picture 857589990"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00D37B59" w:rsidRPr="004A466A">
      <w:rPr>
        <w:rFonts w:ascii="Segoe UI" w:hAnsi="Segoe UI" w:cs="Segoe UI"/>
        <w:b/>
        <w:color w:val="7C7C7B"/>
        <w:sz w:val="20"/>
        <w:szCs w:val="20"/>
      </w:rPr>
      <w:t>Empresa Brasileira de Participações em Energia Nuclear e Binacional S.A.</w:t>
    </w:r>
    <w:r w:rsidRPr="00F609AF">
      <w:rPr>
        <w:rFonts w:ascii="Segoe UI" w:hAnsi="Segoe UI" w:cs="Segoe UI"/>
        <w:b/>
        <w:noProof/>
        <w:color w:val="7C7C7B"/>
        <w:sz w:val="20"/>
        <w:szCs w:val="20"/>
      </w:rPr>
      <w:t xml:space="preserve"> </w:t>
    </w:r>
  </w:p>
  <w:p w14:paraId="776FC2F5" w14:textId="77777777" w:rsidR="00D37B59" w:rsidRPr="007C4DBA" w:rsidRDefault="00D37B59" w:rsidP="00D37B59">
    <w:pPr>
      <w:pStyle w:val="Cabealho"/>
      <w:rPr>
        <w:rFonts w:ascii="Segoe UI" w:hAnsi="Segoe UI" w:cs="Segoe UI"/>
        <w:b/>
        <w:color w:val="7C7C7B"/>
        <w:sz w:val="12"/>
        <w:szCs w:val="12"/>
      </w:rPr>
    </w:pPr>
  </w:p>
  <w:p w14:paraId="15973003" w14:textId="5E3AF8BD" w:rsidR="00D37B59" w:rsidRPr="004A466A" w:rsidRDefault="00D37B59" w:rsidP="00F609AF">
    <w:pPr>
      <w:pStyle w:val="Cabealho"/>
      <w:jc w:val="center"/>
      <w:rPr>
        <w:rFonts w:ascii="Segoe UI" w:hAnsi="Segoe UI" w:cs="Segoe UI"/>
        <w:b/>
        <w:bCs/>
        <w:noProof/>
        <w:color w:val="7C7C7B"/>
        <w:sz w:val="20"/>
        <w:szCs w:val="20"/>
      </w:rPr>
    </w:pPr>
    <w:r w:rsidRPr="004A466A">
      <w:rPr>
        <w:rFonts w:ascii="Segoe UI" w:hAnsi="Segoe UI" w:cs="Segoe UI"/>
        <w:b/>
        <w:bCs/>
        <w:noProof/>
        <w:color w:val="7C7C7B"/>
        <w:sz w:val="20"/>
        <w:szCs w:val="20"/>
      </w:rPr>
      <w:t xml:space="preserve">Balanço </w:t>
    </w:r>
    <w:r w:rsidR="00640B0C">
      <w:rPr>
        <w:rFonts w:ascii="Segoe UI" w:hAnsi="Segoe UI" w:cs="Segoe UI"/>
        <w:b/>
        <w:bCs/>
        <w:noProof/>
        <w:color w:val="7C7C7B"/>
        <w:sz w:val="20"/>
        <w:szCs w:val="20"/>
      </w:rPr>
      <w:t>P</w:t>
    </w:r>
    <w:r w:rsidRPr="004A466A">
      <w:rPr>
        <w:rFonts w:ascii="Segoe UI" w:hAnsi="Segoe UI" w:cs="Segoe UI"/>
        <w:b/>
        <w:bCs/>
        <w:noProof/>
        <w:color w:val="7C7C7B"/>
        <w:sz w:val="20"/>
        <w:szCs w:val="20"/>
      </w:rPr>
      <w:t>atrimonial</w:t>
    </w:r>
  </w:p>
  <w:p w14:paraId="64199211" w14:textId="77777777" w:rsidR="00D37B59" w:rsidRPr="004A466A" w:rsidRDefault="00D37B59" w:rsidP="00F609AF">
    <w:pPr>
      <w:pStyle w:val="Cabealho"/>
      <w:jc w:val="center"/>
      <w:rPr>
        <w:rFonts w:ascii="Segoe UI" w:hAnsi="Segoe UI" w:cs="Segoe UI"/>
        <w:noProof/>
        <w:color w:val="7C7C7B"/>
        <w:sz w:val="20"/>
        <w:szCs w:val="20"/>
      </w:rPr>
    </w:pPr>
    <w:r w:rsidRPr="004A466A">
      <w:rPr>
        <w:rFonts w:ascii="Segoe UI" w:hAnsi="Segoe UI" w:cs="Segoe UI"/>
        <w:noProof/>
        <w:color w:val="7C7C7B"/>
        <w:sz w:val="20"/>
        <w:szCs w:val="20"/>
      </w:rPr>
      <w:t>Em 31 de dezembro de 2022</w:t>
    </w:r>
  </w:p>
  <w:p w14:paraId="4405921B" w14:textId="50C13762" w:rsidR="00D37B59" w:rsidRPr="004A466A" w:rsidRDefault="00D37B59" w:rsidP="00F609AF">
    <w:pPr>
      <w:pStyle w:val="Cabealho"/>
      <w:jc w:val="center"/>
      <w:rPr>
        <w:rFonts w:ascii="Segoe UI" w:hAnsi="Segoe UI" w:cs="Segoe UI"/>
        <w:i/>
        <w:iCs/>
        <w:color w:val="7C7C7B"/>
        <w:sz w:val="20"/>
        <w:szCs w:val="20"/>
      </w:rPr>
    </w:pPr>
    <w:r w:rsidRPr="004A466A">
      <w:rPr>
        <w:rFonts w:ascii="Segoe UI" w:hAnsi="Segoe UI" w:cs="Segoe UI"/>
        <w:i/>
        <w:iCs/>
        <w:noProof/>
        <w:color w:val="7C7C7B"/>
        <w:sz w:val="20"/>
        <w:szCs w:val="20"/>
      </w:rPr>
      <w:t>(Em milhares de reais)</w:t>
    </w:r>
  </w:p>
  <w:p w14:paraId="28A46039" w14:textId="076B43EF" w:rsidR="007D5DA0" w:rsidRDefault="0036578B" w:rsidP="006E1B4F">
    <w:pPr>
      <w:widowControl w:val="0"/>
      <w:spacing w:after="0"/>
      <w:ind w:left="-426"/>
      <w:jc w:val="center"/>
      <w:outlineLvl w:val="0"/>
      <w:rPr>
        <w:rFonts w:ascii="Verdana" w:hAnsi="Verdana"/>
        <w:b/>
        <w:sz w:val="17"/>
        <w:szCs w:val="17"/>
      </w:rPr>
    </w:pPr>
    <w:r w:rsidRPr="004A466A">
      <w:rPr>
        <w:noProof/>
        <w:sz w:val="12"/>
        <w:szCs w:val="12"/>
      </w:rPr>
      <w:drawing>
        <wp:inline distT="0" distB="0" distL="0" distR="0" wp14:anchorId="558ECD9B" wp14:editId="312AB55B">
          <wp:extent cx="5760000" cy="45714"/>
          <wp:effectExtent l="0" t="0" r="0" b="0"/>
          <wp:docPr id="926009743" name="Picture 92600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5760000" cy="45714"/>
                  </a:xfrm>
                  <a:prstGeom prst="rect">
                    <a:avLst/>
                  </a:prstGeom>
                </pic:spPr>
              </pic:pic>
            </a:graphicData>
          </a:graphic>
        </wp:inline>
      </w:drawing>
    </w:r>
  </w:p>
  <w:p w14:paraId="02E23E35" w14:textId="60139741" w:rsidR="007D5DA0" w:rsidRPr="006E1B4F" w:rsidRDefault="007D5DA0" w:rsidP="006E1B4F">
    <w:pPr>
      <w:widowControl w:val="0"/>
      <w:spacing w:after="0"/>
      <w:ind w:left="-426"/>
      <w:jc w:val="center"/>
      <w:outlineLvl w:val="0"/>
      <w:rPr>
        <w:rFonts w:ascii="Verdana" w:hAnsi="Verdana"/>
        <w:b/>
        <w:sz w:val="18"/>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A5E" w14:textId="3B0B0883" w:rsidR="00FB0B76" w:rsidRDefault="00FB0B7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D934" w14:textId="1F1E0D78" w:rsidR="0036578B" w:rsidRPr="004A466A" w:rsidRDefault="005F5844" w:rsidP="005F5844">
    <w:pPr>
      <w:pStyle w:val="Cabealho"/>
      <w:ind w:left="284"/>
      <w:jc w:val="center"/>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6" behindDoc="0" locked="0" layoutInCell="1" allowOverlap="1" wp14:anchorId="560E27AE" wp14:editId="0E443871">
          <wp:simplePos x="0" y="0"/>
          <wp:positionH relativeFrom="margin">
            <wp:align>left</wp:align>
          </wp:positionH>
          <wp:positionV relativeFrom="paragraph">
            <wp:posOffset>-39977</wp:posOffset>
          </wp:positionV>
          <wp:extent cx="885763" cy="254442"/>
          <wp:effectExtent l="0" t="0" r="0" b="0"/>
          <wp:wrapSquare wrapText="bothSides"/>
          <wp:docPr id="40535426" name="Picture 40535426"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sidR="0036578B" w:rsidRPr="004A466A">
      <w:rPr>
        <w:rFonts w:ascii="Segoe UI" w:hAnsi="Segoe UI" w:cs="Segoe UI"/>
        <w:b/>
        <w:color w:val="7C7C7B"/>
        <w:sz w:val="20"/>
        <w:szCs w:val="20"/>
      </w:rPr>
      <w:t>Empresa Brasileira de Participações em Energia Nuclear e Binacional S.A.</w:t>
    </w:r>
  </w:p>
  <w:p w14:paraId="58166FEA" w14:textId="46D5013D" w:rsidR="0036578B" w:rsidRPr="007C4DBA" w:rsidRDefault="0036578B" w:rsidP="0036578B">
    <w:pPr>
      <w:pStyle w:val="Cabealho"/>
      <w:ind w:left="284"/>
      <w:rPr>
        <w:rFonts w:ascii="Segoe UI" w:hAnsi="Segoe UI" w:cs="Segoe UI"/>
        <w:b/>
        <w:color w:val="7C7C7B"/>
        <w:sz w:val="12"/>
        <w:szCs w:val="12"/>
      </w:rPr>
    </w:pPr>
  </w:p>
  <w:p w14:paraId="6FD03D8B" w14:textId="5EF77063" w:rsidR="0036578B" w:rsidRPr="004A466A" w:rsidRDefault="0036578B" w:rsidP="005F5844">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do Resultado</w:t>
    </w:r>
  </w:p>
  <w:p w14:paraId="22D60006" w14:textId="4566EA3F" w:rsidR="0036578B" w:rsidRPr="004A466A" w:rsidRDefault="0036578B" w:rsidP="005F5844">
    <w:pPr>
      <w:pStyle w:val="Cabealho"/>
      <w:ind w:left="284"/>
      <w:jc w:val="center"/>
      <w:rPr>
        <w:rFonts w:ascii="Segoe UI" w:hAnsi="Segoe UI" w:cs="Segoe UI"/>
        <w:noProof/>
        <w:color w:val="7C7C7B"/>
        <w:sz w:val="20"/>
        <w:szCs w:val="20"/>
      </w:rPr>
    </w:pPr>
    <w:r w:rsidRPr="004A466A">
      <w:rPr>
        <w:rFonts w:ascii="Segoe UI" w:hAnsi="Segoe UI" w:cs="Segoe UI"/>
        <w:noProof/>
        <w:color w:val="7C7C7B"/>
        <w:sz w:val="20"/>
        <w:szCs w:val="20"/>
      </w:rPr>
      <w:t>Em 31 de dezembro de 2022</w:t>
    </w:r>
  </w:p>
  <w:p w14:paraId="06CBA9D8" w14:textId="559F5DDB" w:rsidR="0036578B" w:rsidRDefault="0036578B" w:rsidP="005F5844">
    <w:pPr>
      <w:pStyle w:val="Cabealho"/>
      <w:ind w:left="284"/>
      <w:jc w:val="center"/>
    </w:pPr>
    <w:r w:rsidRPr="004A466A">
      <w:rPr>
        <w:rFonts w:ascii="Segoe UI" w:hAnsi="Segoe UI" w:cs="Segoe UI"/>
        <w:i/>
        <w:iCs/>
        <w:noProof/>
        <w:color w:val="7C7C7B"/>
        <w:sz w:val="20"/>
        <w:szCs w:val="20"/>
      </w:rPr>
      <w:t>(Em milhares de reais)</w:t>
    </w:r>
  </w:p>
  <w:p w14:paraId="2029B1A2" w14:textId="77777777" w:rsidR="0036578B" w:rsidRPr="004A466A" w:rsidRDefault="0036578B" w:rsidP="00D37B59">
    <w:pPr>
      <w:pStyle w:val="Cabealho"/>
      <w:rPr>
        <w:rFonts w:ascii="Segoe UI" w:hAnsi="Segoe UI" w:cs="Segoe UI"/>
        <w:i/>
        <w:iCs/>
        <w:color w:val="7C7C7B"/>
        <w:sz w:val="20"/>
        <w:szCs w:val="20"/>
      </w:rPr>
    </w:pPr>
  </w:p>
  <w:p w14:paraId="4E3F77C5" w14:textId="77777777" w:rsidR="0036578B" w:rsidRDefault="0036578B" w:rsidP="006E1B4F">
    <w:pPr>
      <w:widowControl w:val="0"/>
      <w:spacing w:after="0"/>
      <w:ind w:left="-426"/>
      <w:jc w:val="center"/>
      <w:outlineLvl w:val="0"/>
      <w:rPr>
        <w:rFonts w:ascii="Verdana" w:hAnsi="Verdana"/>
        <w:b/>
        <w:sz w:val="17"/>
        <w:szCs w:val="17"/>
      </w:rPr>
    </w:pPr>
    <w:r w:rsidRPr="004A466A">
      <w:rPr>
        <w:noProof/>
        <w:sz w:val="12"/>
        <w:szCs w:val="12"/>
      </w:rPr>
      <w:drawing>
        <wp:inline distT="0" distB="0" distL="0" distR="0" wp14:anchorId="5B290953" wp14:editId="699CE6A3">
          <wp:extent cx="9180000" cy="72860"/>
          <wp:effectExtent l="0" t="0" r="0" b="3810"/>
          <wp:docPr id="1603473744" name="Picture 160347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9180000" cy="72860"/>
                  </a:xfrm>
                  <a:prstGeom prst="rect">
                    <a:avLst/>
                  </a:prstGeom>
                </pic:spPr>
              </pic:pic>
            </a:graphicData>
          </a:graphic>
        </wp:inline>
      </w:drawing>
    </w:r>
  </w:p>
  <w:p w14:paraId="73E29229" w14:textId="77777777" w:rsidR="0036578B" w:rsidRPr="006E1B4F" w:rsidRDefault="0036578B" w:rsidP="006E1B4F">
    <w:pPr>
      <w:widowControl w:val="0"/>
      <w:spacing w:after="0"/>
      <w:ind w:left="-426"/>
      <w:jc w:val="center"/>
      <w:outlineLvl w:val="0"/>
      <w:rPr>
        <w:rFonts w:ascii="Verdana" w:hAnsi="Verdana"/>
        <w:b/>
        <w:sz w:val="18"/>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BC94" w14:textId="05C4047B" w:rsidR="009C1BED" w:rsidRPr="004A466A" w:rsidRDefault="009C1BED" w:rsidP="00822443">
    <w:pPr>
      <w:pStyle w:val="Cabealho"/>
      <w:ind w:left="284"/>
      <w:jc w:val="center"/>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0" behindDoc="0" locked="0" layoutInCell="1" allowOverlap="1" wp14:anchorId="053A8DEB" wp14:editId="32632738">
          <wp:simplePos x="0" y="0"/>
          <wp:positionH relativeFrom="margin">
            <wp:align>left</wp:align>
          </wp:positionH>
          <wp:positionV relativeFrom="paragraph">
            <wp:posOffset>11127</wp:posOffset>
          </wp:positionV>
          <wp:extent cx="885763" cy="254442"/>
          <wp:effectExtent l="0" t="0" r="0" b="0"/>
          <wp:wrapSquare wrapText="bothSides"/>
          <wp:docPr id="132316142" name="Picture 132316142"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sidRPr="004A466A">
      <w:rPr>
        <w:rFonts w:ascii="Segoe UI" w:hAnsi="Segoe UI" w:cs="Segoe UI"/>
        <w:b/>
        <w:color w:val="7C7C7B"/>
        <w:sz w:val="20"/>
        <w:szCs w:val="20"/>
      </w:rPr>
      <w:t>Empresa Brasileira de Participações em Energia Nuclear e Binacional S.A.</w:t>
    </w:r>
  </w:p>
  <w:p w14:paraId="633D2E5D" w14:textId="77777777" w:rsidR="009C1BED" w:rsidRPr="007C4DBA" w:rsidRDefault="009C1BED" w:rsidP="0036578B">
    <w:pPr>
      <w:pStyle w:val="Cabealho"/>
      <w:ind w:left="284"/>
      <w:rPr>
        <w:rFonts w:ascii="Segoe UI" w:hAnsi="Segoe UI" w:cs="Segoe UI"/>
        <w:b/>
        <w:color w:val="7C7C7B"/>
        <w:sz w:val="12"/>
        <w:szCs w:val="12"/>
      </w:rPr>
    </w:pPr>
  </w:p>
  <w:p w14:paraId="3D289342" w14:textId="6AEBE44F" w:rsidR="009C1BED" w:rsidRPr="004A466A" w:rsidRDefault="009C1BED"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w:t>
    </w:r>
    <w:r w:rsidR="001444E0">
      <w:rPr>
        <w:rFonts w:ascii="Segoe UI" w:hAnsi="Segoe UI" w:cs="Segoe UI"/>
        <w:b/>
        <w:bCs/>
        <w:noProof/>
        <w:color w:val="7C7C7B"/>
        <w:sz w:val="20"/>
        <w:szCs w:val="20"/>
      </w:rPr>
      <w:t xml:space="preserve">o </w:t>
    </w:r>
    <w:r w:rsidR="00F34586">
      <w:rPr>
        <w:rFonts w:ascii="Segoe UI" w:hAnsi="Segoe UI" w:cs="Segoe UI"/>
        <w:b/>
        <w:bCs/>
        <w:noProof/>
        <w:color w:val="7C7C7B"/>
        <w:sz w:val="20"/>
        <w:szCs w:val="20"/>
      </w:rPr>
      <w:t>Resultado Abrangente</w:t>
    </w:r>
  </w:p>
  <w:p w14:paraId="58A61860" w14:textId="77777777" w:rsidR="009C1BED" w:rsidRPr="004A466A" w:rsidRDefault="009C1BED" w:rsidP="00822443">
    <w:pPr>
      <w:pStyle w:val="Cabealho"/>
      <w:ind w:left="284"/>
      <w:jc w:val="center"/>
      <w:rPr>
        <w:rFonts w:ascii="Segoe UI" w:hAnsi="Segoe UI" w:cs="Segoe UI"/>
        <w:noProof/>
        <w:color w:val="7C7C7B"/>
        <w:sz w:val="20"/>
        <w:szCs w:val="20"/>
      </w:rPr>
    </w:pPr>
    <w:r w:rsidRPr="004A466A">
      <w:rPr>
        <w:rFonts w:ascii="Segoe UI" w:hAnsi="Segoe UI" w:cs="Segoe UI"/>
        <w:noProof/>
        <w:color w:val="7C7C7B"/>
        <w:sz w:val="20"/>
        <w:szCs w:val="20"/>
      </w:rPr>
      <w:t>Em 31 de dezembro de 2022</w:t>
    </w:r>
  </w:p>
  <w:p w14:paraId="77020D10" w14:textId="1200D47A" w:rsidR="009C1BED" w:rsidRDefault="009C1BED" w:rsidP="00822443">
    <w:pPr>
      <w:pStyle w:val="Cabealho"/>
      <w:ind w:left="284"/>
      <w:jc w:val="center"/>
    </w:pPr>
    <w:r w:rsidRPr="004A466A">
      <w:rPr>
        <w:rFonts w:ascii="Segoe UI" w:hAnsi="Segoe UI" w:cs="Segoe UI"/>
        <w:i/>
        <w:iCs/>
        <w:noProof/>
        <w:color w:val="7C7C7B"/>
        <w:sz w:val="20"/>
        <w:szCs w:val="20"/>
      </w:rPr>
      <w:t>(Em milhares de reais)</w:t>
    </w:r>
  </w:p>
  <w:p w14:paraId="24BC1820" w14:textId="4DF9FFDF" w:rsidR="009C1BED" w:rsidRPr="004A466A" w:rsidRDefault="001444E0" w:rsidP="00D37B59">
    <w:pPr>
      <w:pStyle w:val="Cabealho"/>
      <w:rPr>
        <w:rFonts w:ascii="Segoe UI" w:hAnsi="Segoe UI" w:cs="Segoe UI"/>
        <w:i/>
        <w:iCs/>
        <w:color w:val="7C7C7B"/>
        <w:sz w:val="20"/>
        <w:szCs w:val="20"/>
      </w:rPr>
    </w:pPr>
    <w:r w:rsidRPr="004A466A">
      <w:rPr>
        <w:noProof/>
        <w:sz w:val="12"/>
        <w:szCs w:val="12"/>
      </w:rPr>
      <w:drawing>
        <wp:inline distT="0" distB="0" distL="0" distR="0" wp14:anchorId="0AD9FC89" wp14:editId="78D32B26">
          <wp:extent cx="8640000" cy="68513"/>
          <wp:effectExtent l="0" t="0" r="0" b="8255"/>
          <wp:docPr id="2110292977" name="Picture 211029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flipV="1">
                    <a:off x="0" y="0"/>
                    <a:ext cx="8640000" cy="68513"/>
                  </a:xfrm>
                  <a:prstGeom prst="rect">
                    <a:avLst/>
                  </a:prstGeom>
                </pic:spPr>
              </pic:pic>
            </a:graphicData>
          </a:graphic>
        </wp:inline>
      </w:drawing>
    </w:r>
  </w:p>
  <w:p w14:paraId="5EF63A19" w14:textId="344FC490" w:rsidR="009C1BED" w:rsidRDefault="009C1BED" w:rsidP="006E1B4F">
    <w:pPr>
      <w:widowControl w:val="0"/>
      <w:spacing w:after="0"/>
      <w:ind w:left="-426"/>
      <w:jc w:val="center"/>
      <w:outlineLvl w:val="0"/>
      <w:rPr>
        <w:rFonts w:ascii="Verdana" w:hAnsi="Verdana"/>
        <w:b/>
        <w:sz w:val="17"/>
        <w:szCs w:val="17"/>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E169" w14:textId="6580AA33" w:rsidR="00F34586" w:rsidRPr="004A466A" w:rsidRDefault="00F34586" w:rsidP="00822443">
    <w:pPr>
      <w:pStyle w:val="Cabealho"/>
      <w:ind w:left="284"/>
      <w:jc w:val="center"/>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1" behindDoc="0" locked="0" layoutInCell="1" allowOverlap="1" wp14:anchorId="68EF82BD" wp14:editId="477779AE">
          <wp:simplePos x="0" y="0"/>
          <wp:positionH relativeFrom="margin">
            <wp:align>left</wp:align>
          </wp:positionH>
          <wp:positionV relativeFrom="paragraph">
            <wp:posOffset>11127</wp:posOffset>
          </wp:positionV>
          <wp:extent cx="885763" cy="254442"/>
          <wp:effectExtent l="0" t="0" r="0" b="0"/>
          <wp:wrapSquare wrapText="bothSides"/>
          <wp:docPr id="1334760386" name="Picture 1334760386"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sidRPr="004A466A">
      <w:rPr>
        <w:rFonts w:ascii="Segoe UI" w:hAnsi="Segoe UI" w:cs="Segoe UI"/>
        <w:b/>
        <w:color w:val="7C7C7B"/>
        <w:sz w:val="20"/>
        <w:szCs w:val="20"/>
      </w:rPr>
      <w:t>Empresa Brasileira de Participações em Energia Nuclear e Binacional S.A.</w:t>
    </w:r>
  </w:p>
  <w:p w14:paraId="2D3652F3" w14:textId="7DAD2F24" w:rsidR="00F34586" w:rsidRPr="007C4DBA" w:rsidRDefault="00F34586" w:rsidP="0036578B">
    <w:pPr>
      <w:pStyle w:val="Cabealho"/>
      <w:ind w:left="284"/>
      <w:rPr>
        <w:rFonts w:ascii="Segoe UI" w:hAnsi="Segoe UI" w:cs="Segoe UI"/>
        <w:b/>
        <w:color w:val="7C7C7B"/>
        <w:sz w:val="12"/>
        <w:szCs w:val="12"/>
      </w:rPr>
    </w:pPr>
  </w:p>
  <w:p w14:paraId="1818EF49" w14:textId="1765FE6B" w:rsidR="00F34586" w:rsidRPr="004A466A" w:rsidRDefault="00F34586"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da Mutação do Patrimônio</w:t>
    </w:r>
  </w:p>
  <w:p w14:paraId="0FA08BCB" w14:textId="77777777" w:rsidR="00F34586" w:rsidRPr="004A466A" w:rsidRDefault="00F34586" w:rsidP="00822443">
    <w:pPr>
      <w:pStyle w:val="Cabealho"/>
      <w:ind w:left="284"/>
      <w:jc w:val="center"/>
      <w:rPr>
        <w:rFonts w:ascii="Segoe UI" w:hAnsi="Segoe UI" w:cs="Segoe UI"/>
        <w:noProof/>
        <w:color w:val="7C7C7B"/>
        <w:sz w:val="20"/>
        <w:szCs w:val="20"/>
      </w:rPr>
    </w:pPr>
    <w:r w:rsidRPr="004A466A">
      <w:rPr>
        <w:rFonts w:ascii="Segoe UI" w:hAnsi="Segoe UI" w:cs="Segoe UI"/>
        <w:noProof/>
        <w:color w:val="7C7C7B"/>
        <w:sz w:val="20"/>
        <w:szCs w:val="20"/>
      </w:rPr>
      <w:t>Em 31 de dezembro de 2022</w:t>
    </w:r>
  </w:p>
  <w:p w14:paraId="1D1F926C" w14:textId="41FC9585" w:rsidR="00F34586" w:rsidRDefault="00F34586" w:rsidP="00822443">
    <w:pPr>
      <w:pStyle w:val="Cabealho"/>
      <w:ind w:left="284"/>
      <w:jc w:val="center"/>
    </w:pPr>
    <w:r w:rsidRPr="004A466A">
      <w:rPr>
        <w:rFonts w:ascii="Segoe UI" w:hAnsi="Segoe UI" w:cs="Segoe UI"/>
        <w:i/>
        <w:iCs/>
        <w:noProof/>
        <w:color w:val="7C7C7B"/>
        <w:sz w:val="20"/>
        <w:szCs w:val="20"/>
      </w:rPr>
      <w:t>(Em milhares de reais)</w:t>
    </w:r>
  </w:p>
  <w:p w14:paraId="5F4106BF" w14:textId="77777777" w:rsidR="00F34586" w:rsidRPr="004A466A" w:rsidRDefault="00F34586" w:rsidP="00D37B59">
    <w:pPr>
      <w:pStyle w:val="Cabealho"/>
      <w:rPr>
        <w:rFonts w:ascii="Segoe UI" w:hAnsi="Segoe UI" w:cs="Segoe UI"/>
        <w:i/>
        <w:iCs/>
        <w:color w:val="7C7C7B"/>
        <w:sz w:val="20"/>
        <w:szCs w:val="20"/>
      </w:rPr>
    </w:pPr>
    <w:r w:rsidRPr="004A466A">
      <w:rPr>
        <w:noProof/>
        <w:sz w:val="12"/>
        <w:szCs w:val="12"/>
      </w:rPr>
      <w:drawing>
        <wp:inline distT="0" distB="0" distL="0" distR="0" wp14:anchorId="4D83ED10" wp14:editId="592A6B62">
          <wp:extent cx="8640000" cy="68513"/>
          <wp:effectExtent l="0" t="0" r="0" b="8255"/>
          <wp:docPr id="360259769" name="Picture 36025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flipV="1">
                    <a:off x="0" y="0"/>
                    <a:ext cx="8640000" cy="68513"/>
                  </a:xfrm>
                  <a:prstGeom prst="rect">
                    <a:avLst/>
                  </a:prstGeom>
                </pic:spPr>
              </pic:pic>
            </a:graphicData>
          </a:graphic>
        </wp:inline>
      </w:drawing>
    </w:r>
  </w:p>
  <w:p w14:paraId="5CACB6D9" w14:textId="77777777" w:rsidR="00F34586" w:rsidRDefault="00F34586" w:rsidP="006E1B4F">
    <w:pPr>
      <w:widowControl w:val="0"/>
      <w:spacing w:after="0"/>
      <w:ind w:left="-426"/>
      <w:jc w:val="center"/>
      <w:outlineLvl w:val="0"/>
      <w:rPr>
        <w:rFonts w:ascii="Verdana" w:hAnsi="Verdana"/>
        <w:b/>
        <w:sz w:val="17"/>
        <w:szCs w:val="17"/>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918" w14:textId="10C36E64" w:rsidR="004440B3" w:rsidRPr="004A466A" w:rsidRDefault="004440B3" w:rsidP="0036578B">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2" behindDoc="0" locked="0" layoutInCell="1" allowOverlap="1" wp14:anchorId="5EDD3C34" wp14:editId="685B761F">
          <wp:simplePos x="0" y="0"/>
          <wp:positionH relativeFrom="margin">
            <wp:align>left</wp:align>
          </wp:positionH>
          <wp:positionV relativeFrom="paragraph">
            <wp:posOffset>11127</wp:posOffset>
          </wp:positionV>
          <wp:extent cx="885763" cy="254442"/>
          <wp:effectExtent l="0" t="0" r="0" b="0"/>
          <wp:wrapSquare wrapText="bothSides"/>
          <wp:docPr id="567179370" name="Picture 567179370"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55F34ED5" w14:textId="77777777" w:rsidR="004440B3" w:rsidRPr="007C4DBA" w:rsidRDefault="004440B3" w:rsidP="0036578B">
    <w:pPr>
      <w:pStyle w:val="Cabealho"/>
      <w:ind w:left="284"/>
      <w:rPr>
        <w:rFonts w:ascii="Segoe UI" w:hAnsi="Segoe UI" w:cs="Segoe UI"/>
        <w:b/>
        <w:color w:val="7C7C7B"/>
        <w:sz w:val="12"/>
        <w:szCs w:val="12"/>
      </w:rPr>
    </w:pPr>
  </w:p>
  <w:p w14:paraId="7224154C" w14:textId="2B47DF3D" w:rsidR="004440B3" w:rsidRPr="004A466A" w:rsidRDefault="004440B3"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w:t>
    </w:r>
    <w:r w:rsidR="00144E26">
      <w:rPr>
        <w:rFonts w:ascii="Segoe UI" w:hAnsi="Segoe UI" w:cs="Segoe UI"/>
        <w:b/>
        <w:bCs/>
        <w:noProof/>
        <w:color w:val="7C7C7B"/>
        <w:sz w:val="20"/>
        <w:szCs w:val="20"/>
      </w:rPr>
      <w:t>e Fluxo de Caixa</w:t>
    </w:r>
  </w:p>
  <w:p w14:paraId="6D51EF3B" w14:textId="77777777" w:rsidR="004440B3" w:rsidRPr="004A466A" w:rsidRDefault="004440B3" w:rsidP="00822443">
    <w:pPr>
      <w:pStyle w:val="Cabealho"/>
      <w:ind w:left="284"/>
      <w:jc w:val="center"/>
      <w:rPr>
        <w:rFonts w:ascii="Segoe UI" w:hAnsi="Segoe UI" w:cs="Segoe UI"/>
        <w:noProof/>
        <w:color w:val="7C7C7B"/>
        <w:sz w:val="20"/>
        <w:szCs w:val="20"/>
      </w:rPr>
    </w:pPr>
    <w:r w:rsidRPr="004A466A">
      <w:rPr>
        <w:rFonts w:ascii="Segoe UI" w:hAnsi="Segoe UI" w:cs="Segoe UI"/>
        <w:noProof/>
        <w:color w:val="7C7C7B"/>
        <w:sz w:val="20"/>
        <w:szCs w:val="20"/>
      </w:rPr>
      <w:t>Em 31 de dezembro de 2022</w:t>
    </w:r>
  </w:p>
  <w:p w14:paraId="7B53968D" w14:textId="2605A7A1" w:rsidR="004440B3" w:rsidRDefault="004440B3" w:rsidP="00822443">
    <w:pPr>
      <w:pStyle w:val="Cabealho"/>
      <w:ind w:left="284"/>
      <w:jc w:val="center"/>
    </w:pPr>
    <w:r w:rsidRPr="004A466A">
      <w:rPr>
        <w:rFonts w:ascii="Segoe UI" w:hAnsi="Segoe UI" w:cs="Segoe UI"/>
        <w:i/>
        <w:iCs/>
        <w:noProof/>
        <w:color w:val="7C7C7B"/>
        <w:sz w:val="20"/>
        <w:szCs w:val="20"/>
      </w:rPr>
      <w:t>(Em milhares de reais)</w:t>
    </w:r>
  </w:p>
  <w:p w14:paraId="44898ABE" w14:textId="06194419" w:rsidR="00107E42" w:rsidRPr="004A466A" w:rsidRDefault="00107E42" w:rsidP="00D37B59">
    <w:pPr>
      <w:pStyle w:val="Cabealho"/>
      <w:rPr>
        <w:noProof/>
        <w:sz w:val="12"/>
        <w:szCs w:val="12"/>
      </w:rPr>
    </w:pPr>
  </w:p>
  <w:p w14:paraId="50C3A39F" w14:textId="44492126" w:rsidR="004440B3" w:rsidRPr="004A466A" w:rsidRDefault="00107E42" w:rsidP="00D37B59">
    <w:pPr>
      <w:pStyle w:val="Cabealho"/>
      <w:rPr>
        <w:rFonts w:ascii="Segoe UI" w:hAnsi="Segoe UI" w:cs="Segoe UI"/>
        <w:i/>
        <w:iCs/>
        <w:color w:val="7C7C7B"/>
        <w:sz w:val="20"/>
        <w:szCs w:val="20"/>
      </w:rPr>
    </w:pPr>
    <w:r w:rsidRPr="004A466A">
      <w:rPr>
        <w:noProof/>
        <w:sz w:val="12"/>
        <w:szCs w:val="12"/>
      </w:rPr>
      <w:drawing>
        <wp:inline distT="0" distB="0" distL="0" distR="0" wp14:anchorId="20C91431" wp14:editId="1B75F057">
          <wp:extent cx="5671185" cy="44450"/>
          <wp:effectExtent l="0" t="0" r="5715" b="0"/>
          <wp:docPr id="8798030" name="Picture 879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flipV="1">
                    <a:off x="0" y="0"/>
                    <a:ext cx="5671185" cy="44450"/>
                  </a:xfrm>
                  <a:prstGeom prst="rect">
                    <a:avLst/>
                  </a:prstGeom>
                </pic:spPr>
              </pic:pic>
            </a:graphicData>
          </a:graphic>
        </wp:inline>
      </w:drawing>
    </w:r>
  </w:p>
  <w:p w14:paraId="7C68E319" w14:textId="77777777" w:rsidR="004440B3" w:rsidRDefault="004440B3" w:rsidP="006E1B4F">
    <w:pPr>
      <w:widowControl w:val="0"/>
      <w:spacing w:after="0"/>
      <w:ind w:left="-426"/>
      <w:jc w:val="center"/>
      <w:outlineLvl w:val="0"/>
      <w:rPr>
        <w:rFonts w:ascii="Verdana" w:hAnsi="Verdana"/>
        <w:b/>
        <w:sz w:val="17"/>
        <w:szCs w:val="17"/>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EF7C" w14:textId="4862C8F0" w:rsidR="00144E26" w:rsidRPr="004A466A" w:rsidRDefault="00144E26" w:rsidP="0036578B">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3" behindDoc="0" locked="0" layoutInCell="1" allowOverlap="1" wp14:anchorId="1504C151" wp14:editId="7278F7A5">
          <wp:simplePos x="0" y="0"/>
          <wp:positionH relativeFrom="margin">
            <wp:align>left</wp:align>
          </wp:positionH>
          <wp:positionV relativeFrom="paragraph">
            <wp:posOffset>11127</wp:posOffset>
          </wp:positionV>
          <wp:extent cx="885763" cy="254442"/>
          <wp:effectExtent l="0" t="0" r="0" b="0"/>
          <wp:wrapSquare wrapText="bothSides"/>
          <wp:docPr id="579094491" name="Picture 579094491"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451A2F87" w14:textId="77777777" w:rsidR="00144E26" w:rsidRPr="007C4DBA" w:rsidRDefault="00144E26" w:rsidP="0036578B">
    <w:pPr>
      <w:pStyle w:val="Cabealho"/>
      <w:ind w:left="284"/>
      <w:rPr>
        <w:rFonts w:ascii="Segoe UI" w:hAnsi="Segoe UI" w:cs="Segoe UI"/>
        <w:b/>
        <w:color w:val="7C7C7B"/>
        <w:sz w:val="12"/>
        <w:szCs w:val="12"/>
      </w:rPr>
    </w:pPr>
  </w:p>
  <w:p w14:paraId="189E32D3" w14:textId="64A7CEB0" w:rsidR="00144E26" w:rsidRPr="004A466A" w:rsidRDefault="00144E26"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do Valor Adicionado</w:t>
    </w:r>
  </w:p>
  <w:p w14:paraId="081087E5" w14:textId="77777777" w:rsidR="00144E26" w:rsidRPr="004A466A" w:rsidRDefault="00144E26" w:rsidP="00822443">
    <w:pPr>
      <w:pStyle w:val="Cabealho"/>
      <w:ind w:left="284"/>
      <w:jc w:val="center"/>
      <w:rPr>
        <w:rFonts w:ascii="Segoe UI" w:hAnsi="Segoe UI" w:cs="Segoe UI"/>
        <w:noProof/>
        <w:color w:val="7C7C7B"/>
        <w:sz w:val="20"/>
        <w:szCs w:val="20"/>
      </w:rPr>
    </w:pPr>
    <w:r w:rsidRPr="004A466A">
      <w:rPr>
        <w:rFonts w:ascii="Segoe UI" w:hAnsi="Segoe UI" w:cs="Segoe UI"/>
        <w:noProof/>
        <w:color w:val="7C7C7B"/>
        <w:sz w:val="20"/>
        <w:szCs w:val="20"/>
      </w:rPr>
      <w:t>Em 31 de dezembro de 2022</w:t>
    </w:r>
  </w:p>
  <w:p w14:paraId="0351AEB0" w14:textId="77777777" w:rsidR="000B4D5F" w:rsidRDefault="00144E26" w:rsidP="00822443">
    <w:pPr>
      <w:pStyle w:val="Cabealho"/>
      <w:ind w:left="284"/>
      <w:jc w:val="center"/>
      <w:rPr>
        <w:rFonts w:ascii="Segoe UI" w:hAnsi="Segoe UI" w:cs="Segoe UI"/>
        <w:i/>
        <w:iCs/>
        <w:color w:val="7C7C7B"/>
        <w:sz w:val="20"/>
        <w:szCs w:val="20"/>
      </w:rPr>
    </w:pPr>
    <w:r w:rsidRPr="004A466A">
      <w:rPr>
        <w:rFonts w:ascii="Segoe UI" w:hAnsi="Segoe UI" w:cs="Segoe UI"/>
        <w:i/>
        <w:iCs/>
        <w:noProof/>
        <w:color w:val="7C7C7B"/>
        <w:sz w:val="20"/>
        <w:szCs w:val="20"/>
      </w:rPr>
      <w:t>(Em milhares de reais)</w:t>
    </w:r>
    <w:r w:rsidRPr="004A466A">
      <w:t xml:space="preserve"> </w:t>
    </w:r>
    <w:r w:rsidR="00107E42" w:rsidRPr="004A466A">
      <w:rPr>
        <w:noProof/>
        <w:sz w:val="12"/>
        <w:szCs w:val="12"/>
      </w:rPr>
      <w:drawing>
        <wp:inline distT="0" distB="0" distL="0" distR="0" wp14:anchorId="5D432D9D" wp14:editId="272240E8">
          <wp:extent cx="5671185" cy="44450"/>
          <wp:effectExtent l="0" t="0" r="5715" b="0"/>
          <wp:docPr id="405686118" name="Picture 40568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flipV="1">
                    <a:off x="0" y="0"/>
                    <a:ext cx="5671185" cy="44450"/>
                  </a:xfrm>
                  <a:prstGeom prst="rect">
                    <a:avLst/>
                  </a:prstGeom>
                </pic:spPr>
              </pic:pic>
            </a:graphicData>
          </a:graphic>
        </wp:inline>
      </w:drawing>
    </w:r>
  </w:p>
  <w:p w14:paraId="3938509E" w14:textId="49D0AB38" w:rsidR="00144E26" w:rsidRPr="004A466A" w:rsidRDefault="00144E26" w:rsidP="00107E42">
    <w:pPr>
      <w:pStyle w:val="Cabealho"/>
      <w:ind w:left="284"/>
      <w:rPr>
        <w:rFonts w:ascii="Segoe UI" w:hAnsi="Segoe UI" w:cs="Segoe UI"/>
        <w:i/>
        <w:iCs/>
        <w:color w:val="7C7C7B"/>
        <w:sz w:val="20"/>
        <w:szCs w:val="20"/>
      </w:rPr>
    </w:pPr>
  </w:p>
  <w:p w14:paraId="4079A03B" w14:textId="77777777" w:rsidR="00144E26" w:rsidRDefault="00144E26" w:rsidP="006E1B4F">
    <w:pPr>
      <w:widowControl w:val="0"/>
      <w:spacing w:after="0"/>
      <w:ind w:left="-426"/>
      <w:jc w:val="center"/>
      <w:outlineLvl w:val="0"/>
      <w:rPr>
        <w:rFonts w:ascii="Verdana" w:hAnsi="Verdana"/>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62B"/>
    <w:multiLevelType w:val="hybridMultilevel"/>
    <w:tmpl w:val="7FB4C1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7567C"/>
    <w:multiLevelType w:val="hybridMultilevel"/>
    <w:tmpl w:val="641E4F14"/>
    <w:styleLink w:val="EstiloImportado5"/>
    <w:lvl w:ilvl="0" w:tplc="641E4F14">
      <w:start w:val="1"/>
      <w:numFmt w:val="lowerLetter"/>
      <w:lvlText w:val="%1)"/>
      <w:lvlJc w:val="left"/>
      <w:pPr>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CAD6CC">
      <w:start w:val="1"/>
      <w:numFmt w:val="lowerLetter"/>
      <w:lvlText w:val="%2."/>
      <w:lvlJc w:val="left"/>
      <w:pPr>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3442330">
      <w:start w:val="1"/>
      <w:numFmt w:val="lowerRoman"/>
      <w:lvlText w:val="%3."/>
      <w:lvlJc w:val="left"/>
      <w:pPr>
        <w:ind w:left="2858"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691CE348">
      <w:start w:val="1"/>
      <w:numFmt w:val="decimal"/>
      <w:lvlText w:val="%4."/>
      <w:lvlJc w:val="left"/>
      <w:pPr>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B307D5A">
      <w:start w:val="1"/>
      <w:numFmt w:val="lowerLetter"/>
      <w:lvlText w:val="%5."/>
      <w:lvlJc w:val="left"/>
      <w:pPr>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53A824C">
      <w:start w:val="1"/>
      <w:numFmt w:val="lowerRoman"/>
      <w:lvlText w:val="%6."/>
      <w:lvlJc w:val="left"/>
      <w:pPr>
        <w:ind w:left="5018"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04B29B38">
      <w:start w:val="1"/>
      <w:numFmt w:val="decimal"/>
      <w:lvlText w:val="%7."/>
      <w:lvlJc w:val="left"/>
      <w:pPr>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94C9BE6">
      <w:start w:val="1"/>
      <w:numFmt w:val="lowerLetter"/>
      <w:lvlText w:val="%8."/>
      <w:lvlJc w:val="left"/>
      <w:pPr>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540EDC">
      <w:start w:val="1"/>
      <w:numFmt w:val="lowerRoman"/>
      <w:lvlText w:val="%9."/>
      <w:lvlJc w:val="left"/>
      <w:pPr>
        <w:ind w:left="7178"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C15ACB"/>
    <w:multiLevelType w:val="hybridMultilevel"/>
    <w:tmpl w:val="6C16FD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4" w15:restartNumberingAfterBreak="0">
    <w:nsid w:val="11C033EE"/>
    <w:multiLevelType w:val="hybridMultilevel"/>
    <w:tmpl w:val="8AC08AC6"/>
    <w:lvl w:ilvl="0" w:tplc="F4B66DCC">
      <w:start w:val="1"/>
      <w:numFmt w:val="lowerLetter"/>
      <w:lvlText w:val="%1)"/>
      <w:lvlJc w:val="left"/>
      <w:pPr>
        <w:ind w:left="720" w:hanging="360"/>
      </w:pPr>
      <w:rPr>
        <w:rFonts w:ascii="Segoe UI" w:hAnsi="Segoe UI" w:cs="Segoe U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2A4ABB"/>
    <w:multiLevelType w:val="hybridMultilevel"/>
    <w:tmpl w:val="39EA5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71E6F"/>
    <w:multiLevelType w:val="multilevel"/>
    <w:tmpl w:val="639CDF76"/>
    <w:lvl w:ilvl="0">
      <w:start w:val="1"/>
      <w:numFmt w:val="lowerLetter"/>
      <w:lvlText w:val="%1)"/>
      <w:lvlJc w:val="left"/>
      <w:pPr>
        <w:ind w:left="360" w:hanging="360"/>
      </w:pPr>
      <w:rPr>
        <w:rFonts w:ascii="Verdana" w:eastAsia="Times New Roman" w:hAnsi="Verdana" w:cstheme="minorHAnsi"/>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4315B0"/>
    <w:multiLevelType w:val="hybridMultilevel"/>
    <w:tmpl w:val="641E4F14"/>
    <w:numStyleLink w:val="EstiloImportado5"/>
  </w:abstractNum>
  <w:abstractNum w:abstractNumId="9"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0" w15:restartNumberingAfterBreak="0">
    <w:nsid w:val="3823509D"/>
    <w:multiLevelType w:val="hybridMultilevel"/>
    <w:tmpl w:val="BA7CCBDA"/>
    <w:lvl w:ilvl="0" w:tplc="A4B2BA8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88A3767"/>
    <w:multiLevelType w:val="multilevel"/>
    <w:tmpl w:val="0A441F2C"/>
    <w:lvl w:ilvl="0">
      <w:start w:val="1"/>
      <w:numFmt w:val="lowerLetter"/>
      <w:lvlText w:val="%1)"/>
      <w:lvlJc w:val="left"/>
      <w:pPr>
        <w:ind w:left="360" w:hanging="360"/>
      </w:pPr>
      <w:rPr>
        <w:rFonts w:ascii="Segoe UI" w:eastAsiaTheme="minorHAns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A07CE"/>
    <w:multiLevelType w:val="hybridMultilevel"/>
    <w:tmpl w:val="BBB6D8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6334BF"/>
    <w:multiLevelType w:val="hybridMultilevel"/>
    <w:tmpl w:val="C80C2D0E"/>
    <w:lvl w:ilvl="0" w:tplc="D62617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46A636F"/>
    <w:multiLevelType w:val="hybridMultilevel"/>
    <w:tmpl w:val="B93CD1CE"/>
    <w:lvl w:ilvl="0" w:tplc="659A2798">
      <w:start w:val="1"/>
      <w:numFmt w:val="bullet"/>
      <w:lvlText w:val=""/>
      <w:lvlJc w:val="left"/>
      <w:pPr>
        <w:tabs>
          <w:tab w:val="num" w:pos="720"/>
        </w:tabs>
        <w:ind w:left="720" w:hanging="360"/>
      </w:pPr>
      <w:rPr>
        <w:rFonts w:ascii="Symbol" w:hAnsi="Symbol" w:hint="default"/>
      </w:rPr>
    </w:lvl>
    <w:lvl w:ilvl="1" w:tplc="7BD295B6" w:tentative="1">
      <w:start w:val="1"/>
      <w:numFmt w:val="bullet"/>
      <w:lvlText w:val=""/>
      <w:lvlJc w:val="left"/>
      <w:pPr>
        <w:tabs>
          <w:tab w:val="num" w:pos="1440"/>
        </w:tabs>
        <w:ind w:left="1440" w:hanging="360"/>
      </w:pPr>
      <w:rPr>
        <w:rFonts w:ascii="Symbol" w:hAnsi="Symbol" w:hint="default"/>
      </w:rPr>
    </w:lvl>
    <w:lvl w:ilvl="2" w:tplc="CFB02170" w:tentative="1">
      <w:start w:val="1"/>
      <w:numFmt w:val="bullet"/>
      <w:lvlText w:val=""/>
      <w:lvlJc w:val="left"/>
      <w:pPr>
        <w:tabs>
          <w:tab w:val="num" w:pos="2160"/>
        </w:tabs>
        <w:ind w:left="2160" w:hanging="360"/>
      </w:pPr>
      <w:rPr>
        <w:rFonts w:ascii="Symbol" w:hAnsi="Symbol" w:hint="default"/>
      </w:rPr>
    </w:lvl>
    <w:lvl w:ilvl="3" w:tplc="0AB658EA" w:tentative="1">
      <w:start w:val="1"/>
      <w:numFmt w:val="bullet"/>
      <w:lvlText w:val=""/>
      <w:lvlJc w:val="left"/>
      <w:pPr>
        <w:tabs>
          <w:tab w:val="num" w:pos="2880"/>
        </w:tabs>
        <w:ind w:left="2880" w:hanging="360"/>
      </w:pPr>
      <w:rPr>
        <w:rFonts w:ascii="Symbol" w:hAnsi="Symbol" w:hint="default"/>
      </w:rPr>
    </w:lvl>
    <w:lvl w:ilvl="4" w:tplc="837ED8D0" w:tentative="1">
      <w:start w:val="1"/>
      <w:numFmt w:val="bullet"/>
      <w:lvlText w:val=""/>
      <w:lvlJc w:val="left"/>
      <w:pPr>
        <w:tabs>
          <w:tab w:val="num" w:pos="3600"/>
        </w:tabs>
        <w:ind w:left="3600" w:hanging="360"/>
      </w:pPr>
      <w:rPr>
        <w:rFonts w:ascii="Symbol" w:hAnsi="Symbol" w:hint="default"/>
      </w:rPr>
    </w:lvl>
    <w:lvl w:ilvl="5" w:tplc="28DE1AC8" w:tentative="1">
      <w:start w:val="1"/>
      <w:numFmt w:val="bullet"/>
      <w:lvlText w:val=""/>
      <w:lvlJc w:val="left"/>
      <w:pPr>
        <w:tabs>
          <w:tab w:val="num" w:pos="4320"/>
        </w:tabs>
        <w:ind w:left="4320" w:hanging="360"/>
      </w:pPr>
      <w:rPr>
        <w:rFonts w:ascii="Symbol" w:hAnsi="Symbol" w:hint="default"/>
      </w:rPr>
    </w:lvl>
    <w:lvl w:ilvl="6" w:tplc="D512BE94" w:tentative="1">
      <w:start w:val="1"/>
      <w:numFmt w:val="bullet"/>
      <w:lvlText w:val=""/>
      <w:lvlJc w:val="left"/>
      <w:pPr>
        <w:tabs>
          <w:tab w:val="num" w:pos="5040"/>
        </w:tabs>
        <w:ind w:left="5040" w:hanging="360"/>
      </w:pPr>
      <w:rPr>
        <w:rFonts w:ascii="Symbol" w:hAnsi="Symbol" w:hint="default"/>
      </w:rPr>
    </w:lvl>
    <w:lvl w:ilvl="7" w:tplc="E40AE33A" w:tentative="1">
      <w:start w:val="1"/>
      <w:numFmt w:val="bullet"/>
      <w:lvlText w:val=""/>
      <w:lvlJc w:val="left"/>
      <w:pPr>
        <w:tabs>
          <w:tab w:val="num" w:pos="5760"/>
        </w:tabs>
        <w:ind w:left="5760" w:hanging="360"/>
      </w:pPr>
      <w:rPr>
        <w:rFonts w:ascii="Symbol" w:hAnsi="Symbol" w:hint="default"/>
      </w:rPr>
    </w:lvl>
    <w:lvl w:ilvl="8" w:tplc="B350940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7A7D19"/>
    <w:multiLevelType w:val="hybridMultilevel"/>
    <w:tmpl w:val="641E4F14"/>
    <w:numStyleLink w:val="EstiloImportado5"/>
  </w:abstractNum>
  <w:abstractNum w:abstractNumId="17" w15:restartNumberingAfterBreak="0">
    <w:nsid w:val="7E195767"/>
    <w:multiLevelType w:val="hybridMultilevel"/>
    <w:tmpl w:val="641E4F14"/>
    <w:numStyleLink w:val="EstiloImportado5"/>
  </w:abstractNum>
  <w:num w:numId="1" w16cid:durableId="809518760">
    <w:abstractNumId w:val="15"/>
  </w:num>
  <w:num w:numId="2" w16cid:durableId="688916739">
    <w:abstractNumId w:val="2"/>
  </w:num>
  <w:num w:numId="3" w16cid:durableId="1085027898">
    <w:abstractNumId w:val="3"/>
  </w:num>
  <w:num w:numId="4" w16cid:durableId="879510567">
    <w:abstractNumId w:val="7"/>
  </w:num>
  <w:num w:numId="5" w16cid:durableId="1747531349">
    <w:abstractNumId w:val="9"/>
  </w:num>
  <w:num w:numId="6" w16cid:durableId="1891185702">
    <w:abstractNumId w:val="6"/>
  </w:num>
  <w:num w:numId="7" w16cid:durableId="2010405886">
    <w:abstractNumId w:val="12"/>
  </w:num>
  <w:num w:numId="8" w16cid:durableId="1926842287">
    <w:abstractNumId w:val="0"/>
  </w:num>
  <w:num w:numId="9" w16cid:durableId="657419842">
    <w:abstractNumId w:val="11"/>
  </w:num>
  <w:num w:numId="10" w16cid:durableId="349992646">
    <w:abstractNumId w:val="10"/>
  </w:num>
  <w:num w:numId="11" w16cid:durableId="171533372">
    <w:abstractNumId w:val="5"/>
  </w:num>
  <w:num w:numId="12" w16cid:durableId="1853252073">
    <w:abstractNumId w:val="1"/>
  </w:num>
  <w:num w:numId="13" w16cid:durableId="1809587732">
    <w:abstractNumId w:val="17"/>
  </w:num>
  <w:num w:numId="14" w16cid:durableId="61686932">
    <w:abstractNumId w:val="8"/>
  </w:num>
  <w:num w:numId="15" w16cid:durableId="1079979997">
    <w:abstractNumId w:val="16"/>
  </w:num>
  <w:num w:numId="16" w16cid:durableId="1853908550">
    <w:abstractNumId w:val="13"/>
  </w:num>
  <w:num w:numId="17" w16cid:durableId="1523786486">
    <w:abstractNumId w:val="4"/>
  </w:num>
  <w:num w:numId="18" w16cid:durableId="148650741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48"/>
    <w:rsid w:val="00000ACA"/>
    <w:rsid w:val="00001D24"/>
    <w:rsid w:val="00003AEC"/>
    <w:rsid w:val="0000406E"/>
    <w:rsid w:val="00004F95"/>
    <w:rsid w:val="00006B21"/>
    <w:rsid w:val="00006B6D"/>
    <w:rsid w:val="00013936"/>
    <w:rsid w:val="00014731"/>
    <w:rsid w:val="00015419"/>
    <w:rsid w:val="00015A35"/>
    <w:rsid w:val="00015E27"/>
    <w:rsid w:val="0002009E"/>
    <w:rsid w:val="000201B3"/>
    <w:rsid w:val="000209F1"/>
    <w:rsid w:val="00020B8F"/>
    <w:rsid w:val="00020CE8"/>
    <w:rsid w:val="000219E7"/>
    <w:rsid w:val="00022E79"/>
    <w:rsid w:val="00022F0E"/>
    <w:rsid w:val="000235DC"/>
    <w:rsid w:val="00024856"/>
    <w:rsid w:val="00024977"/>
    <w:rsid w:val="0002509A"/>
    <w:rsid w:val="000259CC"/>
    <w:rsid w:val="00025B2D"/>
    <w:rsid w:val="00026740"/>
    <w:rsid w:val="00026F8D"/>
    <w:rsid w:val="00027A0C"/>
    <w:rsid w:val="00027C0C"/>
    <w:rsid w:val="00031662"/>
    <w:rsid w:val="00031C58"/>
    <w:rsid w:val="00032B0B"/>
    <w:rsid w:val="0003385E"/>
    <w:rsid w:val="000347CF"/>
    <w:rsid w:val="0003487D"/>
    <w:rsid w:val="000352AF"/>
    <w:rsid w:val="00035BD2"/>
    <w:rsid w:val="00035C16"/>
    <w:rsid w:val="000372A2"/>
    <w:rsid w:val="00037808"/>
    <w:rsid w:val="00037A28"/>
    <w:rsid w:val="00037D4B"/>
    <w:rsid w:val="00037DAC"/>
    <w:rsid w:val="00040BAC"/>
    <w:rsid w:val="00040C8F"/>
    <w:rsid w:val="000414F1"/>
    <w:rsid w:val="000415F2"/>
    <w:rsid w:val="000421B7"/>
    <w:rsid w:val="00042D20"/>
    <w:rsid w:val="00043963"/>
    <w:rsid w:val="000449BB"/>
    <w:rsid w:val="00044A6F"/>
    <w:rsid w:val="0004655D"/>
    <w:rsid w:val="00046993"/>
    <w:rsid w:val="00046F04"/>
    <w:rsid w:val="00047400"/>
    <w:rsid w:val="0004787E"/>
    <w:rsid w:val="000479FF"/>
    <w:rsid w:val="00047F10"/>
    <w:rsid w:val="00047F6D"/>
    <w:rsid w:val="000503AC"/>
    <w:rsid w:val="00050BE6"/>
    <w:rsid w:val="00054DC0"/>
    <w:rsid w:val="0005595A"/>
    <w:rsid w:val="00056028"/>
    <w:rsid w:val="0005610E"/>
    <w:rsid w:val="00056CEA"/>
    <w:rsid w:val="0005751D"/>
    <w:rsid w:val="00062C41"/>
    <w:rsid w:val="0006514A"/>
    <w:rsid w:val="0006560D"/>
    <w:rsid w:val="000656CC"/>
    <w:rsid w:val="000660B3"/>
    <w:rsid w:val="000660B9"/>
    <w:rsid w:val="000663F7"/>
    <w:rsid w:val="000673BC"/>
    <w:rsid w:val="00067662"/>
    <w:rsid w:val="00071A62"/>
    <w:rsid w:val="000720D4"/>
    <w:rsid w:val="00074400"/>
    <w:rsid w:val="00074B51"/>
    <w:rsid w:val="000751A0"/>
    <w:rsid w:val="000757BC"/>
    <w:rsid w:val="00075813"/>
    <w:rsid w:val="0007588C"/>
    <w:rsid w:val="00075D61"/>
    <w:rsid w:val="000761D7"/>
    <w:rsid w:val="0007632F"/>
    <w:rsid w:val="00080D1E"/>
    <w:rsid w:val="00080D70"/>
    <w:rsid w:val="0008133A"/>
    <w:rsid w:val="00084C79"/>
    <w:rsid w:val="000853E7"/>
    <w:rsid w:val="00085438"/>
    <w:rsid w:val="00086261"/>
    <w:rsid w:val="00086A00"/>
    <w:rsid w:val="00092FD7"/>
    <w:rsid w:val="0009345E"/>
    <w:rsid w:val="00093E15"/>
    <w:rsid w:val="00095A09"/>
    <w:rsid w:val="00096C6F"/>
    <w:rsid w:val="0009744B"/>
    <w:rsid w:val="00097CBA"/>
    <w:rsid w:val="000A017F"/>
    <w:rsid w:val="000A059A"/>
    <w:rsid w:val="000A0B7F"/>
    <w:rsid w:val="000A114A"/>
    <w:rsid w:val="000A1800"/>
    <w:rsid w:val="000A2146"/>
    <w:rsid w:val="000A23FB"/>
    <w:rsid w:val="000A2B0A"/>
    <w:rsid w:val="000A349F"/>
    <w:rsid w:val="000A3E49"/>
    <w:rsid w:val="000A452D"/>
    <w:rsid w:val="000A4B6F"/>
    <w:rsid w:val="000A74D5"/>
    <w:rsid w:val="000B0F2A"/>
    <w:rsid w:val="000B17F1"/>
    <w:rsid w:val="000B323D"/>
    <w:rsid w:val="000B3334"/>
    <w:rsid w:val="000B4A56"/>
    <w:rsid w:val="000B4D5F"/>
    <w:rsid w:val="000B746E"/>
    <w:rsid w:val="000B7D0F"/>
    <w:rsid w:val="000C25A4"/>
    <w:rsid w:val="000C5F99"/>
    <w:rsid w:val="000C6220"/>
    <w:rsid w:val="000C6356"/>
    <w:rsid w:val="000D0049"/>
    <w:rsid w:val="000D407F"/>
    <w:rsid w:val="000D50A0"/>
    <w:rsid w:val="000D6074"/>
    <w:rsid w:val="000D63A0"/>
    <w:rsid w:val="000E006E"/>
    <w:rsid w:val="000E0DA9"/>
    <w:rsid w:val="000E1280"/>
    <w:rsid w:val="000E15D3"/>
    <w:rsid w:val="000E2851"/>
    <w:rsid w:val="000E2F53"/>
    <w:rsid w:val="000E42EE"/>
    <w:rsid w:val="000E597E"/>
    <w:rsid w:val="000E7CC4"/>
    <w:rsid w:val="000F022D"/>
    <w:rsid w:val="000F032E"/>
    <w:rsid w:val="000F063E"/>
    <w:rsid w:val="000F0B6B"/>
    <w:rsid w:val="000F3360"/>
    <w:rsid w:val="000F34B7"/>
    <w:rsid w:val="000F36A4"/>
    <w:rsid w:val="000F389E"/>
    <w:rsid w:val="000F4984"/>
    <w:rsid w:val="000F50CB"/>
    <w:rsid w:val="000F5465"/>
    <w:rsid w:val="000F5F14"/>
    <w:rsid w:val="000F6418"/>
    <w:rsid w:val="000F693A"/>
    <w:rsid w:val="000F71CB"/>
    <w:rsid w:val="000F738E"/>
    <w:rsid w:val="0010151C"/>
    <w:rsid w:val="001017E7"/>
    <w:rsid w:val="00102A6B"/>
    <w:rsid w:val="00104F2E"/>
    <w:rsid w:val="00105472"/>
    <w:rsid w:val="00105DD8"/>
    <w:rsid w:val="00106127"/>
    <w:rsid w:val="001070C5"/>
    <w:rsid w:val="001076FE"/>
    <w:rsid w:val="00107D21"/>
    <w:rsid w:val="00107E42"/>
    <w:rsid w:val="00110627"/>
    <w:rsid w:val="0011076B"/>
    <w:rsid w:val="001113FA"/>
    <w:rsid w:val="0011370E"/>
    <w:rsid w:val="00113B39"/>
    <w:rsid w:val="00114864"/>
    <w:rsid w:val="0011541E"/>
    <w:rsid w:val="001156FC"/>
    <w:rsid w:val="00116729"/>
    <w:rsid w:val="0011745F"/>
    <w:rsid w:val="001176AA"/>
    <w:rsid w:val="001217C9"/>
    <w:rsid w:val="00123124"/>
    <w:rsid w:val="00123537"/>
    <w:rsid w:val="00123A7A"/>
    <w:rsid w:val="00123F95"/>
    <w:rsid w:val="00124586"/>
    <w:rsid w:val="0012625D"/>
    <w:rsid w:val="001326BE"/>
    <w:rsid w:val="0013282A"/>
    <w:rsid w:val="001331D7"/>
    <w:rsid w:val="001338A8"/>
    <w:rsid w:val="0013486E"/>
    <w:rsid w:val="00135057"/>
    <w:rsid w:val="00136264"/>
    <w:rsid w:val="001415EE"/>
    <w:rsid w:val="00141846"/>
    <w:rsid w:val="00141AAF"/>
    <w:rsid w:val="0014256D"/>
    <w:rsid w:val="00142CA0"/>
    <w:rsid w:val="0014302E"/>
    <w:rsid w:val="0014353A"/>
    <w:rsid w:val="0014417D"/>
    <w:rsid w:val="001444E0"/>
    <w:rsid w:val="001447F3"/>
    <w:rsid w:val="00144CFD"/>
    <w:rsid w:val="00144E26"/>
    <w:rsid w:val="00145035"/>
    <w:rsid w:val="001450B5"/>
    <w:rsid w:val="0014614C"/>
    <w:rsid w:val="0014680E"/>
    <w:rsid w:val="00147154"/>
    <w:rsid w:val="0015061F"/>
    <w:rsid w:val="00151194"/>
    <w:rsid w:val="001513D9"/>
    <w:rsid w:val="00152E57"/>
    <w:rsid w:val="001540D0"/>
    <w:rsid w:val="00154534"/>
    <w:rsid w:val="001545D0"/>
    <w:rsid w:val="001549BA"/>
    <w:rsid w:val="00154AAA"/>
    <w:rsid w:val="00154AC4"/>
    <w:rsid w:val="0015523C"/>
    <w:rsid w:val="00155446"/>
    <w:rsid w:val="001571DC"/>
    <w:rsid w:val="00157D13"/>
    <w:rsid w:val="001605DE"/>
    <w:rsid w:val="001610D1"/>
    <w:rsid w:val="00161DCF"/>
    <w:rsid w:val="00163F3A"/>
    <w:rsid w:val="00164460"/>
    <w:rsid w:val="00164F8C"/>
    <w:rsid w:val="001659FE"/>
    <w:rsid w:val="00167581"/>
    <w:rsid w:val="00172630"/>
    <w:rsid w:val="001729D7"/>
    <w:rsid w:val="001737E0"/>
    <w:rsid w:val="001739CD"/>
    <w:rsid w:val="001748D0"/>
    <w:rsid w:val="001753F2"/>
    <w:rsid w:val="001771FF"/>
    <w:rsid w:val="00177205"/>
    <w:rsid w:val="00180907"/>
    <w:rsid w:val="00180C54"/>
    <w:rsid w:val="001822E6"/>
    <w:rsid w:val="00182596"/>
    <w:rsid w:val="0018287B"/>
    <w:rsid w:val="00182CB9"/>
    <w:rsid w:val="0018406E"/>
    <w:rsid w:val="001863D0"/>
    <w:rsid w:val="00186624"/>
    <w:rsid w:val="00187193"/>
    <w:rsid w:val="001903F7"/>
    <w:rsid w:val="00193AE4"/>
    <w:rsid w:val="00195520"/>
    <w:rsid w:val="00197752"/>
    <w:rsid w:val="00197C68"/>
    <w:rsid w:val="001A0A24"/>
    <w:rsid w:val="001A0B0C"/>
    <w:rsid w:val="001A15D6"/>
    <w:rsid w:val="001A1B97"/>
    <w:rsid w:val="001A1E0D"/>
    <w:rsid w:val="001A2340"/>
    <w:rsid w:val="001A2C66"/>
    <w:rsid w:val="001A372C"/>
    <w:rsid w:val="001A3CF3"/>
    <w:rsid w:val="001A406A"/>
    <w:rsid w:val="001A57FB"/>
    <w:rsid w:val="001A625C"/>
    <w:rsid w:val="001A65BD"/>
    <w:rsid w:val="001A66CB"/>
    <w:rsid w:val="001B01B0"/>
    <w:rsid w:val="001B03F3"/>
    <w:rsid w:val="001B159E"/>
    <w:rsid w:val="001B15C0"/>
    <w:rsid w:val="001B1DC7"/>
    <w:rsid w:val="001B20AD"/>
    <w:rsid w:val="001B277E"/>
    <w:rsid w:val="001B2CC1"/>
    <w:rsid w:val="001B348C"/>
    <w:rsid w:val="001B3C1C"/>
    <w:rsid w:val="001B40C3"/>
    <w:rsid w:val="001B4494"/>
    <w:rsid w:val="001B4FD6"/>
    <w:rsid w:val="001B5717"/>
    <w:rsid w:val="001B5F0E"/>
    <w:rsid w:val="001B6046"/>
    <w:rsid w:val="001B6695"/>
    <w:rsid w:val="001B6707"/>
    <w:rsid w:val="001B6DA0"/>
    <w:rsid w:val="001B7D4A"/>
    <w:rsid w:val="001C04CC"/>
    <w:rsid w:val="001C08A2"/>
    <w:rsid w:val="001C19DB"/>
    <w:rsid w:val="001C2E70"/>
    <w:rsid w:val="001C3644"/>
    <w:rsid w:val="001C36E1"/>
    <w:rsid w:val="001C48F5"/>
    <w:rsid w:val="001C5FBA"/>
    <w:rsid w:val="001C67F9"/>
    <w:rsid w:val="001C776F"/>
    <w:rsid w:val="001C7DC6"/>
    <w:rsid w:val="001D1C65"/>
    <w:rsid w:val="001D2624"/>
    <w:rsid w:val="001D2AF1"/>
    <w:rsid w:val="001D3533"/>
    <w:rsid w:val="001D52AB"/>
    <w:rsid w:val="001D6C58"/>
    <w:rsid w:val="001D6E2E"/>
    <w:rsid w:val="001D6F60"/>
    <w:rsid w:val="001D7145"/>
    <w:rsid w:val="001E049E"/>
    <w:rsid w:val="001E0A25"/>
    <w:rsid w:val="001E10C7"/>
    <w:rsid w:val="001E281D"/>
    <w:rsid w:val="001E536A"/>
    <w:rsid w:val="001E5C13"/>
    <w:rsid w:val="001E6036"/>
    <w:rsid w:val="001E7D95"/>
    <w:rsid w:val="001E7EA4"/>
    <w:rsid w:val="001F188E"/>
    <w:rsid w:val="001F1AB2"/>
    <w:rsid w:val="001F22DB"/>
    <w:rsid w:val="001F2455"/>
    <w:rsid w:val="001F31BF"/>
    <w:rsid w:val="001F3DF3"/>
    <w:rsid w:val="001F4533"/>
    <w:rsid w:val="001F6029"/>
    <w:rsid w:val="001F6711"/>
    <w:rsid w:val="001F7D20"/>
    <w:rsid w:val="001F7E41"/>
    <w:rsid w:val="00201306"/>
    <w:rsid w:val="002022CA"/>
    <w:rsid w:val="002039E5"/>
    <w:rsid w:val="00204033"/>
    <w:rsid w:val="002042B9"/>
    <w:rsid w:val="002048FC"/>
    <w:rsid w:val="0020532E"/>
    <w:rsid w:val="00205CE6"/>
    <w:rsid w:val="00205D21"/>
    <w:rsid w:val="002108C9"/>
    <w:rsid w:val="00212165"/>
    <w:rsid w:val="00213B00"/>
    <w:rsid w:val="002147D0"/>
    <w:rsid w:val="00214FC1"/>
    <w:rsid w:val="00216174"/>
    <w:rsid w:val="0021660D"/>
    <w:rsid w:val="00220047"/>
    <w:rsid w:val="00220248"/>
    <w:rsid w:val="002203D2"/>
    <w:rsid w:val="0022066A"/>
    <w:rsid w:val="002208FE"/>
    <w:rsid w:val="00221423"/>
    <w:rsid w:val="00221B00"/>
    <w:rsid w:val="00222297"/>
    <w:rsid w:val="00222AAB"/>
    <w:rsid w:val="00222C90"/>
    <w:rsid w:val="002243A3"/>
    <w:rsid w:val="002248FB"/>
    <w:rsid w:val="00224A23"/>
    <w:rsid w:val="0022512B"/>
    <w:rsid w:val="00225212"/>
    <w:rsid w:val="00225291"/>
    <w:rsid w:val="002267B7"/>
    <w:rsid w:val="0022755B"/>
    <w:rsid w:val="00227C33"/>
    <w:rsid w:val="00230730"/>
    <w:rsid w:val="00230B23"/>
    <w:rsid w:val="00231A98"/>
    <w:rsid w:val="00232161"/>
    <w:rsid w:val="00233EDD"/>
    <w:rsid w:val="0023401C"/>
    <w:rsid w:val="002361D4"/>
    <w:rsid w:val="002362E2"/>
    <w:rsid w:val="00236495"/>
    <w:rsid w:val="0023780C"/>
    <w:rsid w:val="00237869"/>
    <w:rsid w:val="00237DA6"/>
    <w:rsid w:val="0024042C"/>
    <w:rsid w:val="00240B4F"/>
    <w:rsid w:val="00240CE9"/>
    <w:rsid w:val="00240EB3"/>
    <w:rsid w:val="00241840"/>
    <w:rsid w:val="00241D0A"/>
    <w:rsid w:val="00241E78"/>
    <w:rsid w:val="00242899"/>
    <w:rsid w:val="002431D2"/>
    <w:rsid w:val="00244C9E"/>
    <w:rsid w:val="00244F0D"/>
    <w:rsid w:val="0024594A"/>
    <w:rsid w:val="00245CCE"/>
    <w:rsid w:val="002510BF"/>
    <w:rsid w:val="00252D18"/>
    <w:rsid w:val="002540AB"/>
    <w:rsid w:val="0025688D"/>
    <w:rsid w:val="00257B95"/>
    <w:rsid w:val="00260901"/>
    <w:rsid w:val="00260D00"/>
    <w:rsid w:val="0026157F"/>
    <w:rsid w:val="00261EF5"/>
    <w:rsid w:val="002629A1"/>
    <w:rsid w:val="00263272"/>
    <w:rsid w:val="0026488D"/>
    <w:rsid w:val="00264E16"/>
    <w:rsid w:val="00265D3B"/>
    <w:rsid w:val="00274B2D"/>
    <w:rsid w:val="002764CF"/>
    <w:rsid w:val="00276708"/>
    <w:rsid w:val="0027687F"/>
    <w:rsid w:val="0027743A"/>
    <w:rsid w:val="00277C5F"/>
    <w:rsid w:val="00277DA7"/>
    <w:rsid w:val="002804E9"/>
    <w:rsid w:val="002816B4"/>
    <w:rsid w:val="00282433"/>
    <w:rsid w:val="002838E8"/>
    <w:rsid w:val="00285678"/>
    <w:rsid w:val="002907FA"/>
    <w:rsid w:val="0029096A"/>
    <w:rsid w:val="00290D7C"/>
    <w:rsid w:val="0029106D"/>
    <w:rsid w:val="00292050"/>
    <w:rsid w:val="002927BF"/>
    <w:rsid w:val="002935E2"/>
    <w:rsid w:val="002936A4"/>
    <w:rsid w:val="00293826"/>
    <w:rsid w:val="00293907"/>
    <w:rsid w:val="0029392F"/>
    <w:rsid w:val="002950C2"/>
    <w:rsid w:val="00296236"/>
    <w:rsid w:val="00296D30"/>
    <w:rsid w:val="00297695"/>
    <w:rsid w:val="00297DFC"/>
    <w:rsid w:val="002A07AE"/>
    <w:rsid w:val="002A0D12"/>
    <w:rsid w:val="002A2D72"/>
    <w:rsid w:val="002A2FA6"/>
    <w:rsid w:val="002A3781"/>
    <w:rsid w:val="002A4D1B"/>
    <w:rsid w:val="002A4E82"/>
    <w:rsid w:val="002A57B6"/>
    <w:rsid w:val="002A6A37"/>
    <w:rsid w:val="002A7DC4"/>
    <w:rsid w:val="002B06BF"/>
    <w:rsid w:val="002B0FEF"/>
    <w:rsid w:val="002B1787"/>
    <w:rsid w:val="002B23DF"/>
    <w:rsid w:val="002B4467"/>
    <w:rsid w:val="002B500B"/>
    <w:rsid w:val="002B5CC8"/>
    <w:rsid w:val="002B63AD"/>
    <w:rsid w:val="002C094B"/>
    <w:rsid w:val="002C0A9B"/>
    <w:rsid w:val="002C0B43"/>
    <w:rsid w:val="002C19C5"/>
    <w:rsid w:val="002C1A22"/>
    <w:rsid w:val="002C2DBF"/>
    <w:rsid w:val="002C3A44"/>
    <w:rsid w:val="002C4F36"/>
    <w:rsid w:val="002C5DD7"/>
    <w:rsid w:val="002C6122"/>
    <w:rsid w:val="002C719F"/>
    <w:rsid w:val="002C7D83"/>
    <w:rsid w:val="002D17FF"/>
    <w:rsid w:val="002D3641"/>
    <w:rsid w:val="002D397E"/>
    <w:rsid w:val="002D53DF"/>
    <w:rsid w:val="002D60D7"/>
    <w:rsid w:val="002D6376"/>
    <w:rsid w:val="002D67DA"/>
    <w:rsid w:val="002D73CF"/>
    <w:rsid w:val="002D7F6B"/>
    <w:rsid w:val="002E0224"/>
    <w:rsid w:val="002E0DC0"/>
    <w:rsid w:val="002E1A4C"/>
    <w:rsid w:val="002E287A"/>
    <w:rsid w:val="002E2DA4"/>
    <w:rsid w:val="002E3646"/>
    <w:rsid w:val="002E3DDF"/>
    <w:rsid w:val="002E5050"/>
    <w:rsid w:val="002E5292"/>
    <w:rsid w:val="002E5B57"/>
    <w:rsid w:val="002E6364"/>
    <w:rsid w:val="002E6AA6"/>
    <w:rsid w:val="002E7503"/>
    <w:rsid w:val="002E792B"/>
    <w:rsid w:val="002E7BD2"/>
    <w:rsid w:val="002E7D73"/>
    <w:rsid w:val="002F18C5"/>
    <w:rsid w:val="002F2951"/>
    <w:rsid w:val="002F2FC0"/>
    <w:rsid w:val="002F3445"/>
    <w:rsid w:val="002F3726"/>
    <w:rsid w:val="002F469F"/>
    <w:rsid w:val="002F4DD6"/>
    <w:rsid w:val="002F547A"/>
    <w:rsid w:val="002F60DA"/>
    <w:rsid w:val="002F7849"/>
    <w:rsid w:val="002F7A13"/>
    <w:rsid w:val="002F7DAD"/>
    <w:rsid w:val="00300592"/>
    <w:rsid w:val="003008CF"/>
    <w:rsid w:val="003018E0"/>
    <w:rsid w:val="003021A0"/>
    <w:rsid w:val="00302BDE"/>
    <w:rsid w:val="00302C3A"/>
    <w:rsid w:val="003033FA"/>
    <w:rsid w:val="00303543"/>
    <w:rsid w:val="00304DFF"/>
    <w:rsid w:val="00305D18"/>
    <w:rsid w:val="00305DB3"/>
    <w:rsid w:val="00306C77"/>
    <w:rsid w:val="00306FCD"/>
    <w:rsid w:val="003100BA"/>
    <w:rsid w:val="00310BB8"/>
    <w:rsid w:val="00311F5D"/>
    <w:rsid w:val="00312440"/>
    <w:rsid w:val="00312AE5"/>
    <w:rsid w:val="00312FDD"/>
    <w:rsid w:val="003135E6"/>
    <w:rsid w:val="0031484B"/>
    <w:rsid w:val="00315395"/>
    <w:rsid w:val="003154F8"/>
    <w:rsid w:val="00316A44"/>
    <w:rsid w:val="00317076"/>
    <w:rsid w:val="00317EAA"/>
    <w:rsid w:val="00320384"/>
    <w:rsid w:val="00320626"/>
    <w:rsid w:val="00320CA2"/>
    <w:rsid w:val="003210C0"/>
    <w:rsid w:val="003212EF"/>
    <w:rsid w:val="00321A18"/>
    <w:rsid w:val="00321BD4"/>
    <w:rsid w:val="00322909"/>
    <w:rsid w:val="00322B32"/>
    <w:rsid w:val="00323748"/>
    <w:rsid w:val="0032385B"/>
    <w:rsid w:val="00323AEA"/>
    <w:rsid w:val="0032596A"/>
    <w:rsid w:val="003266C0"/>
    <w:rsid w:val="00326F39"/>
    <w:rsid w:val="00327321"/>
    <w:rsid w:val="00327418"/>
    <w:rsid w:val="00330450"/>
    <w:rsid w:val="003316C8"/>
    <w:rsid w:val="00331984"/>
    <w:rsid w:val="00331A9D"/>
    <w:rsid w:val="00332C6C"/>
    <w:rsid w:val="00335E3F"/>
    <w:rsid w:val="003404E8"/>
    <w:rsid w:val="00340C0B"/>
    <w:rsid w:val="00341029"/>
    <w:rsid w:val="0034344C"/>
    <w:rsid w:val="00343472"/>
    <w:rsid w:val="003438C6"/>
    <w:rsid w:val="003439AA"/>
    <w:rsid w:val="00343DA6"/>
    <w:rsid w:val="00345807"/>
    <w:rsid w:val="003461BE"/>
    <w:rsid w:val="00346E0B"/>
    <w:rsid w:val="00346E9E"/>
    <w:rsid w:val="003475F2"/>
    <w:rsid w:val="0035003A"/>
    <w:rsid w:val="0035131E"/>
    <w:rsid w:val="0035170A"/>
    <w:rsid w:val="00352834"/>
    <w:rsid w:val="00352B5D"/>
    <w:rsid w:val="00352EF6"/>
    <w:rsid w:val="00353E78"/>
    <w:rsid w:val="00353F5A"/>
    <w:rsid w:val="00354BAA"/>
    <w:rsid w:val="00354CB1"/>
    <w:rsid w:val="00355686"/>
    <w:rsid w:val="00356023"/>
    <w:rsid w:val="00357BD9"/>
    <w:rsid w:val="003630B1"/>
    <w:rsid w:val="00363A7D"/>
    <w:rsid w:val="00364BB2"/>
    <w:rsid w:val="00365412"/>
    <w:rsid w:val="0036578B"/>
    <w:rsid w:val="00365BD8"/>
    <w:rsid w:val="00365EF8"/>
    <w:rsid w:val="00366374"/>
    <w:rsid w:val="0036727A"/>
    <w:rsid w:val="0037014E"/>
    <w:rsid w:val="0037036A"/>
    <w:rsid w:val="00370394"/>
    <w:rsid w:val="00371726"/>
    <w:rsid w:val="00372168"/>
    <w:rsid w:val="00373096"/>
    <w:rsid w:val="003736B8"/>
    <w:rsid w:val="00373985"/>
    <w:rsid w:val="00373A68"/>
    <w:rsid w:val="0037466C"/>
    <w:rsid w:val="00376068"/>
    <w:rsid w:val="00377193"/>
    <w:rsid w:val="00377572"/>
    <w:rsid w:val="00380CD0"/>
    <w:rsid w:val="003811B5"/>
    <w:rsid w:val="0038139C"/>
    <w:rsid w:val="003832CA"/>
    <w:rsid w:val="00384C83"/>
    <w:rsid w:val="00385330"/>
    <w:rsid w:val="00385A93"/>
    <w:rsid w:val="003862C5"/>
    <w:rsid w:val="003874B9"/>
    <w:rsid w:val="00391E26"/>
    <w:rsid w:val="003922FD"/>
    <w:rsid w:val="00394247"/>
    <w:rsid w:val="00395548"/>
    <w:rsid w:val="00397D36"/>
    <w:rsid w:val="003A0922"/>
    <w:rsid w:val="003A20A0"/>
    <w:rsid w:val="003A21F2"/>
    <w:rsid w:val="003A2B7E"/>
    <w:rsid w:val="003A5260"/>
    <w:rsid w:val="003A677F"/>
    <w:rsid w:val="003A6C4B"/>
    <w:rsid w:val="003B05D5"/>
    <w:rsid w:val="003B0DF3"/>
    <w:rsid w:val="003B1D90"/>
    <w:rsid w:val="003B2072"/>
    <w:rsid w:val="003B2937"/>
    <w:rsid w:val="003B3245"/>
    <w:rsid w:val="003B3344"/>
    <w:rsid w:val="003B3613"/>
    <w:rsid w:val="003B3905"/>
    <w:rsid w:val="003B45B3"/>
    <w:rsid w:val="003B4A84"/>
    <w:rsid w:val="003B588B"/>
    <w:rsid w:val="003B5F04"/>
    <w:rsid w:val="003B711C"/>
    <w:rsid w:val="003C0CAA"/>
    <w:rsid w:val="003C10BD"/>
    <w:rsid w:val="003C1569"/>
    <w:rsid w:val="003C15EC"/>
    <w:rsid w:val="003C191A"/>
    <w:rsid w:val="003C1FB4"/>
    <w:rsid w:val="003C2E07"/>
    <w:rsid w:val="003C2EA8"/>
    <w:rsid w:val="003C422C"/>
    <w:rsid w:val="003C5B31"/>
    <w:rsid w:val="003C63A3"/>
    <w:rsid w:val="003C72C3"/>
    <w:rsid w:val="003D111A"/>
    <w:rsid w:val="003D234F"/>
    <w:rsid w:val="003D252A"/>
    <w:rsid w:val="003D2556"/>
    <w:rsid w:val="003D279D"/>
    <w:rsid w:val="003D318B"/>
    <w:rsid w:val="003D395D"/>
    <w:rsid w:val="003D4959"/>
    <w:rsid w:val="003D554A"/>
    <w:rsid w:val="003D68F5"/>
    <w:rsid w:val="003D712C"/>
    <w:rsid w:val="003D7BBE"/>
    <w:rsid w:val="003D7C8E"/>
    <w:rsid w:val="003E0291"/>
    <w:rsid w:val="003E0551"/>
    <w:rsid w:val="003E0741"/>
    <w:rsid w:val="003E0EB8"/>
    <w:rsid w:val="003E1964"/>
    <w:rsid w:val="003E20E8"/>
    <w:rsid w:val="003E25E7"/>
    <w:rsid w:val="003E3A6C"/>
    <w:rsid w:val="003E4B16"/>
    <w:rsid w:val="003E52E0"/>
    <w:rsid w:val="003E629A"/>
    <w:rsid w:val="003E681B"/>
    <w:rsid w:val="003F05B0"/>
    <w:rsid w:val="003F0604"/>
    <w:rsid w:val="003F1885"/>
    <w:rsid w:val="003F2064"/>
    <w:rsid w:val="003F3B0C"/>
    <w:rsid w:val="003F4362"/>
    <w:rsid w:val="003F4E4C"/>
    <w:rsid w:val="003F520D"/>
    <w:rsid w:val="003F6755"/>
    <w:rsid w:val="0040007D"/>
    <w:rsid w:val="00400430"/>
    <w:rsid w:val="00400818"/>
    <w:rsid w:val="00400C92"/>
    <w:rsid w:val="00400F73"/>
    <w:rsid w:val="00400FF2"/>
    <w:rsid w:val="00401E0D"/>
    <w:rsid w:val="00402349"/>
    <w:rsid w:val="00403741"/>
    <w:rsid w:val="00403A85"/>
    <w:rsid w:val="00405AD8"/>
    <w:rsid w:val="00405DA5"/>
    <w:rsid w:val="0040678F"/>
    <w:rsid w:val="00410C56"/>
    <w:rsid w:val="00410C84"/>
    <w:rsid w:val="00413389"/>
    <w:rsid w:val="004147F0"/>
    <w:rsid w:val="00414BC1"/>
    <w:rsid w:val="00414CEF"/>
    <w:rsid w:val="00415772"/>
    <w:rsid w:val="004165C4"/>
    <w:rsid w:val="00417D95"/>
    <w:rsid w:val="00420CD5"/>
    <w:rsid w:val="00421381"/>
    <w:rsid w:val="004244C3"/>
    <w:rsid w:val="004244FC"/>
    <w:rsid w:val="00424BDC"/>
    <w:rsid w:val="00424D25"/>
    <w:rsid w:val="004256CB"/>
    <w:rsid w:val="00425E1D"/>
    <w:rsid w:val="00427BE3"/>
    <w:rsid w:val="00427E0C"/>
    <w:rsid w:val="0043028D"/>
    <w:rsid w:val="00430995"/>
    <w:rsid w:val="00430D30"/>
    <w:rsid w:val="00430DCB"/>
    <w:rsid w:val="00430E6E"/>
    <w:rsid w:val="00431AD6"/>
    <w:rsid w:val="004325FD"/>
    <w:rsid w:val="00432D74"/>
    <w:rsid w:val="00433446"/>
    <w:rsid w:val="00434BED"/>
    <w:rsid w:val="00437724"/>
    <w:rsid w:val="00440BC3"/>
    <w:rsid w:val="00440D96"/>
    <w:rsid w:val="00441260"/>
    <w:rsid w:val="00441285"/>
    <w:rsid w:val="00441392"/>
    <w:rsid w:val="004422DA"/>
    <w:rsid w:val="004437E4"/>
    <w:rsid w:val="004440B3"/>
    <w:rsid w:val="0044525F"/>
    <w:rsid w:val="00445F27"/>
    <w:rsid w:val="004465F5"/>
    <w:rsid w:val="00446807"/>
    <w:rsid w:val="00447152"/>
    <w:rsid w:val="00450137"/>
    <w:rsid w:val="00451096"/>
    <w:rsid w:val="004515D3"/>
    <w:rsid w:val="0045207D"/>
    <w:rsid w:val="004537A9"/>
    <w:rsid w:val="00453B82"/>
    <w:rsid w:val="004545C8"/>
    <w:rsid w:val="00454B7E"/>
    <w:rsid w:val="0045504F"/>
    <w:rsid w:val="00456837"/>
    <w:rsid w:val="00456F7E"/>
    <w:rsid w:val="004575FF"/>
    <w:rsid w:val="00457C0E"/>
    <w:rsid w:val="00460B43"/>
    <w:rsid w:val="00460D55"/>
    <w:rsid w:val="0046247C"/>
    <w:rsid w:val="00464040"/>
    <w:rsid w:val="0046434C"/>
    <w:rsid w:val="004648E1"/>
    <w:rsid w:val="00466AA8"/>
    <w:rsid w:val="00466E48"/>
    <w:rsid w:val="00467008"/>
    <w:rsid w:val="0046730C"/>
    <w:rsid w:val="00472409"/>
    <w:rsid w:val="00472A51"/>
    <w:rsid w:val="00473032"/>
    <w:rsid w:val="00475080"/>
    <w:rsid w:val="00475BE3"/>
    <w:rsid w:val="0047683F"/>
    <w:rsid w:val="00476921"/>
    <w:rsid w:val="004806DE"/>
    <w:rsid w:val="00481F4E"/>
    <w:rsid w:val="0048256F"/>
    <w:rsid w:val="00482C5E"/>
    <w:rsid w:val="00483767"/>
    <w:rsid w:val="0048411A"/>
    <w:rsid w:val="00485787"/>
    <w:rsid w:val="00486102"/>
    <w:rsid w:val="0048765C"/>
    <w:rsid w:val="004901D8"/>
    <w:rsid w:val="00491827"/>
    <w:rsid w:val="00491920"/>
    <w:rsid w:val="004919DE"/>
    <w:rsid w:val="00492198"/>
    <w:rsid w:val="004966B9"/>
    <w:rsid w:val="004969CB"/>
    <w:rsid w:val="00497328"/>
    <w:rsid w:val="0049792E"/>
    <w:rsid w:val="00497A4B"/>
    <w:rsid w:val="00497F4F"/>
    <w:rsid w:val="004A1E74"/>
    <w:rsid w:val="004A363F"/>
    <w:rsid w:val="004A40FC"/>
    <w:rsid w:val="004A4B03"/>
    <w:rsid w:val="004A6934"/>
    <w:rsid w:val="004A78B7"/>
    <w:rsid w:val="004A7C4F"/>
    <w:rsid w:val="004B185F"/>
    <w:rsid w:val="004B1E8C"/>
    <w:rsid w:val="004B1F19"/>
    <w:rsid w:val="004B5910"/>
    <w:rsid w:val="004B6194"/>
    <w:rsid w:val="004B6B1F"/>
    <w:rsid w:val="004B6E5F"/>
    <w:rsid w:val="004B75FB"/>
    <w:rsid w:val="004B779E"/>
    <w:rsid w:val="004C09C4"/>
    <w:rsid w:val="004C0B74"/>
    <w:rsid w:val="004C12A8"/>
    <w:rsid w:val="004C13FE"/>
    <w:rsid w:val="004C140D"/>
    <w:rsid w:val="004C2078"/>
    <w:rsid w:val="004C2635"/>
    <w:rsid w:val="004C32DC"/>
    <w:rsid w:val="004C3BE8"/>
    <w:rsid w:val="004C418C"/>
    <w:rsid w:val="004C4463"/>
    <w:rsid w:val="004C474F"/>
    <w:rsid w:val="004C4D10"/>
    <w:rsid w:val="004C5E04"/>
    <w:rsid w:val="004C66FB"/>
    <w:rsid w:val="004C707B"/>
    <w:rsid w:val="004C78A2"/>
    <w:rsid w:val="004D0071"/>
    <w:rsid w:val="004D1FB0"/>
    <w:rsid w:val="004D23E1"/>
    <w:rsid w:val="004D27AF"/>
    <w:rsid w:val="004D3063"/>
    <w:rsid w:val="004D431B"/>
    <w:rsid w:val="004D4AB8"/>
    <w:rsid w:val="004D5175"/>
    <w:rsid w:val="004D535A"/>
    <w:rsid w:val="004D5846"/>
    <w:rsid w:val="004D58D8"/>
    <w:rsid w:val="004D5E5E"/>
    <w:rsid w:val="004D7F75"/>
    <w:rsid w:val="004E0367"/>
    <w:rsid w:val="004E08C8"/>
    <w:rsid w:val="004E0971"/>
    <w:rsid w:val="004E4410"/>
    <w:rsid w:val="004E4902"/>
    <w:rsid w:val="004E4DC4"/>
    <w:rsid w:val="004E7F40"/>
    <w:rsid w:val="004F0282"/>
    <w:rsid w:val="004F2441"/>
    <w:rsid w:val="004F255F"/>
    <w:rsid w:val="004F352C"/>
    <w:rsid w:val="004F36F5"/>
    <w:rsid w:val="004F3EEB"/>
    <w:rsid w:val="004F452F"/>
    <w:rsid w:val="004F4655"/>
    <w:rsid w:val="004F4F1E"/>
    <w:rsid w:val="004F5DD6"/>
    <w:rsid w:val="004F700E"/>
    <w:rsid w:val="004F736A"/>
    <w:rsid w:val="004F7935"/>
    <w:rsid w:val="004F7CA2"/>
    <w:rsid w:val="00500140"/>
    <w:rsid w:val="005004DE"/>
    <w:rsid w:val="00501754"/>
    <w:rsid w:val="005019F4"/>
    <w:rsid w:val="005026CD"/>
    <w:rsid w:val="005037A3"/>
    <w:rsid w:val="00504858"/>
    <w:rsid w:val="00504C6C"/>
    <w:rsid w:val="00506DFF"/>
    <w:rsid w:val="00507574"/>
    <w:rsid w:val="005079D6"/>
    <w:rsid w:val="0051014B"/>
    <w:rsid w:val="00511B5F"/>
    <w:rsid w:val="005135AE"/>
    <w:rsid w:val="00514020"/>
    <w:rsid w:val="005143E6"/>
    <w:rsid w:val="00514AA2"/>
    <w:rsid w:val="00514CBE"/>
    <w:rsid w:val="0051501D"/>
    <w:rsid w:val="00515246"/>
    <w:rsid w:val="00515752"/>
    <w:rsid w:val="00516EAC"/>
    <w:rsid w:val="0051752A"/>
    <w:rsid w:val="00517BEF"/>
    <w:rsid w:val="005204FA"/>
    <w:rsid w:val="00520FBE"/>
    <w:rsid w:val="005212B3"/>
    <w:rsid w:val="00522814"/>
    <w:rsid w:val="00522B70"/>
    <w:rsid w:val="005230C5"/>
    <w:rsid w:val="0052369B"/>
    <w:rsid w:val="005237DA"/>
    <w:rsid w:val="00523F42"/>
    <w:rsid w:val="00526D15"/>
    <w:rsid w:val="00527757"/>
    <w:rsid w:val="0053230B"/>
    <w:rsid w:val="005331BC"/>
    <w:rsid w:val="00533568"/>
    <w:rsid w:val="00534A74"/>
    <w:rsid w:val="00534AB8"/>
    <w:rsid w:val="00536317"/>
    <w:rsid w:val="0053677E"/>
    <w:rsid w:val="00536F90"/>
    <w:rsid w:val="00537038"/>
    <w:rsid w:val="00537A58"/>
    <w:rsid w:val="00537BEF"/>
    <w:rsid w:val="00540376"/>
    <w:rsid w:val="00540472"/>
    <w:rsid w:val="00543440"/>
    <w:rsid w:val="00543E85"/>
    <w:rsid w:val="00544737"/>
    <w:rsid w:val="00545B0A"/>
    <w:rsid w:val="00546002"/>
    <w:rsid w:val="00550AA0"/>
    <w:rsid w:val="0055144A"/>
    <w:rsid w:val="00552582"/>
    <w:rsid w:val="005525D1"/>
    <w:rsid w:val="00552B3B"/>
    <w:rsid w:val="0055333E"/>
    <w:rsid w:val="00553EEE"/>
    <w:rsid w:val="005544AD"/>
    <w:rsid w:val="00556881"/>
    <w:rsid w:val="00557243"/>
    <w:rsid w:val="005577AA"/>
    <w:rsid w:val="005579B1"/>
    <w:rsid w:val="005579BC"/>
    <w:rsid w:val="00560234"/>
    <w:rsid w:val="005602C3"/>
    <w:rsid w:val="00562C1F"/>
    <w:rsid w:val="005635AD"/>
    <w:rsid w:val="005645B7"/>
    <w:rsid w:val="005646BE"/>
    <w:rsid w:val="00567750"/>
    <w:rsid w:val="00567A99"/>
    <w:rsid w:val="0057010A"/>
    <w:rsid w:val="0057143E"/>
    <w:rsid w:val="00571728"/>
    <w:rsid w:val="00574423"/>
    <w:rsid w:val="0057469E"/>
    <w:rsid w:val="00574DFC"/>
    <w:rsid w:val="00576227"/>
    <w:rsid w:val="00577BA2"/>
    <w:rsid w:val="005800C6"/>
    <w:rsid w:val="0058096F"/>
    <w:rsid w:val="00581D1F"/>
    <w:rsid w:val="005822E5"/>
    <w:rsid w:val="005830D3"/>
    <w:rsid w:val="0058350D"/>
    <w:rsid w:val="00584991"/>
    <w:rsid w:val="00584E93"/>
    <w:rsid w:val="005855BA"/>
    <w:rsid w:val="005855E0"/>
    <w:rsid w:val="0058601D"/>
    <w:rsid w:val="00586507"/>
    <w:rsid w:val="00586D87"/>
    <w:rsid w:val="005870C4"/>
    <w:rsid w:val="0059010E"/>
    <w:rsid w:val="00590C5C"/>
    <w:rsid w:val="005920B7"/>
    <w:rsid w:val="005921A4"/>
    <w:rsid w:val="00594175"/>
    <w:rsid w:val="00594536"/>
    <w:rsid w:val="00594C79"/>
    <w:rsid w:val="00595E5D"/>
    <w:rsid w:val="00596779"/>
    <w:rsid w:val="00596E3A"/>
    <w:rsid w:val="00597259"/>
    <w:rsid w:val="005A02C9"/>
    <w:rsid w:val="005A0E4B"/>
    <w:rsid w:val="005A1886"/>
    <w:rsid w:val="005A1944"/>
    <w:rsid w:val="005A3F39"/>
    <w:rsid w:val="005A4FD7"/>
    <w:rsid w:val="005A56BF"/>
    <w:rsid w:val="005A5D57"/>
    <w:rsid w:val="005A656A"/>
    <w:rsid w:val="005A73DC"/>
    <w:rsid w:val="005A7842"/>
    <w:rsid w:val="005A7C67"/>
    <w:rsid w:val="005B051A"/>
    <w:rsid w:val="005B0913"/>
    <w:rsid w:val="005B2957"/>
    <w:rsid w:val="005B29A5"/>
    <w:rsid w:val="005B35AF"/>
    <w:rsid w:val="005B47B2"/>
    <w:rsid w:val="005B547E"/>
    <w:rsid w:val="005B5ADB"/>
    <w:rsid w:val="005B6BD5"/>
    <w:rsid w:val="005C0622"/>
    <w:rsid w:val="005C0FE6"/>
    <w:rsid w:val="005C119F"/>
    <w:rsid w:val="005C24F3"/>
    <w:rsid w:val="005C2926"/>
    <w:rsid w:val="005C3A4E"/>
    <w:rsid w:val="005C3FB4"/>
    <w:rsid w:val="005C40D8"/>
    <w:rsid w:val="005C43DC"/>
    <w:rsid w:val="005C51AB"/>
    <w:rsid w:val="005C5C66"/>
    <w:rsid w:val="005C5C6E"/>
    <w:rsid w:val="005C611E"/>
    <w:rsid w:val="005C6635"/>
    <w:rsid w:val="005C7733"/>
    <w:rsid w:val="005D0E15"/>
    <w:rsid w:val="005D2B68"/>
    <w:rsid w:val="005D5AEF"/>
    <w:rsid w:val="005D693F"/>
    <w:rsid w:val="005D6BE4"/>
    <w:rsid w:val="005D7C77"/>
    <w:rsid w:val="005D7D92"/>
    <w:rsid w:val="005E2135"/>
    <w:rsid w:val="005E3461"/>
    <w:rsid w:val="005E5347"/>
    <w:rsid w:val="005E5532"/>
    <w:rsid w:val="005E59F7"/>
    <w:rsid w:val="005E65DB"/>
    <w:rsid w:val="005E769E"/>
    <w:rsid w:val="005E79E4"/>
    <w:rsid w:val="005F0FD4"/>
    <w:rsid w:val="005F0FE6"/>
    <w:rsid w:val="005F1945"/>
    <w:rsid w:val="005F1E8A"/>
    <w:rsid w:val="005F3ACA"/>
    <w:rsid w:val="005F44A6"/>
    <w:rsid w:val="005F4B66"/>
    <w:rsid w:val="005F4C89"/>
    <w:rsid w:val="005F51DF"/>
    <w:rsid w:val="005F5844"/>
    <w:rsid w:val="005F58B0"/>
    <w:rsid w:val="005F784A"/>
    <w:rsid w:val="005F7B88"/>
    <w:rsid w:val="005F7FC6"/>
    <w:rsid w:val="00600930"/>
    <w:rsid w:val="006009AC"/>
    <w:rsid w:val="0060172A"/>
    <w:rsid w:val="00603657"/>
    <w:rsid w:val="00603A3A"/>
    <w:rsid w:val="006040C2"/>
    <w:rsid w:val="00604EEA"/>
    <w:rsid w:val="006052F0"/>
    <w:rsid w:val="00606A0E"/>
    <w:rsid w:val="00606C83"/>
    <w:rsid w:val="00607265"/>
    <w:rsid w:val="00607E81"/>
    <w:rsid w:val="00610531"/>
    <w:rsid w:val="00610761"/>
    <w:rsid w:val="00611636"/>
    <w:rsid w:val="00612BEC"/>
    <w:rsid w:val="00613BCE"/>
    <w:rsid w:val="006142D4"/>
    <w:rsid w:val="0061559E"/>
    <w:rsid w:val="006156E3"/>
    <w:rsid w:val="00616E24"/>
    <w:rsid w:val="00617160"/>
    <w:rsid w:val="0061719E"/>
    <w:rsid w:val="00620147"/>
    <w:rsid w:val="00620E79"/>
    <w:rsid w:val="00622DF0"/>
    <w:rsid w:val="00622E3D"/>
    <w:rsid w:val="00624E3D"/>
    <w:rsid w:val="00624E49"/>
    <w:rsid w:val="006256FE"/>
    <w:rsid w:val="0062578C"/>
    <w:rsid w:val="006257FD"/>
    <w:rsid w:val="00626A7E"/>
    <w:rsid w:val="00627301"/>
    <w:rsid w:val="00627D72"/>
    <w:rsid w:val="00627ECE"/>
    <w:rsid w:val="00632416"/>
    <w:rsid w:val="00633C8E"/>
    <w:rsid w:val="00634A35"/>
    <w:rsid w:val="006351B2"/>
    <w:rsid w:val="006366BA"/>
    <w:rsid w:val="00636FC6"/>
    <w:rsid w:val="006370E1"/>
    <w:rsid w:val="006378F6"/>
    <w:rsid w:val="006379AE"/>
    <w:rsid w:val="00640B0C"/>
    <w:rsid w:val="00641796"/>
    <w:rsid w:val="006417DD"/>
    <w:rsid w:val="0064262A"/>
    <w:rsid w:val="006453EF"/>
    <w:rsid w:val="00645990"/>
    <w:rsid w:val="006463A5"/>
    <w:rsid w:val="00647458"/>
    <w:rsid w:val="0064781A"/>
    <w:rsid w:val="006507C2"/>
    <w:rsid w:val="00651ECB"/>
    <w:rsid w:val="00652027"/>
    <w:rsid w:val="006522E1"/>
    <w:rsid w:val="006523E4"/>
    <w:rsid w:val="00654115"/>
    <w:rsid w:val="00655036"/>
    <w:rsid w:val="006553BB"/>
    <w:rsid w:val="00655840"/>
    <w:rsid w:val="00656F3A"/>
    <w:rsid w:val="006576CF"/>
    <w:rsid w:val="00660193"/>
    <w:rsid w:val="006601FD"/>
    <w:rsid w:val="00660348"/>
    <w:rsid w:val="0066344C"/>
    <w:rsid w:val="00663B6F"/>
    <w:rsid w:val="00664097"/>
    <w:rsid w:val="006655EE"/>
    <w:rsid w:val="006661AD"/>
    <w:rsid w:val="00667591"/>
    <w:rsid w:val="00675FA2"/>
    <w:rsid w:val="006763DE"/>
    <w:rsid w:val="00676725"/>
    <w:rsid w:val="00677A98"/>
    <w:rsid w:val="0068081C"/>
    <w:rsid w:val="00680E2E"/>
    <w:rsid w:val="00680E3D"/>
    <w:rsid w:val="006816AB"/>
    <w:rsid w:val="006829C7"/>
    <w:rsid w:val="00682E94"/>
    <w:rsid w:val="006837A9"/>
    <w:rsid w:val="00684C6D"/>
    <w:rsid w:val="006869C4"/>
    <w:rsid w:val="0068702E"/>
    <w:rsid w:val="006907A9"/>
    <w:rsid w:val="00691091"/>
    <w:rsid w:val="006911C4"/>
    <w:rsid w:val="00691733"/>
    <w:rsid w:val="00694D1F"/>
    <w:rsid w:val="006A0546"/>
    <w:rsid w:val="006A0A44"/>
    <w:rsid w:val="006A0A5D"/>
    <w:rsid w:val="006A1F9D"/>
    <w:rsid w:val="006A2C53"/>
    <w:rsid w:val="006A3114"/>
    <w:rsid w:val="006A322C"/>
    <w:rsid w:val="006A3407"/>
    <w:rsid w:val="006A6E71"/>
    <w:rsid w:val="006A72D2"/>
    <w:rsid w:val="006A7DB8"/>
    <w:rsid w:val="006B17C8"/>
    <w:rsid w:val="006B1CC3"/>
    <w:rsid w:val="006B26C1"/>
    <w:rsid w:val="006B2DAA"/>
    <w:rsid w:val="006B341A"/>
    <w:rsid w:val="006B4BA5"/>
    <w:rsid w:val="006B5F69"/>
    <w:rsid w:val="006B6260"/>
    <w:rsid w:val="006B77C2"/>
    <w:rsid w:val="006C00A5"/>
    <w:rsid w:val="006C0D00"/>
    <w:rsid w:val="006C1D12"/>
    <w:rsid w:val="006C1F5D"/>
    <w:rsid w:val="006C3442"/>
    <w:rsid w:val="006C39BA"/>
    <w:rsid w:val="006C3B4D"/>
    <w:rsid w:val="006C4797"/>
    <w:rsid w:val="006C4BF5"/>
    <w:rsid w:val="006C57EE"/>
    <w:rsid w:val="006C5B81"/>
    <w:rsid w:val="006C756A"/>
    <w:rsid w:val="006C79B3"/>
    <w:rsid w:val="006C7AC2"/>
    <w:rsid w:val="006D0E05"/>
    <w:rsid w:val="006D0F39"/>
    <w:rsid w:val="006D107D"/>
    <w:rsid w:val="006D1C34"/>
    <w:rsid w:val="006D2705"/>
    <w:rsid w:val="006D27C8"/>
    <w:rsid w:val="006D287D"/>
    <w:rsid w:val="006D3087"/>
    <w:rsid w:val="006D328F"/>
    <w:rsid w:val="006D429C"/>
    <w:rsid w:val="006D433E"/>
    <w:rsid w:val="006D569E"/>
    <w:rsid w:val="006D628C"/>
    <w:rsid w:val="006D7E4B"/>
    <w:rsid w:val="006E00B5"/>
    <w:rsid w:val="006E18CA"/>
    <w:rsid w:val="006E1B4F"/>
    <w:rsid w:val="006E1F26"/>
    <w:rsid w:val="006E1FF6"/>
    <w:rsid w:val="006E210F"/>
    <w:rsid w:val="006E6EFC"/>
    <w:rsid w:val="006F03E2"/>
    <w:rsid w:val="006F121D"/>
    <w:rsid w:val="006F1CB7"/>
    <w:rsid w:val="006F21F5"/>
    <w:rsid w:val="006F2A42"/>
    <w:rsid w:val="006F3143"/>
    <w:rsid w:val="006F3166"/>
    <w:rsid w:val="006F33E5"/>
    <w:rsid w:val="006F35CA"/>
    <w:rsid w:val="006F40B9"/>
    <w:rsid w:val="006F536C"/>
    <w:rsid w:val="006F548F"/>
    <w:rsid w:val="006F7074"/>
    <w:rsid w:val="006F7E43"/>
    <w:rsid w:val="00700C06"/>
    <w:rsid w:val="00701BB8"/>
    <w:rsid w:val="007045F0"/>
    <w:rsid w:val="00704D25"/>
    <w:rsid w:val="00705C21"/>
    <w:rsid w:val="00705F61"/>
    <w:rsid w:val="007060A1"/>
    <w:rsid w:val="00706150"/>
    <w:rsid w:val="007062BA"/>
    <w:rsid w:val="00706428"/>
    <w:rsid w:val="007070F2"/>
    <w:rsid w:val="007071EE"/>
    <w:rsid w:val="007072EB"/>
    <w:rsid w:val="00707BD9"/>
    <w:rsid w:val="00710E6D"/>
    <w:rsid w:val="00713387"/>
    <w:rsid w:val="00714B13"/>
    <w:rsid w:val="00715EED"/>
    <w:rsid w:val="00720438"/>
    <w:rsid w:val="00720B19"/>
    <w:rsid w:val="00720B33"/>
    <w:rsid w:val="00720E7B"/>
    <w:rsid w:val="0072257F"/>
    <w:rsid w:val="00722C04"/>
    <w:rsid w:val="00723938"/>
    <w:rsid w:val="00723ED0"/>
    <w:rsid w:val="00724286"/>
    <w:rsid w:val="00724DA8"/>
    <w:rsid w:val="00725213"/>
    <w:rsid w:val="0072619C"/>
    <w:rsid w:val="007265F6"/>
    <w:rsid w:val="00726CE9"/>
    <w:rsid w:val="00731315"/>
    <w:rsid w:val="00732517"/>
    <w:rsid w:val="00732B41"/>
    <w:rsid w:val="007330F7"/>
    <w:rsid w:val="00733FD1"/>
    <w:rsid w:val="00734222"/>
    <w:rsid w:val="00734608"/>
    <w:rsid w:val="00735017"/>
    <w:rsid w:val="0073548D"/>
    <w:rsid w:val="00735A7F"/>
    <w:rsid w:val="007364BB"/>
    <w:rsid w:val="00737408"/>
    <w:rsid w:val="00737BD7"/>
    <w:rsid w:val="00741563"/>
    <w:rsid w:val="007417C7"/>
    <w:rsid w:val="0074186F"/>
    <w:rsid w:val="00741FC5"/>
    <w:rsid w:val="00743ABD"/>
    <w:rsid w:val="007457BE"/>
    <w:rsid w:val="0074593A"/>
    <w:rsid w:val="00745999"/>
    <w:rsid w:val="00746F2F"/>
    <w:rsid w:val="0074739C"/>
    <w:rsid w:val="007475F1"/>
    <w:rsid w:val="00747909"/>
    <w:rsid w:val="007507FD"/>
    <w:rsid w:val="00751393"/>
    <w:rsid w:val="0075349B"/>
    <w:rsid w:val="007536E2"/>
    <w:rsid w:val="00753BCE"/>
    <w:rsid w:val="0075489E"/>
    <w:rsid w:val="00755A01"/>
    <w:rsid w:val="007564AD"/>
    <w:rsid w:val="007567EC"/>
    <w:rsid w:val="007567FC"/>
    <w:rsid w:val="007571E8"/>
    <w:rsid w:val="00757318"/>
    <w:rsid w:val="00757563"/>
    <w:rsid w:val="00757CAE"/>
    <w:rsid w:val="00757F52"/>
    <w:rsid w:val="00760AD5"/>
    <w:rsid w:val="00762355"/>
    <w:rsid w:val="00762456"/>
    <w:rsid w:val="007628C7"/>
    <w:rsid w:val="00762BA2"/>
    <w:rsid w:val="007639D7"/>
    <w:rsid w:val="00763C3D"/>
    <w:rsid w:val="00764C6C"/>
    <w:rsid w:val="00764E10"/>
    <w:rsid w:val="00765236"/>
    <w:rsid w:val="00765964"/>
    <w:rsid w:val="00765AFA"/>
    <w:rsid w:val="007672A0"/>
    <w:rsid w:val="00767A44"/>
    <w:rsid w:val="00767F55"/>
    <w:rsid w:val="007707BC"/>
    <w:rsid w:val="007715F1"/>
    <w:rsid w:val="00771747"/>
    <w:rsid w:val="007723F0"/>
    <w:rsid w:val="00773A4A"/>
    <w:rsid w:val="00773E70"/>
    <w:rsid w:val="00774C7F"/>
    <w:rsid w:val="00774CCE"/>
    <w:rsid w:val="0077576C"/>
    <w:rsid w:val="0077578A"/>
    <w:rsid w:val="00775A48"/>
    <w:rsid w:val="007769B8"/>
    <w:rsid w:val="00776BCC"/>
    <w:rsid w:val="00777DFC"/>
    <w:rsid w:val="00780094"/>
    <w:rsid w:val="007800B4"/>
    <w:rsid w:val="0078011A"/>
    <w:rsid w:val="00781A54"/>
    <w:rsid w:val="00781A8C"/>
    <w:rsid w:val="007835BD"/>
    <w:rsid w:val="0078456C"/>
    <w:rsid w:val="00786D2A"/>
    <w:rsid w:val="007876D8"/>
    <w:rsid w:val="00790700"/>
    <w:rsid w:val="00790B3C"/>
    <w:rsid w:val="00790E78"/>
    <w:rsid w:val="00791D13"/>
    <w:rsid w:val="007925CE"/>
    <w:rsid w:val="007926C0"/>
    <w:rsid w:val="00792E19"/>
    <w:rsid w:val="007954D8"/>
    <w:rsid w:val="00795A2A"/>
    <w:rsid w:val="00796202"/>
    <w:rsid w:val="00796FAF"/>
    <w:rsid w:val="00797F93"/>
    <w:rsid w:val="007A029A"/>
    <w:rsid w:val="007A06EF"/>
    <w:rsid w:val="007A0CF6"/>
    <w:rsid w:val="007A28ED"/>
    <w:rsid w:val="007A2BDC"/>
    <w:rsid w:val="007A2D45"/>
    <w:rsid w:val="007A4327"/>
    <w:rsid w:val="007A5A19"/>
    <w:rsid w:val="007B017B"/>
    <w:rsid w:val="007B0836"/>
    <w:rsid w:val="007B0CF7"/>
    <w:rsid w:val="007B0D62"/>
    <w:rsid w:val="007B24A5"/>
    <w:rsid w:val="007B3256"/>
    <w:rsid w:val="007B4BE1"/>
    <w:rsid w:val="007B4C45"/>
    <w:rsid w:val="007B4E97"/>
    <w:rsid w:val="007B5119"/>
    <w:rsid w:val="007B58C3"/>
    <w:rsid w:val="007B75D8"/>
    <w:rsid w:val="007B7A68"/>
    <w:rsid w:val="007C0256"/>
    <w:rsid w:val="007C0B59"/>
    <w:rsid w:val="007C0F71"/>
    <w:rsid w:val="007C1079"/>
    <w:rsid w:val="007C236F"/>
    <w:rsid w:val="007C25F4"/>
    <w:rsid w:val="007C2FBB"/>
    <w:rsid w:val="007C3496"/>
    <w:rsid w:val="007C4052"/>
    <w:rsid w:val="007C4385"/>
    <w:rsid w:val="007C4DBA"/>
    <w:rsid w:val="007C6197"/>
    <w:rsid w:val="007C63FF"/>
    <w:rsid w:val="007C6DEA"/>
    <w:rsid w:val="007C7AB9"/>
    <w:rsid w:val="007C7B01"/>
    <w:rsid w:val="007C7C86"/>
    <w:rsid w:val="007D00AA"/>
    <w:rsid w:val="007D03C3"/>
    <w:rsid w:val="007D134D"/>
    <w:rsid w:val="007D1BEC"/>
    <w:rsid w:val="007D1FFD"/>
    <w:rsid w:val="007D30EE"/>
    <w:rsid w:val="007D3890"/>
    <w:rsid w:val="007D429B"/>
    <w:rsid w:val="007D5904"/>
    <w:rsid w:val="007D5A7E"/>
    <w:rsid w:val="007D5DA0"/>
    <w:rsid w:val="007D69F2"/>
    <w:rsid w:val="007D718C"/>
    <w:rsid w:val="007D770F"/>
    <w:rsid w:val="007D7AF5"/>
    <w:rsid w:val="007E00A1"/>
    <w:rsid w:val="007E0D8E"/>
    <w:rsid w:val="007E2623"/>
    <w:rsid w:val="007E3BC3"/>
    <w:rsid w:val="007E431E"/>
    <w:rsid w:val="007E55CD"/>
    <w:rsid w:val="007E7976"/>
    <w:rsid w:val="007F069C"/>
    <w:rsid w:val="007F1146"/>
    <w:rsid w:val="007F1B21"/>
    <w:rsid w:val="007F3E37"/>
    <w:rsid w:val="007F3E4C"/>
    <w:rsid w:val="007F40E3"/>
    <w:rsid w:val="007F47E8"/>
    <w:rsid w:val="007F4B6F"/>
    <w:rsid w:val="007F4CDC"/>
    <w:rsid w:val="007F5EC8"/>
    <w:rsid w:val="007F753F"/>
    <w:rsid w:val="007F7CCC"/>
    <w:rsid w:val="00802830"/>
    <w:rsid w:val="00802A2B"/>
    <w:rsid w:val="00805684"/>
    <w:rsid w:val="00805A10"/>
    <w:rsid w:val="008064D2"/>
    <w:rsid w:val="0080657B"/>
    <w:rsid w:val="00807919"/>
    <w:rsid w:val="0081059D"/>
    <w:rsid w:val="008106E5"/>
    <w:rsid w:val="00811684"/>
    <w:rsid w:val="00812821"/>
    <w:rsid w:val="00813009"/>
    <w:rsid w:val="00813FD6"/>
    <w:rsid w:val="008143D6"/>
    <w:rsid w:val="00816120"/>
    <w:rsid w:val="00817CA7"/>
    <w:rsid w:val="00817FAD"/>
    <w:rsid w:val="008211B4"/>
    <w:rsid w:val="008214F8"/>
    <w:rsid w:val="00821CF1"/>
    <w:rsid w:val="00822033"/>
    <w:rsid w:val="00822443"/>
    <w:rsid w:val="0082269E"/>
    <w:rsid w:val="00824BA9"/>
    <w:rsid w:val="00825EB8"/>
    <w:rsid w:val="008264F4"/>
    <w:rsid w:val="008271DA"/>
    <w:rsid w:val="00827C2A"/>
    <w:rsid w:val="00830318"/>
    <w:rsid w:val="00830C75"/>
    <w:rsid w:val="0083170C"/>
    <w:rsid w:val="00831DED"/>
    <w:rsid w:val="00832FDB"/>
    <w:rsid w:val="008331F9"/>
    <w:rsid w:val="00833B69"/>
    <w:rsid w:val="008359C2"/>
    <w:rsid w:val="00835DD6"/>
    <w:rsid w:val="008361CF"/>
    <w:rsid w:val="00837D83"/>
    <w:rsid w:val="008409C3"/>
    <w:rsid w:val="00841C34"/>
    <w:rsid w:val="00842755"/>
    <w:rsid w:val="00844C12"/>
    <w:rsid w:val="00844F88"/>
    <w:rsid w:val="0084550B"/>
    <w:rsid w:val="008457B5"/>
    <w:rsid w:val="008459BD"/>
    <w:rsid w:val="008461F7"/>
    <w:rsid w:val="00846647"/>
    <w:rsid w:val="008470CD"/>
    <w:rsid w:val="00847268"/>
    <w:rsid w:val="0085200A"/>
    <w:rsid w:val="00852C35"/>
    <w:rsid w:val="0085364B"/>
    <w:rsid w:val="00853DED"/>
    <w:rsid w:val="00853EAF"/>
    <w:rsid w:val="00854A63"/>
    <w:rsid w:val="008552EB"/>
    <w:rsid w:val="00856EE7"/>
    <w:rsid w:val="008570A0"/>
    <w:rsid w:val="00857642"/>
    <w:rsid w:val="00857BA4"/>
    <w:rsid w:val="00857D87"/>
    <w:rsid w:val="00861C2B"/>
    <w:rsid w:val="00862BEC"/>
    <w:rsid w:val="00862DEB"/>
    <w:rsid w:val="00862F73"/>
    <w:rsid w:val="00863157"/>
    <w:rsid w:val="00863D79"/>
    <w:rsid w:val="00864373"/>
    <w:rsid w:val="00864B45"/>
    <w:rsid w:val="00864E94"/>
    <w:rsid w:val="00864F69"/>
    <w:rsid w:val="00865622"/>
    <w:rsid w:val="00866215"/>
    <w:rsid w:val="0087041E"/>
    <w:rsid w:val="008717BC"/>
    <w:rsid w:val="00871A8D"/>
    <w:rsid w:val="00872054"/>
    <w:rsid w:val="00872333"/>
    <w:rsid w:val="00874448"/>
    <w:rsid w:val="00875101"/>
    <w:rsid w:val="00875689"/>
    <w:rsid w:val="00875C29"/>
    <w:rsid w:val="00877C23"/>
    <w:rsid w:val="00880247"/>
    <w:rsid w:val="00880463"/>
    <w:rsid w:val="008809DD"/>
    <w:rsid w:val="00880F30"/>
    <w:rsid w:val="00881A66"/>
    <w:rsid w:val="00881F4D"/>
    <w:rsid w:val="0088239F"/>
    <w:rsid w:val="00882D1C"/>
    <w:rsid w:val="0088300D"/>
    <w:rsid w:val="0088449A"/>
    <w:rsid w:val="00884F43"/>
    <w:rsid w:val="00885500"/>
    <w:rsid w:val="00885753"/>
    <w:rsid w:val="00885F5D"/>
    <w:rsid w:val="00887BD6"/>
    <w:rsid w:val="0089054D"/>
    <w:rsid w:val="008905E1"/>
    <w:rsid w:val="008910E6"/>
    <w:rsid w:val="008919E6"/>
    <w:rsid w:val="00893009"/>
    <w:rsid w:val="008942B6"/>
    <w:rsid w:val="00895613"/>
    <w:rsid w:val="00895AD3"/>
    <w:rsid w:val="00895C31"/>
    <w:rsid w:val="008A0C7B"/>
    <w:rsid w:val="008A12C9"/>
    <w:rsid w:val="008A191E"/>
    <w:rsid w:val="008A299A"/>
    <w:rsid w:val="008A3576"/>
    <w:rsid w:val="008A6F1D"/>
    <w:rsid w:val="008A7349"/>
    <w:rsid w:val="008A7B73"/>
    <w:rsid w:val="008B014E"/>
    <w:rsid w:val="008B08CE"/>
    <w:rsid w:val="008B1062"/>
    <w:rsid w:val="008B1B1F"/>
    <w:rsid w:val="008B23B8"/>
    <w:rsid w:val="008B3599"/>
    <w:rsid w:val="008B3AA2"/>
    <w:rsid w:val="008B5103"/>
    <w:rsid w:val="008B6200"/>
    <w:rsid w:val="008C1C30"/>
    <w:rsid w:val="008C2438"/>
    <w:rsid w:val="008C33B2"/>
    <w:rsid w:val="008C3A3D"/>
    <w:rsid w:val="008C3B1A"/>
    <w:rsid w:val="008C3C16"/>
    <w:rsid w:val="008C5F57"/>
    <w:rsid w:val="008C6F51"/>
    <w:rsid w:val="008C7FA3"/>
    <w:rsid w:val="008D01BA"/>
    <w:rsid w:val="008D02A5"/>
    <w:rsid w:val="008D0BBD"/>
    <w:rsid w:val="008D20E1"/>
    <w:rsid w:val="008D371C"/>
    <w:rsid w:val="008D3B08"/>
    <w:rsid w:val="008D41AD"/>
    <w:rsid w:val="008D441B"/>
    <w:rsid w:val="008D445E"/>
    <w:rsid w:val="008D5E7A"/>
    <w:rsid w:val="008D61DB"/>
    <w:rsid w:val="008E0453"/>
    <w:rsid w:val="008E0E04"/>
    <w:rsid w:val="008E0F68"/>
    <w:rsid w:val="008E1076"/>
    <w:rsid w:val="008E1124"/>
    <w:rsid w:val="008E11D6"/>
    <w:rsid w:val="008E127E"/>
    <w:rsid w:val="008E1C69"/>
    <w:rsid w:val="008E4950"/>
    <w:rsid w:val="008E4B66"/>
    <w:rsid w:val="008E4D61"/>
    <w:rsid w:val="008E4E3F"/>
    <w:rsid w:val="008E58AC"/>
    <w:rsid w:val="008E5DEC"/>
    <w:rsid w:val="008E62D0"/>
    <w:rsid w:val="008E70F9"/>
    <w:rsid w:val="008E76E7"/>
    <w:rsid w:val="008F0C46"/>
    <w:rsid w:val="008F107D"/>
    <w:rsid w:val="008F1DB2"/>
    <w:rsid w:val="008F522C"/>
    <w:rsid w:val="008F655A"/>
    <w:rsid w:val="008F723B"/>
    <w:rsid w:val="008F7266"/>
    <w:rsid w:val="008F793B"/>
    <w:rsid w:val="00900798"/>
    <w:rsid w:val="00901054"/>
    <w:rsid w:val="0090158D"/>
    <w:rsid w:val="009015D9"/>
    <w:rsid w:val="00901DB3"/>
    <w:rsid w:val="009025EE"/>
    <w:rsid w:val="00902D8E"/>
    <w:rsid w:val="009046A7"/>
    <w:rsid w:val="00904898"/>
    <w:rsid w:val="00904BDB"/>
    <w:rsid w:val="0090518C"/>
    <w:rsid w:val="00905AE1"/>
    <w:rsid w:val="00906EFF"/>
    <w:rsid w:val="0091044F"/>
    <w:rsid w:val="009146A9"/>
    <w:rsid w:val="009156A6"/>
    <w:rsid w:val="0091587C"/>
    <w:rsid w:val="00916A7E"/>
    <w:rsid w:val="00916B11"/>
    <w:rsid w:val="00917281"/>
    <w:rsid w:val="009204C0"/>
    <w:rsid w:val="00920A40"/>
    <w:rsid w:val="009210B9"/>
    <w:rsid w:val="00921736"/>
    <w:rsid w:val="00921E96"/>
    <w:rsid w:val="009227B6"/>
    <w:rsid w:val="009228BC"/>
    <w:rsid w:val="009239D0"/>
    <w:rsid w:val="00925AEE"/>
    <w:rsid w:val="00925E38"/>
    <w:rsid w:val="00930252"/>
    <w:rsid w:val="0093116D"/>
    <w:rsid w:val="009314C9"/>
    <w:rsid w:val="00932C55"/>
    <w:rsid w:val="00932F0A"/>
    <w:rsid w:val="00933435"/>
    <w:rsid w:val="00933CEC"/>
    <w:rsid w:val="00934C06"/>
    <w:rsid w:val="0093540B"/>
    <w:rsid w:val="0093565F"/>
    <w:rsid w:val="00936D72"/>
    <w:rsid w:val="00937181"/>
    <w:rsid w:val="00937634"/>
    <w:rsid w:val="009379D1"/>
    <w:rsid w:val="00937D79"/>
    <w:rsid w:val="009400A6"/>
    <w:rsid w:val="009405D1"/>
    <w:rsid w:val="009405F6"/>
    <w:rsid w:val="00940653"/>
    <w:rsid w:val="009412B7"/>
    <w:rsid w:val="00941458"/>
    <w:rsid w:val="00941D51"/>
    <w:rsid w:val="00942561"/>
    <w:rsid w:val="009446D0"/>
    <w:rsid w:val="00944FF1"/>
    <w:rsid w:val="00950AC6"/>
    <w:rsid w:val="00952513"/>
    <w:rsid w:val="009531FB"/>
    <w:rsid w:val="00953301"/>
    <w:rsid w:val="009533D6"/>
    <w:rsid w:val="00953E32"/>
    <w:rsid w:val="00954BAA"/>
    <w:rsid w:val="00955D7C"/>
    <w:rsid w:val="00956403"/>
    <w:rsid w:val="00956CEC"/>
    <w:rsid w:val="00957577"/>
    <w:rsid w:val="00957D07"/>
    <w:rsid w:val="0096029D"/>
    <w:rsid w:val="009621F8"/>
    <w:rsid w:val="00962D35"/>
    <w:rsid w:val="00963123"/>
    <w:rsid w:val="009638D4"/>
    <w:rsid w:val="00964EBE"/>
    <w:rsid w:val="009655D4"/>
    <w:rsid w:val="0096565F"/>
    <w:rsid w:val="00965915"/>
    <w:rsid w:val="00967ECB"/>
    <w:rsid w:val="009707ED"/>
    <w:rsid w:val="00970B29"/>
    <w:rsid w:val="00970C05"/>
    <w:rsid w:val="009719C5"/>
    <w:rsid w:val="00972053"/>
    <w:rsid w:val="00972567"/>
    <w:rsid w:val="00972D59"/>
    <w:rsid w:val="00974F72"/>
    <w:rsid w:val="00974F89"/>
    <w:rsid w:val="00976879"/>
    <w:rsid w:val="00980231"/>
    <w:rsid w:val="00980F57"/>
    <w:rsid w:val="00981465"/>
    <w:rsid w:val="00982FA2"/>
    <w:rsid w:val="00984B42"/>
    <w:rsid w:val="00986472"/>
    <w:rsid w:val="009866B9"/>
    <w:rsid w:val="00986879"/>
    <w:rsid w:val="00986BBE"/>
    <w:rsid w:val="0098770F"/>
    <w:rsid w:val="009902ED"/>
    <w:rsid w:val="009910D4"/>
    <w:rsid w:val="00992122"/>
    <w:rsid w:val="00993BDF"/>
    <w:rsid w:val="009941D3"/>
    <w:rsid w:val="0099521D"/>
    <w:rsid w:val="00995341"/>
    <w:rsid w:val="00995419"/>
    <w:rsid w:val="00995677"/>
    <w:rsid w:val="00996DB3"/>
    <w:rsid w:val="00997496"/>
    <w:rsid w:val="00997BEB"/>
    <w:rsid w:val="009A06E4"/>
    <w:rsid w:val="009A0A7F"/>
    <w:rsid w:val="009A2048"/>
    <w:rsid w:val="009A2B2C"/>
    <w:rsid w:val="009A2FED"/>
    <w:rsid w:val="009A3015"/>
    <w:rsid w:val="009A3B75"/>
    <w:rsid w:val="009A3F78"/>
    <w:rsid w:val="009A5B7C"/>
    <w:rsid w:val="009A7150"/>
    <w:rsid w:val="009A723D"/>
    <w:rsid w:val="009A7CB9"/>
    <w:rsid w:val="009B2C7E"/>
    <w:rsid w:val="009B4386"/>
    <w:rsid w:val="009B51EF"/>
    <w:rsid w:val="009B5AFB"/>
    <w:rsid w:val="009B634B"/>
    <w:rsid w:val="009B6429"/>
    <w:rsid w:val="009B699E"/>
    <w:rsid w:val="009B74DF"/>
    <w:rsid w:val="009C0975"/>
    <w:rsid w:val="009C1BED"/>
    <w:rsid w:val="009C1F64"/>
    <w:rsid w:val="009C2FE4"/>
    <w:rsid w:val="009C323B"/>
    <w:rsid w:val="009C355A"/>
    <w:rsid w:val="009C5B55"/>
    <w:rsid w:val="009C6E53"/>
    <w:rsid w:val="009C7732"/>
    <w:rsid w:val="009D022E"/>
    <w:rsid w:val="009D0D73"/>
    <w:rsid w:val="009D11A6"/>
    <w:rsid w:val="009D27E6"/>
    <w:rsid w:val="009D2B3C"/>
    <w:rsid w:val="009D4EF7"/>
    <w:rsid w:val="009D59B6"/>
    <w:rsid w:val="009D6672"/>
    <w:rsid w:val="009E1C70"/>
    <w:rsid w:val="009E45E9"/>
    <w:rsid w:val="009E797F"/>
    <w:rsid w:val="009E7DAD"/>
    <w:rsid w:val="009F1109"/>
    <w:rsid w:val="009F129A"/>
    <w:rsid w:val="009F160E"/>
    <w:rsid w:val="009F1D8A"/>
    <w:rsid w:val="009F25D2"/>
    <w:rsid w:val="009F3C41"/>
    <w:rsid w:val="009F67F6"/>
    <w:rsid w:val="009F756C"/>
    <w:rsid w:val="009F7B2E"/>
    <w:rsid w:val="009F7F6C"/>
    <w:rsid w:val="00A01396"/>
    <w:rsid w:val="00A01A36"/>
    <w:rsid w:val="00A01E65"/>
    <w:rsid w:val="00A05177"/>
    <w:rsid w:val="00A0648E"/>
    <w:rsid w:val="00A076B3"/>
    <w:rsid w:val="00A10869"/>
    <w:rsid w:val="00A1113B"/>
    <w:rsid w:val="00A11D19"/>
    <w:rsid w:val="00A11DCB"/>
    <w:rsid w:val="00A12091"/>
    <w:rsid w:val="00A12996"/>
    <w:rsid w:val="00A129C5"/>
    <w:rsid w:val="00A12AA2"/>
    <w:rsid w:val="00A137FD"/>
    <w:rsid w:val="00A146ED"/>
    <w:rsid w:val="00A157F6"/>
    <w:rsid w:val="00A16901"/>
    <w:rsid w:val="00A17877"/>
    <w:rsid w:val="00A200F7"/>
    <w:rsid w:val="00A20C63"/>
    <w:rsid w:val="00A21321"/>
    <w:rsid w:val="00A21F06"/>
    <w:rsid w:val="00A21FEA"/>
    <w:rsid w:val="00A2202A"/>
    <w:rsid w:val="00A2441F"/>
    <w:rsid w:val="00A25575"/>
    <w:rsid w:val="00A308EA"/>
    <w:rsid w:val="00A30A0D"/>
    <w:rsid w:val="00A30EE2"/>
    <w:rsid w:val="00A32A5F"/>
    <w:rsid w:val="00A32C1C"/>
    <w:rsid w:val="00A331A1"/>
    <w:rsid w:val="00A3332E"/>
    <w:rsid w:val="00A33758"/>
    <w:rsid w:val="00A33B5D"/>
    <w:rsid w:val="00A33E34"/>
    <w:rsid w:val="00A34EE0"/>
    <w:rsid w:val="00A3557F"/>
    <w:rsid w:val="00A36577"/>
    <w:rsid w:val="00A3699C"/>
    <w:rsid w:val="00A404A4"/>
    <w:rsid w:val="00A40733"/>
    <w:rsid w:val="00A40E5A"/>
    <w:rsid w:val="00A413A7"/>
    <w:rsid w:val="00A421C4"/>
    <w:rsid w:val="00A42562"/>
    <w:rsid w:val="00A4287E"/>
    <w:rsid w:val="00A42EA8"/>
    <w:rsid w:val="00A430AA"/>
    <w:rsid w:val="00A43147"/>
    <w:rsid w:val="00A438EC"/>
    <w:rsid w:val="00A43A5C"/>
    <w:rsid w:val="00A43D4F"/>
    <w:rsid w:val="00A442D7"/>
    <w:rsid w:val="00A44496"/>
    <w:rsid w:val="00A4491A"/>
    <w:rsid w:val="00A451BC"/>
    <w:rsid w:val="00A455B5"/>
    <w:rsid w:val="00A456F0"/>
    <w:rsid w:val="00A4596E"/>
    <w:rsid w:val="00A45F93"/>
    <w:rsid w:val="00A474E6"/>
    <w:rsid w:val="00A47B3E"/>
    <w:rsid w:val="00A47B83"/>
    <w:rsid w:val="00A50602"/>
    <w:rsid w:val="00A50FB1"/>
    <w:rsid w:val="00A5197D"/>
    <w:rsid w:val="00A53116"/>
    <w:rsid w:val="00A543F4"/>
    <w:rsid w:val="00A547D8"/>
    <w:rsid w:val="00A56C4C"/>
    <w:rsid w:val="00A57569"/>
    <w:rsid w:val="00A57AE1"/>
    <w:rsid w:val="00A60B80"/>
    <w:rsid w:val="00A610F5"/>
    <w:rsid w:val="00A61601"/>
    <w:rsid w:val="00A61738"/>
    <w:rsid w:val="00A6178C"/>
    <w:rsid w:val="00A617AF"/>
    <w:rsid w:val="00A619FA"/>
    <w:rsid w:val="00A61ADE"/>
    <w:rsid w:val="00A61F46"/>
    <w:rsid w:val="00A6486E"/>
    <w:rsid w:val="00A64D21"/>
    <w:rsid w:val="00A64F31"/>
    <w:rsid w:val="00A65960"/>
    <w:rsid w:val="00A65EEE"/>
    <w:rsid w:val="00A664A4"/>
    <w:rsid w:val="00A67556"/>
    <w:rsid w:val="00A704EC"/>
    <w:rsid w:val="00A70BB6"/>
    <w:rsid w:val="00A73E02"/>
    <w:rsid w:val="00A74236"/>
    <w:rsid w:val="00A743C4"/>
    <w:rsid w:val="00A76466"/>
    <w:rsid w:val="00A769D2"/>
    <w:rsid w:val="00A80098"/>
    <w:rsid w:val="00A800E6"/>
    <w:rsid w:val="00A82736"/>
    <w:rsid w:val="00A8273C"/>
    <w:rsid w:val="00A835C7"/>
    <w:rsid w:val="00A844A4"/>
    <w:rsid w:val="00A84537"/>
    <w:rsid w:val="00A85831"/>
    <w:rsid w:val="00A85EDE"/>
    <w:rsid w:val="00A86096"/>
    <w:rsid w:val="00A862D5"/>
    <w:rsid w:val="00A86350"/>
    <w:rsid w:val="00A87A15"/>
    <w:rsid w:val="00A9044B"/>
    <w:rsid w:val="00A90703"/>
    <w:rsid w:val="00A90852"/>
    <w:rsid w:val="00A90A2C"/>
    <w:rsid w:val="00A90EDE"/>
    <w:rsid w:val="00A91758"/>
    <w:rsid w:val="00A92100"/>
    <w:rsid w:val="00A92631"/>
    <w:rsid w:val="00A93197"/>
    <w:rsid w:val="00A932E5"/>
    <w:rsid w:val="00A93994"/>
    <w:rsid w:val="00A93BAE"/>
    <w:rsid w:val="00A93FDE"/>
    <w:rsid w:val="00A9428B"/>
    <w:rsid w:val="00A94793"/>
    <w:rsid w:val="00A952E7"/>
    <w:rsid w:val="00A963E6"/>
    <w:rsid w:val="00A96774"/>
    <w:rsid w:val="00A96A80"/>
    <w:rsid w:val="00A97597"/>
    <w:rsid w:val="00A978AF"/>
    <w:rsid w:val="00A97DF6"/>
    <w:rsid w:val="00AA0A71"/>
    <w:rsid w:val="00AA0E9F"/>
    <w:rsid w:val="00AA27EF"/>
    <w:rsid w:val="00AA5161"/>
    <w:rsid w:val="00AA5C0D"/>
    <w:rsid w:val="00AB0DD2"/>
    <w:rsid w:val="00AB133D"/>
    <w:rsid w:val="00AB1B53"/>
    <w:rsid w:val="00AB24D2"/>
    <w:rsid w:val="00AB38C2"/>
    <w:rsid w:val="00AB4E83"/>
    <w:rsid w:val="00AB59E9"/>
    <w:rsid w:val="00AB5EF8"/>
    <w:rsid w:val="00AB60E1"/>
    <w:rsid w:val="00AB6857"/>
    <w:rsid w:val="00AB75CC"/>
    <w:rsid w:val="00AB79FC"/>
    <w:rsid w:val="00AB7CF9"/>
    <w:rsid w:val="00AC01E6"/>
    <w:rsid w:val="00AC0EAE"/>
    <w:rsid w:val="00AC29E8"/>
    <w:rsid w:val="00AC2BC3"/>
    <w:rsid w:val="00AC3879"/>
    <w:rsid w:val="00AC3B97"/>
    <w:rsid w:val="00AC42F1"/>
    <w:rsid w:val="00AC4634"/>
    <w:rsid w:val="00AC4B41"/>
    <w:rsid w:val="00AC5183"/>
    <w:rsid w:val="00AC53F5"/>
    <w:rsid w:val="00AD028B"/>
    <w:rsid w:val="00AD0BC0"/>
    <w:rsid w:val="00AD2FB7"/>
    <w:rsid w:val="00AD32C1"/>
    <w:rsid w:val="00AD36EB"/>
    <w:rsid w:val="00AD50BE"/>
    <w:rsid w:val="00AD562A"/>
    <w:rsid w:val="00AD5C2E"/>
    <w:rsid w:val="00AD6537"/>
    <w:rsid w:val="00AD719D"/>
    <w:rsid w:val="00AD7C9B"/>
    <w:rsid w:val="00AD7DA9"/>
    <w:rsid w:val="00AE0B22"/>
    <w:rsid w:val="00AE17B0"/>
    <w:rsid w:val="00AE20C5"/>
    <w:rsid w:val="00AE2564"/>
    <w:rsid w:val="00AE2731"/>
    <w:rsid w:val="00AE2F03"/>
    <w:rsid w:val="00AE3B01"/>
    <w:rsid w:val="00AE57D0"/>
    <w:rsid w:val="00AE5ED5"/>
    <w:rsid w:val="00AE70AF"/>
    <w:rsid w:val="00AF10A9"/>
    <w:rsid w:val="00AF1C7B"/>
    <w:rsid w:val="00AF4D03"/>
    <w:rsid w:val="00AF723F"/>
    <w:rsid w:val="00AF7F48"/>
    <w:rsid w:val="00B00741"/>
    <w:rsid w:val="00B009A8"/>
    <w:rsid w:val="00B00EFA"/>
    <w:rsid w:val="00B014DE"/>
    <w:rsid w:val="00B01D0E"/>
    <w:rsid w:val="00B01D8E"/>
    <w:rsid w:val="00B02848"/>
    <w:rsid w:val="00B02A52"/>
    <w:rsid w:val="00B02BE2"/>
    <w:rsid w:val="00B02E58"/>
    <w:rsid w:val="00B0440E"/>
    <w:rsid w:val="00B04A99"/>
    <w:rsid w:val="00B05E3B"/>
    <w:rsid w:val="00B06F0F"/>
    <w:rsid w:val="00B06F35"/>
    <w:rsid w:val="00B07861"/>
    <w:rsid w:val="00B100BB"/>
    <w:rsid w:val="00B1115A"/>
    <w:rsid w:val="00B1125C"/>
    <w:rsid w:val="00B116BD"/>
    <w:rsid w:val="00B12795"/>
    <w:rsid w:val="00B12CED"/>
    <w:rsid w:val="00B15CB4"/>
    <w:rsid w:val="00B16AD3"/>
    <w:rsid w:val="00B171DE"/>
    <w:rsid w:val="00B200EF"/>
    <w:rsid w:val="00B21FB6"/>
    <w:rsid w:val="00B24684"/>
    <w:rsid w:val="00B25EB1"/>
    <w:rsid w:val="00B27CC7"/>
    <w:rsid w:val="00B30C40"/>
    <w:rsid w:val="00B30E85"/>
    <w:rsid w:val="00B31184"/>
    <w:rsid w:val="00B33B8B"/>
    <w:rsid w:val="00B35A81"/>
    <w:rsid w:val="00B37D50"/>
    <w:rsid w:val="00B41872"/>
    <w:rsid w:val="00B41FBB"/>
    <w:rsid w:val="00B421E4"/>
    <w:rsid w:val="00B4288E"/>
    <w:rsid w:val="00B42E8E"/>
    <w:rsid w:val="00B434C7"/>
    <w:rsid w:val="00B44339"/>
    <w:rsid w:val="00B44937"/>
    <w:rsid w:val="00B45A61"/>
    <w:rsid w:val="00B45E89"/>
    <w:rsid w:val="00B46076"/>
    <w:rsid w:val="00B46605"/>
    <w:rsid w:val="00B47A0F"/>
    <w:rsid w:val="00B47C62"/>
    <w:rsid w:val="00B47C96"/>
    <w:rsid w:val="00B506E1"/>
    <w:rsid w:val="00B51D2E"/>
    <w:rsid w:val="00B53266"/>
    <w:rsid w:val="00B53E3D"/>
    <w:rsid w:val="00B54066"/>
    <w:rsid w:val="00B5459E"/>
    <w:rsid w:val="00B54B44"/>
    <w:rsid w:val="00B55710"/>
    <w:rsid w:val="00B56FAD"/>
    <w:rsid w:val="00B5717A"/>
    <w:rsid w:val="00B57757"/>
    <w:rsid w:val="00B61E2E"/>
    <w:rsid w:val="00B621BC"/>
    <w:rsid w:val="00B62404"/>
    <w:rsid w:val="00B6394B"/>
    <w:rsid w:val="00B64234"/>
    <w:rsid w:val="00B643D9"/>
    <w:rsid w:val="00B6636B"/>
    <w:rsid w:val="00B67743"/>
    <w:rsid w:val="00B70B7D"/>
    <w:rsid w:val="00B71910"/>
    <w:rsid w:val="00B71D2A"/>
    <w:rsid w:val="00B71E52"/>
    <w:rsid w:val="00B741F8"/>
    <w:rsid w:val="00B74211"/>
    <w:rsid w:val="00B76281"/>
    <w:rsid w:val="00B764FC"/>
    <w:rsid w:val="00B768C2"/>
    <w:rsid w:val="00B772B9"/>
    <w:rsid w:val="00B77B67"/>
    <w:rsid w:val="00B80EDF"/>
    <w:rsid w:val="00B810AD"/>
    <w:rsid w:val="00B813AF"/>
    <w:rsid w:val="00B816D1"/>
    <w:rsid w:val="00B828E3"/>
    <w:rsid w:val="00B868F0"/>
    <w:rsid w:val="00B8767D"/>
    <w:rsid w:val="00B87772"/>
    <w:rsid w:val="00B912F4"/>
    <w:rsid w:val="00B926E3"/>
    <w:rsid w:val="00B93833"/>
    <w:rsid w:val="00B947C3"/>
    <w:rsid w:val="00B967F3"/>
    <w:rsid w:val="00B9711F"/>
    <w:rsid w:val="00B97912"/>
    <w:rsid w:val="00B97AE1"/>
    <w:rsid w:val="00BA024E"/>
    <w:rsid w:val="00BA0441"/>
    <w:rsid w:val="00BA04BB"/>
    <w:rsid w:val="00BA093F"/>
    <w:rsid w:val="00BA0ABC"/>
    <w:rsid w:val="00BA0F2B"/>
    <w:rsid w:val="00BA123F"/>
    <w:rsid w:val="00BA1928"/>
    <w:rsid w:val="00BA19E7"/>
    <w:rsid w:val="00BA1CF4"/>
    <w:rsid w:val="00BA35FD"/>
    <w:rsid w:val="00BA39C3"/>
    <w:rsid w:val="00BA3C20"/>
    <w:rsid w:val="00BA4CC0"/>
    <w:rsid w:val="00BA53CD"/>
    <w:rsid w:val="00BA555A"/>
    <w:rsid w:val="00BA64EB"/>
    <w:rsid w:val="00BA65ED"/>
    <w:rsid w:val="00BA7D34"/>
    <w:rsid w:val="00BB1116"/>
    <w:rsid w:val="00BB1D17"/>
    <w:rsid w:val="00BB5D06"/>
    <w:rsid w:val="00BB6C79"/>
    <w:rsid w:val="00BB711C"/>
    <w:rsid w:val="00BC0157"/>
    <w:rsid w:val="00BC0FCA"/>
    <w:rsid w:val="00BC14FC"/>
    <w:rsid w:val="00BC25EE"/>
    <w:rsid w:val="00BC29E7"/>
    <w:rsid w:val="00BC2D0E"/>
    <w:rsid w:val="00BC3060"/>
    <w:rsid w:val="00BC317F"/>
    <w:rsid w:val="00BC3AEE"/>
    <w:rsid w:val="00BC3C1D"/>
    <w:rsid w:val="00BC6020"/>
    <w:rsid w:val="00BC620B"/>
    <w:rsid w:val="00BC66A6"/>
    <w:rsid w:val="00BC719D"/>
    <w:rsid w:val="00BC7666"/>
    <w:rsid w:val="00BC792D"/>
    <w:rsid w:val="00BC7AFE"/>
    <w:rsid w:val="00BC7BFC"/>
    <w:rsid w:val="00BC7C74"/>
    <w:rsid w:val="00BD136E"/>
    <w:rsid w:val="00BD1E38"/>
    <w:rsid w:val="00BD228B"/>
    <w:rsid w:val="00BD2B93"/>
    <w:rsid w:val="00BD381F"/>
    <w:rsid w:val="00BD3F70"/>
    <w:rsid w:val="00BD50AB"/>
    <w:rsid w:val="00BD781D"/>
    <w:rsid w:val="00BE0680"/>
    <w:rsid w:val="00BE0B15"/>
    <w:rsid w:val="00BE1F21"/>
    <w:rsid w:val="00BE305A"/>
    <w:rsid w:val="00BE3FCE"/>
    <w:rsid w:val="00BE6110"/>
    <w:rsid w:val="00BE7E4C"/>
    <w:rsid w:val="00BF0E14"/>
    <w:rsid w:val="00BF0E1F"/>
    <w:rsid w:val="00BF11FB"/>
    <w:rsid w:val="00BF2342"/>
    <w:rsid w:val="00BF2930"/>
    <w:rsid w:val="00BF3C1D"/>
    <w:rsid w:val="00BF522F"/>
    <w:rsid w:val="00BF5CBC"/>
    <w:rsid w:val="00BF6255"/>
    <w:rsid w:val="00BF6EB6"/>
    <w:rsid w:val="00BF76D2"/>
    <w:rsid w:val="00BF7C24"/>
    <w:rsid w:val="00C00244"/>
    <w:rsid w:val="00C00C81"/>
    <w:rsid w:val="00C00FA0"/>
    <w:rsid w:val="00C01529"/>
    <w:rsid w:val="00C015D0"/>
    <w:rsid w:val="00C01ECA"/>
    <w:rsid w:val="00C02495"/>
    <w:rsid w:val="00C024EE"/>
    <w:rsid w:val="00C036F6"/>
    <w:rsid w:val="00C04C98"/>
    <w:rsid w:val="00C04EAA"/>
    <w:rsid w:val="00C04EDF"/>
    <w:rsid w:val="00C0516D"/>
    <w:rsid w:val="00C05927"/>
    <w:rsid w:val="00C06F1B"/>
    <w:rsid w:val="00C076A7"/>
    <w:rsid w:val="00C119D1"/>
    <w:rsid w:val="00C11BC9"/>
    <w:rsid w:val="00C144BB"/>
    <w:rsid w:val="00C14651"/>
    <w:rsid w:val="00C15E4C"/>
    <w:rsid w:val="00C1672E"/>
    <w:rsid w:val="00C16ECE"/>
    <w:rsid w:val="00C2090A"/>
    <w:rsid w:val="00C21204"/>
    <w:rsid w:val="00C21804"/>
    <w:rsid w:val="00C21892"/>
    <w:rsid w:val="00C24D9A"/>
    <w:rsid w:val="00C266C2"/>
    <w:rsid w:val="00C273F7"/>
    <w:rsid w:val="00C30B8E"/>
    <w:rsid w:val="00C31BB7"/>
    <w:rsid w:val="00C34666"/>
    <w:rsid w:val="00C3661D"/>
    <w:rsid w:val="00C368BC"/>
    <w:rsid w:val="00C37073"/>
    <w:rsid w:val="00C37407"/>
    <w:rsid w:val="00C376B7"/>
    <w:rsid w:val="00C40278"/>
    <w:rsid w:val="00C41ABF"/>
    <w:rsid w:val="00C41DD0"/>
    <w:rsid w:val="00C43AF4"/>
    <w:rsid w:val="00C44AE6"/>
    <w:rsid w:val="00C44CB8"/>
    <w:rsid w:val="00C46F51"/>
    <w:rsid w:val="00C4782A"/>
    <w:rsid w:val="00C47D83"/>
    <w:rsid w:val="00C5057F"/>
    <w:rsid w:val="00C50C7E"/>
    <w:rsid w:val="00C51F5C"/>
    <w:rsid w:val="00C529EF"/>
    <w:rsid w:val="00C52B4B"/>
    <w:rsid w:val="00C537AB"/>
    <w:rsid w:val="00C56A67"/>
    <w:rsid w:val="00C5712E"/>
    <w:rsid w:val="00C57745"/>
    <w:rsid w:val="00C60157"/>
    <w:rsid w:val="00C62893"/>
    <w:rsid w:val="00C64863"/>
    <w:rsid w:val="00C65031"/>
    <w:rsid w:val="00C653B5"/>
    <w:rsid w:val="00C65408"/>
    <w:rsid w:val="00C70483"/>
    <w:rsid w:val="00C709BD"/>
    <w:rsid w:val="00C70A15"/>
    <w:rsid w:val="00C71620"/>
    <w:rsid w:val="00C734F8"/>
    <w:rsid w:val="00C736F3"/>
    <w:rsid w:val="00C737B4"/>
    <w:rsid w:val="00C74BB1"/>
    <w:rsid w:val="00C75614"/>
    <w:rsid w:val="00C75715"/>
    <w:rsid w:val="00C76443"/>
    <w:rsid w:val="00C7759E"/>
    <w:rsid w:val="00C77A70"/>
    <w:rsid w:val="00C77B03"/>
    <w:rsid w:val="00C8035E"/>
    <w:rsid w:val="00C80CC4"/>
    <w:rsid w:val="00C81535"/>
    <w:rsid w:val="00C82591"/>
    <w:rsid w:val="00C828A2"/>
    <w:rsid w:val="00C82F75"/>
    <w:rsid w:val="00C83921"/>
    <w:rsid w:val="00C84EEF"/>
    <w:rsid w:val="00C85900"/>
    <w:rsid w:val="00C860EA"/>
    <w:rsid w:val="00C86410"/>
    <w:rsid w:val="00C86D39"/>
    <w:rsid w:val="00C87101"/>
    <w:rsid w:val="00C871E0"/>
    <w:rsid w:val="00C87EB5"/>
    <w:rsid w:val="00C906E8"/>
    <w:rsid w:val="00C90A29"/>
    <w:rsid w:val="00C915F3"/>
    <w:rsid w:val="00C92033"/>
    <w:rsid w:val="00C92864"/>
    <w:rsid w:val="00C929DF"/>
    <w:rsid w:val="00C92F49"/>
    <w:rsid w:val="00C93A78"/>
    <w:rsid w:val="00C93F61"/>
    <w:rsid w:val="00C94450"/>
    <w:rsid w:val="00C950DE"/>
    <w:rsid w:val="00C95C06"/>
    <w:rsid w:val="00C97E90"/>
    <w:rsid w:val="00CA0796"/>
    <w:rsid w:val="00CA1A95"/>
    <w:rsid w:val="00CA20BE"/>
    <w:rsid w:val="00CA2696"/>
    <w:rsid w:val="00CA5B65"/>
    <w:rsid w:val="00CA5E2F"/>
    <w:rsid w:val="00CB01BF"/>
    <w:rsid w:val="00CB08FA"/>
    <w:rsid w:val="00CB11B2"/>
    <w:rsid w:val="00CB1D9E"/>
    <w:rsid w:val="00CB286C"/>
    <w:rsid w:val="00CB29EB"/>
    <w:rsid w:val="00CB2E20"/>
    <w:rsid w:val="00CB2F94"/>
    <w:rsid w:val="00CB3B07"/>
    <w:rsid w:val="00CB3C02"/>
    <w:rsid w:val="00CB49D8"/>
    <w:rsid w:val="00CB4F85"/>
    <w:rsid w:val="00CB749D"/>
    <w:rsid w:val="00CB7D2A"/>
    <w:rsid w:val="00CC0B5D"/>
    <w:rsid w:val="00CC148A"/>
    <w:rsid w:val="00CC2425"/>
    <w:rsid w:val="00CC3194"/>
    <w:rsid w:val="00CC4B64"/>
    <w:rsid w:val="00CC75D8"/>
    <w:rsid w:val="00CD2365"/>
    <w:rsid w:val="00CD2AF7"/>
    <w:rsid w:val="00CD2D43"/>
    <w:rsid w:val="00CD33A3"/>
    <w:rsid w:val="00CD4841"/>
    <w:rsid w:val="00CD61A5"/>
    <w:rsid w:val="00CD65F0"/>
    <w:rsid w:val="00CD66C4"/>
    <w:rsid w:val="00CD6C16"/>
    <w:rsid w:val="00CD7D6F"/>
    <w:rsid w:val="00CE0155"/>
    <w:rsid w:val="00CE0514"/>
    <w:rsid w:val="00CE062F"/>
    <w:rsid w:val="00CE07A7"/>
    <w:rsid w:val="00CE0C49"/>
    <w:rsid w:val="00CE1B08"/>
    <w:rsid w:val="00CE3381"/>
    <w:rsid w:val="00CE5191"/>
    <w:rsid w:val="00CE5D18"/>
    <w:rsid w:val="00CE6538"/>
    <w:rsid w:val="00CE69A9"/>
    <w:rsid w:val="00CE6C5E"/>
    <w:rsid w:val="00CF11E0"/>
    <w:rsid w:val="00CF23A4"/>
    <w:rsid w:val="00CF2937"/>
    <w:rsid w:val="00CF3B64"/>
    <w:rsid w:val="00CF445F"/>
    <w:rsid w:val="00CF5975"/>
    <w:rsid w:val="00CF5F07"/>
    <w:rsid w:val="00CF5F12"/>
    <w:rsid w:val="00CF60D6"/>
    <w:rsid w:val="00CF6C14"/>
    <w:rsid w:val="00D001CA"/>
    <w:rsid w:val="00D00C9D"/>
    <w:rsid w:val="00D01D2C"/>
    <w:rsid w:val="00D028AE"/>
    <w:rsid w:val="00D038B8"/>
    <w:rsid w:val="00D03AC8"/>
    <w:rsid w:val="00D03BB1"/>
    <w:rsid w:val="00D04BFD"/>
    <w:rsid w:val="00D04D3E"/>
    <w:rsid w:val="00D0616C"/>
    <w:rsid w:val="00D069DD"/>
    <w:rsid w:val="00D109A9"/>
    <w:rsid w:val="00D12011"/>
    <w:rsid w:val="00D1246F"/>
    <w:rsid w:val="00D12B03"/>
    <w:rsid w:val="00D13433"/>
    <w:rsid w:val="00D15F81"/>
    <w:rsid w:val="00D17016"/>
    <w:rsid w:val="00D17545"/>
    <w:rsid w:val="00D179EF"/>
    <w:rsid w:val="00D17F98"/>
    <w:rsid w:val="00D22E34"/>
    <w:rsid w:val="00D2350B"/>
    <w:rsid w:val="00D248A6"/>
    <w:rsid w:val="00D25362"/>
    <w:rsid w:val="00D304B1"/>
    <w:rsid w:val="00D3162F"/>
    <w:rsid w:val="00D31993"/>
    <w:rsid w:val="00D31D50"/>
    <w:rsid w:val="00D324DC"/>
    <w:rsid w:val="00D33478"/>
    <w:rsid w:val="00D34E74"/>
    <w:rsid w:val="00D34EAF"/>
    <w:rsid w:val="00D35074"/>
    <w:rsid w:val="00D35364"/>
    <w:rsid w:val="00D353DE"/>
    <w:rsid w:val="00D36C53"/>
    <w:rsid w:val="00D36CF4"/>
    <w:rsid w:val="00D36F25"/>
    <w:rsid w:val="00D37B59"/>
    <w:rsid w:val="00D37C54"/>
    <w:rsid w:val="00D413FF"/>
    <w:rsid w:val="00D4157F"/>
    <w:rsid w:val="00D41FD0"/>
    <w:rsid w:val="00D43585"/>
    <w:rsid w:val="00D44DFC"/>
    <w:rsid w:val="00D462F8"/>
    <w:rsid w:val="00D46DAF"/>
    <w:rsid w:val="00D470A7"/>
    <w:rsid w:val="00D4772D"/>
    <w:rsid w:val="00D5058F"/>
    <w:rsid w:val="00D51035"/>
    <w:rsid w:val="00D5169D"/>
    <w:rsid w:val="00D51702"/>
    <w:rsid w:val="00D51755"/>
    <w:rsid w:val="00D51D5F"/>
    <w:rsid w:val="00D53F02"/>
    <w:rsid w:val="00D5583B"/>
    <w:rsid w:val="00D55B29"/>
    <w:rsid w:val="00D56CBE"/>
    <w:rsid w:val="00D57E6A"/>
    <w:rsid w:val="00D61710"/>
    <w:rsid w:val="00D61BDA"/>
    <w:rsid w:val="00D61D6D"/>
    <w:rsid w:val="00D627C4"/>
    <w:rsid w:val="00D630A1"/>
    <w:rsid w:val="00D63132"/>
    <w:rsid w:val="00D639F2"/>
    <w:rsid w:val="00D64573"/>
    <w:rsid w:val="00D648FF"/>
    <w:rsid w:val="00D649FA"/>
    <w:rsid w:val="00D6605A"/>
    <w:rsid w:val="00D668FC"/>
    <w:rsid w:val="00D67536"/>
    <w:rsid w:val="00D67617"/>
    <w:rsid w:val="00D67933"/>
    <w:rsid w:val="00D67999"/>
    <w:rsid w:val="00D67E01"/>
    <w:rsid w:val="00D71BC2"/>
    <w:rsid w:val="00D71E85"/>
    <w:rsid w:val="00D721A4"/>
    <w:rsid w:val="00D7264E"/>
    <w:rsid w:val="00D72904"/>
    <w:rsid w:val="00D73304"/>
    <w:rsid w:val="00D735DA"/>
    <w:rsid w:val="00D75AAA"/>
    <w:rsid w:val="00D76535"/>
    <w:rsid w:val="00D7738E"/>
    <w:rsid w:val="00D775C7"/>
    <w:rsid w:val="00D77CA2"/>
    <w:rsid w:val="00D8024A"/>
    <w:rsid w:val="00D806D6"/>
    <w:rsid w:val="00D81648"/>
    <w:rsid w:val="00D823FA"/>
    <w:rsid w:val="00D8310D"/>
    <w:rsid w:val="00D8472E"/>
    <w:rsid w:val="00D87EFE"/>
    <w:rsid w:val="00D907EC"/>
    <w:rsid w:val="00D91A2B"/>
    <w:rsid w:val="00D91BEB"/>
    <w:rsid w:val="00D924A6"/>
    <w:rsid w:val="00D9359B"/>
    <w:rsid w:val="00D94BC7"/>
    <w:rsid w:val="00D950CB"/>
    <w:rsid w:val="00D96BC8"/>
    <w:rsid w:val="00D97040"/>
    <w:rsid w:val="00D972EC"/>
    <w:rsid w:val="00D97BCD"/>
    <w:rsid w:val="00D97CF5"/>
    <w:rsid w:val="00DA14FF"/>
    <w:rsid w:val="00DA1B9B"/>
    <w:rsid w:val="00DA214C"/>
    <w:rsid w:val="00DA2D9E"/>
    <w:rsid w:val="00DA30CF"/>
    <w:rsid w:val="00DA5A25"/>
    <w:rsid w:val="00DA6DB7"/>
    <w:rsid w:val="00DA79C5"/>
    <w:rsid w:val="00DA7EED"/>
    <w:rsid w:val="00DB27F4"/>
    <w:rsid w:val="00DB2D0B"/>
    <w:rsid w:val="00DB4332"/>
    <w:rsid w:val="00DB44DB"/>
    <w:rsid w:val="00DB59B8"/>
    <w:rsid w:val="00DB67F9"/>
    <w:rsid w:val="00DB6F97"/>
    <w:rsid w:val="00DB7116"/>
    <w:rsid w:val="00DB77EA"/>
    <w:rsid w:val="00DB7858"/>
    <w:rsid w:val="00DC0154"/>
    <w:rsid w:val="00DC10D4"/>
    <w:rsid w:val="00DC1D61"/>
    <w:rsid w:val="00DC2589"/>
    <w:rsid w:val="00DC3647"/>
    <w:rsid w:val="00DC465E"/>
    <w:rsid w:val="00DC4961"/>
    <w:rsid w:val="00DC6467"/>
    <w:rsid w:val="00DC7679"/>
    <w:rsid w:val="00DC7741"/>
    <w:rsid w:val="00DD1818"/>
    <w:rsid w:val="00DD1932"/>
    <w:rsid w:val="00DD25ED"/>
    <w:rsid w:val="00DD26CF"/>
    <w:rsid w:val="00DD38CA"/>
    <w:rsid w:val="00DD4AF6"/>
    <w:rsid w:val="00DD4F83"/>
    <w:rsid w:val="00DD51D7"/>
    <w:rsid w:val="00DD533E"/>
    <w:rsid w:val="00DD5C81"/>
    <w:rsid w:val="00DD7DFD"/>
    <w:rsid w:val="00DE03F3"/>
    <w:rsid w:val="00DE1EA6"/>
    <w:rsid w:val="00DE2878"/>
    <w:rsid w:val="00DE2DAB"/>
    <w:rsid w:val="00DE2F4D"/>
    <w:rsid w:val="00DE332D"/>
    <w:rsid w:val="00DE5B5A"/>
    <w:rsid w:val="00DE5CDE"/>
    <w:rsid w:val="00DE636D"/>
    <w:rsid w:val="00DE6756"/>
    <w:rsid w:val="00DF02AE"/>
    <w:rsid w:val="00DF072C"/>
    <w:rsid w:val="00DF0AA6"/>
    <w:rsid w:val="00DF2D4F"/>
    <w:rsid w:val="00DF2D62"/>
    <w:rsid w:val="00DF3AF0"/>
    <w:rsid w:val="00DF48DA"/>
    <w:rsid w:val="00DF4E77"/>
    <w:rsid w:val="00DF53AE"/>
    <w:rsid w:val="00DF614A"/>
    <w:rsid w:val="00DF6AD6"/>
    <w:rsid w:val="00DF7F22"/>
    <w:rsid w:val="00E00ABC"/>
    <w:rsid w:val="00E00DB1"/>
    <w:rsid w:val="00E0105A"/>
    <w:rsid w:val="00E0149C"/>
    <w:rsid w:val="00E01706"/>
    <w:rsid w:val="00E02C16"/>
    <w:rsid w:val="00E03252"/>
    <w:rsid w:val="00E044B9"/>
    <w:rsid w:val="00E065E5"/>
    <w:rsid w:val="00E068E4"/>
    <w:rsid w:val="00E06D5B"/>
    <w:rsid w:val="00E07D5F"/>
    <w:rsid w:val="00E11DF3"/>
    <w:rsid w:val="00E12154"/>
    <w:rsid w:val="00E12B51"/>
    <w:rsid w:val="00E13A2A"/>
    <w:rsid w:val="00E13DBB"/>
    <w:rsid w:val="00E14539"/>
    <w:rsid w:val="00E14D2F"/>
    <w:rsid w:val="00E16508"/>
    <w:rsid w:val="00E17042"/>
    <w:rsid w:val="00E17EB8"/>
    <w:rsid w:val="00E20106"/>
    <w:rsid w:val="00E2049A"/>
    <w:rsid w:val="00E20D5B"/>
    <w:rsid w:val="00E21223"/>
    <w:rsid w:val="00E225E4"/>
    <w:rsid w:val="00E22D87"/>
    <w:rsid w:val="00E24A75"/>
    <w:rsid w:val="00E25053"/>
    <w:rsid w:val="00E251ED"/>
    <w:rsid w:val="00E25FF8"/>
    <w:rsid w:val="00E26127"/>
    <w:rsid w:val="00E265EB"/>
    <w:rsid w:val="00E270B3"/>
    <w:rsid w:val="00E3049D"/>
    <w:rsid w:val="00E309C5"/>
    <w:rsid w:val="00E3161C"/>
    <w:rsid w:val="00E3374A"/>
    <w:rsid w:val="00E34AD7"/>
    <w:rsid w:val="00E35A59"/>
    <w:rsid w:val="00E35C57"/>
    <w:rsid w:val="00E36C74"/>
    <w:rsid w:val="00E3701F"/>
    <w:rsid w:val="00E370FA"/>
    <w:rsid w:val="00E372D9"/>
    <w:rsid w:val="00E37723"/>
    <w:rsid w:val="00E377E2"/>
    <w:rsid w:val="00E37C28"/>
    <w:rsid w:val="00E406F0"/>
    <w:rsid w:val="00E407FE"/>
    <w:rsid w:val="00E4270E"/>
    <w:rsid w:val="00E43491"/>
    <w:rsid w:val="00E447DC"/>
    <w:rsid w:val="00E449FC"/>
    <w:rsid w:val="00E44A57"/>
    <w:rsid w:val="00E44BEA"/>
    <w:rsid w:val="00E46916"/>
    <w:rsid w:val="00E46AA9"/>
    <w:rsid w:val="00E472D6"/>
    <w:rsid w:val="00E51C43"/>
    <w:rsid w:val="00E52006"/>
    <w:rsid w:val="00E52054"/>
    <w:rsid w:val="00E522D6"/>
    <w:rsid w:val="00E52C87"/>
    <w:rsid w:val="00E53F9B"/>
    <w:rsid w:val="00E541C4"/>
    <w:rsid w:val="00E5449A"/>
    <w:rsid w:val="00E54C9C"/>
    <w:rsid w:val="00E552FF"/>
    <w:rsid w:val="00E55396"/>
    <w:rsid w:val="00E55C8F"/>
    <w:rsid w:val="00E567BB"/>
    <w:rsid w:val="00E56B57"/>
    <w:rsid w:val="00E56DA9"/>
    <w:rsid w:val="00E57A18"/>
    <w:rsid w:val="00E57C9B"/>
    <w:rsid w:val="00E600C7"/>
    <w:rsid w:val="00E60964"/>
    <w:rsid w:val="00E60BCD"/>
    <w:rsid w:val="00E61373"/>
    <w:rsid w:val="00E61DF6"/>
    <w:rsid w:val="00E62276"/>
    <w:rsid w:val="00E62563"/>
    <w:rsid w:val="00E62A95"/>
    <w:rsid w:val="00E6394C"/>
    <w:rsid w:val="00E64465"/>
    <w:rsid w:val="00E648EB"/>
    <w:rsid w:val="00E64A48"/>
    <w:rsid w:val="00E6715B"/>
    <w:rsid w:val="00E67725"/>
    <w:rsid w:val="00E67934"/>
    <w:rsid w:val="00E70453"/>
    <w:rsid w:val="00E71BB5"/>
    <w:rsid w:val="00E71EF4"/>
    <w:rsid w:val="00E720B1"/>
    <w:rsid w:val="00E7252B"/>
    <w:rsid w:val="00E7254E"/>
    <w:rsid w:val="00E732A3"/>
    <w:rsid w:val="00E737B9"/>
    <w:rsid w:val="00E75271"/>
    <w:rsid w:val="00E75446"/>
    <w:rsid w:val="00E760B9"/>
    <w:rsid w:val="00E801A3"/>
    <w:rsid w:val="00E80399"/>
    <w:rsid w:val="00E81063"/>
    <w:rsid w:val="00E82050"/>
    <w:rsid w:val="00E82609"/>
    <w:rsid w:val="00E84011"/>
    <w:rsid w:val="00E85D19"/>
    <w:rsid w:val="00E86334"/>
    <w:rsid w:val="00E8674E"/>
    <w:rsid w:val="00E87938"/>
    <w:rsid w:val="00E87B3C"/>
    <w:rsid w:val="00E9049E"/>
    <w:rsid w:val="00E92581"/>
    <w:rsid w:val="00E94385"/>
    <w:rsid w:val="00E9495C"/>
    <w:rsid w:val="00E94D02"/>
    <w:rsid w:val="00E94EBD"/>
    <w:rsid w:val="00E956E4"/>
    <w:rsid w:val="00E956F6"/>
    <w:rsid w:val="00EA0812"/>
    <w:rsid w:val="00EA151F"/>
    <w:rsid w:val="00EA1FE6"/>
    <w:rsid w:val="00EA2254"/>
    <w:rsid w:val="00EA22A0"/>
    <w:rsid w:val="00EA2726"/>
    <w:rsid w:val="00EA40CB"/>
    <w:rsid w:val="00EA4429"/>
    <w:rsid w:val="00EA534B"/>
    <w:rsid w:val="00EA5DEA"/>
    <w:rsid w:val="00EA61EB"/>
    <w:rsid w:val="00EA645D"/>
    <w:rsid w:val="00EA7349"/>
    <w:rsid w:val="00EB061A"/>
    <w:rsid w:val="00EB16F2"/>
    <w:rsid w:val="00EB175E"/>
    <w:rsid w:val="00EB1836"/>
    <w:rsid w:val="00EB18C6"/>
    <w:rsid w:val="00EB31D4"/>
    <w:rsid w:val="00EB614A"/>
    <w:rsid w:val="00EB6518"/>
    <w:rsid w:val="00EB777C"/>
    <w:rsid w:val="00EB7F6C"/>
    <w:rsid w:val="00EC09C0"/>
    <w:rsid w:val="00EC0AEE"/>
    <w:rsid w:val="00EC24E7"/>
    <w:rsid w:val="00EC4549"/>
    <w:rsid w:val="00EC52E8"/>
    <w:rsid w:val="00EC532F"/>
    <w:rsid w:val="00EC688B"/>
    <w:rsid w:val="00EC735D"/>
    <w:rsid w:val="00ED0001"/>
    <w:rsid w:val="00ED0E6D"/>
    <w:rsid w:val="00ED4166"/>
    <w:rsid w:val="00ED4296"/>
    <w:rsid w:val="00ED545C"/>
    <w:rsid w:val="00ED5988"/>
    <w:rsid w:val="00ED5D8D"/>
    <w:rsid w:val="00ED6B45"/>
    <w:rsid w:val="00ED71B2"/>
    <w:rsid w:val="00EE07AF"/>
    <w:rsid w:val="00EE0CA7"/>
    <w:rsid w:val="00EE0F66"/>
    <w:rsid w:val="00EE2311"/>
    <w:rsid w:val="00EE29E8"/>
    <w:rsid w:val="00EE3273"/>
    <w:rsid w:val="00EE3298"/>
    <w:rsid w:val="00EE6778"/>
    <w:rsid w:val="00EE6B0E"/>
    <w:rsid w:val="00EE722D"/>
    <w:rsid w:val="00EE7425"/>
    <w:rsid w:val="00EE7C31"/>
    <w:rsid w:val="00EF03BE"/>
    <w:rsid w:val="00EF2283"/>
    <w:rsid w:val="00EF3FD9"/>
    <w:rsid w:val="00EF428D"/>
    <w:rsid w:val="00EF6817"/>
    <w:rsid w:val="00EF6F03"/>
    <w:rsid w:val="00EF75B8"/>
    <w:rsid w:val="00EF761A"/>
    <w:rsid w:val="00F004FD"/>
    <w:rsid w:val="00F00EDC"/>
    <w:rsid w:val="00F02DFF"/>
    <w:rsid w:val="00F03423"/>
    <w:rsid w:val="00F058A7"/>
    <w:rsid w:val="00F05CE3"/>
    <w:rsid w:val="00F06094"/>
    <w:rsid w:val="00F06879"/>
    <w:rsid w:val="00F068D2"/>
    <w:rsid w:val="00F06A71"/>
    <w:rsid w:val="00F070A9"/>
    <w:rsid w:val="00F07CAE"/>
    <w:rsid w:val="00F11626"/>
    <w:rsid w:val="00F118B7"/>
    <w:rsid w:val="00F121D6"/>
    <w:rsid w:val="00F15460"/>
    <w:rsid w:val="00F15820"/>
    <w:rsid w:val="00F16866"/>
    <w:rsid w:val="00F17C49"/>
    <w:rsid w:val="00F20BD7"/>
    <w:rsid w:val="00F21765"/>
    <w:rsid w:val="00F23ABE"/>
    <w:rsid w:val="00F24E4C"/>
    <w:rsid w:val="00F27232"/>
    <w:rsid w:val="00F276AE"/>
    <w:rsid w:val="00F30615"/>
    <w:rsid w:val="00F3192A"/>
    <w:rsid w:val="00F31F37"/>
    <w:rsid w:val="00F32865"/>
    <w:rsid w:val="00F32FBB"/>
    <w:rsid w:val="00F33295"/>
    <w:rsid w:val="00F33567"/>
    <w:rsid w:val="00F343E9"/>
    <w:rsid w:val="00F34586"/>
    <w:rsid w:val="00F349E8"/>
    <w:rsid w:val="00F353F1"/>
    <w:rsid w:val="00F40D2F"/>
    <w:rsid w:val="00F4130F"/>
    <w:rsid w:val="00F4139F"/>
    <w:rsid w:val="00F4192D"/>
    <w:rsid w:val="00F426E0"/>
    <w:rsid w:val="00F42E78"/>
    <w:rsid w:val="00F43C15"/>
    <w:rsid w:val="00F43CBC"/>
    <w:rsid w:val="00F44ADB"/>
    <w:rsid w:val="00F44DEE"/>
    <w:rsid w:val="00F456C5"/>
    <w:rsid w:val="00F458C5"/>
    <w:rsid w:val="00F45D8C"/>
    <w:rsid w:val="00F469C2"/>
    <w:rsid w:val="00F46B8D"/>
    <w:rsid w:val="00F5042F"/>
    <w:rsid w:val="00F5190F"/>
    <w:rsid w:val="00F51C3D"/>
    <w:rsid w:val="00F51E21"/>
    <w:rsid w:val="00F52337"/>
    <w:rsid w:val="00F52374"/>
    <w:rsid w:val="00F52555"/>
    <w:rsid w:val="00F533B0"/>
    <w:rsid w:val="00F5373D"/>
    <w:rsid w:val="00F5436C"/>
    <w:rsid w:val="00F549D9"/>
    <w:rsid w:val="00F54F83"/>
    <w:rsid w:val="00F55A53"/>
    <w:rsid w:val="00F56185"/>
    <w:rsid w:val="00F56A5C"/>
    <w:rsid w:val="00F56D39"/>
    <w:rsid w:val="00F57F41"/>
    <w:rsid w:val="00F60408"/>
    <w:rsid w:val="00F609AF"/>
    <w:rsid w:val="00F60D0F"/>
    <w:rsid w:val="00F61450"/>
    <w:rsid w:val="00F61DCE"/>
    <w:rsid w:val="00F63406"/>
    <w:rsid w:val="00F63BD5"/>
    <w:rsid w:val="00F63F20"/>
    <w:rsid w:val="00F64A9A"/>
    <w:rsid w:val="00F65C4F"/>
    <w:rsid w:val="00F660A9"/>
    <w:rsid w:val="00F6679A"/>
    <w:rsid w:val="00F66875"/>
    <w:rsid w:val="00F67550"/>
    <w:rsid w:val="00F67FE9"/>
    <w:rsid w:val="00F7071E"/>
    <w:rsid w:val="00F70935"/>
    <w:rsid w:val="00F70DE2"/>
    <w:rsid w:val="00F71135"/>
    <w:rsid w:val="00F7132F"/>
    <w:rsid w:val="00F7253D"/>
    <w:rsid w:val="00F7577D"/>
    <w:rsid w:val="00F75AD1"/>
    <w:rsid w:val="00F75B56"/>
    <w:rsid w:val="00F77B02"/>
    <w:rsid w:val="00F801A0"/>
    <w:rsid w:val="00F8046D"/>
    <w:rsid w:val="00F80C76"/>
    <w:rsid w:val="00F812AF"/>
    <w:rsid w:val="00F81732"/>
    <w:rsid w:val="00F81E7F"/>
    <w:rsid w:val="00F82224"/>
    <w:rsid w:val="00F8420C"/>
    <w:rsid w:val="00F85472"/>
    <w:rsid w:val="00F85F6C"/>
    <w:rsid w:val="00F87700"/>
    <w:rsid w:val="00F87BEC"/>
    <w:rsid w:val="00F90078"/>
    <w:rsid w:val="00F902FB"/>
    <w:rsid w:val="00F91532"/>
    <w:rsid w:val="00F9155D"/>
    <w:rsid w:val="00F9235F"/>
    <w:rsid w:val="00F92E4C"/>
    <w:rsid w:val="00F934D5"/>
    <w:rsid w:val="00F93BAB"/>
    <w:rsid w:val="00F947E4"/>
    <w:rsid w:val="00F95576"/>
    <w:rsid w:val="00F96338"/>
    <w:rsid w:val="00F967B0"/>
    <w:rsid w:val="00F972D3"/>
    <w:rsid w:val="00FA15ED"/>
    <w:rsid w:val="00FA1D23"/>
    <w:rsid w:val="00FA23CF"/>
    <w:rsid w:val="00FA3A1A"/>
    <w:rsid w:val="00FA4206"/>
    <w:rsid w:val="00FA4731"/>
    <w:rsid w:val="00FA4FBD"/>
    <w:rsid w:val="00FB0161"/>
    <w:rsid w:val="00FB0294"/>
    <w:rsid w:val="00FB0B6D"/>
    <w:rsid w:val="00FB0B76"/>
    <w:rsid w:val="00FB135A"/>
    <w:rsid w:val="00FB13E4"/>
    <w:rsid w:val="00FB200A"/>
    <w:rsid w:val="00FB23A8"/>
    <w:rsid w:val="00FB2664"/>
    <w:rsid w:val="00FB395E"/>
    <w:rsid w:val="00FB4090"/>
    <w:rsid w:val="00FB42DF"/>
    <w:rsid w:val="00FB4A6C"/>
    <w:rsid w:val="00FB4E54"/>
    <w:rsid w:val="00FB54E0"/>
    <w:rsid w:val="00FB5CBA"/>
    <w:rsid w:val="00FB60B8"/>
    <w:rsid w:val="00FB6A78"/>
    <w:rsid w:val="00FB7532"/>
    <w:rsid w:val="00FB7EFE"/>
    <w:rsid w:val="00FC09E9"/>
    <w:rsid w:val="00FC2422"/>
    <w:rsid w:val="00FC2802"/>
    <w:rsid w:val="00FC42A1"/>
    <w:rsid w:val="00FC4DCF"/>
    <w:rsid w:val="00FC6239"/>
    <w:rsid w:val="00FC7F19"/>
    <w:rsid w:val="00FC7FB4"/>
    <w:rsid w:val="00FD0364"/>
    <w:rsid w:val="00FD1AB0"/>
    <w:rsid w:val="00FD3251"/>
    <w:rsid w:val="00FD348C"/>
    <w:rsid w:val="00FD400D"/>
    <w:rsid w:val="00FD5114"/>
    <w:rsid w:val="00FD56CF"/>
    <w:rsid w:val="00FD5CFF"/>
    <w:rsid w:val="00FD6751"/>
    <w:rsid w:val="00FD6A8B"/>
    <w:rsid w:val="00FD7041"/>
    <w:rsid w:val="00FD7FB7"/>
    <w:rsid w:val="00FE01DA"/>
    <w:rsid w:val="00FE0C4E"/>
    <w:rsid w:val="00FE1086"/>
    <w:rsid w:val="00FE11CE"/>
    <w:rsid w:val="00FE1803"/>
    <w:rsid w:val="00FE1E31"/>
    <w:rsid w:val="00FE33B3"/>
    <w:rsid w:val="00FE3E72"/>
    <w:rsid w:val="00FE45EE"/>
    <w:rsid w:val="00FE4662"/>
    <w:rsid w:val="00FE5B78"/>
    <w:rsid w:val="00FE6CEE"/>
    <w:rsid w:val="00FE79BB"/>
    <w:rsid w:val="00FE7BC2"/>
    <w:rsid w:val="00FF0BFE"/>
    <w:rsid w:val="00FF1D25"/>
    <w:rsid w:val="00FF1DD9"/>
    <w:rsid w:val="00FF3806"/>
    <w:rsid w:val="00FF3EB0"/>
    <w:rsid w:val="00FF55F7"/>
    <w:rsid w:val="00FF5601"/>
    <w:rsid w:val="00FF727C"/>
    <w:rsid w:val="0599CB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9883"/>
  <w15:chartTrackingRefBased/>
  <w15:docId w15:val="{C62465C2-F854-4FEA-9AF9-E3CBFAED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3332E"/>
    <w:pPr>
      <w:spacing w:before="240" w:after="0" w:line="240" w:lineRule="auto"/>
      <w:jc w:val="right"/>
      <w:outlineLvl w:val="0"/>
    </w:pPr>
    <w:rPr>
      <w:rFonts w:ascii="Verdana" w:eastAsia="Times New Roman" w:hAnsi="Verdana" w:cs="Times New Roman"/>
      <w:b/>
      <w:sz w:val="20"/>
      <w:szCs w:val="20"/>
      <w:u w:val="single"/>
      <w:lang w:val="pt-PT" w:eastAsia="pt-BR"/>
    </w:rPr>
  </w:style>
  <w:style w:type="paragraph" w:styleId="Ttulo2">
    <w:name w:val="heading 2"/>
    <w:basedOn w:val="Normal"/>
    <w:next w:val="Normal"/>
    <w:link w:val="Ttulo2Char"/>
    <w:uiPriority w:val="9"/>
    <w:semiHidden/>
    <w:unhideWhenUsed/>
    <w:qFormat/>
    <w:rsid w:val="00472A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har"/>
    <w:uiPriority w:val="9"/>
    <w:semiHidden/>
    <w:unhideWhenUsed/>
    <w:qFormat/>
    <w:rsid w:val="002B17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848"/>
  </w:style>
  <w:style w:type="paragraph" w:styleId="Rodap">
    <w:name w:val="footer"/>
    <w:basedOn w:val="Normal"/>
    <w:link w:val="RodapChar"/>
    <w:uiPriority w:val="99"/>
    <w:unhideWhenUsed/>
    <w:rsid w:val="00B02848"/>
    <w:pPr>
      <w:tabs>
        <w:tab w:val="center" w:pos="4252"/>
        <w:tab w:val="right" w:pos="8504"/>
      </w:tabs>
      <w:spacing w:after="0" w:line="240" w:lineRule="auto"/>
    </w:pPr>
  </w:style>
  <w:style w:type="character" w:customStyle="1" w:styleId="RodapChar">
    <w:name w:val="Rodapé Char"/>
    <w:basedOn w:val="Fontepargpadro"/>
    <w:link w:val="Rodap"/>
    <w:uiPriority w:val="99"/>
    <w:rsid w:val="00B02848"/>
  </w:style>
  <w:style w:type="character" w:customStyle="1" w:styleId="Ttulo1Char">
    <w:name w:val="Título 1 Char"/>
    <w:basedOn w:val="Fontepargpadro"/>
    <w:link w:val="Ttulo1"/>
    <w:uiPriority w:val="1"/>
    <w:rsid w:val="00A3332E"/>
    <w:rPr>
      <w:rFonts w:ascii="Verdana" w:eastAsia="Times New Roman" w:hAnsi="Verdana" w:cs="Times New Roman"/>
      <w:b/>
      <w:sz w:val="20"/>
      <w:szCs w:val="20"/>
      <w:u w:val="single"/>
      <w:lang w:val="pt-PT" w:eastAsia="pt-BR"/>
    </w:rPr>
  </w:style>
  <w:style w:type="paragraph" w:styleId="Corpodetexto">
    <w:name w:val="Body Text"/>
    <w:aliases w:val="CORPORES"/>
    <w:basedOn w:val="Normal"/>
    <w:link w:val="CorpodetextoChar"/>
    <w:uiPriority w:val="99"/>
    <w:qFormat/>
    <w:rsid w:val="00A3332E"/>
    <w:pPr>
      <w:tabs>
        <w:tab w:val="left" w:pos="567"/>
        <w:tab w:val="left" w:pos="1134"/>
        <w:tab w:val="left" w:pos="1701"/>
        <w:tab w:val="left" w:pos="2268"/>
        <w:tab w:val="left" w:pos="2835"/>
      </w:tabs>
      <w:spacing w:after="0" w:line="240" w:lineRule="auto"/>
      <w:jc w:val="both"/>
    </w:pPr>
    <w:rPr>
      <w:rFonts w:ascii="@PMingLiU" w:eastAsia="Times New Roman" w:hAnsi="@PMingLiU" w:cs="Times New Roman"/>
      <w:sz w:val="20"/>
      <w:szCs w:val="20"/>
      <w:lang w:val="pt-PT" w:eastAsia="pt-BR"/>
    </w:rPr>
  </w:style>
  <w:style w:type="character" w:customStyle="1" w:styleId="CorpodetextoChar">
    <w:name w:val="Corpo de texto Char"/>
    <w:aliases w:val="CORPORES Char"/>
    <w:basedOn w:val="Fontepargpadro"/>
    <w:link w:val="Corpodetexto"/>
    <w:uiPriority w:val="99"/>
    <w:rsid w:val="00A3332E"/>
    <w:rPr>
      <w:rFonts w:ascii="@PMingLiU" w:eastAsia="Times New Roman" w:hAnsi="@PMingLiU" w:cs="Times New Roman"/>
      <w:sz w:val="20"/>
      <w:szCs w:val="20"/>
      <w:lang w:val="pt-PT" w:eastAsia="pt-BR"/>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3332E"/>
    <w:pPr>
      <w:spacing w:after="0" w:line="240" w:lineRule="auto"/>
      <w:ind w:left="708"/>
      <w:jc w:val="both"/>
    </w:pPr>
    <w:rPr>
      <w:rFonts w:ascii="@PMingLiU" w:eastAsia="Times New Roman" w:hAnsi="@PMingLiU" w:cs="Times New Roman"/>
      <w:szCs w:val="24"/>
      <w:lang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3332E"/>
    <w:rPr>
      <w:rFonts w:ascii="@PMingLiU" w:eastAsia="Times New Roman" w:hAnsi="@PMingLiU" w:cs="Times New Roman"/>
      <w:szCs w:val="24"/>
      <w:lang w:eastAsia="pt-BR"/>
    </w:rPr>
  </w:style>
  <w:style w:type="character" w:customStyle="1" w:styleId="Ttulo5Char">
    <w:name w:val="Título 5 Char"/>
    <w:basedOn w:val="Fontepargpadro"/>
    <w:link w:val="Ttulo5"/>
    <w:rsid w:val="002B1787"/>
    <w:rPr>
      <w:rFonts w:asciiTheme="majorHAnsi" w:eastAsiaTheme="majorEastAsia" w:hAnsiTheme="majorHAnsi" w:cstheme="majorBidi"/>
      <w:color w:val="2E74B5" w:themeColor="accent1" w:themeShade="BF"/>
    </w:rPr>
  </w:style>
  <w:style w:type="paragraph" w:styleId="Reviso">
    <w:name w:val="Revision"/>
    <w:hidden/>
    <w:uiPriority w:val="99"/>
    <w:semiHidden/>
    <w:rsid w:val="00842755"/>
    <w:pPr>
      <w:spacing w:after="0" w:line="240" w:lineRule="auto"/>
    </w:pPr>
  </w:style>
  <w:style w:type="paragraph" w:customStyle="1" w:styleId="FCD">
    <w:name w:val="FCD"/>
    <w:basedOn w:val="Normal"/>
    <w:uiPriority w:val="99"/>
    <w:qFormat/>
    <w:rsid w:val="00E406F0"/>
    <w:pPr>
      <w:spacing w:after="0" w:line="312" w:lineRule="auto"/>
      <w:jc w:val="both"/>
    </w:pPr>
    <w:rPr>
      <w:rFonts w:ascii="@PMingLiU" w:eastAsia="Cambria" w:hAnsi="@PMingLiU" w:cs="Times New Roman"/>
      <w:szCs w:val="24"/>
    </w:rPr>
  </w:style>
  <w:style w:type="paragraph" w:styleId="Textodecomentrio">
    <w:name w:val="annotation text"/>
    <w:basedOn w:val="Normal"/>
    <w:link w:val="TextodecomentrioChar1"/>
    <w:rsid w:val="00D413FF"/>
    <w:pPr>
      <w:spacing w:after="0" w:line="240" w:lineRule="auto"/>
      <w:jc w:val="both"/>
    </w:pPr>
    <w:rPr>
      <w:rFonts w:ascii="@PMingLiU" w:eastAsia="Times New Roman" w:hAnsi="@PMingLiU" w:cs="Times New Roman"/>
      <w:sz w:val="20"/>
      <w:szCs w:val="20"/>
      <w:lang w:eastAsia="pt-BR"/>
    </w:rPr>
  </w:style>
  <w:style w:type="character" w:customStyle="1" w:styleId="TextodecomentrioChar">
    <w:name w:val="Texto de comentário Char"/>
    <w:basedOn w:val="Fontepargpadro"/>
    <w:rsid w:val="00D413FF"/>
    <w:rPr>
      <w:sz w:val="20"/>
      <w:szCs w:val="20"/>
    </w:rPr>
  </w:style>
  <w:style w:type="character" w:customStyle="1" w:styleId="TextodecomentrioChar1">
    <w:name w:val="Texto de comentário Char1"/>
    <w:link w:val="Textodecomentrio"/>
    <w:uiPriority w:val="99"/>
    <w:locked/>
    <w:rsid w:val="00D413FF"/>
    <w:rPr>
      <w:rFonts w:ascii="@PMingLiU" w:eastAsia="Times New Roman" w:hAnsi="@PMingLiU" w:cs="Times New Roman"/>
      <w:sz w:val="20"/>
      <w:szCs w:val="20"/>
      <w:lang w:eastAsia="pt-BR"/>
    </w:rPr>
  </w:style>
  <w:style w:type="paragraph" w:customStyle="1" w:styleId="Default">
    <w:name w:val="Default"/>
    <w:link w:val="DefaultChar"/>
    <w:rsid w:val="00AA27EF"/>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DefaultChar">
    <w:name w:val="Default Char"/>
    <w:link w:val="Default"/>
    <w:locked/>
    <w:rsid w:val="00AA27EF"/>
    <w:rPr>
      <w:rFonts w:ascii="Verdana" w:eastAsia="Times New Roman" w:hAnsi="Verdana" w:cs="Verdana"/>
      <w:color w:val="000000"/>
      <w:sz w:val="24"/>
      <w:szCs w:val="24"/>
      <w:lang w:eastAsia="pt-BR"/>
    </w:rPr>
  </w:style>
  <w:style w:type="paragraph" w:styleId="SemEspaamento">
    <w:name w:val="No Spacing"/>
    <w:uiPriority w:val="1"/>
    <w:qFormat/>
    <w:rsid w:val="00A0648E"/>
    <w:pPr>
      <w:spacing w:after="0"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6009AC"/>
    <w:pPr>
      <w:spacing w:before="100" w:beforeAutospacing="1" w:after="100" w:afterAutospacing="1" w:line="240" w:lineRule="auto"/>
      <w:jc w:val="both"/>
    </w:pPr>
    <w:rPr>
      <w:rFonts w:ascii="@PMingLiU" w:eastAsia="Times New Roman" w:hAnsi="@PMingLiU" w:cs="Times New Roman"/>
      <w:szCs w:val="24"/>
      <w:lang w:eastAsia="pt-BR"/>
    </w:rPr>
  </w:style>
  <w:style w:type="paragraph" w:customStyle="1" w:styleId="Texto">
    <w:name w:val="Texto"/>
    <w:basedOn w:val="Normal"/>
    <w:link w:val="TextoChar"/>
    <w:rsid w:val="0009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8"/>
      <w:jc w:val="both"/>
    </w:pPr>
    <w:rPr>
      <w:rFonts w:ascii="Univers" w:eastAsia="Times New Roman" w:hAnsi="Univers" w:cs="Times New Roman"/>
      <w:snapToGrid w:val="0"/>
      <w:sz w:val="20"/>
      <w:szCs w:val="20"/>
      <w:lang w:val="en-AU"/>
    </w:rPr>
  </w:style>
  <w:style w:type="character" w:customStyle="1" w:styleId="TextoChar">
    <w:name w:val="Texto Char"/>
    <w:link w:val="Texto"/>
    <w:locked/>
    <w:rsid w:val="00095A09"/>
    <w:rPr>
      <w:rFonts w:ascii="Univers" w:eastAsia="Times New Roman" w:hAnsi="Univers" w:cs="Times New Roman"/>
      <w:snapToGrid w:val="0"/>
      <w:sz w:val="20"/>
      <w:szCs w:val="20"/>
      <w:lang w:val="en-AU"/>
    </w:rPr>
  </w:style>
  <w:style w:type="paragraph" w:customStyle="1" w:styleId="tpicon">
    <w:name w:val="tópico nº"/>
    <w:link w:val="tpiconChar"/>
    <w:uiPriority w:val="99"/>
    <w:rsid w:val="00F05CE3"/>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color w:val="000000"/>
      <w:sz w:val="26"/>
      <w:szCs w:val="20"/>
      <w:lang w:val="en-AU"/>
    </w:rPr>
  </w:style>
  <w:style w:type="character" w:customStyle="1" w:styleId="tpiconChar">
    <w:name w:val="tópico nº Char"/>
    <w:link w:val="tpicon"/>
    <w:uiPriority w:val="99"/>
    <w:locked/>
    <w:rsid w:val="00F05CE3"/>
    <w:rPr>
      <w:rFonts w:ascii="Univers" w:eastAsia="Times New Roman" w:hAnsi="Univers" w:cs="Times New Roman"/>
      <w:b/>
      <w:color w:val="000000"/>
      <w:sz w:val="26"/>
      <w:szCs w:val="20"/>
      <w:lang w:val="en-AU"/>
    </w:rPr>
  </w:style>
  <w:style w:type="paragraph" w:customStyle="1" w:styleId="tpiconsea">
    <w:name w:val="tópico nº s/ e.a."/>
    <w:basedOn w:val="tpicon"/>
    <w:uiPriority w:val="99"/>
    <w:rsid w:val="00104F2E"/>
    <w:pPr>
      <w:spacing w:before="0"/>
    </w:pPr>
  </w:style>
  <w:style w:type="paragraph" w:customStyle="1" w:styleId="01CAPAnomedaempresa">
    <w:name w:val="01. «CAPA» nome da empresa"/>
    <w:basedOn w:val="Normal"/>
    <w:rsid w:val="00DF2D62"/>
    <w:pPr>
      <w:framePr w:hSpace="180" w:vSpace="180" w:wrap="auto" w:vAnchor="page" w:hAnchor="margin" w:xAlign="center" w:y="6693"/>
      <w:pBdr>
        <w:top w:val="single" w:sz="6" w:space="0" w:color="auto"/>
        <w:left w:val="single" w:sz="6" w:space="0" w:color="auto"/>
        <w:bottom w:val="single" w:sz="6" w:space="0" w:color="auto"/>
        <w:right w:val="single" w:sz="6" w:space="0" w:color="auto"/>
      </w:pBdr>
      <w:tabs>
        <w:tab w:val="left" w:pos="2260"/>
        <w:tab w:val="right" w:pos="6740"/>
      </w:tabs>
      <w:spacing w:after="520" w:line="240" w:lineRule="auto"/>
      <w:ind w:left="1600" w:right="1061"/>
    </w:pPr>
    <w:rPr>
      <w:rFonts w:ascii="Times" w:eastAsia="Times New Roman" w:hAnsi="Times" w:cs="Times New Roman"/>
      <w:b/>
      <w:sz w:val="26"/>
      <w:szCs w:val="20"/>
    </w:rPr>
  </w:style>
  <w:style w:type="paragraph" w:styleId="Textodebalo">
    <w:name w:val="Balloon Text"/>
    <w:basedOn w:val="Normal"/>
    <w:link w:val="TextodebaloChar"/>
    <w:uiPriority w:val="99"/>
    <w:semiHidden/>
    <w:unhideWhenUsed/>
    <w:rsid w:val="00CA5E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E2F"/>
    <w:rPr>
      <w:rFonts w:ascii="Segoe UI" w:hAnsi="Segoe UI" w:cs="Segoe UI"/>
      <w:sz w:val="18"/>
      <w:szCs w:val="18"/>
    </w:rPr>
  </w:style>
  <w:style w:type="paragraph" w:styleId="NormalWeb">
    <w:name w:val="Normal (Web)"/>
    <w:basedOn w:val="Normal"/>
    <w:link w:val="NormalWebChar"/>
    <w:uiPriority w:val="99"/>
    <w:unhideWhenUsed/>
    <w:rsid w:val="00E12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D01BA"/>
    <w:rPr>
      <w:sz w:val="16"/>
      <w:szCs w:val="16"/>
    </w:rPr>
  </w:style>
  <w:style w:type="paragraph" w:styleId="Assuntodocomentrio">
    <w:name w:val="annotation subject"/>
    <w:basedOn w:val="Textodecomentrio"/>
    <w:next w:val="Textodecomentrio"/>
    <w:link w:val="AssuntodocomentrioChar"/>
    <w:uiPriority w:val="99"/>
    <w:semiHidden/>
    <w:unhideWhenUsed/>
    <w:rsid w:val="008D01BA"/>
    <w:pPr>
      <w:spacing w:after="16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1"/>
    <w:link w:val="Assuntodocomentrio"/>
    <w:uiPriority w:val="99"/>
    <w:semiHidden/>
    <w:rsid w:val="008D01BA"/>
    <w:rPr>
      <w:rFonts w:ascii="@PMingLiU" w:eastAsia="Times New Roman" w:hAnsi="@PMingLiU" w:cs="Times New Roman"/>
      <w:b/>
      <w:bCs/>
      <w:sz w:val="20"/>
      <w:szCs w:val="20"/>
      <w:lang w:eastAsia="pt-BR"/>
    </w:rPr>
  </w:style>
  <w:style w:type="character" w:styleId="Hyperlink">
    <w:name w:val="Hyperlink"/>
    <w:basedOn w:val="Fontepargpadro"/>
    <w:uiPriority w:val="99"/>
    <w:semiHidden/>
    <w:unhideWhenUsed/>
    <w:rsid w:val="00F54F83"/>
    <w:rPr>
      <w:color w:val="0563C1"/>
      <w:u w:val="single"/>
    </w:rPr>
  </w:style>
  <w:style w:type="table" w:styleId="Tabelacomgrade">
    <w:name w:val="Table Grid"/>
    <w:basedOn w:val="Tabelanormal"/>
    <w:uiPriority w:val="39"/>
    <w:rsid w:val="00CE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EA40CB"/>
    <w:pPr>
      <w:spacing w:after="120" w:line="480" w:lineRule="auto"/>
      <w:ind w:left="283"/>
    </w:pPr>
  </w:style>
  <w:style w:type="character" w:customStyle="1" w:styleId="Recuodecorpodetexto2Char">
    <w:name w:val="Recuo de corpo de texto 2 Char"/>
    <w:basedOn w:val="Fontepargpadro"/>
    <w:link w:val="Recuodecorpodetexto2"/>
    <w:uiPriority w:val="99"/>
    <w:rsid w:val="00EA40CB"/>
  </w:style>
  <w:style w:type="paragraph" w:customStyle="1" w:styleId="Pa44">
    <w:name w:val="Pa44"/>
    <w:basedOn w:val="Default"/>
    <w:next w:val="Default"/>
    <w:uiPriority w:val="99"/>
    <w:rsid w:val="0077578A"/>
    <w:pPr>
      <w:spacing w:line="241" w:lineRule="atLeast"/>
    </w:pPr>
    <w:rPr>
      <w:rFonts w:ascii="Arial" w:hAnsi="Arial" w:cs="Arial"/>
      <w:color w:val="auto"/>
    </w:rPr>
  </w:style>
  <w:style w:type="table" w:styleId="TabeladeGrade2-nfase6">
    <w:name w:val="Grid Table 2 Accent 6"/>
    <w:basedOn w:val="Tabelanormal"/>
    <w:uiPriority w:val="47"/>
    <w:rsid w:val="00526D1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7Colorida-nfase6">
    <w:name w:val="List Table 7 Colorful Accent 6"/>
    <w:basedOn w:val="Tabelanormal"/>
    <w:uiPriority w:val="52"/>
    <w:rsid w:val="00526D1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4-nfase6">
    <w:name w:val="Grid Table 4 Accent 6"/>
    <w:basedOn w:val="Tabelanormal"/>
    <w:uiPriority w:val="49"/>
    <w:rsid w:val="00526D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6">
    <w:name w:val="List Table 4 Accent 6"/>
    <w:basedOn w:val="Tabelanormal"/>
    <w:uiPriority w:val="49"/>
    <w:rsid w:val="00526D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rmalWebChar">
    <w:name w:val="Normal (Web) Char"/>
    <w:link w:val="NormalWeb"/>
    <w:uiPriority w:val="99"/>
    <w:locked/>
    <w:rsid w:val="007F4B6F"/>
    <w:rPr>
      <w:rFonts w:ascii="Times New Roman" w:eastAsia="Times New Roman" w:hAnsi="Times New Roman" w:cs="Times New Roman"/>
      <w:sz w:val="24"/>
      <w:szCs w:val="24"/>
      <w:lang w:eastAsia="pt-BR"/>
    </w:rPr>
  </w:style>
  <w:style w:type="character" w:customStyle="1" w:styleId="ui-provider">
    <w:name w:val="ui-provider"/>
    <w:basedOn w:val="Fontepargpadro"/>
    <w:rsid w:val="004E4410"/>
  </w:style>
  <w:style w:type="character" w:customStyle="1" w:styleId="Ttulo2Char">
    <w:name w:val="Título 2 Char"/>
    <w:basedOn w:val="Fontepargpadro"/>
    <w:link w:val="Ttulo2"/>
    <w:uiPriority w:val="9"/>
    <w:semiHidden/>
    <w:rsid w:val="00472A51"/>
    <w:rPr>
      <w:rFonts w:asciiTheme="majorHAnsi" w:eastAsiaTheme="majorEastAsia" w:hAnsiTheme="majorHAnsi" w:cstheme="majorBidi"/>
      <w:color w:val="2E74B5" w:themeColor="accent1" w:themeShade="BF"/>
      <w:sz w:val="26"/>
      <w:szCs w:val="26"/>
    </w:rPr>
  </w:style>
  <w:style w:type="numbering" w:customStyle="1" w:styleId="EstiloImportado5">
    <w:name w:val="Estilo Importado 5"/>
    <w:rsid w:val="001450B5"/>
    <w:pPr>
      <w:numPr>
        <w:numId w:val="12"/>
      </w:numPr>
    </w:pPr>
  </w:style>
  <w:style w:type="paragraph" w:customStyle="1" w:styleId="Corpo">
    <w:name w:val="Corpo"/>
    <w:rsid w:val="0053677E"/>
    <w:pPr>
      <w:pBdr>
        <w:top w:val="nil"/>
        <w:left w:val="nil"/>
        <w:bottom w:val="nil"/>
        <w:right w:val="nil"/>
        <w:between w:val="nil"/>
        <w:bar w:val="nil"/>
      </w:pBdr>
      <w:spacing w:after="0" w:line="240" w:lineRule="auto"/>
      <w:jc w:val="both"/>
    </w:pPr>
    <w:rPr>
      <w:rFonts w:ascii="@PMingLiU" w:eastAsia="@PMingLiU" w:hAnsi="@PMingLiU" w:cs="@PMingLiU"/>
      <w:color w:val="000000"/>
      <w:u w:color="000000"/>
      <w:bdr w:val="nil"/>
      <w:lang w:val="de-DE" w:eastAsia="pt-BR"/>
      <w14:textOutline w14:w="0" w14:cap="flat" w14:cmpd="sng" w14:algn="ctr">
        <w14:noFill/>
        <w14:prstDash w14:val="solid"/>
        <w14:bevel/>
      </w14:textOutline>
    </w:rPr>
  </w:style>
  <w:style w:type="character" w:customStyle="1" w:styleId="normaltextrun">
    <w:name w:val="normaltextrun"/>
    <w:basedOn w:val="Fontepargpadro"/>
    <w:rsid w:val="00EA1FE6"/>
  </w:style>
  <w:style w:type="character" w:customStyle="1" w:styleId="eop">
    <w:name w:val="eop"/>
    <w:basedOn w:val="Fontepargpadro"/>
    <w:rsid w:val="00EA1FE6"/>
  </w:style>
  <w:style w:type="character" w:styleId="Forte">
    <w:name w:val="Strong"/>
    <w:basedOn w:val="Fontepargpadro"/>
    <w:uiPriority w:val="22"/>
    <w:qFormat/>
    <w:rsid w:val="00813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17">
      <w:bodyDiv w:val="1"/>
      <w:marLeft w:val="0"/>
      <w:marRight w:val="0"/>
      <w:marTop w:val="0"/>
      <w:marBottom w:val="0"/>
      <w:divBdr>
        <w:top w:val="none" w:sz="0" w:space="0" w:color="auto"/>
        <w:left w:val="none" w:sz="0" w:space="0" w:color="auto"/>
        <w:bottom w:val="none" w:sz="0" w:space="0" w:color="auto"/>
        <w:right w:val="none" w:sz="0" w:space="0" w:color="auto"/>
      </w:divBdr>
    </w:div>
    <w:div w:id="5795743">
      <w:bodyDiv w:val="1"/>
      <w:marLeft w:val="0"/>
      <w:marRight w:val="0"/>
      <w:marTop w:val="0"/>
      <w:marBottom w:val="0"/>
      <w:divBdr>
        <w:top w:val="none" w:sz="0" w:space="0" w:color="auto"/>
        <w:left w:val="none" w:sz="0" w:space="0" w:color="auto"/>
        <w:bottom w:val="none" w:sz="0" w:space="0" w:color="auto"/>
        <w:right w:val="none" w:sz="0" w:space="0" w:color="auto"/>
      </w:divBdr>
    </w:div>
    <w:div w:id="5911539">
      <w:bodyDiv w:val="1"/>
      <w:marLeft w:val="0"/>
      <w:marRight w:val="0"/>
      <w:marTop w:val="0"/>
      <w:marBottom w:val="0"/>
      <w:divBdr>
        <w:top w:val="none" w:sz="0" w:space="0" w:color="auto"/>
        <w:left w:val="none" w:sz="0" w:space="0" w:color="auto"/>
        <w:bottom w:val="none" w:sz="0" w:space="0" w:color="auto"/>
        <w:right w:val="none" w:sz="0" w:space="0" w:color="auto"/>
      </w:divBdr>
    </w:div>
    <w:div w:id="6450108">
      <w:bodyDiv w:val="1"/>
      <w:marLeft w:val="0"/>
      <w:marRight w:val="0"/>
      <w:marTop w:val="0"/>
      <w:marBottom w:val="0"/>
      <w:divBdr>
        <w:top w:val="none" w:sz="0" w:space="0" w:color="auto"/>
        <w:left w:val="none" w:sz="0" w:space="0" w:color="auto"/>
        <w:bottom w:val="none" w:sz="0" w:space="0" w:color="auto"/>
        <w:right w:val="none" w:sz="0" w:space="0" w:color="auto"/>
      </w:divBdr>
    </w:div>
    <w:div w:id="7830220">
      <w:bodyDiv w:val="1"/>
      <w:marLeft w:val="0"/>
      <w:marRight w:val="0"/>
      <w:marTop w:val="0"/>
      <w:marBottom w:val="0"/>
      <w:divBdr>
        <w:top w:val="none" w:sz="0" w:space="0" w:color="auto"/>
        <w:left w:val="none" w:sz="0" w:space="0" w:color="auto"/>
        <w:bottom w:val="none" w:sz="0" w:space="0" w:color="auto"/>
        <w:right w:val="none" w:sz="0" w:space="0" w:color="auto"/>
      </w:divBdr>
    </w:div>
    <w:div w:id="12463746">
      <w:bodyDiv w:val="1"/>
      <w:marLeft w:val="0"/>
      <w:marRight w:val="0"/>
      <w:marTop w:val="0"/>
      <w:marBottom w:val="0"/>
      <w:divBdr>
        <w:top w:val="none" w:sz="0" w:space="0" w:color="auto"/>
        <w:left w:val="none" w:sz="0" w:space="0" w:color="auto"/>
        <w:bottom w:val="none" w:sz="0" w:space="0" w:color="auto"/>
        <w:right w:val="none" w:sz="0" w:space="0" w:color="auto"/>
      </w:divBdr>
    </w:div>
    <w:div w:id="14356352">
      <w:bodyDiv w:val="1"/>
      <w:marLeft w:val="0"/>
      <w:marRight w:val="0"/>
      <w:marTop w:val="0"/>
      <w:marBottom w:val="0"/>
      <w:divBdr>
        <w:top w:val="none" w:sz="0" w:space="0" w:color="auto"/>
        <w:left w:val="none" w:sz="0" w:space="0" w:color="auto"/>
        <w:bottom w:val="none" w:sz="0" w:space="0" w:color="auto"/>
        <w:right w:val="none" w:sz="0" w:space="0" w:color="auto"/>
      </w:divBdr>
    </w:div>
    <w:div w:id="16935325">
      <w:bodyDiv w:val="1"/>
      <w:marLeft w:val="0"/>
      <w:marRight w:val="0"/>
      <w:marTop w:val="0"/>
      <w:marBottom w:val="0"/>
      <w:divBdr>
        <w:top w:val="none" w:sz="0" w:space="0" w:color="auto"/>
        <w:left w:val="none" w:sz="0" w:space="0" w:color="auto"/>
        <w:bottom w:val="none" w:sz="0" w:space="0" w:color="auto"/>
        <w:right w:val="none" w:sz="0" w:space="0" w:color="auto"/>
      </w:divBdr>
    </w:div>
    <w:div w:id="19015433">
      <w:bodyDiv w:val="1"/>
      <w:marLeft w:val="0"/>
      <w:marRight w:val="0"/>
      <w:marTop w:val="0"/>
      <w:marBottom w:val="0"/>
      <w:divBdr>
        <w:top w:val="none" w:sz="0" w:space="0" w:color="auto"/>
        <w:left w:val="none" w:sz="0" w:space="0" w:color="auto"/>
        <w:bottom w:val="none" w:sz="0" w:space="0" w:color="auto"/>
        <w:right w:val="none" w:sz="0" w:space="0" w:color="auto"/>
      </w:divBdr>
    </w:div>
    <w:div w:id="24447579">
      <w:bodyDiv w:val="1"/>
      <w:marLeft w:val="0"/>
      <w:marRight w:val="0"/>
      <w:marTop w:val="0"/>
      <w:marBottom w:val="0"/>
      <w:divBdr>
        <w:top w:val="none" w:sz="0" w:space="0" w:color="auto"/>
        <w:left w:val="none" w:sz="0" w:space="0" w:color="auto"/>
        <w:bottom w:val="none" w:sz="0" w:space="0" w:color="auto"/>
        <w:right w:val="none" w:sz="0" w:space="0" w:color="auto"/>
      </w:divBdr>
    </w:div>
    <w:div w:id="28839576">
      <w:bodyDiv w:val="1"/>
      <w:marLeft w:val="0"/>
      <w:marRight w:val="0"/>
      <w:marTop w:val="0"/>
      <w:marBottom w:val="0"/>
      <w:divBdr>
        <w:top w:val="none" w:sz="0" w:space="0" w:color="auto"/>
        <w:left w:val="none" w:sz="0" w:space="0" w:color="auto"/>
        <w:bottom w:val="none" w:sz="0" w:space="0" w:color="auto"/>
        <w:right w:val="none" w:sz="0" w:space="0" w:color="auto"/>
      </w:divBdr>
    </w:div>
    <w:div w:id="32271275">
      <w:bodyDiv w:val="1"/>
      <w:marLeft w:val="0"/>
      <w:marRight w:val="0"/>
      <w:marTop w:val="0"/>
      <w:marBottom w:val="0"/>
      <w:divBdr>
        <w:top w:val="none" w:sz="0" w:space="0" w:color="auto"/>
        <w:left w:val="none" w:sz="0" w:space="0" w:color="auto"/>
        <w:bottom w:val="none" w:sz="0" w:space="0" w:color="auto"/>
        <w:right w:val="none" w:sz="0" w:space="0" w:color="auto"/>
      </w:divBdr>
    </w:div>
    <w:div w:id="33626593">
      <w:bodyDiv w:val="1"/>
      <w:marLeft w:val="0"/>
      <w:marRight w:val="0"/>
      <w:marTop w:val="0"/>
      <w:marBottom w:val="0"/>
      <w:divBdr>
        <w:top w:val="none" w:sz="0" w:space="0" w:color="auto"/>
        <w:left w:val="none" w:sz="0" w:space="0" w:color="auto"/>
        <w:bottom w:val="none" w:sz="0" w:space="0" w:color="auto"/>
        <w:right w:val="none" w:sz="0" w:space="0" w:color="auto"/>
      </w:divBdr>
    </w:div>
    <w:div w:id="35586426">
      <w:bodyDiv w:val="1"/>
      <w:marLeft w:val="0"/>
      <w:marRight w:val="0"/>
      <w:marTop w:val="0"/>
      <w:marBottom w:val="0"/>
      <w:divBdr>
        <w:top w:val="none" w:sz="0" w:space="0" w:color="auto"/>
        <w:left w:val="none" w:sz="0" w:space="0" w:color="auto"/>
        <w:bottom w:val="none" w:sz="0" w:space="0" w:color="auto"/>
        <w:right w:val="none" w:sz="0" w:space="0" w:color="auto"/>
      </w:divBdr>
    </w:div>
    <w:div w:id="43263015">
      <w:bodyDiv w:val="1"/>
      <w:marLeft w:val="0"/>
      <w:marRight w:val="0"/>
      <w:marTop w:val="0"/>
      <w:marBottom w:val="0"/>
      <w:divBdr>
        <w:top w:val="none" w:sz="0" w:space="0" w:color="auto"/>
        <w:left w:val="none" w:sz="0" w:space="0" w:color="auto"/>
        <w:bottom w:val="none" w:sz="0" w:space="0" w:color="auto"/>
        <w:right w:val="none" w:sz="0" w:space="0" w:color="auto"/>
      </w:divBdr>
    </w:div>
    <w:div w:id="43796130">
      <w:bodyDiv w:val="1"/>
      <w:marLeft w:val="0"/>
      <w:marRight w:val="0"/>
      <w:marTop w:val="0"/>
      <w:marBottom w:val="0"/>
      <w:divBdr>
        <w:top w:val="none" w:sz="0" w:space="0" w:color="auto"/>
        <w:left w:val="none" w:sz="0" w:space="0" w:color="auto"/>
        <w:bottom w:val="none" w:sz="0" w:space="0" w:color="auto"/>
        <w:right w:val="none" w:sz="0" w:space="0" w:color="auto"/>
      </w:divBdr>
    </w:div>
    <w:div w:id="43917765">
      <w:bodyDiv w:val="1"/>
      <w:marLeft w:val="0"/>
      <w:marRight w:val="0"/>
      <w:marTop w:val="0"/>
      <w:marBottom w:val="0"/>
      <w:divBdr>
        <w:top w:val="none" w:sz="0" w:space="0" w:color="auto"/>
        <w:left w:val="none" w:sz="0" w:space="0" w:color="auto"/>
        <w:bottom w:val="none" w:sz="0" w:space="0" w:color="auto"/>
        <w:right w:val="none" w:sz="0" w:space="0" w:color="auto"/>
      </w:divBdr>
    </w:div>
    <w:div w:id="49505355">
      <w:bodyDiv w:val="1"/>
      <w:marLeft w:val="0"/>
      <w:marRight w:val="0"/>
      <w:marTop w:val="0"/>
      <w:marBottom w:val="0"/>
      <w:divBdr>
        <w:top w:val="none" w:sz="0" w:space="0" w:color="auto"/>
        <w:left w:val="none" w:sz="0" w:space="0" w:color="auto"/>
        <w:bottom w:val="none" w:sz="0" w:space="0" w:color="auto"/>
        <w:right w:val="none" w:sz="0" w:space="0" w:color="auto"/>
      </w:divBdr>
    </w:div>
    <w:div w:id="52507715">
      <w:bodyDiv w:val="1"/>
      <w:marLeft w:val="0"/>
      <w:marRight w:val="0"/>
      <w:marTop w:val="0"/>
      <w:marBottom w:val="0"/>
      <w:divBdr>
        <w:top w:val="none" w:sz="0" w:space="0" w:color="auto"/>
        <w:left w:val="none" w:sz="0" w:space="0" w:color="auto"/>
        <w:bottom w:val="none" w:sz="0" w:space="0" w:color="auto"/>
        <w:right w:val="none" w:sz="0" w:space="0" w:color="auto"/>
      </w:divBdr>
    </w:div>
    <w:div w:id="60062835">
      <w:bodyDiv w:val="1"/>
      <w:marLeft w:val="0"/>
      <w:marRight w:val="0"/>
      <w:marTop w:val="0"/>
      <w:marBottom w:val="0"/>
      <w:divBdr>
        <w:top w:val="none" w:sz="0" w:space="0" w:color="auto"/>
        <w:left w:val="none" w:sz="0" w:space="0" w:color="auto"/>
        <w:bottom w:val="none" w:sz="0" w:space="0" w:color="auto"/>
        <w:right w:val="none" w:sz="0" w:space="0" w:color="auto"/>
      </w:divBdr>
    </w:div>
    <w:div w:id="67044197">
      <w:bodyDiv w:val="1"/>
      <w:marLeft w:val="0"/>
      <w:marRight w:val="0"/>
      <w:marTop w:val="0"/>
      <w:marBottom w:val="0"/>
      <w:divBdr>
        <w:top w:val="none" w:sz="0" w:space="0" w:color="auto"/>
        <w:left w:val="none" w:sz="0" w:space="0" w:color="auto"/>
        <w:bottom w:val="none" w:sz="0" w:space="0" w:color="auto"/>
        <w:right w:val="none" w:sz="0" w:space="0" w:color="auto"/>
      </w:divBdr>
    </w:div>
    <w:div w:id="70124679">
      <w:bodyDiv w:val="1"/>
      <w:marLeft w:val="0"/>
      <w:marRight w:val="0"/>
      <w:marTop w:val="0"/>
      <w:marBottom w:val="0"/>
      <w:divBdr>
        <w:top w:val="none" w:sz="0" w:space="0" w:color="auto"/>
        <w:left w:val="none" w:sz="0" w:space="0" w:color="auto"/>
        <w:bottom w:val="none" w:sz="0" w:space="0" w:color="auto"/>
        <w:right w:val="none" w:sz="0" w:space="0" w:color="auto"/>
      </w:divBdr>
    </w:div>
    <w:div w:id="75515523">
      <w:bodyDiv w:val="1"/>
      <w:marLeft w:val="0"/>
      <w:marRight w:val="0"/>
      <w:marTop w:val="0"/>
      <w:marBottom w:val="0"/>
      <w:divBdr>
        <w:top w:val="none" w:sz="0" w:space="0" w:color="auto"/>
        <w:left w:val="none" w:sz="0" w:space="0" w:color="auto"/>
        <w:bottom w:val="none" w:sz="0" w:space="0" w:color="auto"/>
        <w:right w:val="none" w:sz="0" w:space="0" w:color="auto"/>
      </w:divBdr>
    </w:div>
    <w:div w:id="78673230">
      <w:bodyDiv w:val="1"/>
      <w:marLeft w:val="0"/>
      <w:marRight w:val="0"/>
      <w:marTop w:val="0"/>
      <w:marBottom w:val="0"/>
      <w:divBdr>
        <w:top w:val="none" w:sz="0" w:space="0" w:color="auto"/>
        <w:left w:val="none" w:sz="0" w:space="0" w:color="auto"/>
        <w:bottom w:val="none" w:sz="0" w:space="0" w:color="auto"/>
        <w:right w:val="none" w:sz="0" w:space="0" w:color="auto"/>
      </w:divBdr>
    </w:div>
    <w:div w:id="81266594">
      <w:bodyDiv w:val="1"/>
      <w:marLeft w:val="0"/>
      <w:marRight w:val="0"/>
      <w:marTop w:val="0"/>
      <w:marBottom w:val="0"/>
      <w:divBdr>
        <w:top w:val="none" w:sz="0" w:space="0" w:color="auto"/>
        <w:left w:val="none" w:sz="0" w:space="0" w:color="auto"/>
        <w:bottom w:val="none" w:sz="0" w:space="0" w:color="auto"/>
        <w:right w:val="none" w:sz="0" w:space="0" w:color="auto"/>
      </w:divBdr>
    </w:div>
    <w:div w:id="90123685">
      <w:bodyDiv w:val="1"/>
      <w:marLeft w:val="0"/>
      <w:marRight w:val="0"/>
      <w:marTop w:val="0"/>
      <w:marBottom w:val="0"/>
      <w:divBdr>
        <w:top w:val="none" w:sz="0" w:space="0" w:color="auto"/>
        <w:left w:val="none" w:sz="0" w:space="0" w:color="auto"/>
        <w:bottom w:val="none" w:sz="0" w:space="0" w:color="auto"/>
        <w:right w:val="none" w:sz="0" w:space="0" w:color="auto"/>
      </w:divBdr>
    </w:div>
    <w:div w:id="96946712">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102847135">
      <w:bodyDiv w:val="1"/>
      <w:marLeft w:val="0"/>
      <w:marRight w:val="0"/>
      <w:marTop w:val="0"/>
      <w:marBottom w:val="0"/>
      <w:divBdr>
        <w:top w:val="none" w:sz="0" w:space="0" w:color="auto"/>
        <w:left w:val="none" w:sz="0" w:space="0" w:color="auto"/>
        <w:bottom w:val="none" w:sz="0" w:space="0" w:color="auto"/>
        <w:right w:val="none" w:sz="0" w:space="0" w:color="auto"/>
      </w:divBdr>
    </w:div>
    <w:div w:id="109083544">
      <w:bodyDiv w:val="1"/>
      <w:marLeft w:val="0"/>
      <w:marRight w:val="0"/>
      <w:marTop w:val="0"/>
      <w:marBottom w:val="0"/>
      <w:divBdr>
        <w:top w:val="none" w:sz="0" w:space="0" w:color="auto"/>
        <w:left w:val="none" w:sz="0" w:space="0" w:color="auto"/>
        <w:bottom w:val="none" w:sz="0" w:space="0" w:color="auto"/>
        <w:right w:val="none" w:sz="0" w:space="0" w:color="auto"/>
      </w:divBdr>
    </w:div>
    <w:div w:id="119887538">
      <w:bodyDiv w:val="1"/>
      <w:marLeft w:val="0"/>
      <w:marRight w:val="0"/>
      <w:marTop w:val="0"/>
      <w:marBottom w:val="0"/>
      <w:divBdr>
        <w:top w:val="none" w:sz="0" w:space="0" w:color="auto"/>
        <w:left w:val="none" w:sz="0" w:space="0" w:color="auto"/>
        <w:bottom w:val="none" w:sz="0" w:space="0" w:color="auto"/>
        <w:right w:val="none" w:sz="0" w:space="0" w:color="auto"/>
      </w:divBdr>
    </w:div>
    <w:div w:id="133183732">
      <w:bodyDiv w:val="1"/>
      <w:marLeft w:val="0"/>
      <w:marRight w:val="0"/>
      <w:marTop w:val="0"/>
      <w:marBottom w:val="0"/>
      <w:divBdr>
        <w:top w:val="none" w:sz="0" w:space="0" w:color="auto"/>
        <w:left w:val="none" w:sz="0" w:space="0" w:color="auto"/>
        <w:bottom w:val="none" w:sz="0" w:space="0" w:color="auto"/>
        <w:right w:val="none" w:sz="0" w:space="0" w:color="auto"/>
      </w:divBdr>
    </w:div>
    <w:div w:id="134418440">
      <w:bodyDiv w:val="1"/>
      <w:marLeft w:val="0"/>
      <w:marRight w:val="0"/>
      <w:marTop w:val="0"/>
      <w:marBottom w:val="0"/>
      <w:divBdr>
        <w:top w:val="none" w:sz="0" w:space="0" w:color="auto"/>
        <w:left w:val="none" w:sz="0" w:space="0" w:color="auto"/>
        <w:bottom w:val="none" w:sz="0" w:space="0" w:color="auto"/>
        <w:right w:val="none" w:sz="0" w:space="0" w:color="auto"/>
      </w:divBdr>
    </w:div>
    <w:div w:id="136992048">
      <w:bodyDiv w:val="1"/>
      <w:marLeft w:val="0"/>
      <w:marRight w:val="0"/>
      <w:marTop w:val="0"/>
      <w:marBottom w:val="0"/>
      <w:divBdr>
        <w:top w:val="none" w:sz="0" w:space="0" w:color="auto"/>
        <w:left w:val="none" w:sz="0" w:space="0" w:color="auto"/>
        <w:bottom w:val="none" w:sz="0" w:space="0" w:color="auto"/>
        <w:right w:val="none" w:sz="0" w:space="0" w:color="auto"/>
      </w:divBdr>
    </w:div>
    <w:div w:id="141820965">
      <w:bodyDiv w:val="1"/>
      <w:marLeft w:val="0"/>
      <w:marRight w:val="0"/>
      <w:marTop w:val="0"/>
      <w:marBottom w:val="0"/>
      <w:divBdr>
        <w:top w:val="none" w:sz="0" w:space="0" w:color="auto"/>
        <w:left w:val="none" w:sz="0" w:space="0" w:color="auto"/>
        <w:bottom w:val="none" w:sz="0" w:space="0" w:color="auto"/>
        <w:right w:val="none" w:sz="0" w:space="0" w:color="auto"/>
      </w:divBdr>
    </w:div>
    <w:div w:id="143013249">
      <w:bodyDiv w:val="1"/>
      <w:marLeft w:val="0"/>
      <w:marRight w:val="0"/>
      <w:marTop w:val="0"/>
      <w:marBottom w:val="0"/>
      <w:divBdr>
        <w:top w:val="none" w:sz="0" w:space="0" w:color="auto"/>
        <w:left w:val="none" w:sz="0" w:space="0" w:color="auto"/>
        <w:bottom w:val="none" w:sz="0" w:space="0" w:color="auto"/>
        <w:right w:val="none" w:sz="0" w:space="0" w:color="auto"/>
      </w:divBdr>
    </w:div>
    <w:div w:id="146483421">
      <w:bodyDiv w:val="1"/>
      <w:marLeft w:val="0"/>
      <w:marRight w:val="0"/>
      <w:marTop w:val="0"/>
      <w:marBottom w:val="0"/>
      <w:divBdr>
        <w:top w:val="none" w:sz="0" w:space="0" w:color="auto"/>
        <w:left w:val="none" w:sz="0" w:space="0" w:color="auto"/>
        <w:bottom w:val="none" w:sz="0" w:space="0" w:color="auto"/>
        <w:right w:val="none" w:sz="0" w:space="0" w:color="auto"/>
      </w:divBdr>
    </w:div>
    <w:div w:id="149059932">
      <w:bodyDiv w:val="1"/>
      <w:marLeft w:val="0"/>
      <w:marRight w:val="0"/>
      <w:marTop w:val="0"/>
      <w:marBottom w:val="0"/>
      <w:divBdr>
        <w:top w:val="none" w:sz="0" w:space="0" w:color="auto"/>
        <w:left w:val="none" w:sz="0" w:space="0" w:color="auto"/>
        <w:bottom w:val="none" w:sz="0" w:space="0" w:color="auto"/>
        <w:right w:val="none" w:sz="0" w:space="0" w:color="auto"/>
      </w:divBdr>
    </w:div>
    <w:div w:id="153567724">
      <w:bodyDiv w:val="1"/>
      <w:marLeft w:val="0"/>
      <w:marRight w:val="0"/>
      <w:marTop w:val="0"/>
      <w:marBottom w:val="0"/>
      <w:divBdr>
        <w:top w:val="none" w:sz="0" w:space="0" w:color="auto"/>
        <w:left w:val="none" w:sz="0" w:space="0" w:color="auto"/>
        <w:bottom w:val="none" w:sz="0" w:space="0" w:color="auto"/>
        <w:right w:val="none" w:sz="0" w:space="0" w:color="auto"/>
      </w:divBdr>
    </w:div>
    <w:div w:id="156654728">
      <w:bodyDiv w:val="1"/>
      <w:marLeft w:val="0"/>
      <w:marRight w:val="0"/>
      <w:marTop w:val="0"/>
      <w:marBottom w:val="0"/>
      <w:divBdr>
        <w:top w:val="none" w:sz="0" w:space="0" w:color="auto"/>
        <w:left w:val="none" w:sz="0" w:space="0" w:color="auto"/>
        <w:bottom w:val="none" w:sz="0" w:space="0" w:color="auto"/>
        <w:right w:val="none" w:sz="0" w:space="0" w:color="auto"/>
      </w:divBdr>
    </w:div>
    <w:div w:id="159077809">
      <w:bodyDiv w:val="1"/>
      <w:marLeft w:val="0"/>
      <w:marRight w:val="0"/>
      <w:marTop w:val="0"/>
      <w:marBottom w:val="0"/>
      <w:divBdr>
        <w:top w:val="none" w:sz="0" w:space="0" w:color="auto"/>
        <w:left w:val="none" w:sz="0" w:space="0" w:color="auto"/>
        <w:bottom w:val="none" w:sz="0" w:space="0" w:color="auto"/>
        <w:right w:val="none" w:sz="0" w:space="0" w:color="auto"/>
      </w:divBdr>
    </w:div>
    <w:div w:id="161551110">
      <w:bodyDiv w:val="1"/>
      <w:marLeft w:val="0"/>
      <w:marRight w:val="0"/>
      <w:marTop w:val="0"/>
      <w:marBottom w:val="0"/>
      <w:divBdr>
        <w:top w:val="none" w:sz="0" w:space="0" w:color="auto"/>
        <w:left w:val="none" w:sz="0" w:space="0" w:color="auto"/>
        <w:bottom w:val="none" w:sz="0" w:space="0" w:color="auto"/>
        <w:right w:val="none" w:sz="0" w:space="0" w:color="auto"/>
      </w:divBdr>
    </w:div>
    <w:div w:id="173427003">
      <w:bodyDiv w:val="1"/>
      <w:marLeft w:val="0"/>
      <w:marRight w:val="0"/>
      <w:marTop w:val="0"/>
      <w:marBottom w:val="0"/>
      <w:divBdr>
        <w:top w:val="none" w:sz="0" w:space="0" w:color="auto"/>
        <w:left w:val="none" w:sz="0" w:space="0" w:color="auto"/>
        <w:bottom w:val="none" w:sz="0" w:space="0" w:color="auto"/>
        <w:right w:val="none" w:sz="0" w:space="0" w:color="auto"/>
      </w:divBdr>
    </w:div>
    <w:div w:id="176581970">
      <w:bodyDiv w:val="1"/>
      <w:marLeft w:val="0"/>
      <w:marRight w:val="0"/>
      <w:marTop w:val="0"/>
      <w:marBottom w:val="0"/>
      <w:divBdr>
        <w:top w:val="none" w:sz="0" w:space="0" w:color="auto"/>
        <w:left w:val="none" w:sz="0" w:space="0" w:color="auto"/>
        <w:bottom w:val="none" w:sz="0" w:space="0" w:color="auto"/>
        <w:right w:val="none" w:sz="0" w:space="0" w:color="auto"/>
      </w:divBdr>
    </w:div>
    <w:div w:id="184171977">
      <w:bodyDiv w:val="1"/>
      <w:marLeft w:val="0"/>
      <w:marRight w:val="0"/>
      <w:marTop w:val="0"/>
      <w:marBottom w:val="0"/>
      <w:divBdr>
        <w:top w:val="none" w:sz="0" w:space="0" w:color="auto"/>
        <w:left w:val="none" w:sz="0" w:space="0" w:color="auto"/>
        <w:bottom w:val="none" w:sz="0" w:space="0" w:color="auto"/>
        <w:right w:val="none" w:sz="0" w:space="0" w:color="auto"/>
      </w:divBdr>
    </w:div>
    <w:div w:id="185170680">
      <w:bodyDiv w:val="1"/>
      <w:marLeft w:val="0"/>
      <w:marRight w:val="0"/>
      <w:marTop w:val="0"/>
      <w:marBottom w:val="0"/>
      <w:divBdr>
        <w:top w:val="none" w:sz="0" w:space="0" w:color="auto"/>
        <w:left w:val="none" w:sz="0" w:space="0" w:color="auto"/>
        <w:bottom w:val="none" w:sz="0" w:space="0" w:color="auto"/>
        <w:right w:val="none" w:sz="0" w:space="0" w:color="auto"/>
      </w:divBdr>
    </w:div>
    <w:div w:id="185600397">
      <w:bodyDiv w:val="1"/>
      <w:marLeft w:val="0"/>
      <w:marRight w:val="0"/>
      <w:marTop w:val="0"/>
      <w:marBottom w:val="0"/>
      <w:divBdr>
        <w:top w:val="none" w:sz="0" w:space="0" w:color="auto"/>
        <w:left w:val="none" w:sz="0" w:space="0" w:color="auto"/>
        <w:bottom w:val="none" w:sz="0" w:space="0" w:color="auto"/>
        <w:right w:val="none" w:sz="0" w:space="0" w:color="auto"/>
      </w:divBdr>
    </w:div>
    <w:div w:id="191194034">
      <w:bodyDiv w:val="1"/>
      <w:marLeft w:val="0"/>
      <w:marRight w:val="0"/>
      <w:marTop w:val="0"/>
      <w:marBottom w:val="0"/>
      <w:divBdr>
        <w:top w:val="none" w:sz="0" w:space="0" w:color="auto"/>
        <w:left w:val="none" w:sz="0" w:space="0" w:color="auto"/>
        <w:bottom w:val="none" w:sz="0" w:space="0" w:color="auto"/>
        <w:right w:val="none" w:sz="0" w:space="0" w:color="auto"/>
      </w:divBdr>
    </w:div>
    <w:div w:id="197279884">
      <w:bodyDiv w:val="1"/>
      <w:marLeft w:val="0"/>
      <w:marRight w:val="0"/>
      <w:marTop w:val="0"/>
      <w:marBottom w:val="0"/>
      <w:divBdr>
        <w:top w:val="none" w:sz="0" w:space="0" w:color="auto"/>
        <w:left w:val="none" w:sz="0" w:space="0" w:color="auto"/>
        <w:bottom w:val="none" w:sz="0" w:space="0" w:color="auto"/>
        <w:right w:val="none" w:sz="0" w:space="0" w:color="auto"/>
      </w:divBdr>
    </w:div>
    <w:div w:id="198979216">
      <w:bodyDiv w:val="1"/>
      <w:marLeft w:val="0"/>
      <w:marRight w:val="0"/>
      <w:marTop w:val="0"/>
      <w:marBottom w:val="0"/>
      <w:divBdr>
        <w:top w:val="none" w:sz="0" w:space="0" w:color="auto"/>
        <w:left w:val="none" w:sz="0" w:space="0" w:color="auto"/>
        <w:bottom w:val="none" w:sz="0" w:space="0" w:color="auto"/>
        <w:right w:val="none" w:sz="0" w:space="0" w:color="auto"/>
      </w:divBdr>
    </w:div>
    <w:div w:id="200872155">
      <w:bodyDiv w:val="1"/>
      <w:marLeft w:val="0"/>
      <w:marRight w:val="0"/>
      <w:marTop w:val="0"/>
      <w:marBottom w:val="0"/>
      <w:divBdr>
        <w:top w:val="none" w:sz="0" w:space="0" w:color="auto"/>
        <w:left w:val="none" w:sz="0" w:space="0" w:color="auto"/>
        <w:bottom w:val="none" w:sz="0" w:space="0" w:color="auto"/>
        <w:right w:val="none" w:sz="0" w:space="0" w:color="auto"/>
      </w:divBdr>
    </w:div>
    <w:div w:id="212740335">
      <w:bodyDiv w:val="1"/>
      <w:marLeft w:val="0"/>
      <w:marRight w:val="0"/>
      <w:marTop w:val="0"/>
      <w:marBottom w:val="0"/>
      <w:divBdr>
        <w:top w:val="none" w:sz="0" w:space="0" w:color="auto"/>
        <w:left w:val="none" w:sz="0" w:space="0" w:color="auto"/>
        <w:bottom w:val="none" w:sz="0" w:space="0" w:color="auto"/>
        <w:right w:val="none" w:sz="0" w:space="0" w:color="auto"/>
      </w:divBdr>
    </w:div>
    <w:div w:id="215631603">
      <w:bodyDiv w:val="1"/>
      <w:marLeft w:val="0"/>
      <w:marRight w:val="0"/>
      <w:marTop w:val="0"/>
      <w:marBottom w:val="0"/>
      <w:divBdr>
        <w:top w:val="none" w:sz="0" w:space="0" w:color="auto"/>
        <w:left w:val="none" w:sz="0" w:space="0" w:color="auto"/>
        <w:bottom w:val="none" w:sz="0" w:space="0" w:color="auto"/>
        <w:right w:val="none" w:sz="0" w:space="0" w:color="auto"/>
      </w:divBdr>
    </w:div>
    <w:div w:id="218589400">
      <w:bodyDiv w:val="1"/>
      <w:marLeft w:val="0"/>
      <w:marRight w:val="0"/>
      <w:marTop w:val="0"/>
      <w:marBottom w:val="0"/>
      <w:divBdr>
        <w:top w:val="none" w:sz="0" w:space="0" w:color="auto"/>
        <w:left w:val="none" w:sz="0" w:space="0" w:color="auto"/>
        <w:bottom w:val="none" w:sz="0" w:space="0" w:color="auto"/>
        <w:right w:val="none" w:sz="0" w:space="0" w:color="auto"/>
      </w:divBdr>
    </w:div>
    <w:div w:id="224993290">
      <w:bodyDiv w:val="1"/>
      <w:marLeft w:val="0"/>
      <w:marRight w:val="0"/>
      <w:marTop w:val="0"/>
      <w:marBottom w:val="0"/>
      <w:divBdr>
        <w:top w:val="none" w:sz="0" w:space="0" w:color="auto"/>
        <w:left w:val="none" w:sz="0" w:space="0" w:color="auto"/>
        <w:bottom w:val="none" w:sz="0" w:space="0" w:color="auto"/>
        <w:right w:val="none" w:sz="0" w:space="0" w:color="auto"/>
      </w:divBdr>
    </w:div>
    <w:div w:id="225649936">
      <w:bodyDiv w:val="1"/>
      <w:marLeft w:val="0"/>
      <w:marRight w:val="0"/>
      <w:marTop w:val="0"/>
      <w:marBottom w:val="0"/>
      <w:divBdr>
        <w:top w:val="none" w:sz="0" w:space="0" w:color="auto"/>
        <w:left w:val="none" w:sz="0" w:space="0" w:color="auto"/>
        <w:bottom w:val="none" w:sz="0" w:space="0" w:color="auto"/>
        <w:right w:val="none" w:sz="0" w:space="0" w:color="auto"/>
      </w:divBdr>
    </w:div>
    <w:div w:id="226690549">
      <w:bodyDiv w:val="1"/>
      <w:marLeft w:val="0"/>
      <w:marRight w:val="0"/>
      <w:marTop w:val="0"/>
      <w:marBottom w:val="0"/>
      <w:divBdr>
        <w:top w:val="none" w:sz="0" w:space="0" w:color="auto"/>
        <w:left w:val="none" w:sz="0" w:space="0" w:color="auto"/>
        <w:bottom w:val="none" w:sz="0" w:space="0" w:color="auto"/>
        <w:right w:val="none" w:sz="0" w:space="0" w:color="auto"/>
      </w:divBdr>
    </w:div>
    <w:div w:id="230627249">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6788013">
      <w:bodyDiv w:val="1"/>
      <w:marLeft w:val="0"/>
      <w:marRight w:val="0"/>
      <w:marTop w:val="0"/>
      <w:marBottom w:val="0"/>
      <w:divBdr>
        <w:top w:val="none" w:sz="0" w:space="0" w:color="auto"/>
        <w:left w:val="none" w:sz="0" w:space="0" w:color="auto"/>
        <w:bottom w:val="none" w:sz="0" w:space="0" w:color="auto"/>
        <w:right w:val="none" w:sz="0" w:space="0" w:color="auto"/>
      </w:divBdr>
    </w:div>
    <w:div w:id="241917134">
      <w:bodyDiv w:val="1"/>
      <w:marLeft w:val="0"/>
      <w:marRight w:val="0"/>
      <w:marTop w:val="0"/>
      <w:marBottom w:val="0"/>
      <w:divBdr>
        <w:top w:val="none" w:sz="0" w:space="0" w:color="auto"/>
        <w:left w:val="none" w:sz="0" w:space="0" w:color="auto"/>
        <w:bottom w:val="none" w:sz="0" w:space="0" w:color="auto"/>
        <w:right w:val="none" w:sz="0" w:space="0" w:color="auto"/>
      </w:divBdr>
    </w:div>
    <w:div w:id="257831226">
      <w:bodyDiv w:val="1"/>
      <w:marLeft w:val="0"/>
      <w:marRight w:val="0"/>
      <w:marTop w:val="0"/>
      <w:marBottom w:val="0"/>
      <w:divBdr>
        <w:top w:val="none" w:sz="0" w:space="0" w:color="auto"/>
        <w:left w:val="none" w:sz="0" w:space="0" w:color="auto"/>
        <w:bottom w:val="none" w:sz="0" w:space="0" w:color="auto"/>
        <w:right w:val="none" w:sz="0" w:space="0" w:color="auto"/>
      </w:divBdr>
    </w:div>
    <w:div w:id="260722275">
      <w:bodyDiv w:val="1"/>
      <w:marLeft w:val="0"/>
      <w:marRight w:val="0"/>
      <w:marTop w:val="0"/>
      <w:marBottom w:val="0"/>
      <w:divBdr>
        <w:top w:val="none" w:sz="0" w:space="0" w:color="auto"/>
        <w:left w:val="none" w:sz="0" w:space="0" w:color="auto"/>
        <w:bottom w:val="none" w:sz="0" w:space="0" w:color="auto"/>
        <w:right w:val="none" w:sz="0" w:space="0" w:color="auto"/>
      </w:divBdr>
    </w:div>
    <w:div w:id="269506222">
      <w:bodyDiv w:val="1"/>
      <w:marLeft w:val="0"/>
      <w:marRight w:val="0"/>
      <w:marTop w:val="0"/>
      <w:marBottom w:val="0"/>
      <w:divBdr>
        <w:top w:val="none" w:sz="0" w:space="0" w:color="auto"/>
        <w:left w:val="none" w:sz="0" w:space="0" w:color="auto"/>
        <w:bottom w:val="none" w:sz="0" w:space="0" w:color="auto"/>
        <w:right w:val="none" w:sz="0" w:space="0" w:color="auto"/>
      </w:divBdr>
    </w:div>
    <w:div w:id="271019476">
      <w:bodyDiv w:val="1"/>
      <w:marLeft w:val="0"/>
      <w:marRight w:val="0"/>
      <w:marTop w:val="0"/>
      <w:marBottom w:val="0"/>
      <w:divBdr>
        <w:top w:val="none" w:sz="0" w:space="0" w:color="auto"/>
        <w:left w:val="none" w:sz="0" w:space="0" w:color="auto"/>
        <w:bottom w:val="none" w:sz="0" w:space="0" w:color="auto"/>
        <w:right w:val="none" w:sz="0" w:space="0" w:color="auto"/>
      </w:divBdr>
      <w:divsChild>
        <w:div w:id="1436711144">
          <w:marLeft w:val="360"/>
          <w:marRight w:val="0"/>
          <w:marTop w:val="0"/>
          <w:marBottom w:val="360"/>
          <w:divBdr>
            <w:top w:val="none" w:sz="0" w:space="0" w:color="auto"/>
            <w:left w:val="none" w:sz="0" w:space="0" w:color="auto"/>
            <w:bottom w:val="none" w:sz="0" w:space="0" w:color="auto"/>
            <w:right w:val="none" w:sz="0" w:space="0" w:color="auto"/>
          </w:divBdr>
        </w:div>
      </w:divsChild>
    </w:div>
    <w:div w:id="271593824">
      <w:bodyDiv w:val="1"/>
      <w:marLeft w:val="0"/>
      <w:marRight w:val="0"/>
      <w:marTop w:val="0"/>
      <w:marBottom w:val="0"/>
      <w:divBdr>
        <w:top w:val="none" w:sz="0" w:space="0" w:color="auto"/>
        <w:left w:val="none" w:sz="0" w:space="0" w:color="auto"/>
        <w:bottom w:val="none" w:sz="0" w:space="0" w:color="auto"/>
        <w:right w:val="none" w:sz="0" w:space="0" w:color="auto"/>
      </w:divBdr>
    </w:div>
    <w:div w:id="273292976">
      <w:bodyDiv w:val="1"/>
      <w:marLeft w:val="0"/>
      <w:marRight w:val="0"/>
      <w:marTop w:val="0"/>
      <w:marBottom w:val="0"/>
      <w:divBdr>
        <w:top w:val="none" w:sz="0" w:space="0" w:color="auto"/>
        <w:left w:val="none" w:sz="0" w:space="0" w:color="auto"/>
        <w:bottom w:val="none" w:sz="0" w:space="0" w:color="auto"/>
        <w:right w:val="none" w:sz="0" w:space="0" w:color="auto"/>
      </w:divBdr>
    </w:div>
    <w:div w:id="275600495">
      <w:bodyDiv w:val="1"/>
      <w:marLeft w:val="0"/>
      <w:marRight w:val="0"/>
      <w:marTop w:val="0"/>
      <w:marBottom w:val="0"/>
      <w:divBdr>
        <w:top w:val="none" w:sz="0" w:space="0" w:color="auto"/>
        <w:left w:val="none" w:sz="0" w:space="0" w:color="auto"/>
        <w:bottom w:val="none" w:sz="0" w:space="0" w:color="auto"/>
        <w:right w:val="none" w:sz="0" w:space="0" w:color="auto"/>
      </w:divBdr>
    </w:div>
    <w:div w:id="276376153">
      <w:bodyDiv w:val="1"/>
      <w:marLeft w:val="0"/>
      <w:marRight w:val="0"/>
      <w:marTop w:val="0"/>
      <w:marBottom w:val="0"/>
      <w:divBdr>
        <w:top w:val="none" w:sz="0" w:space="0" w:color="auto"/>
        <w:left w:val="none" w:sz="0" w:space="0" w:color="auto"/>
        <w:bottom w:val="none" w:sz="0" w:space="0" w:color="auto"/>
        <w:right w:val="none" w:sz="0" w:space="0" w:color="auto"/>
      </w:divBdr>
    </w:div>
    <w:div w:id="282423563">
      <w:bodyDiv w:val="1"/>
      <w:marLeft w:val="0"/>
      <w:marRight w:val="0"/>
      <w:marTop w:val="0"/>
      <w:marBottom w:val="0"/>
      <w:divBdr>
        <w:top w:val="none" w:sz="0" w:space="0" w:color="auto"/>
        <w:left w:val="none" w:sz="0" w:space="0" w:color="auto"/>
        <w:bottom w:val="none" w:sz="0" w:space="0" w:color="auto"/>
        <w:right w:val="none" w:sz="0" w:space="0" w:color="auto"/>
      </w:divBdr>
    </w:div>
    <w:div w:id="287012355">
      <w:bodyDiv w:val="1"/>
      <w:marLeft w:val="0"/>
      <w:marRight w:val="0"/>
      <w:marTop w:val="0"/>
      <w:marBottom w:val="0"/>
      <w:divBdr>
        <w:top w:val="none" w:sz="0" w:space="0" w:color="auto"/>
        <w:left w:val="none" w:sz="0" w:space="0" w:color="auto"/>
        <w:bottom w:val="none" w:sz="0" w:space="0" w:color="auto"/>
        <w:right w:val="none" w:sz="0" w:space="0" w:color="auto"/>
      </w:divBdr>
    </w:div>
    <w:div w:id="294605833">
      <w:bodyDiv w:val="1"/>
      <w:marLeft w:val="0"/>
      <w:marRight w:val="0"/>
      <w:marTop w:val="0"/>
      <w:marBottom w:val="0"/>
      <w:divBdr>
        <w:top w:val="none" w:sz="0" w:space="0" w:color="auto"/>
        <w:left w:val="none" w:sz="0" w:space="0" w:color="auto"/>
        <w:bottom w:val="none" w:sz="0" w:space="0" w:color="auto"/>
        <w:right w:val="none" w:sz="0" w:space="0" w:color="auto"/>
      </w:divBdr>
    </w:div>
    <w:div w:id="300501556">
      <w:bodyDiv w:val="1"/>
      <w:marLeft w:val="0"/>
      <w:marRight w:val="0"/>
      <w:marTop w:val="0"/>
      <w:marBottom w:val="0"/>
      <w:divBdr>
        <w:top w:val="none" w:sz="0" w:space="0" w:color="auto"/>
        <w:left w:val="none" w:sz="0" w:space="0" w:color="auto"/>
        <w:bottom w:val="none" w:sz="0" w:space="0" w:color="auto"/>
        <w:right w:val="none" w:sz="0" w:space="0" w:color="auto"/>
      </w:divBdr>
    </w:div>
    <w:div w:id="304508324">
      <w:bodyDiv w:val="1"/>
      <w:marLeft w:val="0"/>
      <w:marRight w:val="0"/>
      <w:marTop w:val="0"/>
      <w:marBottom w:val="0"/>
      <w:divBdr>
        <w:top w:val="none" w:sz="0" w:space="0" w:color="auto"/>
        <w:left w:val="none" w:sz="0" w:space="0" w:color="auto"/>
        <w:bottom w:val="none" w:sz="0" w:space="0" w:color="auto"/>
        <w:right w:val="none" w:sz="0" w:space="0" w:color="auto"/>
      </w:divBdr>
    </w:div>
    <w:div w:id="309292018">
      <w:bodyDiv w:val="1"/>
      <w:marLeft w:val="0"/>
      <w:marRight w:val="0"/>
      <w:marTop w:val="0"/>
      <w:marBottom w:val="0"/>
      <w:divBdr>
        <w:top w:val="none" w:sz="0" w:space="0" w:color="auto"/>
        <w:left w:val="none" w:sz="0" w:space="0" w:color="auto"/>
        <w:bottom w:val="none" w:sz="0" w:space="0" w:color="auto"/>
        <w:right w:val="none" w:sz="0" w:space="0" w:color="auto"/>
      </w:divBdr>
    </w:div>
    <w:div w:id="315688230">
      <w:bodyDiv w:val="1"/>
      <w:marLeft w:val="0"/>
      <w:marRight w:val="0"/>
      <w:marTop w:val="0"/>
      <w:marBottom w:val="0"/>
      <w:divBdr>
        <w:top w:val="none" w:sz="0" w:space="0" w:color="auto"/>
        <w:left w:val="none" w:sz="0" w:space="0" w:color="auto"/>
        <w:bottom w:val="none" w:sz="0" w:space="0" w:color="auto"/>
        <w:right w:val="none" w:sz="0" w:space="0" w:color="auto"/>
      </w:divBdr>
    </w:div>
    <w:div w:id="318853552">
      <w:bodyDiv w:val="1"/>
      <w:marLeft w:val="0"/>
      <w:marRight w:val="0"/>
      <w:marTop w:val="0"/>
      <w:marBottom w:val="0"/>
      <w:divBdr>
        <w:top w:val="none" w:sz="0" w:space="0" w:color="auto"/>
        <w:left w:val="none" w:sz="0" w:space="0" w:color="auto"/>
        <w:bottom w:val="none" w:sz="0" w:space="0" w:color="auto"/>
        <w:right w:val="none" w:sz="0" w:space="0" w:color="auto"/>
      </w:divBdr>
    </w:div>
    <w:div w:id="329066777">
      <w:bodyDiv w:val="1"/>
      <w:marLeft w:val="0"/>
      <w:marRight w:val="0"/>
      <w:marTop w:val="0"/>
      <w:marBottom w:val="0"/>
      <w:divBdr>
        <w:top w:val="none" w:sz="0" w:space="0" w:color="auto"/>
        <w:left w:val="none" w:sz="0" w:space="0" w:color="auto"/>
        <w:bottom w:val="none" w:sz="0" w:space="0" w:color="auto"/>
        <w:right w:val="none" w:sz="0" w:space="0" w:color="auto"/>
      </w:divBdr>
    </w:div>
    <w:div w:id="329187504">
      <w:bodyDiv w:val="1"/>
      <w:marLeft w:val="0"/>
      <w:marRight w:val="0"/>
      <w:marTop w:val="0"/>
      <w:marBottom w:val="0"/>
      <w:divBdr>
        <w:top w:val="none" w:sz="0" w:space="0" w:color="auto"/>
        <w:left w:val="none" w:sz="0" w:space="0" w:color="auto"/>
        <w:bottom w:val="none" w:sz="0" w:space="0" w:color="auto"/>
        <w:right w:val="none" w:sz="0" w:space="0" w:color="auto"/>
      </w:divBdr>
    </w:div>
    <w:div w:id="329798893">
      <w:bodyDiv w:val="1"/>
      <w:marLeft w:val="0"/>
      <w:marRight w:val="0"/>
      <w:marTop w:val="0"/>
      <w:marBottom w:val="0"/>
      <w:divBdr>
        <w:top w:val="none" w:sz="0" w:space="0" w:color="auto"/>
        <w:left w:val="none" w:sz="0" w:space="0" w:color="auto"/>
        <w:bottom w:val="none" w:sz="0" w:space="0" w:color="auto"/>
        <w:right w:val="none" w:sz="0" w:space="0" w:color="auto"/>
      </w:divBdr>
    </w:div>
    <w:div w:id="337345737">
      <w:bodyDiv w:val="1"/>
      <w:marLeft w:val="0"/>
      <w:marRight w:val="0"/>
      <w:marTop w:val="0"/>
      <w:marBottom w:val="0"/>
      <w:divBdr>
        <w:top w:val="none" w:sz="0" w:space="0" w:color="auto"/>
        <w:left w:val="none" w:sz="0" w:space="0" w:color="auto"/>
        <w:bottom w:val="none" w:sz="0" w:space="0" w:color="auto"/>
        <w:right w:val="none" w:sz="0" w:space="0" w:color="auto"/>
      </w:divBdr>
    </w:div>
    <w:div w:id="342165869">
      <w:bodyDiv w:val="1"/>
      <w:marLeft w:val="0"/>
      <w:marRight w:val="0"/>
      <w:marTop w:val="0"/>
      <w:marBottom w:val="0"/>
      <w:divBdr>
        <w:top w:val="none" w:sz="0" w:space="0" w:color="auto"/>
        <w:left w:val="none" w:sz="0" w:space="0" w:color="auto"/>
        <w:bottom w:val="none" w:sz="0" w:space="0" w:color="auto"/>
        <w:right w:val="none" w:sz="0" w:space="0" w:color="auto"/>
      </w:divBdr>
    </w:div>
    <w:div w:id="344358706">
      <w:bodyDiv w:val="1"/>
      <w:marLeft w:val="0"/>
      <w:marRight w:val="0"/>
      <w:marTop w:val="0"/>
      <w:marBottom w:val="0"/>
      <w:divBdr>
        <w:top w:val="none" w:sz="0" w:space="0" w:color="auto"/>
        <w:left w:val="none" w:sz="0" w:space="0" w:color="auto"/>
        <w:bottom w:val="none" w:sz="0" w:space="0" w:color="auto"/>
        <w:right w:val="none" w:sz="0" w:space="0" w:color="auto"/>
      </w:divBdr>
    </w:div>
    <w:div w:id="349139345">
      <w:bodyDiv w:val="1"/>
      <w:marLeft w:val="0"/>
      <w:marRight w:val="0"/>
      <w:marTop w:val="0"/>
      <w:marBottom w:val="0"/>
      <w:divBdr>
        <w:top w:val="none" w:sz="0" w:space="0" w:color="auto"/>
        <w:left w:val="none" w:sz="0" w:space="0" w:color="auto"/>
        <w:bottom w:val="none" w:sz="0" w:space="0" w:color="auto"/>
        <w:right w:val="none" w:sz="0" w:space="0" w:color="auto"/>
      </w:divBdr>
    </w:div>
    <w:div w:id="352078140">
      <w:bodyDiv w:val="1"/>
      <w:marLeft w:val="0"/>
      <w:marRight w:val="0"/>
      <w:marTop w:val="0"/>
      <w:marBottom w:val="0"/>
      <w:divBdr>
        <w:top w:val="none" w:sz="0" w:space="0" w:color="auto"/>
        <w:left w:val="none" w:sz="0" w:space="0" w:color="auto"/>
        <w:bottom w:val="none" w:sz="0" w:space="0" w:color="auto"/>
        <w:right w:val="none" w:sz="0" w:space="0" w:color="auto"/>
      </w:divBdr>
    </w:div>
    <w:div w:id="357631201">
      <w:bodyDiv w:val="1"/>
      <w:marLeft w:val="0"/>
      <w:marRight w:val="0"/>
      <w:marTop w:val="0"/>
      <w:marBottom w:val="0"/>
      <w:divBdr>
        <w:top w:val="none" w:sz="0" w:space="0" w:color="auto"/>
        <w:left w:val="none" w:sz="0" w:space="0" w:color="auto"/>
        <w:bottom w:val="none" w:sz="0" w:space="0" w:color="auto"/>
        <w:right w:val="none" w:sz="0" w:space="0" w:color="auto"/>
      </w:divBdr>
    </w:div>
    <w:div w:id="368653141">
      <w:bodyDiv w:val="1"/>
      <w:marLeft w:val="0"/>
      <w:marRight w:val="0"/>
      <w:marTop w:val="0"/>
      <w:marBottom w:val="0"/>
      <w:divBdr>
        <w:top w:val="none" w:sz="0" w:space="0" w:color="auto"/>
        <w:left w:val="none" w:sz="0" w:space="0" w:color="auto"/>
        <w:bottom w:val="none" w:sz="0" w:space="0" w:color="auto"/>
        <w:right w:val="none" w:sz="0" w:space="0" w:color="auto"/>
      </w:divBdr>
    </w:div>
    <w:div w:id="383329563">
      <w:bodyDiv w:val="1"/>
      <w:marLeft w:val="0"/>
      <w:marRight w:val="0"/>
      <w:marTop w:val="0"/>
      <w:marBottom w:val="0"/>
      <w:divBdr>
        <w:top w:val="none" w:sz="0" w:space="0" w:color="auto"/>
        <w:left w:val="none" w:sz="0" w:space="0" w:color="auto"/>
        <w:bottom w:val="none" w:sz="0" w:space="0" w:color="auto"/>
        <w:right w:val="none" w:sz="0" w:space="0" w:color="auto"/>
      </w:divBdr>
    </w:div>
    <w:div w:id="383414100">
      <w:bodyDiv w:val="1"/>
      <w:marLeft w:val="0"/>
      <w:marRight w:val="0"/>
      <w:marTop w:val="0"/>
      <w:marBottom w:val="0"/>
      <w:divBdr>
        <w:top w:val="none" w:sz="0" w:space="0" w:color="auto"/>
        <w:left w:val="none" w:sz="0" w:space="0" w:color="auto"/>
        <w:bottom w:val="none" w:sz="0" w:space="0" w:color="auto"/>
        <w:right w:val="none" w:sz="0" w:space="0" w:color="auto"/>
      </w:divBdr>
    </w:div>
    <w:div w:id="391778906">
      <w:bodyDiv w:val="1"/>
      <w:marLeft w:val="0"/>
      <w:marRight w:val="0"/>
      <w:marTop w:val="0"/>
      <w:marBottom w:val="0"/>
      <w:divBdr>
        <w:top w:val="none" w:sz="0" w:space="0" w:color="auto"/>
        <w:left w:val="none" w:sz="0" w:space="0" w:color="auto"/>
        <w:bottom w:val="none" w:sz="0" w:space="0" w:color="auto"/>
        <w:right w:val="none" w:sz="0" w:space="0" w:color="auto"/>
      </w:divBdr>
    </w:div>
    <w:div w:id="393358556">
      <w:bodyDiv w:val="1"/>
      <w:marLeft w:val="0"/>
      <w:marRight w:val="0"/>
      <w:marTop w:val="0"/>
      <w:marBottom w:val="0"/>
      <w:divBdr>
        <w:top w:val="none" w:sz="0" w:space="0" w:color="auto"/>
        <w:left w:val="none" w:sz="0" w:space="0" w:color="auto"/>
        <w:bottom w:val="none" w:sz="0" w:space="0" w:color="auto"/>
        <w:right w:val="none" w:sz="0" w:space="0" w:color="auto"/>
      </w:divBdr>
    </w:div>
    <w:div w:id="394201194">
      <w:bodyDiv w:val="1"/>
      <w:marLeft w:val="0"/>
      <w:marRight w:val="0"/>
      <w:marTop w:val="0"/>
      <w:marBottom w:val="0"/>
      <w:divBdr>
        <w:top w:val="none" w:sz="0" w:space="0" w:color="auto"/>
        <w:left w:val="none" w:sz="0" w:space="0" w:color="auto"/>
        <w:bottom w:val="none" w:sz="0" w:space="0" w:color="auto"/>
        <w:right w:val="none" w:sz="0" w:space="0" w:color="auto"/>
      </w:divBdr>
    </w:div>
    <w:div w:id="394278298">
      <w:bodyDiv w:val="1"/>
      <w:marLeft w:val="0"/>
      <w:marRight w:val="0"/>
      <w:marTop w:val="0"/>
      <w:marBottom w:val="0"/>
      <w:divBdr>
        <w:top w:val="none" w:sz="0" w:space="0" w:color="auto"/>
        <w:left w:val="none" w:sz="0" w:space="0" w:color="auto"/>
        <w:bottom w:val="none" w:sz="0" w:space="0" w:color="auto"/>
        <w:right w:val="none" w:sz="0" w:space="0" w:color="auto"/>
      </w:divBdr>
    </w:div>
    <w:div w:id="395511060">
      <w:bodyDiv w:val="1"/>
      <w:marLeft w:val="0"/>
      <w:marRight w:val="0"/>
      <w:marTop w:val="0"/>
      <w:marBottom w:val="0"/>
      <w:divBdr>
        <w:top w:val="none" w:sz="0" w:space="0" w:color="auto"/>
        <w:left w:val="none" w:sz="0" w:space="0" w:color="auto"/>
        <w:bottom w:val="none" w:sz="0" w:space="0" w:color="auto"/>
        <w:right w:val="none" w:sz="0" w:space="0" w:color="auto"/>
      </w:divBdr>
    </w:div>
    <w:div w:id="398136189">
      <w:bodyDiv w:val="1"/>
      <w:marLeft w:val="0"/>
      <w:marRight w:val="0"/>
      <w:marTop w:val="0"/>
      <w:marBottom w:val="0"/>
      <w:divBdr>
        <w:top w:val="none" w:sz="0" w:space="0" w:color="auto"/>
        <w:left w:val="none" w:sz="0" w:space="0" w:color="auto"/>
        <w:bottom w:val="none" w:sz="0" w:space="0" w:color="auto"/>
        <w:right w:val="none" w:sz="0" w:space="0" w:color="auto"/>
      </w:divBdr>
    </w:div>
    <w:div w:id="405617437">
      <w:bodyDiv w:val="1"/>
      <w:marLeft w:val="0"/>
      <w:marRight w:val="0"/>
      <w:marTop w:val="0"/>
      <w:marBottom w:val="0"/>
      <w:divBdr>
        <w:top w:val="none" w:sz="0" w:space="0" w:color="auto"/>
        <w:left w:val="none" w:sz="0" w:space="0" w:color="auto"/>
        <w:bottom w:val="none" w:sz="0" w:space="0" w:color="auto"/>
        <w:right w:val="none" w:sz="0" w:space="0" w:color="auto"/>
      </w:divBdr>
    </w:div>
    <w:div w:id="408188856">
      <w:bodyDiv w:val="1"/>
      <w:marLeft w:val="0"/>
      <w:marRight w:val="0"/>
      <w:marTop w:val="0"/>
      <w:marBottom w:val="0"/>
      <w:divBdr>
        <w:top w:val="none" w:sz="0" w:space="0" w:color="auto"/>
        <w:left w:val="none" w:sz="0" w:space="0" w:color="auto"/>
        <w:bottom w:val="none" w:sz="0" w:space="0" w:color="auto"/>
        <w:right w:val="none" w:sz="0" w:space="0" w:color="auto"/>
      </w:divBdr>
    </w:div>
    <w:div w:id="410322125">
      <w:bodyDiv w:val="1"/>
      <w:marLeft w:val="0"/>
      <w:marRight w:val="0"/>
      <w:marTop w:val="0"/>
      <w:marBottom w:val="0"/>
      <w:divBdr>
        <w:top w:val="none" w:sz="0" w:space="0" w:color="auto"/>
        <w:left w:val="none" w:sz="0" w:space="0" w:color="auto"/>
        <w:bottom w:val="none" w:sz="0" w:space="0" w:color="auto"/>
        <w:right w:val="none" w:sz="0" w:space="0" w:color="auto"/>
      </w:divBdr>
    </w:div>
    <w:div w:id="414597928">
      <w:bodyDiv w:val="1"/>
      <w:marLeft w:val="0"/>
      <w:marRight w:val="0"/>
      <w:marTop w:val="0"/>
      <w:marBottom w:val="0"/>
      <w:divBdr>
        <w:top w:val="none" w:sz="0" w:space="0" w:color="auto"/>
        <w:left w:val="none" w:sz="0" w:space="0" w:color="auto"/>
        <w:bottom w:val="none" w:sz="0" w:space="0" w:color="auto"/>
        <w:right w:val="none" w:sz="0" w:space="0" w:color="auto"/>
      </w:divBdr>
    </w:div>
    <w:div w:id="415250718">
      <w:bodyDiv w:val="1"/>
      <w:marLeft w:val="0"/>
      <w:marRight w:val="0"/>
      <w:marTop w:val="0"/>
      <w:marBottom w:val="0"/>
      <w:divBdr>
        <w:top w:val="none" w:sz="0" w:space="0" w:color="auto"/>
        <w:left w:val="none" w:sz="0" w:space="0" w:color="auto"/>
        <w:bottom w:val="none" w:sz="0" w:space="0" w:color="auto"/>
        <w:right w:val="none" w:sz="0" w:space="0" w:color="auto"/>
      </w:divBdr>
    </w:div>
    <w:div w:id="415521167">
      <w:bodyDiv w:val="1"/>
      <w:marLeft w:val="0"/>
      <w:marRight w:val="0"/>
      <w:marTop w:val="0"/>
      <w:marBottom w:val="0"/>
      <w:divBdr>
        <w:top w:val="none" w:sz="0" w:space="0" w:color="auto"/>
        <w:left w:val="none" w:sz="0" w:space="0" w:color="auto"/>
        <w:bottom w:val="none" w:sz="0" w:space="0" w:color="auto"/>
        <w:right w:val="none" w:sz="0" w:space="0" w:color="auto"/>
      </w:divBdr>
    </w:div>
    <w:div w:id="416750785">
      <w:bodyDiv w:val="1"/>
      <w:marLeft w:val="0"/>
      <w:marRight w:val="0"/>
      <w:marTop w:val="0"/>
      <w:marBottom w:val="0"/>
      <w:divBdr>
        <w:top w:val="none" w:sz="0" w:space="0" w:color="auto"/>
        <w:left w:val="none" w:sz="0" w:space="0" w:color="auto"/>
        <w:bottom w:val="none" w:sz="0" w:space="0" w:color="auto"/>
        <w:right w:val="none" w:sz="0" w:space="0" w:color="auto"/>
      </w:divBdr>
    </w:div>
    <w:div w:id="433211643">
      <w:bodyDiv w:val="1"/>
      <w:marLeft w:val="0"/>
      <w:marRight w:val="0"/>
      <w:marTop w:val="0"/>
      <w:marBottom w:val="0"/>
      <w:divBdr>
        <w:top w:val="none" w:sz="0" w:space="0" w:color="auto"/>
        <w:left w:val="none" w:sz="0" w:space="0" w:color="auto"/>
        <w:bottom w:val="none" w:sz="0" w:space="0" w:color="auto"/>
        <w:right w:val="none" w:sz="0" w:space="0" w:color="auto"/>
      </w:divBdr>
    </w:div>
    <w:div w:id="435947064">
      <w:bodyDiv w:val="1"/>
      <w:marLeft w:val="0"/>
      <w:marRight w:val="0"/>
      <w:marTop w:val="0"/>
      <w:marBottom w:val="0"/>
      <w:divBdr>
        <w:top w:val="none" w:sz="0" w:space="0" w:color="auto"/>
        <w:left w:val="none" w:sz="0" w:space="0" w:color="auto"/>
        <w:bottom w:val="none" w:sz="0" w:space="0" w:color="auto"/>
        <w:right w:val="none" w:sz="0" w:space="0" w:color="auto"/>
      </w:divBdr>
    </w:div>
    <w:div w:id="436751137">
      <w:bodyDiv w:val="1"/>
      <w:marLeft w:val="0"/>
      <w:marRight w:val="0"/>
      <w:marTop w:val="0"/>
      <w:marBottom w:val="0"/>
      <w:divBdr>
        <w:top w:val="none" w:sz="0" w:space="0" w:color="auto"/>
        <w:left w:val="none" w:sz="0" w:space="0" w:color="auto"/>
        <w:bottom w:val="none" w:sz="0" w:space="0" w:color="auto"/>
        <w:right w:val="none" w:sz="0" w:space="0" w:color="auto"/>
      </w:divBdr>
    </w:div>
    <w:div w:id="440302530">
      <w:bodyDiv w:val="1"/>
      <w:marLeft w:val="0"/>
      <w:marRight w:val="0"/>
      <w:marTop w:val="0"/>
      <w:marBottom w:val="0"/>
      <w:divBdr>
        <w:top w:val="none" w:sz="0" w:space="0" w:color="auto"/>
        <w:left w:val="none" w:sz="0" w:space="0" w:color="auto"/>
        <w:bottom w:val="none" w:sz="0" w:space="0" w:color="auto"/>
        <w:right w:val="none" w:sz="0" w:space="0" w:color="auto"/>
      </w:divBdr>
    </w:div>
    <w:div w:id="445124374">
      <w:bodyDiv w:val="1"/>
      <w:marLeft w:val="0"/>
      <w:marRight w:val="0"/>
      <w:marTop w:val="0"/>
      <w:marBottom w:val="0"/>
      <w:divBdr>
        <w:top w:val="none" w:sz="0" w:space="0" w:color="auto"/>
        <w:left w:val="none" w:sz="0" w:space="0" w:color="auto"/>
        <w:bottom w:val="none" w:sz="0" w:space="0" w:color="auto"/>
        <w:right w:val="none" w:sz="0" w:space="0" w:color="auto"/>
      </w:divBdr>
    </w:div>
    <w:div w:id="446121364">
      <w:bodyDiv w:val="1"/>
      <w:marLeft w:val="0"/>
      <w:marRight w:val="0"/>
      <w:marTop w:val="0"/>
      <w:marBottom w:val="0"/>
      <w:divBdr>
        <w:top w:val="none" w:sz="0" w:space="0" w:color="auto"/>
        <w:left w:val="none" w:sz="0" w:space="0" w:color="auto"/>
        <w:bottom w:val="none" w:sz="0" w:space="0" w:color="auto"/>
        <w:right w:val="none" w:sz="0" w:space="0" w:color="auto"/>
      </w:divBdr>
    </w:div>
    <w:div w:id="446394265">
      <w:bodyDiv w:val="1"/>
      <w:marLeft w:val="0"/>
      <w:marRight w:val="0"/>
      <w:marTop w:val="0"/>
      <w:marBottom w:val="0"/>
      <w:divBdr>
        <w:top w:val="none" w:sz="0" w:space="0" w:color="auto"/>
        <w:left w:val="none" w:sz="0" w:space="0" w:color="auto"/>
        <w:bottom w:val="none" w:sz="0" w:space="0" w:color="auto"/>
        <w:right w:val="none" w:sz="0" w:space="0" w:color="auto"/>
      </w:divBdr>
    </w:div>
    <w:div w:id="446697732">
      <w:bodyDiv w:val="1"/>
      <w:marLeft w:val="0"/>
      <w:marRight w:val="0"/>
      <w:marTop w:val="0"/>
      <w:marBottom w:val="0"/>
      <w:divBdr>
        <w:top w:val="none" w:sz="0" w:space="0" w:color="auto"/>
        <w:left w:val="none" w:sz="0" w:space="0" w:color="auto"/>
        <w:bottom w:val="none" w:sz="0" w:space="0" w:color="auto"/>
        <w:right w:val="none" w:sz="0" w:space="0" w:color="auto"/>
      </w:divBdr>
    </w:div>
    <w:div w:id="448089200">
      <w:bodyDiv w:val="1"/>
      <w:marLeft w:val="0"/>
      <w:marRight w:val="0"/>
      <w:marTop w:val="0"/>
      <w:marBottom w:val="0"/>
      <w:divBdr>
        <w:top w:val="none" w:sz="0" w:space="0" w:color="auto"/>
        <w:left w:val="none" w:sz="0" w:space="0" w:color="auto"/>
        <w:bottom w:val="none" w:sz="0" w:space="0" w:color="auto"/>
        <w:right w:val="none" w:sz="0" w:space="0" w:color="auto"/>
      </w:divBdr>
    </w:div>
    <w:div w:id="456074086">
      <w:bodyDiv w:val="1"/>
      <w:marLeft w:val="0"/>
      <w:marRight w:val="0"/>
      <w:marTop w:val="0"/>
      <w:marBottom w:val="0"/>
      <w:divBdr>
        <w:top w:val="none" w:sz="0" w:space="0" w:color="auto"/>
        <w:left w:val="none" w:sz="0" w:space="0" w:color="auto"/>
        <w:bottom w:val="none" w:sz="0" w:space="0" w:color="auto"/>
        <w:right w:val="none" w:sz="0" w:space="0" w:color="auto"/>
      </w:divBdr>
    </w:div>
    <w:div w:id="460660129">
      <w:bodyDiv w:val="1"/>
      <w:marLeft w:val="0"/>
      <w:marRight w:val="0"/>
      <w:marTop w:val="0"/>
      <w:marBottom w:val="0"/>
      <w:divBdr>
        <w:top w:val="none" w:sz="0" w:space="0" w:color="auto"/>
        <w:left w:val="none" w:sz="0" w:space="0" w:color="auto"/>
        <w:bottom w:val="none" w:sz="0" w:space="0" w:color="auto"/>
        <w:right w:val="none" w:sz="0" w:space="0" w:color="auto"/>
      </w:divBdr>
    </w:div>
    <w:div w:id="464206015">
      <w:bodyDiv w:val="1"/>
      <w:marLeft w:val="0"/>
      <w:marRight w:val="0"/>
      <w:marTop w:val="0"/>
      <w:marBottom w:val="0"/>
      <w:divBdr>
        <w:top w:val="none" w:sz="0" w:space="0" w:color="auto"/>
        <w:left w:val="none" w:sz="0" w:space="0" w:color="auto"/>
        <w:bottom w:val="none" w:sz="0" w:space="0" w:color="auto"/>
        <w:right w:val="none" w:sz="0" w:space="0" w:color="auto"/>
      </w:divBdr>
    </w:div>
    <w:div w:id="464397960">
      <w:bodyDiv w:val="1"/>
      <w:marLeft w:val="0"/>
      <w:marRight w:val="0"/>
      <w:marTop w:val="0"/>
      <w:marBottom w:val="0"/>
      <w:divBdr>
        <w:top w:val="none" w:sz="0" w:space="0" w:color="auto"/>
        <w:left w:val="none" w:sz="0" w:space="0" w:color="auto"/>
        <w:bottom w:val="none" w:sz="0" w:space="0" w:color="auto"/>
        <w:right w:val="none" w:sz="0" w:space="0" w:color="auto"/>
      </w:divBdr>
    </w:div>
    <w:div w:id="465438266">
      <w:bodyDiv w:val="1"/>
      <w:marLeft w:val="0"/>
      <w:marRight w:val="0"/>
      <w:marTop w:val="0"/>
      <w:marBottom w:val="0"/>
      <w:divBdr>
        <w:top w:val="none" w:sz="0" w:space="0" w:color="auto"/>
        <w:left w:val="none" w:sz="0" w:space="0" w:color="auto"/>
        <w:bottom w:val="none" w:sz="0" w:space="0" w:color="auto"/>
        <w:right w:val="none" w:sz="0" w:space="0" w:color="auto"/>
      </w:divBdr>
    </w:div>
    <w:div w:id="469325027">
      <w:bodyDiv w:val="1"/>
      <w:marLeft w:val="0"/>
      <w:marRight w:val="0"/>
      <w:marTop w:val="0"/>
      <w:marBottom w:val="0"/>
      <w:divBdr>
        <w:top w:val="none" w:sz="0" w:space="0" w:color="auto"/>
        <w:left w:val="none" w:sz="0" w:space="0" w:color="auto"/>
        <w:bottom w:val="none" w:sz="0" w:space="0" w:color="auto"/>
        <w:right w:val="none" w:sz="0" w:space="0" w:color="auto"/>
      </w:divBdr>
    </w:div>
    <w:div w:id="469516031">
      <w:bodyDiv w:val="1"/>
      <w:marLeft w:val="0"/>
      <w:marRight w:val="0"/>
      <w:marTop w:val="0"/>
      <w:marBottom w:val="0"/>
      <w:divBdr>
        <w:top w:val="none" w:sz="0" w:space="0" w:color="auto"/>
        <w:left w:val="none" w:sz="0" w:space="0" w:color="auto"/>
        <w:bottom w:val="none" w:sz="0" w:space="0" w:color="auto"/>
        <w:right w:val="none" w:sz="0" w:space="0" w:color="auto"/>
      </w:divBdr>
    </w:div>
    <w:div w:id="471094468">
      <w:bodyDiv w:val="1"/>
      <w:marLeft w:val="0"/>
      <w:marRight w:val="0"/>
      <w:marTop w:val="0"/>
      <w:marBottom w:val="0"/>
      <w:divBdr>
        <w:top w:val="none" w:sz="0" w:space="0" w:color="auto"/>
        <w:left w:val="none" w:sz="0" w:space="0" w:color="auto"/>
        <w:bottom w:val="none" w:sz="0" w:space="0" w:color="auto"/>
        <w:right w:val="none" w:sz="0" w:space="0" w:color="auto"/>
      </w:divBdr>
    </w:div>
    <w:div w:id="471555482">
      <w:bodyDiv w:val="1"/>
      <w:marLeft w:val="0"/>
      <w:marRight w:val="0"/>
      <w:marTop w:val="0"/>
      <w:marBottom w:val="0"/>
      <w:divBdr>
        <w:top w:val="none" w:sz="0" w:space="0" w:color="auto"/>
        <w:left w:val="none" w:sz="0" w:space="0" w:color="auto"/>
        <w:bottom w:val="none" w:sz="0" w:space="0" w:color="auto"/>
        <w:right w:val="none" w:sz="0" w:space="0" w:color="auto"/>
      </w:divBdr>
    </w:div>
    <w:div w:id="486748931">
      <w:bodyDiv w:val="1"/>
      <w:marLeft w:val="0"/>
      <w:marRight w:val="0"/>
      <w:marTop w:val="0"/>
      <w:marBottom w:val="0"/>
      <w:divBdr>
        <w:top w:val="none" w:sz="0" w:space="0" w:color="auto"/>
        <w:left w:val="none" w:sz="0" w:space="0" w:color="auto"/>
        <w:bottom w:val="none" w:sz="0" w:space="0" w:color="auto"/>
        <w:right w:val="none" w:sz="0" w:space="0" w:color="auto"/>
      </w:divBdr>
    </w:div>
    <w:div w:id="486826221">
      <w:bodyDiv w:val="1"/>
      <w:marLeft w:val="0"/>
      <w:marRight w:val="0"/>
      <w:marTop w:val="0"/>
      <w:marBottom w:val="0"/>
      <w:divBdr>
        <w:top w:val="none" w:sz="0" w:space="0" w:color="auto"/>
        <w:left w:val="none" w:sz="0" w:space="0" w:color="auto"/>
        <w:bottom w:val="none" w:sz="0" w:space="0" w:color="auto"/>
        <w:right w:val="none" w:sz="0" w:space="0" w:color="auto"/>
      </w:divBdr>
    </w:div>
    <w:div w:id="491140143">
      <w:bodyDiv w:val="1"/>
      <w:marLeft w:val="0"/>
      <w:marRight w:val="0"/>
      <w:marTop w:val="0"/>
      <w:marBottom w:val="0"/>
      <w:divBdr>
        <w:top w:val="none" w:sz="0" w:space="0" w:color="auto"/>
        <w:left w:val="none" w:sz="0" w:space="0" w:color="auto"/>
        <w:bottom w:val="none" w:sz="0" w:space="0" w:color="auto"/>
        <w:right w:val="none" w:sz="0" w:space="0" w:color="auto"/>
      </w:divBdr>
    </w:div>
    <w:div w:id="493225380">
      <w:bodyDiv w:val="1"/>
      <w:marLeft w:val="0"/>
      <w:marRight w:val="0"/>
      <w:marTop w:val="0"/>
      <w:marBottom w:val="0"/>
      <w:divBdr>
        <w:top w:val="none" w:sz="0" w:space="0" w:color="auto"/>
        <w:left w:val="none" w:sz="0" w:space="0" w:color="auto"/>
        <w:bottom w:val="none" w:sz="0" w:space="0" w:color="auto"/>
        <w:right w:val="none" w:sz="0" w:space="0" w:color="auto"/>
      </w:divBdr>
    </w:div>
    <w:div w:id="501899738">
      <w:bodyDiv w:val="1"/>
      <w:marLeft w:val="0"/>
      <w:marRight w:val="0"/>
      <w:marTop w:val="0"/>
      <w:marBottom w:val="0"/>
      <w:divBdr>
        <w:top w:val="none" w:sz="0" w:space="0" w:color="auto"/>
        <w:left w:val="none" w:sz="0" w:space="0" w:color="auto"/>
        <w:bottom w:val="none" w:sz="0" w:space="0" w:color="auto"/>
        <w:right w:val="none" w:sz="0" w:space="0" w:color="auto"/>
      </w:divBdr>
    </w:div>
    <w:div w:id="504367241">
      <w:bodyDiv w:val="1"/>
      <w:marLeft w:val="0"/>
      <w:marRight w:val="0"/>
      <w:marTop w:val="0"/>
      <w:marBottom w:val="0"/>
      <w:divBdr>
        <w:top w:val="none" w:sz="0" w:space="0" w:color="auto"/>
        <w:left w:val="none" w:sz="0" w:space="0" w:color="auto"/>
        <w:bottom w:val="none" w:sz="0" w:space="0" w:color="auto"/>
        <w:right w:val="none" w:sz="0" w:space="0" w:color="auto"/>
      </w:divBdr>
    </w:div>
    <w:div w:id="504714139">
      <w:bodyDiv w:val="1"/>
      <w:marLeft w:val="0"/>
      <w:marRight w:val="0"/>
      <w:marTop w:val="0"/>
      <w:marBottom w:val="0"/>
      <w:divBdr>
        <w:top w:val="none" w:sz="0" w:space="0" w:color="auto"/>
        <w:left w:val="none" w:sz="0" w:space="0" w:color="auto"/>
        <w:bottom w:val="none" w:sz="0" w:space="0" w:color="auto"/>
        <w:right w:val="none" w:sz="0" w:space="0" w:color="auto"/>
      </w:divBdr>
    </w:div>
    <w:div w:id="508640331">
      <w:bodyDiv w:val="1"/>
      <w:marLeft w:val="0"/>
      <w:marRight w:val="0"/>
      <w:marTop w:val="0"/>
      <w:marBottom w:val="0"/>
      <w:divBdr>
        <w:top w:val="none" w:sz="0" w:space="0" w:color="auto"/>
        <w:left w:val="none" w:sz="0" w:space="0" w:color="auto"/>
        <w:bottom w:val="none" w:sz="0" w:space="0" w:color="auto"/>
        <w:right w:val="none" w:sz="0" w:space="0" w:color="auto"/>
      </w:divBdr>
    </w:div>
    <w:div w:id="510141896">
      <w:bodyDiv w:val="1"/>
      <w:marLeft w:val="0"/>
      <w:marRight w:val="0"/>
      <w:marTop w:val="0"/>
      <w:marBottom w:val="0"/>
      <w:divBdr>
        <w:top w:val="none" w:sz="0" w:space="0" w:color="auto"/>
        <w:left w:val="none" w:sz="0" w:space="0" w:color="auto"/>
        <w:bottom w:val="none" w:sz="0" w:space="0" w:color="auto"/>
        <w:right w:val="none" w:sz="0" w:space="0" w:color="auto"/>
      </w:divBdr>
    </w:div>
    <w:div w:id="511409093">
      <w:bodyDiv w:val="1"/>
      <w:marLeft w:val="0"/>
      <w:marRight w:val="0"/>
      <w:marTop w:val="0"/>
      <w:marBottom w:val="0"/>
      <w:divBdr>
        <w:top w:val="none" w:sz="0" w:space="0" w:color="auto"/>
        <w:left w:val="none" w:sz="0" w:space="0" w:color="auto"/>
        <w:bottom w:val="none" w:sz="0" w:space="0" w:color="auto"/>
        <w:right w:val="none" w:sz="0" w:space="0" w:color="auto"/>
      </w:divBdr>
    </w:div>
    <w:div w:id="511409551">
      <w:bodyDiv w:val="1"/>
      <w:marLeft w:val="0"/>
      <w:marRight w:val="0"/>
      <w:marTop w:val="0"/>
      <w:marBottom w:val="0"/>
      <w:divBdr>
        <w:top w:val="none" w:sz="0" w:space="0" w:color="auto"/>
        <w:left w:val="none" w:sz="0" w:space="0" w:color="auto"/>
        <w:bottom w:val="none" w:sz="0" w:space="0" w:color="auto"/>
        <w:right w:val="none" w:sz="0" w:space="0" w:color="auto"/>
      </w:divBdr>
    </w:div>
    <w:div w:id="511995182">
      <w:bodyDiv w:val="1"/>
      <w:marLeft w:val="0"/>
      <w:marRight w:val="0"/>
      <w:marTop w:val="0"/>
      <w:marBottom w:val="0"/>
      <w:divBdr>
        <w:top w:val="none" w:sz="0" w:space="0" w:color="auto"/>
        <w:left w:val="none" w:sz="0" w:space="0" w:color="auto"/>
        <w:bottom w:val="none" w:sz="0" w:space="0" w:color="auto"/>
        <w:right w:val="none" w:sz="0" w:space="0" w:color="auto"/>
      </w:divBdr>
    </w:div>
    <w:div w:id="514806459">
      <w:bodyDiv w:val="1"/>
      <w:marLeft w:val="0"/>
      <w:marRight w:val="0"/>
      <w:marTop w:val="0"/>
      <w:marBottom w:val="0"/>
      <w:divBdr>
        <w:top w:val="none" w:sz="0" w:space="0" w:color="auto"/>
        <w:left w:val="none" w:sz="0" w:space="0" w:color="auto"/>
        <w:bottom w:val="none" w:sz="0" w:space="0" w:color="auto"/>
        <w:right w:val="none" w:sz="0" w:space="0" w:color="auto"/>
      </w:divBdr>
    </w:div>
    <w:div w:id="516039337">
      <w:bodyDiv w:val="1"/>
      <w:marLeft w:val="0"/>
      <w:marRight w:val="0"/>
      <w:marTop w:val="0"/>
      <w:marBottom w:val="0"/>
      <w:divBdr>
        <w:top w:val="none" w:sz="0" w:space="0" w:color="auto"/>
        <w:left w:val="none" w:sz="0" w:space="0" w:color="auto"/>
        <w:bottom w:val="none" w:sz="0" w:space="0" w:color="auto"/>
        <w:right w:val="none" w:sz="0" w:space="0" w:color="auto"/>
      </w:divBdr>
    </w:div>
    <w:div w:id="516620368">
      <w:bodyDiv w:val="1"/>
      <w:marLeft w:val="0"/>
      <w:marRight w:val="0"/>
      <w:marTop w:val="0"/>
      <w:marBottom w:val="0"/>
      <w:divBdr>
        <w:top w:val="none" w:sz="0" w:space="0" w:color="auto"/>
        <w:left w:val="none" w:sz="0" w:space="0" w:color="auto"/>
        <w:bottom w:val="none" w:sz="0" w:space="0" w:color="auto"/>
        <w:right w:val="none" w:sz="0" w:space="0" w:color="auto"/>
      </w:divBdr>
    </w:div>
    <w:div w:id="518590367">
      <w:bodyDiv w:val="1"/>
      <w:marLeft w:val="0"/>
      <w:marRight w:val="0"/>
      <w:marTop w:val="0"/>
      <w:marBottom w:val="0"/>
      <w:divBdr>
        <w:top w:val="none" w:sz="0" w:space="0" w:color="auto"/>
        <w:left w:val="none" w:sz="0" w:space="0" w:color="auto"/>
        <w:bottom w:val="none" w:sz="0" w:space="0" w:color="auto"/>
        <w:right w:val="none" w:sz="0" w:space="0" w:color="auto"/>
      </w:divBdr>
    </w:div>
    <w:div w:id="519006300">
      <w:bodyDiv w:val="1"/>
      <w:marLeft w:val="0"/>
      <w:marRight w:val="0"/>
      <w:marTop w:val="0"/>
      <w:marBottom w:val="0"/>
      <w:divBdr>
        <w:top w:val="none" w:sz="0" w:space="0" w:color="auto"/>
        <w:left w:val="none" w:sz="0" w:space="0" w:color="auto"/>
        <w:bottom w:val="none" w:sz="0" w:space="0" w:color="auto"/>
        <w:right w:val="none" w:sz="0" w:space="0" w:color="auto"/>
      </w:divBdr>
    </w:div>
    <w:div w:id="528758132">
      <w:bodyDiv w:val="1"/>
      <w:marLeft w:val="0"/>
      <w:marRight w:val="0"/>
      <w:marTop w:val="0"/>
      <w:marBottom w:val="0"/>
      <w:divBdr>
        <w:top w:val="none" w:sz="0" w:space="0" w:color="auto"/>
        <w:left w:val="none" w:sz="0" w:space="0" w:color="auto"/>
        <w:bottom w:val="none" w:sz="0" w:space="0" w:color="auto"/>
        <w:right w:val="none" w:sz="0" w:space="0" w:color="auto"/>
      </w:divBdr>
    </w:div>
    <w:div w:id="529953101">
      <w:bodyDiv w:val="1"/>
      <w:marLeft w:val="0"/>
      <w:marRight w:val="0"/>
      <w:marTop w:val="0"/>
      <w:marBottom w:val="0"/>
      <w:divBdr>
        <w:top w:val="none" w:sz="0" w:space="0" w:color="auto"/>
        <w:left w:val="none" w:sz="0" w:space="0" w:color="auto"/>
        <w:bottom w:val="none" w:sz="0" w:space="0" w:color="auto"/>
        <w:right w:val="none" w:sz="0" w:space="0" w:color="auto"/>
      </w:divBdr>
    </w:div>
    <w:div w:id="531307121">
      <w:bodyDiv w:val="1"/>
      <w:marLeft w:val="0"/>
      <w:marRight w:val="0"/>
      <w:marTop w:val="0"/>
      <w:marBottom w:val="0"/>
      <w:divBdr>
        <w:top w:val="none" w:sz="0" w:space="0" w:color="auto"/>
        <w:left w:val="none" w:sz="0" w:space="0" w:color="auto"/>
        <w:bottom w:val="none" w:sz="0" w:space="0" w:color="auto"/>
        <w:right w:val="none" w:sz="0" w:space="0" w:color="auto"/>
      </w:divBdr>
    </w:div>
    <w:div w:id="533076643">
      <w:bodyDiv w:val="1"/>
      <w:marLeft w:val="0"/>
      <w:marRight w:val="0"/>
      <w:marTop w:val="0"/>
      <w:marBottom w:val="0"/>
      <w:divBdr>
        <w:top w:val="none" w:sz="0" w:space="0" w:color="auto"/>
        <w:left w:val="none" w:sz="0" w:space="0" w:color="auto"/>
        <w:bottom w:val="none" w:sz="0" w:space="0" w:color="auto"/>
        <w:right w:val="none" w:sz="0" w:space="0" w:color="auto"/>
      </w:divBdr>
    </w:div>
    <w:div w:id="533539148">
      <w:bodyDiv w:val="1"/>
      <w:marLeft w:val="0"/>
      <w:marRight w:val="0"/>
      <w:marTop w:val="0"/>
      <w:marBottom w:val="0"/>
      <w:divBdr>
        <w:top w:val="none" w:sz="0" w:space="0" w:color="auto"/>
        <w:left w:val="none" w:sz="0" w:space="0" w:color="auto"/>
        <w:bottom w:val="none" w:sz="0" w:space="0" w:color="auto"/>
        <w:right w:val="none" w:sz="0" w:space="0" w:color="auto"/>
      </w:divBdr>
    </w:div>
    <w:div w:id="534855567">
      <w:bodyDiv w:val="1"/>
      <w:marLeft w:val="0"/>
      <w:marRight w:val="0"/>
      <w:marTop w:val="0"/>
      <w:marBottom w:val="0"/>
      <w:divBdr>
        <w:top w:val="none" w:sz="0" w:space="0" w:color="auto"/>
        <w:left w:val="none" w:sz="0" w:space="0" w:color="auto"/>
        <w:bottom w:val="none" w:sz="0" w:space="0" w:color="auto"/>
        <w:right w:val="none" w:sz="0" w:space="0" w:color="auto"/>
      </w:divBdr>
    </w:div>
    <w:div w:id="541135576">
      <w:bodyDiv w:val="1"/>
      <w:marLeft w:val="0"/>
      <w:marRight w:val="0"/>
      <w:marTop w:val="0"/>
      <w:marBottom w:val="0"/>
      <w:divBdr>
        <w:top w:val="none" w:sz="0" w:space="0" w:color="auto"/>
        <w:left w:val="none" w:sz="0" w:space="0" w:color="auto"/>
        <w:bottom w:val="none" w:sz="0" w:space="0" w:color="auto"/>
        <w:right w:val="none" w:sz="0" w:space="0" w:color="auto"/>
      </w:divBdr>
    </w:div>
    <w:div w:id="543056468">
      <w:bodyDiv w:val="1"/>
      <w:marLeft w:val="0"/>
      <w:marRight w:val="0"/>
      <w:marTop w:val="0"/>
      <w:marBottom w:val="0"/>
      <w:divBdr>
        <w:top w:val="none" w:sz="0" w:space="0" w:color="auto"/>
        <w:left w:val="none" w:sz="0" w:space="0" w:color="auto"/>
        <w:bottom w:val="none" w:sz="0" w:space="0" w:color="auto"/>
        <w:right w:val="none" w:sz="0" w:space="0" w:color="auto"/>
      </w:divBdr>
    </w:div>
    <w:div w:id="553279091">
      <w:bodyDiv w:val="1"/>
      <w:marLeft w:val="0"/>
      <w:marRight w:val="0"/>
      <w:marTop w:val="0"/>
      <w:marBottom w:val="0"/>
      <w:divBdr>
        <w:top w:val="none" w:sz="0" w:space="0" w:color="auto"/>
        <w:left w:val="none" w:sz="0" w:space="0" w:color="auto"/>
        <w:bottom w:val="none" w:sz="0" w:space="0" w:color="auto"/>
        <w:right w:val="none" w:sz="0" w:space="0" w:color="auto"/>
      </w:divBdr>
    </w:div>
    <w:div w:id="553615230">
      <w:bodyDiv w:val="1"/>
      <w:marLeft w:val="0"/>
      <w:marRight w:val="0"/>
      <w:marTop w:val="0"/>
      <w:marBottom w:val="0"/>
      <w:divBdr>
        <w:top w:val="none" w:sz="0" w:space="0" w:color="auto"/>
        <w:left w:val="none" w:sz="0" w:space="0" w:color="auto"/>
        <w:bottom w:val="none" w:sz="0" w:space="0" w:color="auto"/>
        <w:right w:val="none" w:sz="0" w:space="0" w:color="auto"/>
      </w:divBdr>
    </w:div>
    <w:div w:id="561134465">
      <w:bodyDiv w:val="1"/>
      <w:marLeft w:val="0"/>
      <w:marRight w:val="0"/>
      <w:marTop w:val="0"/>
      <w:marBottom w:val="0"/>
      <w:divBdr>
        <w:top w:val="none" w:sz="0" w:space="0" w:color="auto"/>
        <w:left w:val="none" w:sz="0" w:space="0" w:color="auto"/>
        <w:bottom w:val="none" w:sz="0" w:space="0" w:color="auto"/>
        <w:right w:val="none" w:sz="0" w:space="0" w:color="auto"/>
      </w:divBdr>
    </w:div>
    <w:div w:id="562833836">
      <w:bodyDiv w:val="1"/>
      <w:marLeft w:val="0"/>
      <w:marRight w:val="0"/>
      <w:marTop w:val="0"/>
      <w:marBottom w:val="0"/>
      <w:divBdr>
        <w:top w:val="none" w:sz="0" w:space="0" w:color="auto"/>
        <w:left w:val="none" w:sz="0" w:space="0" w:color="auto"/>
        <w:bottom w:val="none" w:sz="0" w:space="0" w:color="auto"/>
        <w:right w:val="none" w:sz="0" w:space="0" w:color="auto"/>
      </w:divBdr>
    </w:div>
    <w:div w:id="564410740">
      <w:bodyDiv w:val="1"/>
      <w:marLeft w:val="0"/>
      <w:marRight w:val="0"/>
      <w:marTop w:val="0"/>
      <w:marBottom w:val="0"/>
      <w:divBdr>
        <w:top w:val="none" w:sz="0" w:space="0" w:color="auto"/>
        <w:left w:val="none" w:sz="0" w:space="0" w:color="auto"/>
        <w:bottom w:val="none" w:sz="0" w:space="0" w:color="auto"/>
        <w:right w:val="none" w:sz="0" w:space="0" w:color="auto"/>
      </w:divBdr>
    </w:div>
    <w:div w:id="573079163">
      <w:bodyDiv w:val="1"/>
      <w:marLeft w:val="0"/>
      <w:marRight w:val="0"/>
      <w:marTop w:val="0"/>
      <w:marBottom w:val="0"/>
      <w:divBdr>
        <w:top w:val="none" w:sz="0" w:space="0" w:color="auto"/>
        <w:left w:val="none" w:sz="0" w:space="0" w:color="auto"/>
        <w:bottom w:val="none" w:sz="0" w:space="0" w:color="auto"/>
        <w:right w:val="none" w:sz="0" w:space="0" w:color="auto"/>
      </w:divBdr>
    </w:div>
    <w:div w:id="573660215">
      <w:bodyDiv w:val="1"/>
      <w:marLeft w:val="0"/>
      <w:marRight w:val="0"/>
      <w:marTop w:val="0"/>
      <w:marBottom w:val="0"/>
      <w:divBdr>
        <w:top w:val="none" w:sz="0" w:space="0" w:color="auto"/>
        <w:left w:val="none" w:sz="0" w:space="0" w:color="auto"/>
        <w:bottom w:val="none" w:sz="0" w:space="0" w:color="auto"/>
        <w:right w:val="none" w:sz="0" w:space="0" w:color="auto"/>
      </w:divBdr>
    </w:div>
    <w:div w:id="589044472">
      <w:bodyDiv w:val="1"/>
      <w:marLeft w:val="0"/>
      <w:marRight w:val="0"/>
      <w:marTop w:val="0"/>
      <w:marBottom w:val="0"/>
      <w:divBdr>
        <w:top w:val="none" w:sz="0" w:space="0" w:color="auto"/>
        <w:left w:val="none" w:sz="0" w:space="0" w:color="auto"/>
        <w:bottom w:val="none" w:sz="0" w:space="0" w:color="auto"/>
        <w:right w:val="none" w:sz="0" w:space="0" w:color="auto"/>
      </w:divBdr>
    </w:div>
    <w:div w:id="594482137">
      <w:bodyDiv w:val="1"/>
      <w:marLeft w:val="0"/>
      <w:marRight w:val="0"/>
      <w:marTop w:val="0"/>
      <w:marBottom w:val="0"/>
      <w:divBdr>
        <w:top w:val="none" w:sz="0" w:space="0" w:color="auto"/>
        <w:left w:val="none" w:sz="0" w:space="0" w:color="auto"/>
        <w:bottom w:val="none" w:sz="0" w:space="0" w:color="auto"/>
        <w:right w:val="none" w:sz="0" w:space="0" w:color="auto"/>
      </w:divBdr>
    </w:div>
    <w:div w:id="598877189">
      <w:bodyDiv w:val="1"/>
      <w:marLeft w:val="0"/>
      <w:marRight w:val="0"/>
      <w:marTop w:val="0"/>
      <w:marBottom w:val="0"/>
      <w:divBdr>
        <w:top w:val="none" w:sz="0" w:space="0" w:color="auto"/>
        <w:left w:val="none" w:sz="0" w:space="0" w:color="auto"/>
        <w:bottom w:val="none" w:sz="0" w:space="0" w:color="auto"/>
        <w:right w:val="none" w:sz="0" w:space="0" w:color="auto"/>
      </w:divBdr>
    </w:div>
    <w:div w:id="605967221">
      <w:bodyDiv w:val="1"/>
      <w:marLeft w:val="0"/>
      <w:marRight w:val="0"/>
      <w:marTop w:val="0"/>
      <w:marBottom w:val="0"/>
      <w:divBdr>
        <w:top w:val="none" w:sz="0" w:space="0" w:color="auto"/>
        <w:left w:val="none" w:sz="0" w:space="0" w:color="auto"/>
        <w:bottom w:val="none" w:sz="0" w:space="0" w:color="auto"/>
        <w:right w:val="none" w:sz="0" w:space="0" w:color="auto"/>
      </w:divBdr>
    </w:div>
    <w:div w:id="609972112">
      <w:bodyDiv w:val="1"/>
      <w:marLeft w:val="0"/>
      <w:marRight w:val="0"/>
      <w:marTop w:val="0"/>
      <w:marBottom w:val="0"/>
      <w:divBdr>
        <w:top w:val="none" w:sz="0" w:space="0" w:color="auto"/>
        <w:left w:val="none" w:sz="0" w:space="0" w:color="auto"/>
        <w:bottom w:val="none" w:sz="0" w:space="0" w:color="auto"/>
        <w:right w:val="none" w:sz="0" w:space="0" w:color="auto"/>
      </w:divBdr>
    </w:div>
    <w:div w:id="617565205">
      <w:bodyDiv w:val="1"/>
      <w:marLeft w:val="0"/>
      <w:marRight w:val="0"/>
      <w:marTop w:val="0"/>
      <w:marBottom w:val="0"/>
      <w:divBdr>
        <w:top w:val="none" w:sz="0" w:space="0" w:color="auto"/>
        <w:left w:val="none" w:sz="0" w:space="0" w:color="auto"/>
        <w:bottom w:val="none" w:sz="0" w:space="0" w:color="auto"/>
        <w:right w:val="none" w:sz="0" w:space="0" w:color="auto"/>
      </w:divBdr>
    </w:div>
    <w:div w:id="620303206">
      <w:bodyDiv w:val="1"/>
      <w:marLeft w:val="0"/>
      <w:marRight w:val="0"/>
      <w:marTop w:val="0"/>
      <w:marBottom w:val="0"/>
      <w:divBdr>
        <w:top w:val="none" w:sz="0" w:space="0" w:color="auto"/>
        <w:left w:val="none" w:sz="0" w:space="0" w:color="auto"/>
        <w:bottom w:val="none" w:sz="0" w:space="0" w:color="auto"/>
        <w:right w:val="none" w:sz="0" w:space="0" w:color="auto"/>
      </w:divBdr>
    </w:div>
    <w:div w:id="623927512">
      <w:bodyDiv w:val="1"/>
      <w:marLeft w:val="0"/>
      <w:marRight w:val="0"/>
      <w:marTop w:val="0"/>
      <w:marBottom w:val="0"/>
      <w:divBdr>
        <w:top w:val="none" w:sz="0" w:space="0" w:color="auto"/>
        <w:left w:val="none" w:sz="0" w:space="0" w:color="auto"/>
        <w:bottom w:val="none" w:sz="0" w:space="0" w:color="auto"/>
        <w:right w:val="none" w:sz="0" w:space="0" w:color="auto"/>
      </w:divBdr>
    </w:div>
    <w:div w:id="627319276">
      <w:bodyDiv w:val="1"/>
      <w:marLeft w:val="0"/>
      <w:marRight w:val="0"/>
      <w:marTop w:val="0"/>
      <w:marBottom w:val="0"/>
      <w:divBdr>
        <w:top w:val="none" w:sz="0" w:space="0" w:color="auto"/>
        <w:left w:val="none" w:sz="0" w:space="0" w:color="auto"/>
        <w:bottom w:val="none" w:sz="0" w:space="0" w:color="auto"/>
        <w:right w:val="none" w:sz="0" w:space="0" w:color="auto"/>
      </w:divBdr>
    </w:div>
    <w:div w:id="641925283">
      <w:bodyDiv w:val="1"/>
      <w:marLeft w:val="0"/>
      <w:marRight w:val="0"/>
      <w:marTop w:val="0"/>
      <w:marBottom w:val="0"/>
      <w:divBdr>
        <w:top w:val="none" w:sz="0" w:space="0" w:color="auto"/>
        <w:left w:val="none" w:sz="0" w:space="0" w:color="auto"/>
        <w:bottom w:val="none" w:sz="0" w:space="0" w:color="auto"/>
        <w:right w:val="none" w:sz="0" w:space="0" w:color="auto"/>
      </w:divBdr>
    </w:div>
    <w:div w:id="645430823">
      <w:bodyDiv w:val="1"/>
      <w:marLeft w:val="0"/>
      <w:marRight w:val="0"/>
      <w:marTop w:val="0"/>
      <w:marBottom w:val="0"/>
      <w:divBdr>
        <w:top w:val="none" w:sz="0" w:space="0" w:color="auto"/>
        <w:left w:val="none" w:sz="0" w:space="0" w:color="auto"/>
        <w:bottom w:val="none" w:sz="0" w:space="0" w:color="auto"/>
        <w:right w:val="none" w:sz="0" w:space="0" w:color="auto"/>
      </w:divBdr>
    </w:div>
    <w:div w:id="645857561">
      <w:bodyDiv w:val="1"/>
      <w:marLeft w:val="0"/>
      <w:marRight w:val="0"/>
      <w:marTop w:val="0"/>
      <w:marBottom w:val="0"/>
      <w:divBdr>
        <w:top w:val="none" w:sz="0" w:space="0" w:color="auto"/>
        <w:left w:val="none" w:sz="0" w:space="0" w:color="auto"/>
        <w:bottom w:val="none" w:sz="0" w:space="0" w:color="auto"/>
        <w:right w:val="none" w:sz="0" w:space="0" w:color="auto"/>
      </w:divBdr>
    </w:div>
    <w:div w:id="655189234">
      <w:bodyDiv w:val="1"/>
      <w:marLeft w:val="0"/>
      <w:marRight w:val="0"/>
      <w:marTop w:val="0"/>
      <w:marBottom w:val="0"/>
      <w:divBdr>
        <w:top w:val="none" w:sz="0" w:space="0" w:color="auto"/>
        <w:left w:val="none" w:sz="0" w:space="0" w:color="auto"/>
        <w:bottom w:val="none" w:sz="0" w:space="0" w:color="auto"/>
        <w:right w:val="none" w:sz="0" w:space="0" w:color="auto"/>
      </w:divBdr>
    </w:div>
    <w:div w:id="658003979">
      <w:bodyDiv w:val="1"/>
      <w:marLeft w:val="0"/>
      <w:marRight w:val="0"/>
      <w:marTop w:val="0"/>
      <w:marBottom w:val="0"/>
      <w:divBdr>
        <w:top w:val="none" w:sz="0" w:space="0" w:color="auto"/>
        <w:left w:val="none" w:sz="0" w:space="0" w:color="auto"/>
        <w:bottom w:val="none" w:sz="0" w:space="0" w:color="auto"/>
        <w:right w:val="none" w:sz="0" w:space="0" w:color="auto"/>
      </w:divBdr>
    </w:div>
    <w:div w:id="660088794">
      <w:bodyDiv w:val="1"/>
      <w:marLeft w:val="0"/>
      <w:marRight w:val="0"/>
      <w:marTop w:val="0"/>
      <w:marBottom w:val="0"/>
      <w:divBdr>
        <w:top w:val="none" w:sz="0" w:space="0" w:color="auto"/>
        <w:left w:val="none" w:sz="0" w:space="0" w:color="auto"/>
        <w:bottom w:val="none" w:sz="0" w:space="0" w:color="auto"/>
        <w:right w:val="none" w:sz="0" w:space="0" w:color="auto"/>
      </w:divBdr>
    </w:div>
    <w:div w:id="661087415">
      <w:bodyDiv w:val="1"/>
      <w:marLeft w:val="0"/>
      <w:marRight w:val="0"/>
      <w:marTop w:val="0"/>
      <w:marBottom w:val="0"/>
      <w:divBdr>
        <w:top w:val="none" w:sz="0" w:space="0" w:color="auto"/>
        <w:left w:val="none" w:sz="0" w:space="0" w:color="auto"/>
        <w:bottom w:val="none" w:sz="0" w:space="0" w:color="auto"/>
        <w:right w:val="none" w:sz="0" w:space="0" w:color="auto"/>
      </w:divBdr>
    </w:div>
    <w:div w:id="664548775">
      <w:bodyDiv w:val="1"/>
      <w:marLeft w:val="0"/>
      <w:marRight w:val="0"/>
      <w:marTop w:val="0"/>
      <w:marBottom w:val="0"/>
      <w:divBdr>
        <w:top w:val="none" w:sz="0" w:space="0" w:color="auto"/>
        <w:left w:val="none" w:sz="0" w:space="0" w:color="auto"/>
        <w:bottom w:val="none" w:sz="0" w:space="0" w:color="auto"/>
        <w:right w:val="none" w:sz="0" w:space="0" w:color="auto"/>
      </w:divBdr>
    </w:div>
    <w:div w:id="664747586">
      <w:bodyDiv w:val="1"/>
      <w:marLeft w:val="0"/>
      <w:marRight w:val="0"/>
      <w:marTop w:val="0"/>
      <w:marBottom w:val="0"/>
      <w:divBdr>
        <w:top w:val="none" w:sz="0" w:space="0" w:color="auto"/>
        <w:left w:val="none" w:sz="0" w:space="0" w:color="auto"/>
        <w:bottom w:val="none" w:sz="0" w:space="0" w:color="auto"/>
        <w:right w:val="none" w:sz="0" w:space="0" w:color="auto"/>
      </w:divBdr>
    </w:div>
    <w:div w:id="665977022">
      <w:bodyDiv w:val="1"/>
      <w:marLeft w:val="0"/>
      <w:marRight w:val="0"/>
      <w:marTop w:val="0"/>
      <w:marBottom w:val="0"/>
      <w:divBdr>
        <w:top w:val="none" w:sz="0" w:space="0" w:color="auto"/>
        <w:left w:val="none" w:sz="0" w:space="0" w:color="auto"/>
        <w:bottom w:val="none" w:sz="0" w:space="0" w:color="auto"/>
        <w:right w:val="none" w:sz="0" w:space="0" w:color="auto"/>
      </w:divBdr>
    </w:div>
    <w:div w:id="666323033">
      <w:bodyDiv w:val="1"/>
      <w:marLeft w:val="0"/>
      <w:marRight w:val="0"/>
      <w:marTop w:val="0"/>
      <w:marBottom w:val="0"/>
      <w:divBdr>
        <w:top w:val="none" w:sz="0" w:space="0" w:color="auto"/>
        <w:left w:val="none" w:sz="0" w:space="0" w:color="auto"/>
        <w:bottom w:val="none" w:sz="0" w:space="0" w:color="auto"/>
        <w:right w:val="none" w:sz="0" w:space="0" w:color="auto"/>
      </w:divBdr>
    </w:div>
    <w:div w:id="668288551">
      <w:bodyDiv w:val="1"/>
      <w:marLeft w:val="0"/>
      <w:marRight w:val="0"/>
      <w:marTop w:val="0"/>
      <w:marBottom w:val="0"/>
      <w:divBdr>
        <w:top w:val="none" w:sz="0" w:space="0" w:color="auto"/>
        <w:left w:val="none" w:sz="0" w:space="0" w:color="auto"/>
        <w:bottom w:val="none" w:sz="0" w:space="0" w:color="auto"/>
        <w:right w:val="none" w:sz="0" w:space="0" w:color="auto"/>
      </w:divBdr>
    </w:div>
    <w:div w:id="669257703">
      <w:bodyDiv w:val="1"/>
      <w:marLeft w:val="0"/>
      <w:marRight w:val="0"/>
      <w:marTop w:val="0"/>
      <w:marBottom w:val="0"/>
      <w:divBdr>
        <w:top w:val="none" w:sz="0" w:space="0" w:color="auto"/>
        <w:left w:val="none" w:sz="0" w:space="0" w:color="auto"/>
        <w:bottom w:val="none" w:sz="0" w:space="0" w:color="auto"/>
        <w:right w:val="none" w:sz="0" w:space="0" w:color="auto"/>
      </w:divBdr>
    </w:div>
    <w:div w:id="669603183">
      <w:bodyDiv w:val="1"/>
      <w:marLeft w:val="0"/>
      <w:marRight w:val="0"/>
      <w:marTop w:val="0"/>
      <w:marBottom w:val="0"/>
      <w:divBdr>
        <w:top w:val="none" w:sz="0" w:space="0" w:color="auto"/>
        <w:left w:val="none" w:sz="0" w:space="0" w:color="auto"/>
        <w:bottom w:val="none" w:sz="0" w:space="0" w:color="auto"/>
        <w:right w:val="none" w:sz="0" w:space="0" w:color="auto"/>
      </w:divBdr>
    </w:div>
    <w:div w:id="673604928">
      <w:bodyDiv w:val="1"/>
      <w:marLeft w:val="0"/>
      <w:marRight w:val="0"/>
      <w:marTop w:val="0"/>
      <w:marBottom w:val="0"/>
      <w:divBdr>
        <w:top w:val="none" w:sz="0" w:space="0" w:color="auto"/>
        <w:left w:val="none" w:sz="0" w:space="0" w:color="auto"/>
        <w:bottom w:val="none" w:sz="0" w:space="0" w:color="auto"/>
        <w:right w:val="none" w:sz="0" w:space="0" w:color="auto"/>
      </w:divBdr>
    </w:div>
    <w:div w:id="674917241">
      <w:bodyDiv w:val="1"/>
      <w:marLeft w:val="0"/>
      <w:marRight w:val="0"/>
      <w:marTop w:val="0"/>
      <w:marBottom w:val="0"/>
      <w:divBdr>
        <w:top w:val="none" w:sz="0" w:space="0" w:color="auto"/>
        <w:left w:val="none" w:sz="0" w:space="0" w:color="auto"/>
        <w:bottom w:val="none" w:sz="0" w:space="0" w:color="auto"/>
        <w:right w:val="none" w:sz="0" w:space="0" w:color="auto"/>
      </w:divBdr>
    </w:div>
    <w:div w:id="675033226">
      <w:bodyDiv w:val="1"/>
      <w:marLeft w:val="0"/>
      <w:marRight w:val="0"/>
      <w:marTop w:val="0"/>
      <w:marBottom w:val="0"/>
      <w:divBdr>
        <w:top w:val="none" w:sz="0" w:space="0" w:color="auto"/>
        <w:left w:val="none" w:sz="0" w:space="0" w:color="auto"/>
        <w:bottom w:val="none" w:sz="0" w:space="0" w:color="auto"/>
        <w:right w:val="none" w:sz="0" w:space="0" w:color="auto"/>
      </w:divBdr>
    </w:div>
    <w:div w:id="676690489">
      <w:bodyDiv w:val="1"/>
      <w:marLeft w:val="0"/>
      <w:marRight w:val="0"/>
      <w:marTop w:val="0"/>
      <w:marBottom w:val="0"/>
      <w:divBdr>
        <w:top w:val="none" w:sz="0" w:space="0" w:color="auto"/>
        <w:left w:val="none" w:sz="0" w:space="0" w:color="auto"/>
        <w:bottom w:val="none" w:sz="0" w:space="0" w:color="auto"/>
        <w:right w:val="none" w:sz="0" w:space="0" w:color="auto"/>
      </w:divBdr>
    </w:div>
    <w:div w:id="677660437">
      <w:bodyDiv w:val="1"/>
      <w:marLeft w:val="0"/>
      <w:marRight w:val="0"/>
      <w:marTop w:val="0"/>
      <w:marBottom w:val="0"/>
      <w:divBdr>
        <w:top w:val="none" w:sz="0" w:space="0" w:color="auto"/>
        <w:left w:val="none" w:sz="0" w:space="0" w:color="auto"/>
        <w:bottom w:val="none" w:sz="0" w:space="0" w:color="auto"/>
        <w:right w:val="none" w:sz="0" w:space="0" w:color="auto"/>
      </w:divBdr>
    </w:div>
    <w:div w:id="682392082">
      <w:bodyDiv w:val="1"/>
      <w:marLeft w:val="0"/>
      <w:marRight w:val="0"/>
      <w:marTop w:val="0"/>
      <w:marBottom w:val="0"/>
      <w:divBdr>
        <w:top w:val="none" w:sz="0" w:space="0" w:color="auto"/>
        <w:left w:val="none" w:sz="0" w:space="0" w:color="auto"/>
        <w:bottom w:val="none" w:sz="0" w:space="0" w:color="auto"/>
        <w:right w:val="none" w:sz="0" w:space="0" w:color="auto"/>
      </w:divBdr>
    </w:div>
    <w:div w:id="682709732">
      <w:bodyDiv w:val="1"/>
      <w:marLeft w:val="0"/>
      <w:marRight w:val="0"/>
      <w:marTop w:val="0"/>
      <w:marBottom w:val="0"/>
      <w:divBdr>
        <w:top w:val="none" w:sz="0" w:space="0" w:color="auto"/>
        <w:left w:val="none" w:sz="0" w:space="0" w:color="auto"/>
        <w:bottom w:val="none" w:sz="0" w:space="0" w:color="auto"/>
        <w:right w:val="none" w:sz="0" w:space="0" w:color="auto"/>
      </w:divBdr>
    </w:div>
    <w:div w:id="693582919">
      <w:bodyDiv w:val="1"/>
      <w:marLeft w:val="0"/>
      <w:marRight w:val="0"/>
      <w:marTop w:val="0"/>
      <w:marBottom w:val="0"/>
      <w:divBdr>
        <w:top w:val="none" w:sz="0" w:space="0" w:color="auto"/>
        <w:left w:val="none" w:sz="0" w:space="0" w:color="auto"/>
        <w:bottom w:val="none" w:sz="0" w:space="0" w:color="auto"/>
        <w:right w:val="none" w:sz="0" w:space="0" w:color="auto"/>
      </w:divBdr>
    </w:div>
    <w:div w:id="693654920">
      <w:bodyDiv w:val="1"/>
      <w:marLeft w:val="0"/>
      <w:marRight w:val="0"/>
      <w:marTop w:val="0"/>
      <w:marBottom w:val="0"/>
      <w:divBdr>
        <w:top w:val="none" w:sz="0" w:space="0" w:color="auto"/>
        <w:left w:val="none" w:sz="0" w:space="0" w:color="auto"/>
        <w:bottom w:val="none" w:sz="0" w:space="0" w:color="auto"/>
        <w:right w:val="none" w:sz="0" w:space="0" w:color="auto"/>
      </w:divBdr>
    </w:div>
    <w:div w:id="693922556">
      <w:bodyDiv w:val="1"/>
      <w:marLeft w:val="0"/>
      <w:marRight w:val="0"/>
      <w:marTop w:val="0"/>
      <w:marBottom w:val="0"/>
      <w:divBdr>
        <w:top w:val="none" w:sz="0" w:space="0" w:color="auto"/>
        <w:left w:val="none" w:sz="0" w:space="0" w:color="auto"/>
        <w:bottom w:val="none" w:sz="0" w:space="0" w:color="auto"/>
        <w:right w:val="none" w:sz="0" w:space="0" w:color="auto"/>
      </w:divBdr>
    </w:div>
    <w:div w:id="700931957">
      <w:bodyDiv w:val="1"/>
      <w:marLeft w:val="0"/>
      <w:marRight w:val="0"/>
      <w:marTop w:val="0"/>
      <w:marBottom w:val="0"/>
      <w:divBdr>
        <w:top w:val="none" w:sz="0" w:space="0" w:color="auto"/>
        <w:left w:val="none" w:sz="0" w:space="0" w:color="auto"/>
        <w:bottom w:val="none" w:sz="0" w:space="0" w:color="auto"/>
        <w:right w:val="none" w:sz="0" w:space="0" w:color="auto"/>
      </w:divBdr>
    </w:div>
    <w:div w:id="702486462">
      <w:bodyDiv w:val="1"/>
      <w:marLeft w:val="0"/>
      <w:marRight w:val="0"/>
      <w:marTop w:val="0"/>
      <w:marBottom w:val="0"/>
      <w:divBdr>
        <w:top w:val="none" w:sz="0" w:space="0" w:color="auto"/>
        <w:left w:val="none" w:sz="0" w:space="0" w:color="auto"/>
        <w:bottom w:val="none" w:sz="0" w:space="0" w:color="auto"/>
        <w:right w:val="none" w:sz="0" w:space="0" w:color="auto"/>
      </w:divBdr>
    </w:div>
    <w:div w:id="703598524">
      <w:bodyDiv w:val="1"/>
      <w:marLeft w:val="0"/>
      <w:marRight w:val="0"/>
      <w:marTop w:val="0"/>
      <w:marBottom w:val="0"/>
      <w:divBdr>
        <w:top w:val="none" w:sz="0" w:space="0" w:color="auto"/>
        <w:left w:val="none" w:sz="0" w:space="0" w:color="auto"/>
        <w:bottom w:val="none" w:sz="0" w:space="0" w:color="auto"/>
        <w:right w:val="none" w:sz="0" w:space="0" w:color="auto"/>
      </w:divBdr>
    </w:div>
    <w:div w:id="704908502">
      <w:bodyDiv w:val="1"/>
      <w:marLeft w:val="0"/>
      <w:marRight w:val="0"/>
      <w:marTop w:val="0"/>
      <w:marBottom w:val="0"/>
      <w:divBdr>
        <w:top w:val="none" w:sz="0" w:space="0" w:color="auto"/>
        <w:left w:val="none" w:sz="0" w:space="0" w:color="auto"/>
        <w:bottom w:val="none" w:sz="0" w:space="0" w:color="auto"/>
        <w:right w:val="none" w:sz="0" w:space="0" w:color="auto"/>
      </w:divBdr>
    </w:div>
    <w:div w:id="705102300">
      <w:bodyDiv w:val="1"/>
      <w:marLeft w:val="0"/>
      <w:marRight w:val="0"/>
      <w:marTop w:val="0"/>
      <w:marBottom w:val="0"/>
      <w:divBdr>
        <w:top w:val="none" w:sz="0" w:space="0" w:color="auto"/>
        <w:left w:val="none" w:sz="0" w:space="0" w:color="auto"/>
        <w:bottom w:val="none" w:sz="0" w:space="0" w:color="auto"/>
        <w:right w:val="none" w:sz="0" w:space="0" w:color="auto"/>
      </w:divBdr>
    </w:div>
    <w:div w:id="707947584">
      <w:bodyDiv w:val="1"/>
      <w:marLeft w:val="0"/>
      <w:marRight w:val="0"/>
      <w:marTop w:val="0"/>
      <w:marBottom w:val="0"/>
      <w:divBdr>
        <w:top w:val="none" w:sz="0" w:space="0" w:color="auto"/>
        <w:left w:val="none" w:sz="0" w:space="0" w:color="auto"/>
        <w:bottom w:val="none" w:sz="0" w:space="0" w:color="auto"/>
        <w:right w:val="none" w:sz="0" w:space="0" w:color="auto"/>
      </w:divBdr>
    </w:div>
    <w:div w:id="708263293">
      <w:bodyDiv w:val="1"/>
      <w:marLeft w:val="0"/>
      <w:marRight w:val="0"/>
      <w:marTop w:val="0"/>
      <w:marBottom w:val="0"/>
      <w:divBdr>
        <w:top w:val="none" w:sz="0" w:space="0" w:color="auto"/>
        <w:left w:val="none" w:sz="0" w:space="0" w:color="auto"/>
        <w:bottom w:val="none" w:sz="0" w:space="0" w:color="auto"/>
        <w:right w:val="none" w:sz="0" w:space="0" w:color="auto"/>
      </w:divBdr>
    </w:div>
    <w:div w:id="711079794">
      <w:bodyDiv w:val="1"/>
      <w:marLeft w:val="0"/>
      <w:marRight w:val="0"/>
      <w:marTop w:val="0"/>
      <w:marBottom w:val="0"/>
      <w:divBdr>
        <w:top w:val="none" w:sz="0" w:space="0" w:color="auto"/>
        <w:left w:val="none" w:sz="0" w:space="0" w:color="auto"/>
        <w:bottom w:val="none" w:sz="0" w:space="0" w:color="auto"/>
        <w:right w:val="none" w:sz="0" w:space="0" w:color="auto"/>
      </w:divBdr>
    </w:div>
    <w:div w:id="715667139">
      <w:bodyDiv w:val="1"/>
      <w:marLeft w:val="0"/>
      <w:marRight w:val="0"/>
      <w:marTop w:val="0"/>
      <w:marBottom w:val="0"/>
      <w:divBdr>
        <w:top w:val="none" w:sz="0" w:space="0" w:color="auto"/>
        <w:left w:val="none" w:sz="0" w:space="0" w:color="auto"/>
        <w:bottom w:val="none" w:sz="0" w:space="0" w:color="auto"/>
        <w:right w:val="none" w:sz="0" w:space="0" w:color="auto"/>
      </w:divBdr>
    </w:div>
    <w:div w:id="717322690">
      <w:bodyDiv w:val="1"/>
      <w:marLeft w:val="0"/>
      <w:marRight w:val="0"/>
      <w:marTop w:val="0"/>
      <w:marBottom w:val="0"/>
      <w:divBdr>
        <w:top w:val="none" w:sz="0" w:space="0" w:color="auto"/>
        <w:left w:val="none" w:sz="0" w:space="0" w:color="auto"/>
        <w:bottom w:val="none" w:sz="0" w:space="0" w:color="auto"/>
        <w:right w:val="none" w:sz="0" w:space="0" w:color="auto"/>
      </w:divBdr>
    </w:div>
    <w:div w:id="721171053">
      <w:bodyDiv w:val="1"/>
      <w:marLeft w:val="0"/>
      <w:marRight w:val="0"/>
      <w:marTop w:val="0"/>
      <w:marBottom w:val="0"/>
      <w:divBdr>
        <w:top w:val="none" w:sz="0" w:space="0" w:color="auto"/>
        <w:left w:val="none" w:sz="0" w:space="0" w:color="auto"/>
        <w:bottom w:val="none" w:sz="0" w:space="0" w:color="auto"/>
        <w:right w:val="none" w:sz="0" w:space="0" w:color="auto"/>
      </w:divBdr>
    </w:div>
    <w:div w:id="721683352">
      <w:bodyDiv w:val="1"/>
      <w:marLeft w:val="0"/>
      <w:marRight w:val="0"/>
      <w:marTop w:val="0"/>
      <w:marBottom w:val="0"/>
      <w:divBdr>
        <w:top w:val="none" w:sz="0" w:space="0" w:color="auto"/>
        <w:left w:val="none" w:sz="0" w:space="0" w:color="auto"/>
        <w:bottom w:val="none" w:sz="0" w:space="0" w:color="auto"/>
        <w:right w:val="none" w:sz="0" w:space="0" w:color="auto"/>
      </w:divBdr>
    </w:div>
    <w:div w:id="723216025">
      <w:bodyDiv w:val="1"/>
      <w:marLeft w:val="0"/>
      <w:marRight w:val="0"/>
      <w:marTop w:val="0"/>
      <w:marBottom w:val="0"/>
      <w:divBdr>
        <w:top w:val="none" w:sz="0" w:space="0" w:color="auto"/>
        <w:left w:val="none" w:sz="0" w:space="0" w:color="auto"/>
        <w:bottom w:val="none" w:sz="0" w:space="0" w:color="auto"/>
        <w:right w:val="none" w:sz="0" w:space="0" w:color="auto"/>
      </w:divBdr>
    </w:div>
    <w:div w:id="733046900">
      <w:bodyDiv w:val="1"/>
      <w:marLeft w:val="0"/>
      <w:marRight w:val="0"/>
      <w:marTop w:val="0"/>
      <w:marBottom w:val="0"/>
      <w:divBdr>
        <w:top w:val="none" w:sz="0" w:space="0" w:color="auto"/>
        <w:left w:val="none" w:sz="0" w:space="0" w:color="auto"/>
        <w:bottom w:val="none" w:sz="0" w:space="0" w:color="auto"/>
        <w:right w:val="none" w:sz="0" w:space="0" w:color="auto"/>
      </w:divBdr>
    </w:div>
    <w:div w:id="736322348">
      <w:bodyDiv w:val="1"/>
      <w:marLeft w:val="0"/>
      <w:marRight w:val="0"/>
      <w:marTop w:val="0"/>
      <w:marBottom w:val="0"/>
      <w:divBdr>
        <w:top w:val="none" w:sz="0" w:space="0" w:color="auto"/>
        <w:left w:val="none" w:sz="0" w:space="0" w:color="auto"/>
        <w:bottom w:val="none" w:sz="0" w:space="0" w:color="auto"/>
        <w:right w:val="none" w:sz="0" w:space="0" w:color="auto"/>
      </w:divBdr>
    </w:div>
    <w:div w:id="739980529">
      <w:bodyDiv w:val="1"/>
      <w:marLeft w:val="0"/>
      <w:marRight w:val="0"/>
      <w:marTop w:val="0"/>
      <w:marBottom w:val="0"/>
      <w:divBdr>
        <w:top w:val="none" w:sz="0" w:space="0" w:color="auto"/>
        <w:left w:val="none" w:sz="0" w:space="0" w:color="auto"/>
        <w:bottom w:val="none" w:sz="0" w:space="0" w:color="auto"/>
        <w:right w:val="none" w:sz="0" w:space="0" w:color="auto"/>
      </w:divBdr>
    </w:div>
    <w:div w:id="749153129">
      <w:bodyDiv w:val="1"/>
      <w:marLeft w:val="0"/>
      <w:marRight w:val="0"/>
      <w:marTop w:val="0"/>
      <w:marBottom w:val="0"/>
      <w:divBdr>
        <w:top w:val="none" w:sz="0" w:space="0" w:color="auto"/>
        <w:left w:val="none" w:sz="0" w:space="0" w:color="auto"/>
        <w:bottom w:val="none" w:sz="0" w:space="0" w:color="auto"/>
        <w:right w:val="none" w:sz="0" w:space="0" w:color="auto"/>
      </w:divBdr>
    </w:div>
    <w:div w:id="756556925">
      <w:bodyDiv w:val="1"/>
      <w:marLeft w:val="0"/>
      <w:marRight w:val="0"/>
      <w:marTop w:val="0"/>
      <w:marBottom w:val="0"/>
      <w:divBdr>
        <w:top w:val="none" w:sz="0" w:space="0" w:color="auto"/>
        <w:left w:val="none" w:sz="0" w:space="0" w:color="auto"/>
        <w:bottom w:val="none" w:sz="0" w:space="0" w:color="auto"/>
        <w:right w:val="none" w:sz="0" w:space="0" w:color="auto"/>
      </w:divBdr>
    </w:div>
    <w:div w:id="761536348">
      <w:bodyDiv w:val="1"/>
      <w:marLeft w:val="0"/>
      <w:marRight w:val="0"/>
      <w:marTop w:val="0"/>
      <w:marBottom w:val="0"/>
      <w:divBdr>
        <w:top w:val="none" w:sz="0" w:space="0" w:color="auto"/>
        <w:left w:val="none" w:sz="0" w:space="0" w:color="auto"/>
        <w:bottom w:val="none" w:sz="0" w:space="0" w:color="auto"/>
        <w:right w:val="none" w:sz="0" w:space="0" w:color="auto"/>
      </w:divBdr>
    </w:div>
    <w:div w:id="765885632">
      <w:bodyDiv w:val="1"/>
      <w:marLeft w:val="0"/>
      <w:marRight w:val="0"/>
      <w:marTop w:val="0"/>
      <w:marBottom w:val="0"/>
      <w:divBdr>
        <w:top w:val="none" w:sz="0" w:space="0" w:color="auto"/>
        <w:left w:val="none" w:sz="0" w:space="0" w:color="auto"/>
        <w:bottom w:val="none" w:sz="0" w:space="0" w:color="auto"/>
        <w:right w:val="none" w:sz="0" w:space="0" w:color="auto"/>
      </w:divBdr>
    </w:div>
    <w:div w:id="779682097">
      <w:bodyDiv w:val="1"/>
      <w:marLeft w:val="0"/>
      <w:marRight w:val="0"/>
      <w:marTop w:val="0"/>
      <w:marBottom w:val="0"/>
      <w:divBdr>
        <w:top w:val="none" w:sz="0" w:space="0" w:color="auto"/>
        <w:left w:val="none" w:sz="0" w:space="0" w:color="auto"/>
        <w:bottom w:val="none" w:sz="0" w:space="0" w:color="auto"/>
        <w:right w:val="none" w:sz="0" w:space="0" w:color="auto"/>
      </w:divBdr>
    </w:div>
    <w:div w:id="780611443">
      <w:bodyDiv w:val="1"/>
      <w:marLeft w:val="0"/>
      <w:marRight w:val="0"/>
      <w:marTop w:val="0"/>
      <w:marBottom w:val="0"/>
      <w:divBdr>
        <w:top w:val="none" w:sz="0" w:space="0" w:color="auto"/>
        <w:left w:val="none" w:sz="0" w:space="0" w:color="auto"/>
        <w:bottom w:val="none" w:sz="0" w:space="0" w:color="auto"/>
        <w:right w:val="none" w:sz="0" w:space="0" w:color="auto"/>
      </w:divBdr>
    </w:div>
    <w:div w:id="781655772">
      <w:bodyDiv w:val="1"/>
      <w:marLeft w:val="0"/>
      <w:marRight w:val="0"/>
      <w:marTop w:val="0"/>
      <w:marBottom w:val="0"/>
      <w:divBdr>
        <w:top w:val="none" w:sz="0" w:space="0" w:color="auto"/>
        <w:left w:val="none" w:sz="0" w:space="0" w:color="auto"/>
        <w:bottom w:val="none" w:sz="0" w:space="0" w:color="auto"/>
        <w:right w:val="none" w:sz="0" w:space="0" w:color="auto"/>
      </w:divBdr>
    </w:div>
    <w:div w:id="798033808">
      <w:bodyDiv w:val="1"/>
      <w:marLeft w:val="0"/>
      <w:marRight w:val="0"/>
      <w:marTop w:val="0"/>
      <w:marBottom w:val="0"/>
      <w:divBdr>
        <w:top w:val="none" w:sz="0" w:space="0" w:color="auto"/>
        <w:left w:val="none" w:sz="0" w:space="0" w:color="auto"/>
        <w:bottom w:val="none" w:sz="0" w:space="0" w:color="auto"/>
        <w:right w:val="none" w:sz="0" w:space="0" w:color="auto"/>
      </w:divBdr>
    </w:div>
    <w:div w:id="802652085">
      <w:bodyDiv w:val="1"/>
      <w:marLeft w:val="0"/>
      <w:marRight w:val="0"/>
      <w:marTop w:val="0"/>
      <w:marBottom w:val="0"/>
      <w:divBdr>
        <w:top w:val="none" w:sz="0" w:space="0" w:color="auto"/>
        <w:left w:val="none" w:sz="0" w:space="0" w:color="auto"/>
        <w:bottom w:val="none" w:sz="0" w:space="0" w:color="auto"/>
        <w:right w:val="none" w:sz="0" w:space="0" w:color="auto"/>
      </w:divBdr>
    </w:div>
    <w:div w:id="806438910">
      <w:bodyDiv w:val="1"/>
      <w:marLeft w:val="0"/>
      <w:marRight w:val="0"/>
      <w:marTop w:val="0"/>
      <w:marBottom w:val="0"/>
      <w:divBdr>
        <w:top w:val="none" w:sz="0" w:space="0" w:color="auto"/>
        <w:left w:val="none" w:sz="0" w:space="0" w:color="auto"/>
        <w:bottom w:val="none" w:sz="0" w:space="0" w:color="auto"/>
        <w:right w:val="none" w:sz="0" w:space="0" w:color="auto"/>
      </w:divBdr>
    </w:div>
    <w:div w:id="807673420">
      <w:bodyDiv w:val="1"/>
      <w:marLeft w:val="0"/>
      <w:marRight w:val="0"/>
      <w:marTop w:val="0"/>
      <w:marBottom w:val="0"/>
      <w:divBdr>
        <w:top w:val="none" w:sz="0" w:space="0" w:color="auto"/>
        <w:left w:val="none" w:sz="0" w:space="0" w:color="auto"/>
        <w:bottom w:val="none" w:sz="0" w:space="0" w:color="auto"/>
        <w:right w:val="none" w:sz="0" w:space="0" w:color="auto"/>
      </w:divBdr>
    </w:div>
    <w:div w:id="807743461">
      <w:bodyDiv w:val="1"/>
      <w:marLeft w:val="0"/>
      <w:marRight w:val="0"/>
      <w:marTop w:val="0"/>
      <w:marBottom w:val="0"/>
      <w:divBdr>
        <w:top w:val="none" w:sz="0" w:space="0" w:color="auto"/>
        <w:left w:val="none" w:sz="0" w:space="0" w:color="auto"/>
        <w:bottom w:val="none" w:sz="0" w:space="0" w:color="auto"/>
        <w:right w:val="none" w:sz="0" w:space="0" w:color="auto"/>
      </w:divBdr>
    </w:div>
    <w:div w:id="814879017">
      <w:bodyDiv w:val="1"/>
      <w:marLeft w:val="0"/>
      <w:marRight w:val="0"/>
      <w:marTop w:val="0"/>
      <w:marBottom w:val="0"/>
      <w:divBdr>
        <w:top w:val="none" w:sz="0" w:space="0" w:color="auto"/>
        <w:left w:val="none" w:sz="0" w:space="0" w:color="auto"/>
        <w:bottom w:val="none" w:sz="0" w:space="0" w:color="auto"/>
        <w:right w:val="none" w:sz="0" w:space="0" w:color="auto"/>
      </w:divBdr>
    </w:div>
    <w:div w:id="817037346">
      <w:bodyDiv w:val="1"/>
      <w:marLeft w:val="0"/>
      <w:marRight w:val="0"/>
      <w:marTop w:val="0"/>
      <w:marBottom w:val="0"/>
      <w:divBdr>
        <w:top w:val="none" w:sz="0" w:space="0" w:color="auto"/>
        <w:left w:val="none" w:sz="0" w:space="0" w:color="auto"/>
        <w:bottom w:val="none" w:sz="0" w:space="0" w:color="auto"/>
        <w:right w:val="none" w:sz="0" w:space="0" w:color="auto"/>
      </w:divBdr>
    </w:div>
    <w:div w:id="834877740">
      <w:bodyDiv w:val="1"/>
      <w:marLeft w:val="0"/>
      <w:marRight w:val="0"/>
      <w:marTop w:val="0"/>
      <w:marBottom w:val="0"/>
      <w:divBdr>
        <w:top w:val="none" w:sz="0" w:space="0" w:color="auto"/>
        <w:left w:val="none" w:sz="0" w:space="0" w:color="auto"/>
        <w:bottom w:val="none" w:sz="0" w:space="0" w:color="auto"/>
        <w:right w:val="none" w:sz="0" w:space="0" w:color="auto"/>
      </w:divBdr>
    </w:div>
    <w:div w:id="835147229">
      <w:bodyDiv w:val="1"/>
      <w:marLeft w:val="0"/>
      <w:marRight w:val="0"/>
      <w:marTop w:val="0"/>
      <w:marBottom w:val="0"/>
      <w:divBdr>
        <w:top w:val="none" w:sz="0" w:space="0" w:color="auto"/>
        <w:left w:val="none" w:sz="0" w:space="0" w:color="auto"/>
        <w:bottom w:val="none" w:sz="0" w:space="0" w:color="auto"/>
        <w:right w:val="none" w:sz="0" w:space="0" w:color="auto"/>
      </w:divBdr>
    </w:div>
    <w:div w:id="835221263">
      <w:bodyDiv w:val="1"/>
      <w:marLeft w:val="0"/>
      <w:marRight w:val="0"/>
      <w:marTop w:val="0"/>
      <w:marBottom w:val="0"/>
      <w:divBdr>
        <w:top w:val="none" w:sz="0" w:space="0" w:color="auto"/>
        <w:left w:val="none" w:sz="0" w:space="0" w:color="auto"/>
        <w:bottom w:val="none" w:sz="0" w:space="0" w:color="auto"/>
        <w:right w:val="none" w:sz="0" w:space="0" w:color="auto"/>
      </w:divBdr>
    </w:div>
    <w:div w:id="835657907">
      <w:bodyDiv w:val="1"/>
      <w:marLeft w:val="0"/>
      <w:marRight w:val="0"/>
      <w:marTop w:val="0"/>
      <w:marBottom w:val="0"/>
      <w:divBdr>
        <w:top w:val="none" w:sz="0" w:space="0" w:color="auto"/>
        <w:left w:val="none" w:sz="0" w:space="0" w:color="auto"/>
        <w:bottom w:val="none" w:sz="0" w:space="0" w:color="auto"/>
        <w:right w:val="none" w:sz="0" w:space="0" w:color="auto"/>
      </w:divBdr>
    </w:div>
    <w:div w:id="839387293">
      <w:bodyDiv w:val="1"/>
      <w:marLeft w:val="0"/>
      <w:marRight w:val="0"/>
      <w:marTop w:val="0"/>
      <w:marBottom w:val="0"/>
      <w:divBdr>
        <w:top w:val="none" w:sz="0" w:space="0" w:color="auto"/>
        <w:left w:val="none" w:sz="0" w:space="0" w:color="auto"/>
        <w:bottom w:val="none" w:sz="0" w:space="0" w:color="auto"/>
        <w:right w:val="none" w:sz="0" w:space="0" w:color="auto"/>
      </w:divBdr>
    </w:div>
    <w:div w:id="849567700">
      <w:bodyDiv w:val="1"/>
      <w:marLeft w:val="0"/>
      <w:marRight w:val="0"/>
      <w:marTop w:val="0"/>
      <w:marBottom w:val="0"/>
      <w:divBdr>
        <w:top w:val="none" w:sz="0" w:space="0" w:color="auto"/>
        <w:left w:val="none" w:sz="0" w:space="0" w:color="auto"/>
        <w:bottom w:val="none" w:sz="0" w:space="0" w:color="auto"/>
        <w:right w:val="none" w:sz="0" w:space="0" w:color="auto"/>
      </w:divBdr>
    </w:div>
    <w:div w:id="854809831">
      <w:bodyDiv w:val="1"/>
      <w:marLeft w:val="0"/>
      <w:marRight w:val="0"/>
      <w:marTop w:val="0"/>
      <w:marBottom w:val="0"/>
      <w:divBdr>
        <w:top w:val="none" w:sz="0" w:space="0" w:color="auto"/>
        <w:left w:val="none" w:sz="0" w:space="0" w:color="auto"/>
        <w:bottom w:val="none" w:sz="0" w:space="0" w:color="auto"/>
        <w:right w:val="none" w:sz="0" w:space="0" w:color="auto"/>
      </w:divBdr>
    </w:div>
    <w:div w:id="859662182">
      <w:bodyDiv w:val="1"/>
      <w:marLeft w:val="0"/>
      <w:marRight w:val="0"/>
      <w:marTop w:val="0"/>
      <w:marBottom w:val="0"/>
      <w:divBdr>
        <w:top w:val="none" w:sz="0" w:space="0" w:color="auto"/>
        <w:left w:val="none" w:sz="0" w:space="0" w:color="auto"/>
        <w:bottom w:val="none" w:sz="0" w:space="0" w:color="auto"/>
        <w:right w:val="none" w:sz="0" w:space="0" w:color="auto"/>
      </w:divBdr>
    </w:div>
    <w:div w:id="866942396">
      <w:bodyDiv w:val="1"/>
      <w:marLeft w:val="0"/>
      <w:marRight w:val="0"/>
      <w:marTop w:val="0"/>
      <w:marBottom w:val="0"/>
      <w:divBdr>
        <w:top w:val="none" w:sz="0" w:space="0" w:color="auto"/>
        <w:left w:val="none" w:sz="0" w:space="0" w:color="auto"/>
        <w:bottom w:val="none" w:sz="0" w:space="0" w:color="auto"/>
        <w:right w:val="none" w:sz="0" w:space="0" w:color="auto"/>
      </w:divBdr>
    </w:div>
    <w:div w:id="868572321">
      <w:bodyDiv w:val="1"/>
      <w:marLeft w:val="0"/>
      <w:marRight w:val="0"/>
      <w:marTop w:val="0"/>
      <w:marBottom w:val="0"/>
      <w:divBdr>
        <w:top w:val="none" w:sz="0" w:space="0" w:color="auto"/>
        <w:left w:val="none" w:sz="0" w:space="0" w:color="auto"/>
        <w:bottom w:val="none" w:sz="0" w:space="0" w:color="auto"/>
        <w:right w:val="none" w:sz="0" w:space="0" w:color="auto"/>
      </w:divBdr>
    </w:div>
    <w:div w:id="870655336">
      <w:bodyDiv w:val="1"/>
      <w:marLeft w:val="0"/>
      <w:marRight w:val="0"/>
      <w:marTop w:val="0"/>
      <w:marBottom w:val="0"/>
      <w:divBdr>
        <w:top w:val="none" w:sz="0" w:space="0" w:color="auto"/>
        <w:left w:val="none" w:sz="0" w:space="0" w:color="auto"/>
        <w:bottom w:val="none" w:sz="0" w:space="0" w:color="auto"/>
        <w:right w:val="none" w:sz="0" w:space="0" w:color="auto"/>
      </w:divBdr>
    </w:div>
    <w:div w:id="872230376">
      <w:bodyDiv w:val="1"/>
      <w:marLeft w:val="0"/>
      <w:marRight w:val="0"/>
      <w:marTop w:val="0"/>
      <w:marBottom w:val="0"/>
      <w:divBdr>
        <w:top w:val="none" w:sz="0" w:space="0" w:color="auto"/>
        <w:left w:val="none" w:sz="0" w:space="0" w:color="auto"/>
        <w:bottom w:val="none" w:sz="0" w:space="0" w:color="auto"/>
        <w:right w:val="none" w:sz="0" w:space="0" w:color="auto"/>
      </w:divBdr>
    </w:div>
    <w:div w:id="880481943">
      <w:bodyDiv w:val="1"/>
      <w:marLeft w:val="0"/>
      <w:marRight w:val="0"/>
      <w:marTop w:val="0"/>
      <w:marBottom w:val="0"/>
      <w:divBdr>
        <w:top w:val="none" w:sz="0" w:space="0" w:color="auto"/>
        <w:left w:val="none" w:sz="0" w:space="0" w:color="auto"/>
        <w:bottom w:val="none" w:sz="0" w:space="0" w:color="auto"/>
        <w:right w:val="none" w:sz="0" w:space="0" w:color="auto"/>
      </w:divBdr>
    </w:div>
    <w:div w:id="881790079">
      <w:bodyDiv w:val="1"/>
      <w:marLeft w:val="0"/>
      <w:marRight w:val="0"/>
      <w:marTop w:val="0"/>
      <w:marBottom w:val="0"/>
      <w:divBdr>
        <w:top w:val="none" w:sz="0" w:space="0" w:color="auto"/>
        <w:left w:val="none" w:sz="0" w:space="0" w:color="auto"/>
        <w:bottom w:val="none" w:sz="0" w:space="0" w:color="auto"/>
        <w:right w:val="none" w:sz="0" w:space="0" w:color="auto"/>
      </w:divBdr>
    </w:div>
    <w:div w:id="884022363">
      <w:bodyDiv w:val="1"/>
      <w:marLeft w:val="0"/>
      <w:marRight w:val="0"/>
      <w:marTop w:val="0"/>
      <w:marBottom w:val="0"/>
      <w:divBdr>
        <w:top w:val="none" w:sz="0" w:space="0" w:color="auto"/>
        <w:left w:val="none" w:sz="0" w:space="0" w:color="auto"/>
        <w:bottom w:val="none" w:sz="0" w:space="0" w:color="auto"/>
        <w:right w:val="none" w:sz="0" w:space="0" w:color="auto"/>
      </w:divBdr>
    </w:div>
    <w:div w:id="884609766">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0994510">
      <w:bodyDiv w:val="1"/>
      <w:marLeft w:val="0"/>
      <w:marRight w:val="0"/>
      <w:marTop w:val="0"/>
      <w:marBottom w:val="0"/>
      <w:divBdr>
        <w:top w:val="none" w:sz="0" w:space="0" w:color="auto"/>
        <w:left w:val="none" w:sz="0" w:space="0" w:color="auto"/>
        <w:bottom w:val="none" w:sz="0" w:space="0" w:color="auto"/>
        <w:right w:val="none" w:sz="0" w:space="0" w:color="auto"/>
      </w:divBdr>
    </w:div>
    <w:div w:id="892619689">
      <w:bodyDiv w:val="1"/>
      <w:marLeft w:val="0"/>
      <w:marRight w:val="0"/>
      <w:marTop w:val="0"/>
      <w:marBottom w:val="0"/>
      <w:divBdr>
        <w:top w:val="none" w:sz="0" w:space="0" w:color="auto"/>
        <w:left w:val="none" w:sz="0" w:space="0" w:color="auto"/>
        <w:bottom w:val="none" w:sz="0" w:space="0" w:color="auto"/>
        <w:right w:val="none" w:sz="0" w:space="0" w:color="auto"/>
      </w:divBdr>
    </w:div>
    <w:div w:id="892885845">
      <w:bodyDiv w:val="1"/>
      <w:marLeft w:val="0"/>
      <w:marRight w:val="0"/>
      <w:marTop w:val="0"/>
      <w:marBottom w:val="0"/>
      <w:divBdr>
        <w:top w:val="none" w:sz="0" w:space="0" w:color="auto"/>
        <w:left w:val="none" w:sz="0" w:space="0" w:color="auto"/>
        <w:bottom w:val="none" w:sz="0" w:space="0" w:color="auto"/>
        <w:right w:val="none" w:sz="0" w:space="0" w:color="auto"/>
      </w:divBdr>
    </w:div>
    <w:div w:id="895897652">
      <w:bodyDiv w:val="1"/>
      <w:marLeft w:val="0"/>
      <w:marRight w:val="0"/>
      <w:marTop w:val="0"/>
      <w:marBottom w:val="0"/>
      <w:divBdr>
        <w:top w:val="none" w:sz="0" w:space="0" w:color="auto"/>
        <w:left w:val="none" w:sz="0" w:space="0" w:color="auto"/>
        <w:bottom w:val="none" w:sz="0" w:space="0" w:color="auto"/>
        <w:right w:val="none" w:sz="0" w:space="0" w:color="auto"/>
      </w:divBdr>
    </w:div>
    <w:div w:id="907960465">
      <w:bodyDiv w:val="1"/>
      <w:marLeft w:val="0"/>
      <w:marRight w:val="0"/>
      <w:marTop w:val="0"/>
      <w:marBottom w:val="0"/>
      <w:divBdr>
        <w:top w:val="none" w:sz="0" w:space="0" w:color="auto"/>
        <w:left w:val="none" w:sz="0" w:space="0" w:color="auto"/>
        <w:bottom w:val="none" w:sz="0" w:space="0" w:color="auto"/>
        <w:right w:val="none" w:sz="0" w:space="0" w:color="auto"/>
      </w:divBdr>
    </w:div>
    <w:div w:id="909197694">
      <w:bodyDiv w:val="1"/>
      <w:marLeft w:val="0"/>
      <w:marRight w:val="0"/>
      <w:marTop w:val="0"/>
      <w:marBottom w:val="0"/>
      <w:divBdr>
        <w:top w:val="none" w:sz="0" w:space="0" w:color="auto"/>
        <w:left w:val="none" w:sz="0" w:space="0" w:color="auto"/>
        <w:bottom w:val="none" w:sz="0" w:space="0" w:color="auto"/>
        <w:right w:val="none" w:sz="0" w:space="0" w:color="auto"/>
      </w:divBdr>
    </w:div>
    <w:div w:id="910238655">
      <w:bodyDiv w:val="1"/>
      <w:marLeft w:val="0"/>
      <w:marRight w:val="0"/>
      <w:marTop w:val="0"/>
      <w:marBottom w:val="0"/>
      <w:divBdr>
        <w:top w:val="none" w:sz="0" w:space="0" w:color="auto"/>
        <w:left w:val="none" w:sz="0" w:space="0" w:color="auto"/>
        <w:bottom w:val="none" w:sz="0" w:space="0" w:color="auto"/>
        <w:right w:val="none" w:sz="0" w:space="0" w:color="auto"/>
      </w:divBdr>
    </w:div>
    <w:div w:id="915018931">
      <w:bodyDiv w:val="1"/>
      <w:marLeft w:val="0"/>
      <w:marRight w:val="0"/>
      <w:marTop w:val="0"/>
      <w:marBottom w:val="0"/>
      <w:divBdr>
        <w:top w:val="none" w:sz="0" w:space="0" w:color="auto"/>
        <w:left w:val="none" w:sz="0" w:space="0" w:color="auto"/>
        <w:bottom w:val="none" w:sz="0" w:space="0" w:color="auto"/>
        <w:right w:val="none" w:sz="0" w:space="0" w:color="auto"/>
      </w:divBdr>
    </w:div>
    <w:div w:id="919405834">
      <w:bodyDiv w:val="1"/>
      <w:marLeft w:val="0"/>
      <w:marRight w:val="0"/>
      <w:marTop w:val="0"/>
      <w:marBottom w:val="0"/>
      <w:divBdr>
        <w:top w:val="none" w:sz="0" w:space="0" w:color="auto"/>
        <w:left w:val="none" w:sz="0" w:space="0" w:color="auto"/>
        <w:bottom w:val="none" w:sz="0" w:space="0" w:color="auto"/>
        <w:right w:val="none" w:sz="0" w:space="0" w:color="auto"/>
      </w:divBdr>
    </w:div>
    <w:div w:id="922296886">
      <w:bodyDiv w:val="1"/>
      <w:marLeft w:val="0"/>
      <w:marRight w:val="0"/>
      <w:marTop w:val="0"/>
      <w:marBottom w:val="0"/>
      <w:divBdr>
        <w:top w:val="none" w:sz="0" w:space="0" w:color="auto"/>
        <w:left w:val="none" w:sz="0" w:space="0" w:color="auto"/>
        <w:bottom w:val="none" w:sz="0" w:space="0" w:color="auto"/>
        <w:right w:val="none" w:sz="0" w:space="0" w:color="auto"/>
      </w:divBdr>
    </w:div>
    <w:div w:id="923606907">
      <w:bodyDiv w:val="1"/>
      <w:marLeft w:val="0"/>
      <w:marRight w:val="0"/>
      <w:marTop w:val="0"/>
      <w:marBottom w:val="0"/>
      <w:divBdr>
        <w:top w:val="none" w:sz="0" w:space="0" w:color="auto"/>
        <w:left w:val="none" w:sz="0" w:space="0" w:color="auto"/>
        <w:bottom w:val="none" w:sz="0" w:space="0" w:color="auto"/>
        <w:right w:val="none" w:sz="0" w:space="0" w:color="auto"/>
      </w:divBdr>
    </w:div>
    <w:div w:id="924534067">
      <w:bodyDiv w:val="1"/>
      <w:marLeft w:val="0"/>
      <w:marRight w:val="0"/>
      <w:marTop w:val="0"/>
      <w:marBottom w:val="0"/>
      <w:divBdr>
        <w:top w:val="none" w:sz="0" w:space="0" w:color="auto"/>
        <w:left w:val="none" w:sz="0" w:space="0" w:color="auto"/>
        <w:bottom w:val="none" w:sz="0" w:space="0" w:color="auto"/>
        <w:right w:val="none" w:sz="0" w:space="0" w:color="auto"/>
      </w:divBdr>
    </w:div>
    <w:div w:id="926380001">
      <w:bodyDiv w:val="1"/>
      <w:marLeft w:val="0"/>
      <w:marRight w:val="0"/>
      <w:marTop w:val="0"/>
      <w:marBottom w:val="0"/>
      <w:divBdr>
        <w:top w:val="none" w:sz="0" w:space="0" w:color="auto"/>
        <w:left w:val="none" w:sz="0" w:space="0" w:color="auto"/>
        <w:bottom w:val="none" w:sz="0" w:space="0" w:color="auto"/>
        <w:right w:val="none" w:sz="0" w:space="0" w:color="auto"/>
      </w:divBdr>
    </w:div>
    <w:div w:id="941032656">
      <w:bodyDiv w:val="1"/>
      <w:marLeft w:val="0"/>
      <w:marRight w:val="0"/>
      <w:marTop w:val="0"/>
      <w:marBottom w:val="0"/>
      <w:divBdr>
        <w:top w:val="none" w:sz="0" w:space="0" w:color="auto"/>
        <w:left w:val="none" w:sz="0" w:space="0" w:color="auto"/>
        <w:bottom w:val="none" w:sz="0" w:space="0" w:color="auto"/>
        <w:right w:val="none" w:sz="0" w:space="0" w:color="auto"/>
      </w:divBdr>
    </w:div>
    <w:div w:id="957443971">
      <w:bodyDiv w:val="1"/>
      <w:marLeft w:val="0"/>
      <w:marRight w:val="0"/>
      <w:marTop w:val="0"/>
      <w:marBottom w:val="0"/>
      <w:divBdr>
        <w:top w:val="none" w:sz="0" w:space="0" w:color="auto"/>
        <w:left w:val="none" w:sz="0" w:space="0" w:color="auto"/>
        <w:bottom w:val="none" w:sz="0" w:space="0" w:color="auto"/>
        <w:right w:val="none" w:sz="0" w:space="0" w:color="auto"/>
      </w:divBdr>
    </w:div>
    <w:div w:id="962350547">
      <w:bodyDiv w:val="1"/>
      <w:marLeft w:val="0"/>
      <w:marRight w:val="0"/>
      <w:marTop w:val="0"/>
      <w:marBottom w:val="0"/>
      <w:divBdr>
        <w:top w:val="none" w:sz="0" w:space="0" w:color="auto"/>
        <w:left w:val="none" w:sz="0" w:space="0" w:color="auto"/>
        <w:bottom w:val="none" w:sz="0" w:space="0" w:color="auto"/>
        <w:right w:val="none" w:sz="0" w:space="0" w:color="auto"/>
      </w:divBdr>
    </w:div>
    <w:div w:id="964655234">
      <w:bodyDiv w:val="1"/>
      <w:marLeft w:val="0"/>
      <w:marRight w:val="0"/>
      <w:marTop w:val="0"/>
      <w:marBottom w:val="0"/>
      <w:divBdr>
        <w:top w:val="none" w:sz="0" w:space="0" w:color="auto"/>
        <w:left w:val="none" w:sz="0" w:space="0" w:color="auto"/>
        <w:bottom w:val="none" w:sz="0" w:space="0" w:color="auto"/>
        <w:right w:val="none" w:sz="0" w:space="0" w:color="auto"/>
      </w:divBdr>
    </w:div>
    <w:div w:id="965815746">
      <w:bodyDiv w:val="1"/>
      <w:marLeft w:val="0"/>
      <w:marRight w:val="0"/>
      <w:marTop w:val="0"/>
      <w:marBottom w:val="0"/>
      <w:divBdr>
        <w:top w:val="none" w:sz="0" w:space="0" w:color="auto"/>
        <w:left w:val="none" w:sz="0" w:space="0" w:color="auto"/>
        <w:bottom w:val="none" w:sz="0" w:space="0" w:color="auto"/>
        <w:right w:val="none" w:sz="0" w:space="0" w:color="auto"/>
      </w:divBdr>
    </w:div>
    <w:div w:id="966861489">
      <w:bodyDiv w:val="1"/>
      <w:marLeft w:val="0"/>
      <w:marRight w:val="0"/>
      <w:marTop w:val="0"/>
      <w:marBottom w:val="0"/>
      <w:divBdr>
        <w:top w:val="none" w:sz="0" w:space="0" w:color="auto"/>
        <w:left w:val="none" w:sz="0" w:space="0" w:color="auto"/>
        <w:bottom w:val="none" w:sz="0" w:space="0" w:color="auto"/>
        <w:right w:val="none" w:sz="0" w:space="0" w:color="auto"/>
      </w:divBdr>
    </w:div>
    <w:div w:id="967201648">
      <w:bodyDiv w:val="1"/>
      <w:marLeft w:val="0"/>
      <w:marRight w:val="0"/>
      <w:marTop w:val="0"/>
      <w:marBottom w:val="0"/>
      <w:divBdr>
        <w:top w:val="none" w:sz="0" w:space="0" w:color="auto"/>
        <w:left w:val="none" w:sz="0" w:space="0" w:color="auto"/>
        <w:bottom w:val="none" w:sz="0" w:space="0" w:color="auto"/>
        <w:right w:val="none" w:sz="0" w:space="0" w:color="auto"/>
      </w:divBdr>
    </w:div>
    <w:div w:id="969440816">
      <w:bodyDiv w:val="1"/>
      <w:marLeft w:val="0"/>
      <w:marRight w:val="0"/>
      <w:marTop w:val="0"/>
      <w:marBottom w:val="0"/>
      <w:divBdr>
        <w:top w:val="none" w:sz="0" w:space="0" w:color="auto"/>
        <w:left w:val="none" w:sz="0" w:space="0" w:color="auto"/>
        <w:bottom w:val="none" w:sz="0" w:space="0" w:color="auto"/>
        <w:right w:val="none" w:sz="0" w:space="0" w:color="auto"/>
      </w:divBdr>
    </w:div>
    <w:div w:id="970525283">
      <w:bodyDiv w:val="1"/>
      <w:marLeft w:val="0"/>
      <w:marRight w:val="0"/>
      <w:marTop w:val="0"/>
      <w:marBottom w:val="0"/>
      <w:divBdr>
        <w:top w:val="none" w:sz="0" w:space="0" w:color="auto"/>
        <w:left w:val="none" w:sz="0" w:space="0" w:color="auto"/>
        <w:bottom w:val="none" w:sz="0" w:space="0" w:color="auto"/>
        <w:right w:val="none" w:sz="0" w:space="0" w:color="auto"/>
      </w:divBdr>
    </w:div>
    <w:div w:id="982540864">
      <w:bodyDiv w:val="1"/>
      <w:marLeft w:val="0"/>
      <w:marRight w:val="0"/>
      <w:marTop w:val="0"/>
      <w:marBottom w:val="0"/>
      <w:divBdr>
        <w:top w:val="none" w:sz="0" w:space="0" w:color="auto"/>
        <w:left w:val="none" w:sz="0" w:space="0" w:color="auto"/>
        <w:bottom w:val="none" w:sz="0" w:space="0" w:color="auto"/>
        <w:right w:val="none" w:sz="0" w:space="0" w:color="auto"/>
      </w:divBdr>
    </w:div>
    <w:div w:id="983660629">
      <w:bodyDiv w:val="1"/>
      <w:marLeft w:val="0"/>
      <w:marRight w:val="0"/>
      <w:marTop w:val="0"/>
      <w:marBottom w:val="0"/>
      <w:divBdr>
        <w:top w:val="none" w:sz="0" w:space="0" w:color="auto"/>
        <w:left w:val="none" w:sz="0" w:space="0" w:color="auto"/>
        <w:bottom w:val="none" w:sz="0" w:space="0" w:color="auto"/>
        <w:right w:val="none" w:sz="0" w:space="0" w:color="auto"/>
      </w:divBdr>
    </w:div>
    <w:div w:id="984046623">
      <w:bodyDiv w:val="1"/>
      <w:marLeft w:val="0"/>
      <w:marRight w:val="0"/>
      <w:marTop w:val="0"/>
      <w:marBottom w:val="0"/>
      <w:divBdr>
        <w:top w:val="none" w:sz="0" w:space="0" w:color="auto"/>
        <w:left w:val="none" w:sz="0" w:space="0" w:color="auto"/>
        <w:bottom w:val="none" w:sz="0" w:space="0" w:color="auto"/>
        <w:right w:val="none" w:sz="0" w:space="0" w:color="auto"/>
      </w:divBdr>
    </w:div>
    <w:div w:id="984427426">
      <w:bodyDiv w:val="1"/>
      <w:marLeft w:val="0"/>
      <w:marRight w:val="0"/>
      <w:marTop w:val="0"/>
      <w:marBottom w:val="0"/>
      <w:divBdr>
        <w:top w:val="none" w:sz="0" w:space="0" w:color="auto"/>
        <w:left w:val="none" w:sz="0" w:space="0" w:color="auto"/>
        <w:bottom w:val="none" w:sz="0" w:space="0" w:color="auto"/>
        <w:right w:val="none" w:sz="0" w:space="0" w:color="auto"/>
      </w:divBdr>
    </w:div>
    <w:div w:id="986981493">
      <w:bodyDiv w:val="1"/>
      <w:marLeft w:val="0"/>
      <w:marRight w:val="0"/>
      <w:marTop w:val="0"/>
      <w:marBottom w:val="0"/>
      <w:divBdr>
        <w:top w:val="none" w:sz="0" w:space="0" w:color="auto"/>
        <w:left w:val="none" w:sz="0" w:space="0" w:color="auto"/>
        <w:bottom w:val="none" w:sz="0" w:space="0" w:color="auto"/>
        <w:right w:val="none" w:sz="0" w:space="0" w:color="auto"/>
      </w:divBdr>
    </w:div>
    <w:div w:id="988825352">
      <w:bodyDiv w:val="1"/>
      <w:marLeft w:val="0"/>
      <w:marRight w:val="0"/>
      <w:marTop w:val="0"/>
      <w:marBottom w:val="0"/>
      <w:divBdr>
        <w:top w:val="none" w:sz="0" w:space="0" w:color="auto"/>
        <w:left w:val="none" w:sz="0" w:space="0" w:color="auto"/>
        <w:bottom w:val="none" w:sz="0" w:space="0" w:color="auto"/>
        <w:right w:val="none" w:sz="0" w:space="0" w:color="auto"/>
      </w:divBdr>
    </w:div>
    <w:div w:id="989136296">
      <w:bodyDiv w:val="1"/>
      <w:marLeft w:val="0"/>
      <w:marRight w:val="0"/>
      <w:marTop w:val="0"/>
      <w:marBottom w:val="0"/>
      <w:divBdr>
        <w:top w:val="none" w:sz="0" w:space="0" w:color="auto"/>
        <w:left w:val="none" w:sz="0" w:space="0" w:color="auto"/>
        <w:bottom w:val="none" w:sz="0" w:space="0" w:color="auto"/>
        <w:right w:val="none" w:sz="0" w:space="0" w:color="auto"/>
      </w:divBdr>
    </w:div>
    <w:div w:id="1001009722">
      <w:bodyDiv w:val="1"/>
      <w:marLeft w:val="0"/>
      <w:marRight w:val="0"/>
      <w:marTop w:val="0"/>
      <w:marBottom w:val="0"/>
      <w:divBdr>
        <w:top w:val="none" w:sz="0" w:space="0" w:color="auto"/>
        <w:left w:val="none" w:sz="0" w:space="0" w:color="auto"/>
        <w:bottom w:val="none" w:sz="0" w:space="0" w:color="auto"/>
        <w:right w:val="none" w:sz="0" w:space="0" w:color="auto"/>
      </w:divBdr>
    </w:div>
    <w:div w:id="1004750172">
      <w:bodyDiv w:val="1"/>
      <w:marLeft w:val="0"/>
      <w:marRight w:val="0"/>
      <w:marTop w:val="0"/>
      <w:marBottom w:val="0"/>
      <w:divBdr>
        <w:top w:val="none" w:sz="0" w:space="0" w:color="auto"/>
        <w:left w:val="none" w:sz="0" w:space="0" w:color="auto"/>
        <w:bottom w:val="none" w:sz="0" w:space="0" w:color="auto"/>
        <w:right w:val="none" w:sz="0" w:space="0" w:color="auto"/>
      </w:divBdr>
    </w:div>
    <w:div w:id="1007908171">
      <w:bodyDiv w:val="1"/>
      <w:marLeft w:val="0"/>
      <w:marRight w:val="0"/>
      <w:marTop w:val="0"/>
      <w:marBottom w:val="0"/>
      <w:divBdr>
        <w:top w:val="none" w:sz="0" w:space="0" w:color="auto"/>
        <w:left w:val="none" w:sz="0" w:space="0" w:color="auto"/>
        <w:bottom w:val="none" w:sz="0" w:space="0" w:color="auto"/>
        <w:right w:val="none" w:sz="0" w:space="0" w:color="auto"/>
      </w:divBdr>
    </w:div>
    <w:div w:id="1009336060">
      <w:bodyDiv w:val="1"/>
      <w:marLeft w:val="0"/>
      <w:marRight w:val="0"/>
      <w:marTop w:val="0"/>
      <w:marBottom w:val="0"/>
      <w:divBdr>
        <w:top w:val="none" w:sz="0" w:space="0" w:color="auto"/>
        <w:left w:val="none" w:sz="0" w:space="0" w:color="auto"/>
        <w:bottom w:val="none" w:sz="0" w:space="0" w:color="auto"/>
        <w:right w:val="none" w:sz="0" w:space="0" w:color="auto"/>
      </w:divBdr>
    </w:div>
    <w:div w:id="1015767760">
      <w:bodyDiv w:val="1"/>
      <w:marLeft w:val="0"/>
      <w:marRight w:val="0"/>
      <w:marTop w:val="0"/>
      <w:marBottom w:val="0"/>
      <w:divBdr>
        <w:top w:val="none" w:sz="0" w:space="0" w:color="auto"/>
        <w:left w:val="none" w:sz="0" w:space="0" w:color="auto"/>
        <w:bottom w:val="none" w:sz="0" w:space="0" w:color="auto"/>
        <w:right w:val="none" w:sz="0" w:space="0" w:color="auto"/>
      </w:divBdr>
    </w:div>
    <w:div w:id="1018888595">
      <w:bodyDiv w:val="1"/>
      <w:marLeft w:val="0"/>
      <w:marRight w:val="0"/>
      <w:marTop w:val="0"/>
      <w:marBottom w:val="0"/>
      <w:divBdr>
        <w:top w:val="none" w:sz="0" w:space="0" w:color="auto"/>
        <w:left w:val="none" w:sz="0" w:space="0" w:color="auto"/>
        <w:bottom w:val="none" w:sz="0" w:space="0" w:color="auto"/>
        <w:right w:val="none" w:sz="0" w:space="0" w:color="auto"/>
      </w:divBdr>
    </w:div>
    <w:div w:id="1028946266">
      <w:bodyDiv w:val="1"/>
      <w:marLeft w:val="0"/>
      <w:marRight w:val="0"/>
      <w:marTop w:val="0"/>
      <w:marBottom w:val="0"/>
      <w:divBdr>
        <w:top w:val="none" w:sz="0" w:space="0" w:color="auto"/>
        <w:left w:val="none" w:sz="0" w:space="0" w:color="auto"/>
        <w:bottom w:val="none" w:sz="0" w:space="0" w:color="auto"/>
        <w:right w:val="none" w:sz="0" w:space="0" w:color="auto"/>
      </w:divBdr>
    </w:div>
    <w:div w:id="1029797042">
      <w:bodyDiv w:val="1"/>
      <w:marLeft w:val="0"/>
      <w:marRight w:val="0"/>
      <w:marTop w:val="0"/>
      <w:marBottom w:val="0"/>
      <w:divBdr>
        <w:top w:val="none" w:sz="0" w:space="0" w:color="auto"/>
        <w:left w:val="none" w:sz="0" w:space="0" w:color="auto"/>
        <w:bottom w:val="none" w:sz="0" w:space="0" w:color="auto"/>
        <w:right w:val="none" w:sz="0" w:space="0" w:color="auto"/>
      </w:divBdr>
    </w:div>
    <w:div w:id="1031341480">
      <w:bodyDiv w:val="1"/>
      <w:marLeft w:val="0"/>
      <w:marRight w:val="0"/>
      <w:marTop w:val="0"/>
      <w:marBottom w:val="0"/>
      <w:divBdr>
        <w:top w:val="none" w:sz="0" w:space="0" w:color="auto"/>
        <w:left w:val="none" w:sz="0" w:space="0" w:color="auto"/>
        <w:bottom w:val="none" w:sz="0" w:space="0" w:color="auto"/>
        <w:right w:val="none" w:sz="0" w:space="0" w:color="auto"/>
      </w:divBdr>
    </w:div>
    <w:div w:id="1032652240">
      <w:bodyDiv w:val="1"/>
      <w:marLeft w:val="0"/>
      <w:marRight w:val="0"/>
      <w:marTop w:val="0"/>
      <w:marBottom w:val="0"/>
      <w:divBdr>
        <w:top w:val="none" w:sz="0" w:space="0" w:color="auto"/>
        <w:left w:val="none" w:sz="0" w:space="0" w:color="auto"/>
        <w:bottom w:val="none" w:sz="0" w:space="0" w:color="auto"/>
        <w:right w:val="none" w:sz="0" w:space="0" w:color="auto"/>
      </w:divBdr>
    </w:div>
    <w:div w:id="1033383248">
      <w:bodyDiv w:val="1"/>
      <w:marLeft w:val="0"/>
      <w:marRight w:val="0"/>
      <w:marTop w:val="0"/>
      <w:marBottom w:val="0"/>
      <w:divBdr>
        <w:top w:val="none" w:sz="0" w:space="0" w:color="auto"/>
        <w:left w:val="none" w:sz="0" w:space="0" w:color="auto"/>
        <w:bottom w:val="none" w:sz="0" w:space="0" w:color="auto"/>
        <w:right w:val="none" w:sz="0" w:space="0" w:color="auto"/>
      </w:divBdr>
    </w:div>
    <w:div w:id="1034578903">
      <w:bodyDiv w:val="1"/>
      <w:marLeft w:val="0"/>
      <w:marRight w:val="0"/>
      <w:marTop w:val="0"/>
      <w:marBottom w:val="0"/>
      <w:divBdr>
        <w:top w:val="none" w:sz="0" w:space="0" w:color="auto"/>
        <w:left w:val="none" w:sz="0" w:space="0" w:color="auto"/>
        <w:bottom w:val="none" w:sz="0" w:space="0" w:color="auto"/>
        <w:right w:val="none" w:sz="0" w:space="0" w:color="auto"/>
      </w:divBdr>
    </w:div>
    <w:div w:id="1047492679">
      <w:bodyDiv w:val="1"/>
      <w:marLeft w:val="0"/>
      <w:marRight w:val="0"/>
      <w:marTop w:val="0"/>
      <w:marBottom w:val="0"/>
      <w:divBdr>
        <w:top w:val="none" w:sz="0" w:space="0" w:color="auto"/>
        <w:left w:val="none" w:sz="0" w:space="0" w:color="auto"/>
        <w:bottom w:val="none" w:sz="0" w:space="0" w:color="auto"/>
        <w:right w:val="none" w:sz="0" w:space="0" w:color="auto"/>
      </w:divBdr>
    </w:div>
    <w:div w:id="1051424418">
      <w:bodyDiv w:val="1"/>
      <w:marLeft w:val="0"/>
      <w:marRight w:val="0"/>
      <w:marTop w:val="0"/>
      <w:marBottom w:val="0"/>
      <w:divBdr>
        <w:top w:val="none" w:sz="0" w:space="0" w:color="auto"/>
        <w:left w:val="none" w:sz="0" w:space="0" w:color="auto"/>
        <w:bottom w:val="none" w:sz="0" w:space="0" w:color="auto"/>
        <w:right w:val="none" w:sz="0" w:space="0" w:color="auto"/>
      </w:divBdr>
    </w:div>
    <w:div w:id="1053580434">
      <w:bodyDiv w:val="1"/>
      <w:marLeft w:val="0"/>
      <w:marRight w:val="0"/>
      <w:marTop w:val="0"/>
      <w:marBottom w:val="0"/>
      <w:divBdr>
        <w:top w:val="none" w:sz="0" w:space="0" w:color="auto"/>
        <w:left w:val="none" w:sz="0" w:space="0" w:color="auto"/>
        <w:bottom w:val="none" w:sz="0" w:space="0" w:color="auto"/>
        <w:right w:val="none" w:sz="0" w:space="0" w:color="auto"/>
      </w:divBdr>
    </w:div>
    <w:div w:id="1055201828">
      <w:bodyDiv w:val="1"/>
      <w:marLeft w:val="0"/>
      <w:marRight w:val="0"/>
      <w:marTop w:val="0"/>
      <w:marBottom w:val="0"/>
      <w:divBdr>
        <w:top w:val="none" w:sz="0" w:space="0" w:color="auto"/>
        <w:left w:val="none" w:sz="0" w:space="0" w:color="auto"/>
        <w:bottom w:val="none" w:sz="0" w:space="0" w:color="auto"/>
        <w:right w:val="none" w:sz="0" w:space="0" w:color="auto"/>
      </w:divBdr>
    </w:div>
    <w:div w:id="1056318787">
      <w:bodyDiv w:val="1"/>
      <w:marLeft w:val="0"/>
      <w:marRight w:val="0"/>
      <w:marTop w:val="0"/>
      <w:marBottom w:val="0"/>
      <w:divBdr>
        <w:top w:val="none" w:sz="0" w:space="0" w:color="auto"/>
        <w:left w:val="none" w:sz="0" w:space="0" w:color="auto"/>
        <w:bottom w:val="none" w:sz="0" w:space="0" w:color="auto"/>
        <w:right w:val="none" w:sz="0" w:space="0" w:color="auto"/>
      </w:divBdr>
    </w:div>
    <w:div w:id="1056777068">
      <w:bodyDiv w:val="1"/>
      <w:marLeft w:val="0"/>
      <w:marRight w:val="0"/>
      <w:marTop w:val="0"/>
      <w:marBottom w:val="0"/>
      <w:divBdr>
        <w:top w:val="none" w:sz="0" w:space="0" w:color="auto"/>
        <w:left w:val="none" w:sz="0" w:space="0" w:color="auto"/>
        <w:bottom w:val="none" w:sz="0" w:space="0" w:color="auto"/>
        <w:right w:val="none" w:sz="0" w:space="0" w:color="auto"/>
      </w:divBdr>
    </w:div>
    <w:div w:id="1060447857">
      <w:bodyDiv w:val="1"/>
      <w:marLeft w:val="0"/>
      <w:marRight w:val="0"/>
      <w:marTop w:val="0"/>
      <w:marBottom w:val="0"/>
      <w:divBdr>
        <w:top w:val="none" w:sz="0" w:space="0" w:color="auto"/>
        <w:left w:val="none" w:sz="0" w:space="0" w:color="auto"/>
        <w:bottom w:val="none" w:sz="0" w:space="0" w:color="auto"/>
        <w:right w:val="none" w:sz="0" w:space="0" w:color="auto"/>
      </w:divBdr>
    </w:div>
    <w:div w:id="1066074855">
      <w:bodyDiv w:val="1"/>
      <w:marLeft w:val="0"/>
      <w:marRight w:val="0"/>
      <w:marTop w:val="0"/>
      <w:marBottom w:val="0"/>
      <w:divBdr>
        <w:top w:val="none" w:sz="0" w:space="0" w:color="auto"/>
        <w:left w:val="none" w:sz="0" w:space="0" w:color="auto"/>
        <w:bottom w:val="none" w:sz="0" w:space="0" w:color="auto"/>
        <w:right w:val="none" w:sz="0" w:space="0" w:color="auto"/>
      </w:divBdr>
    </w:div>
    <w:div w:id="1074011443">
      <w:bodyDiv w:val="1"/>
      <w:marLeft w:val="0"/>
      <w:marRight w:val="0"/>
      <w:marTop w:val="0"/>
      <w:marBottom w:val="0"/>
      <w:divBdr>
        <w:top w:val="none" w:sz="0" w:space="0" w:color="auto"/>
        <w:left w:val="none" w:sz="0" w:space="0" w:color="auto"/>
        <w:bottom w:val="none" w:sz="0" w:space="0" w:color="auto"/>
        <w:right w:val="none" w:sz="0" w:space="0" w:color="auto"/>
      </w:divBdr>
    </w:div>
    <w:div w:id="1083334261">
      <w:bodyDiv w:val="1"/>
      <w:marLeft w:val="0"/>
      <w:marRight w:val="0"/>
      <w:marTop w:val="0"/>
      <w:marBottom w:val="0"/>
      <w:divBdr>
        <w:top w:val="none" w:sz="0" w:space="0" w:color="auto"/>
        <w:left w:val="none" w:sz="0" w:space="0" w:color="auto"/>
        <w:bottom w:val="none" w:sz="0" w:space="0" w:color="auto"/>
        <w:right w:val="none" w:sz="0" w:space="0" w:color="auto"/>
      </w:divBdr>
    </w:div>
    <w:div w:id="1084915538">
      <w:bodyDiv w:val="1"/>
      <w:marLeft w:val="0"/>
      <w:marRight w:val="0"/>
      <w:marTop w:val="0"/>
      <w:marBottom w:val="0"/>
      <w:divBdr>
        <w:top w:val="none" w:sz="0" w:space="0" w:color="auto"/>
        <w:left w:val="none" w:sz="0" w:space="0" w:color="auto"/>
        <w:bottom w:val="none" w:sz="0" w:space="0" w:color="auto"/>
        <w:right w:val="none" w:sz="0" w:space="0" w:color="auto"/>
      </w:divBdr>
    </w:div>
    <w:div w:id="1092970017">
      <w:bodyDiv w:val="1"/>
      <w:marLeft w:val="0"/>
      <w:marRight w:val="0"/>
      <w:marTop w:val="0"/>
      <w:marBottom w:val="0"/>
      <w:divBdr>
        <w:top w:val="none" w:sz="0" w:space="0" w:color="auto"/>
        <w:left w:val="none" w:sz="0" w:space="0" w:color="auto"/>
        <w:bottom w:val="none" w:sz="0" w:space="0" w:color="auto"/>
        <w:right w:val="none" w:sz="0" w:space="0" w:color="auto"/>
      </w:divBdr>
    </w:div>
    <w:div w:id="1102141182">
      <w:bodyDiv w:val="1"/>
      <w:marLeft w:val="0"/>
      <w:marRight w:val="0"/>
      <w:marTop w:val="0"/>
      <w:marBottom w:val="0"/>
      <w:divBdr>
        <w:top w:val="none" w:sz="0" w:space="0" w:color="auto"/>
        <w:left w:val="none" w:sz="0" w:space="0" w:color="auto"/>
        <w:bottom w:val="none" w:sz="0" w:space="0" w:color="auto"/>
        <w:right w:val="none" w:sz="0" w:space="0" w:color="auto"/>
      </w:divBdr>
    </w:div>
    <w:div w:id="1103183950">
      <w:bodyDiv w:val="1"/>
      <w:marLeft w:val="0"/>
      <w:marRight w:val="0"/>
      <w:marTop w:val="0"/>
      <w:marBottom w:val="0"/>
      <w:divBdr>
        <w:top w:val="none" w:sz="0" w:space="0" w:color="auto"/>
        <w:left w:val="none" w:sz="0" w:space="0" w:color="auto"/>
        <w:bottom w:val="none" w:sz="0" w:space="0" w:color="auto"/>
        <w:right w:val="none" w:sz="0" w:space="0" w:color="auto"/>
      </w:divBdr>
    </w:div>
    <w:div w:id="1107962757">
      <w:bodyDiv w:val="1"/>
      <w:marLeft w:val="0"/>
      <w:marRight w:val="0"/>
      <w:marTop w:val="0"/>
      <w:marBottom w:val="0"/>
      <w:divBdr>
        <w:top w:val="none" w:sz="0" w:space="0" w:color="auto"/>
        <w:left w:val="none" w:sz="0" w:space="0" w:color="auto"/>
        <w:bottom w:val="none" w:sz="0" w:space="0" w:color="auto"/>
        <w:right w:val="none" w:sz="0" w:space="0" w:color="auto"/>
      </w:divBdr>
    </w:div>
    <w:div w:id="1112866861">
      <w:bodyDiv w:val="1"/>
      <w:marLeft w:val="0"/>
      <w:marRight w:val="0"/>
      <w:marTop w:val="0"/>
      <w:marBottom w:val="0"/>
      <w:divBdr>
        <w:top w:val="none" w:sz="0" w:space="0" w:color="auto"/>
        <w:left w:val="none" w:sz="0" w:space="0" w:color="auto"/>
        <w:bottom w:val="none" w:sz="0" w:space="0" w:color="auto"/>
        <w:right w:val="none" w:sz="0" w:space="0" w:color="auto"/>
      </w:divBdr>
    </w:div>
    <w:div w:id="1113209800">
      <w:bodyDiv w:val="1"/>
      <w:marLeft w:val="0"/>
      <w:marRight w:val="0"/>
      <w:marTop w:val="0"/>
      <w:marBottom w:val="0"/>
      <w:divBdr>
        <w:top w:val="none" w:sz="0" w:space="0" w:color="auto"/>
        <w:left w:val="none" w:sz="0" w:space="0" w:color="auto"/>
        <w:bottom w:val="none" w:sz="0" w:space="0" w:color="auto"/>
        <w:right w:val="none" w:sz="0" w:space="0" w:color="auto"/>
      </w:divBdr>
    </w:div>
    <w:div w:id="1114250361">
      <w:bodyDiv w:val="1"/>
      <w:marLeft w:val="0"/>
      <w:marRight w:val="0"/>
      <w:marTop w:val="0"/>
      <w:marBottom w:val="0"/>
      <w:divBdr>
        <w:top w:val="none" w:sz="0" w:space="0" w:color="auto"/>
        <w:left w:val="none" w:sz="0" w:space="0" w:color="auto"/>
        <w:bottom w:val="none" w:sz="0" w:space="0" w:color="auto"/>
        <w:right w:val="none" w:sz="0" w:space="0" w:color="auto"/>
      </w:divBdr>
    </w:div>
    <w:div w:id="1114833748">
      <w:bodyDiv w:val="1"/>
      <w:marLeft w:val="0"/>
      <w:marRight w:val="0"/>
      <w:marTop w:val="0"/>
      <w:marBottom w:val="0"/>
      <w:divBdr>
        <w:top w:val="none" w:sz="0" w:space="0" w:color="auto"/>
        <w:left w:val="none" w:sz="0" w:space="0" w:color="auto"/>
        <w:bottom w:val="none" w:sz="0" w:space="0" w:color="auto"/>
        <w:right w:val="none" w:sz="0" w:space="0" w:color="auto"/>
      </w:divBdr>
    </w:div>
    <w:div w:id="1115297550">
      <w:bodyDiv w:val="1"/>
      <w:marLeft w:val="0"/>
      <w:marRight w:val="0"/>
      <w:marTop w:val="0"/>
      <w:marBottom w:val="0"/>
      <w:divBdr>
        <w:top w:val="none" w:sz="0" w:space="0" w:color="auto"/>
        <w:left w:val="none" w:sz="0" w:space="0" w:color="auto"/>
        <w:bottom w:val="none" w:sz="0" w:space="0" w:color="auto"/>
        <w:right w:val="none" w:sz="0" w:space="0" w:color="auto"/>
      </w:divBdr>
    </w:div>
    <w:div w:id="1121267212">
      <w:bodyDiv w:val="1"/>
      <w:marLeft w:val="0"/>
      <w:marRight w:val="0"/>
      <w:marTop w:val="0"/>
      <w:marBottom w:val="0"/>
      <w:divBdr>
        <w:top w:val="none" w:sz="0" w:space="0" w:color="auto"/>
        <w:left w:val="none" w:sz="0" w:space="0" w:color="auto"/>
        <w:bottom w:val="none" w:sz="0" w:space="0" w:color="auto"/>
        <w:right w:val="none" w:sz="0" w:space="0" w:color="auto"/>
      </w:divBdr>
    </w:div>
    <w:div w:id="1123962696">
      <w:bodyDiv w:val="1"/>
      <w:marLeft w:val="0"/>
      <w:marRight w:val="0"/>
      <w:marTop w:val="0"/>
      <w:marBottom w:val="0"/>
      <w:divBdr>
        <w:top w:val="none" w:sz="0" w:space="0" w:color="auto"/>
        <w:left w:val="none" w:sz="0" w:space="0" w:color="auto"/>
        <w:bottom w:val="none" w:sz="0" w:space="0" w:color="auto"/>
        <w:right w:val="none" w:sz="0" w:space="0" w:color="auto"/>
      </w:divBdr>
    </w:div>
    <w:div w:id="1125192896">
      <w:bodyDiv w:val="1"/>
      <w:marLeft w:val="0"/>
      <w:marRight w:val="0"/>
      <w:marTop w:val="0"/>
      <w:marBottom w:val="0"/>
      <w:divBdr>
        <w:top w:val="none" w:sz="0" w:space="0" w:color="auto"/>
        <w:left w:val="none" w:sz="0" w:space="0" w:color="auto"/>
        <w:bottom w:val="none" w:sz="0" w:space="0" w:color="auto"/>
        <w:right w:val="none" w:sz="0" w:space="0" w:color="auto"/>
      </w:divBdr>
    </w:div>
    <w:div w:id="1138457828">
      <w:bodyDiv w:val="1"/>
      <w:marLeft w:val="0"/>
      <w:marRight w:val="0"/>
      <w:marTop w:val="0"/>
      <w:marBottom w:val="0"/>
      <w:divBdr>
        <w:top w:val="none" w:sz="0" w:space="0" w:color="auto"/>
        <w:left w:val="none" w:sz="0" w:space="0" w:color="auto"/>
        <w:bottom w:val="none" w:sz="0" w:space="0" w:color="auto"/>
        <w:right w:val="none" w:sz="0" w:space="0" w:color="auto"/>
      </w:divBdr>
    </w:div>
    <w:div w:id="1142501340">
      <w:bodyDiv w:val="1"/>
      <w:marLeft w:val="0"/>
      <w:marRight w:val="0"/>
      <w:marTop w:val="0"/>
      <w:marBottom w:val="0"/>
      <w:divBdr>
        <w:top w:val="none" w:sz="0" w:space="0" w:color="auto"/>
        <w:left w:val="none" w:sz="0" w:space="0" w:color="auto"/>
        <w:bottom w:val="none" w:sz="0" w:space="0" w:color="auto"/>
        <w:right w:val="none" w:sz="0" w:space="0" w:color="auto"/>
      </w:divBdr>
    </w:div>
    <w:div w:id="1147166785">
      <w:bodyDiv w:val="1"/>
      <w:marLeft w:val="0"/>
      <w:marRight w:val="0"/>
      <w:marTop w:val="0"/>
      <w:marBottom w:val="0"/>
      <w:divBdr>
        <w:top w:val="none" w:sz="0" w:space="0" w:color="auto"/>
        <w:left w:val="none" w:sz="0" w:space="0" w:color="auto"/>
        <w:bottom w:val="none" w:sz="0" w:space="0" w:color="auto"/>
        <w:right w:val="none" w:sz="0" w:space="0" w:color="auto"/>
      </w:divBdr>
    </w:div>
    <w:div w:id="1147823369">
      <w:bodyDiv w:val="1"/>
      <w:marLeft w:val="0"/>
      <w:marRight w:val="0"/>
      <w:marTop w:val="0"/>
      <w:marBottom w:val="0"/>
      <w:divBdr>
        <w:top w:val="none" w:sz="0" w:space="0" w:color="auto"/>
        <w:left w:val="none" w:sz="0" w:space="0" w:color="auto"/>
        <w:bottom w:val="none" w:sz="0" w:space="0" w:color="auto"/>
        <w:right w:val="none" w:sz="0" w:space="0" w:color="auto"/>
      </w:divBdr>
    </w:div>
    <w:div w:id="1148477112">
      <w:bodyDiv w:val="1"/>
      <w:marLeft w:val="0"/>
      <w:marRight w:val="0"/>
      <w:marTop w:val="0"/>
      <w:marBottom w:val="0"/>
      <w:divBdr>
        <w:top w:val="none" w:sz="0" w:space="0" w:color="auto"/>
        <w:left w:val="none" w:sz="0" w:space="0" w:color="auto"/>
        <w:bottom w:val="none" w:sz="0" w:space="0" w:color="auto"/>
        <w:right w:val="none" w:sz="0" w:space="0" w:color="auto"/>
      </w:divBdr>
    </w:div>
    <w:div w:id="1152213267">
      <w:bodyDiv w:val="1"/>
      <w:marLeft w:val="0"/>
      <w:marRight w:val="0"/>
      <w:marTop w:val="0"/>
      <w:marBottom w:val="0"/>
      <w:divBdr>
        <w:top w:val="none" w:sz="0" w:space="0" w:color="auto"/>
        <w:left w:val="none" w:sz="0" w:space="0" w:color="auto"/>
        <w:bottom w:val="none" w:sz="0" w:space="0" w:color="auto"/>
        <w:right w:val="none" w:sz="0" w:space="0" w:color="auto"/>
      </w:divBdr>
    </w:div>
    <w:div w:id="1157648853">
      <w:bodyDiv w:val="1"/>
      <w:marLeft w:val="0"/>
      <w:marRight w:val="0"/>
      <w:marTop w:val="0"/>
      <w:marBottom w:val="0"/>
      <w:divBdr>
        <w:top w:val="none" w:sz="0" w:space="0" w:color="auto"/>
        <w:left w:val="none" w:sz="0" w:space="0" w:color="auto"/>
        <w:bottom w:val="none" w:sz="0" w:space="0" w:color="auto"/>
        <w:right w:val="none" w:sz="0" w:space="0" w:color="auto"/>
      </w:divBdr>
    </w:div>
    <w:div w:id="1160275269">
      <w:bodyDiv w:val="1"/>
      <w:marLeft w:val="0"/>
      <w:marRight w:val="0"/>
      <w:marTop w:val="0"/>
      <w:marBottom w:val="0"/>
      <w:divBdr>
        <w:top w:val="none" w:sz="0" w:space="0" w:color="auto"/>
        <w:left w:val="none" w:sz="0" w:space="0" w:color="auto"/>
        <w:bottom w:val="none" w:sz="0" w:space="0" w:color="auto"/>
        <w:right w:val="none" w:sz="0" w:space="0" w:color="auto"/>
      </w:divBdr>
    </w:div>
    <w:div w:id="1161657213">
      <w:bodyDiv w:val="1"/>
      <w:marLeft w:val="0"/>
      <w:marRight w:val="0"/>
      <w:marTop w:val="0"/>
      <w:marBottom w:val="0"/>
      <w:divBdr>
        <w:top w:val="none" w:sz="0" w:space="0" w:color="auto"/>
        <w:left w:val="none" w:sz="0" w:space="0" w:color="auto"/>
        <w:bottom w:val="none" w:sz="0" w:space="0" w:color="auto"/>
        <w:right w:val="none" w:sz="0" w:space="0" w:color="auto"/>
      </w:divBdr>
    </w:div>
    <w:div w:id="1171993128">
      <w:bodyDiv w:val="1"/>
      <w:marLeft w:val="0"/>
      <w:marRight w:val="0"/>
      <w:marTop w:val="0"/>
      <w:marBottom w:val="0"/>
      <w:divBdr>
        <w:top w:val="none" w:sz="0" w:space="0" w:color="auto"/>
        <w:left w:val="none" w:sz="0" w:space="0" w:color="auto"/>
        <w:bottom w:val="none" w:sz="0" w:space="0" w:color="auto"/>
        <w:right w:val="none" w:sz="0" w:space="0" w:color="auto"/>
      </w:divBdr>
    </w:div>
    <w:div w:id="1173253491">
      <w:bodyDiv w:val="1"/>
      <w:marLeft w:val="0"/>
      <w:marRight w:val="0"/>
      <w:marTop w:val="0"/>
      <w:marBottom w:val="0"/>
      <w:divBdr>
        <w:top w:val="none" w:sz="0" w:space="0" w:color="auto"/>
        <w:left w:val="none" w:sz="0" w:space="0" w:color="auto"/>
        <w:bottom w:val="none" w:sz="0" w:space="0" w:color="auto"/>
        <w:right w:val="none" w:sz="0" w:space="0" w:color="auto"/>
      </w:divBdr>
    </w:div>
    <w:div w:id="1179658902">
      <w:bodyDiv w:val="1"/>
      <w:marLeft w:val="0"/>
      <w:marRight w:val="0"/>
      <w:marTop w:val="0"/>
      <w:marBottom w:val="0"/>
      <w:divBdr>
        <w:top w:val="none" w:sz="0" w:space="0" w:color="auto"/>
        <w:left w:val="none" w:sz="0" w:space="0" w:color="auto"/>
        <w:bottom w:val="none" w:sz="0" w:space="0" w:color="auto"/>
        <w:right w:val="none" w:sz="0" w:space="0" w:color="auto"/>
      </w:divBdr>
    </w:div>
    <w:div w:id="1181435440">
      <w:bodyDiv w:val="1"/>
      <w:marLeft w:val="0"/>
      <w:marRight w:val="0"/>
      <w:marTop w:val="0"/>
      <w:marBottom w:val="0"/>
      <w:divBdr>
        <w:top w:val="none" w:sz="0" w:space="0" w:color="auto"/>
        <w:left w:val="none" w:sz="0" w:space="0" w:color="auto"/>
        <w:bottom w:val="none" w:sz="0" w:space="0" w:color="auto"/>
        <w:right w:val="none" w:sz="0" w:space="0" w:color="auto"/>
      </w:divBdr>
    </w:div>
    <w:div w:id="1182738023">
      <w:bodyDiv w:val="1"/>
      <w:marLeft w:val="0"/>
      <w:marRight w:val="0"/>
      <w:marTop w:val="0"/>
      <w:marBottom w:val="0"/>
      <w:divBdr>
        <w:top w:val="none" w:sz="0" w:space="0" w:color="auto"/>
        <w:left w:val="none" w:sz="0" w:space="0" w:color="auto"/>
        <w:bottom w:val="none" w:sz="0" w:space="0" w:color="auto"/>
        <w:right w:val="none" w:sz="0" w:space="0" w:color="auto"/>
      </w:divBdr>
    </w:div>
    <w:div w:id="1191991065">
      <w:bodyDiv w:val="1"/>
      <w:marLeft w:val="0"/>
      <w:marRight w:val="0"/>
      <w:marTop w:val="0"/>
      <w:marBottom w:val="0"/>
      <w:divBdr>
        <w:top w:val="none" w:sz="0" w:space="0" w:color="auto"/>
        <w:left w:val="none" w:sz="0" w:space="0" w:color="auto"/>
        <w:bottom w:val="none" w:sz="0" w:space="0" w:color="auto"/>
        <w:right w:val="none" w:sz="0" w:space="0" w:color="auto"/>
      </w:divBdr>
    </w:div>
    <w:div w:id="1201406271">
      <w:bodyDiv w:val="1"/>
      <w:marLeft w:val="0"/>
      <w:marRight w:val="0"/>
      <w:marTop w:val="0"/>
      <w:marBottom w:val="0"/>
      <w:divBdr>
        <w:top w:val="none" w:sz="0" w:space="0" w:color="auto"/>
        <w:left w:val="none" w:sz="0" w:space="0" w:color="auto"/>
        <w:bottom w:val="none" w:sz="0" w:space="0" w:color="auto"/>
        <w:right w:val="none" w:sz="0" w:space="0" w:color="auto"/>
      </w:divBdr>
    </w:div>
    <w:div w:id="1209414224">
      <w:bodyDiv w:val="1"/>
      <w:marLeft w:val="0"/>
      <w:marRight w:val="0"/>
      <w:marTop w:val="0"/>
      <w:marBottom w:val="0"/>
      <w:divBdr>
        <w:top w:val="none" w:sz="0" w:space="0" w:color="auto"/>
        <w:left w:val="none" w:sz="0" w:space="0" w:color="auto"/>
        <w:bottom w:val="none" w:sz="0" w:space="0" w:color="auto"/>
        <w:right w:val="none" w:sz="0" w:space="0" w:color="auto"/>
      </w:divBdr>
    </w:div>
    <w:div w:id="1210263004">
      <w:bodyDiv w:val="1"/>
      <w:marLeft w:val="0"/>
      <w:marRight w:val="0"/>
      <w:marTop w:val="0"/>
      <w:marBottom w:val="0"/>
      <w:divBdr>
        <w:top w:val="none" w:sz="0" w:space="0" w:color="auto"/>
        <w:left w:val="none" w:sz="0" w:space="0" w:color="auto"/>
        <w:bottom w:val="none" w:sz="0" w:space="0" w:color="auto"/>
        <w:right w:val="none" w:sz="0" w:space="0" w:color="auto"/>
      </w:divBdr>
    </w:div>
    <w:div w:id="1218514200">
      <w:bodyDiv w:val="1"/>
      <w:marLeft w:val="0"/>
      <w:marRight w:val="0"/>
      <w:marTop w:val="0"/>
      <w:marBottom w:val="0"/>
      <w:divBdr>
        <w:top w:val="none" w:sz="0" w:space="0" w:color="auto"/>
        <w:left w:val="none" w:sz="0" w:space="0" w:color="auto"/>
        <w:bottom w:val="none" w:sz="0" w:space="0" w:color="auto"/>
        <w:right w:val="none" w:sz="0" w:space="0" w:color="auto"/>
      </w:divBdr>
    </w:div>
    <w:div w:id="1228036160">
      <w:bodyDiv w:val="1"/>
      <w:marLeft w:val="0"/>
      <w:marRight w:val="0"/>
      <w:marTop w:val="0"/>
      <w:marBottom w:val="0"/>
      <w:divBdr>
        <w:top w:val="none" w:sz="0" w:space="0" w:color="auto"/>
        <w:left w:val="none" w:sz="0" w:space="0" w:color="auto"/>
        <w:bottom w:val="none" w:sz="0" w:space="0" w:color="auto"/>
        <w:right w:val="none" w:sz="0" w:space="0" w:color="auto"/>
      </w:divBdr>
    </w:div>
    <w:div w:id="1230456967">
      <w:bodyDiv w:val="1"/>
      <w:marLeft w:val="0"/>
      <w:marRight w:val="0"/>
      <w:marTop w:val="0"/>
      <w:marBottom w:val="0"/>
      <w:divBdr>
        <w:top w:val="none" w:sz="0" w:space="0" w:color="auto"/>
        <w:left w:val="none" w:sz="0" w:space="0" w:color="auto"/>
        <w:bottom w:val="none" w:sz="0" w:space="0" w:color="auto"/>
        <w:right w:val="none" w:sz="0" w:space="0" w:color="auto"/>
      </w:divBdr>
    </w:div>
    <w:div w:id="1244342394">
      <w:bodyDiv w:val="1"/>
      <w:marLeft w:val="0"/>
      <w:marRight w:val="0"/>
      <w:marTop w:val="0"/>
      <w:marBottom w:val="0"/>
      <w:divBdr>
        <w:top w:val="none" w:sz="0" w:space="0" w:color="auto"/>
        <w:left w:val="none" w:sz="0" w:space="0" w:color="auto"/>
        <w:bottom w:val="none" w:sz="0" w:space="0" w:color="auto"/>
        <w:right w:val="none" w:sz="0" w:space="0" w:color="auto"/>
      </w:divBdr>
    </w:div>
    <w:div w:id="1251039849">
      <w:bodyDiv w:val="1"/>
      <w:marLeft w:val="0"/>
      <w:marRight w:val="0"/>
      <w:marTop w:val="0"/>
      <w:marBottom w:val="0"/>
      <w:divBdr>
        <w:top w:val="none" w:sz="0" w:space="0" w:color="auto"/>
        <w:left w:val="none" w:sz="0" w:space="0" w:color="auto"/>
        <w:bottom w:val="none" w:sz="0" w:space="0" w:color="auto"/>
        <w:right w:val="none" w:sz="0" w:space="0" w:color="auto"/>
      </w:divBdr>
    </w:div>
    <w:div w:id="1252592731">
      <w:bodyDiv w:val="1"/>
      <w:marLeft w:val="0"/>
      <w:marRight w:val="0"/>
      <w:marTop w:val="0"/>
      <w:marBottom w:val="0"/>
      <w:divBdr>
        <w:top w:val="none" w:sz="0" w:space="0" w:color="auto"/>
        <w:left w:val="none" w:sz="0" w:space="0" w:color="auto"/>
        <w:bottom w:val="none" w:sz="0" w:space="0" w:color="auto"/>
        <w:right w:val="none" w:sz="0" w:space="0" w:color="auto"/>
      </w:divBdr>
    </w:div>
    <w:div w:id="1258445431">
      <w:bodyDiv w:val="1"/>
      <w:marLeft w:val="0"/>
      <w:marRight w:val="0"/>
      <w:marTop w:val="0"/>
      <w:marBottom w:val="0"/>
      <w:divBdr>
        <w:top w:val="none" w:sz="0" w:space="0" w:color="auto"/>
        <w:left w:val="none" w:sz="0" w:space="0" w:color="auto"/>
        <w:bottom w:val="none" w:sz="0" w:space="0" w:color="auto"/>
        <w:right w:val="none" w:sz="0" w:space="0" w:color="auto"/>
      </w:divBdr>
    </w:div>
    <w:div w:id="1267883289">
      <w:bodyDiv w:val="1"/>
      <w:marLeft w:val="0"/>
      <w:marRight w:val="0"/>
      <w:marTop w:val="0"/>
      <w:marBottom w:val="0"/>
      <w:divBdr>
        <w:top w:val="none" w:sz="0" w:space="0" w:color="auto"/>
        <w:left w:val="none" w:sz="0" w:space="0" w:color="auto"/>
        <w:bottom w:val="none" w:sz="0" w:space="0" w:color="auto"/>
        <w:right w:val="none" w:sz="0" w:space="0" w:color="auto"/>
      </w:divBdr>
    </w:div>
    <w:div w:id="1270356296">
      <w:bodyDiv w:val="1"/>
      <w:marLeft w:val="0"/>
      <w:marRight w:val="0"/>
      <w:marTop w:val="0"/>
      <w:marBottom w:val="0"/>
      <w:divBdr>
        <w:top w:val="none" w:sz="0" w:space="0" w:color="auto"/>
        <w:left w:val="none" w:sz="0" w:space="0" w:color="auto"/>
        <w:bottom w:val="none" w:sz="0" w:space="0" w:color="auto"/>
        <w:right w:val="none" w:sz="0" w:space="0" w:color="auto"/>
      </w:divBdr>
    </w:div>
    <w:div w:id="1274678775">
      <w:bodyDiv w:val="1"/>
      <w:marLeft w:val="0"/>
      <w:marRight w:val="0"/>
      <w:marTop w:val="0"/>
      <w:marBottom w:val="0"/>
      <w:divBdr>
        <w:top w:val="none" w:sz="0" w:space="0" w:color="auto"/>
        <w:left w:val="none" w:sz="0" w:space="0" w:color="auto"/>
        <w:bottom w:val="none" w:sz="0" w:space="0" w:color="auto"/>
        <w:right w:val="none" w:sz="0" w:space="0" w:color="auto"/>
      </w:divBdr>
    </w:div>
    <w:div w:id="1276205914">
      <w:bodyDiv w:val="1"/>
      <w:marLeft w:val="0"/>
      <w:marRight w:val="0"/>
      <w:marTop w:val="0"/>
      <w:marBottom w:val="0"/>
      <w:divBdr>
        <w:top w:val="none" w:sz="0" w:space="0" w:color="auto"/>
        <w:left w:val="none" w:sz="0" w:space="0" w:color="auto"/>
        <w:bottom w:val="none" w:sz="0" w:space="0" w:color="auto"/>
        <w:right w:val="none" w:sz="0" w:space="0" w:color="auto"/>
      </w:divBdr>
    </w:div>
    <w:div w:id="1277444789">
      <w:bodyDiv w:val="1"/>
      <w:marLeft w:val="0"/>
      <w:marRight w:val="0"/>
      <w:marTop w:val="0"/>
      <w:marBottom w:val="0"/>
      <w:divBdr>
        <w:top w:val="none" w:sz="0" w:space="0" w:color="auto"/>
        <w:left w:val="none" w:sz="0" w:space="0" w:color="auto"/>
        <w:bottom w:val="none" w:sz="0" w:space="0" w:color="auto"/>
        <w:right w:val="none" w:sz="0" w:space="0" w:color="auto"/>
      </w:divBdr>
    </w:div>
    <w:div w:id="1286473074">
      <w:bodyDiv w:val="1"/>
      <w:marLeft w:val="0"/>
      <w:marRight w:val="0"/>
      <w:marTop w:val="0"/>
      <w:marBottom w:val="0"/>
      <w:divBdr>
        <w:top w:val="none" w:sz="0" w:space="0" w:color="auto"/>
        <w:left w:val="none" w:sz="0" w:space="0" w:color="auto"/>
        <w:bottom w:val="none" w:sz="0" w:space="0" w:color="auto"/>
        <w:right w:val="none" w:sz="0" w:space="0" w:color="auto"/>
      </w:divBdr>
    </w:div>
    <w:div w:id="1286542399">
      <w:bodyDiv w:val="1"/>
      <w:marLeft w:val="0"/>
      <w:marRight w:val="0"/>
      <w:marTop w:val="0"/>
      <w:marBottom w:val="0"/>
      <w:divBdr>
        <w:top w:val="none" w:sz="0" w:space="0" w:color="auto"/>
        <w:left w:val="none" w:sz="0" w:space="0" w:color="auto"/>
        <w:bottom w:val="none" w:sz="0" w:space="0" w:color="auto"/>
        <w:right w:val="none" w:sz="0" w:space="0" w:color="auto"/>
      </w:divBdr>
    </w:div>
    <w:div w:id="1288776101">
      <w:bodyDiv w:val="1"/>
      <w:marLeft w:val="0"/>
      <w:marRight w:val="0"/>
      <w:marTop w:val="0"/>
      <w:marBottom w:val="0"/>
      <w:divBdr>
        <w:top w:val="none" w:sz="0" w:space="0" w:color="auto"/>
        <w:left w:val="none" w:sz="0" w:space="0" w:color="auto"/>
        <w:bottom w:val="none" w:sz="0" w:space="0" w:color="auto"/>
        <w:right w:val="none" w:sz="0" w:space="0" w:color="auto"/>
      </w:divBdr>
    </w:div>
    <w:div w:id="1293706846">
      <w:bodyDiv w:val="1"/>
      <w:marLeft w:val="0"/>
      <w:marRight w:val="0"/>
      <w:marTop w:val="0"/>
      <w:marBottom w:val="0"/>
      <w:divBdr>
        <w:top w:val="none" w:sz="0" w:space="0" w:color="auto"/>
        <w:left w:val="none" w:sz="0" w:space="0" w:color="auto"/>
        <w:bottom w:val="none" w:sz="0" w:space="0" w:color="auto"/>
        <w:right w:val="none" w:sz="0" w:space="0" w:color="auto"/>
      </w:divBdr>
    </w:div>
    <w:div w:id="1294796299">
      <w:bodyDiv w:val="1"/>
      <w:marLeft w:val="0"/>
      <w:marRight w:val="0"/>
      <w:marTop w:val="0"/>
      <w:marBottom w:val="0"/>
      <w:divBdr>
        <w:top w:val="none" w:sz="0" w:space="0" w:color="auto"/>
        <w:left w:val="none" w:sz="0" w:space="0" w:color="auto"/>
        <w:bottom w:val="none" w:sz="0" w:space="0" w:color="auto"/>
        <w:right w:val="none" w:sz="0" w:space="0" w:color="auto"/>
      </w:divBdr>
    </w:div>
    <w:div w:id="1296334181">
      <w:bodyDiv w:val="1"/>
      <w:marLeft w:val="0"/>
      <w:marRight w:val="0"/>
      <w:marTop w:val="0"/>
      <w:marBottom w:val="0"/>
      <w:divBdr>
        <w:top w:val="none" w:sz="0" w:space="0" w:color="auto"/>
        <w:left w:val="none" w:sz="0" w:space="0" w:color="auto"/>
        <w:bottom w:val="none" w:sz="0" w:space="0" w:color="auto"/>
        <w:right w:val="none" w:sz="0" w:space="0" w:color="auto"/>
      </w:divBdr>
    </w:div>
    <w:div w:id="1303191081">
      <w:bodyDiv w:val="1"/>
      <w:marLeft w:val="0"/>
      <w:marRight w:val="0"/>
      <w:marTop w:val="0"/>
      <w:marBottom w:val="0"/>
      <w:divBdr>
        <w:top w:val="none" w:sz="0" w:space="0" w:color="auto"/>
        <w:left w:val="none" w:sz="0" w:space="0" w:color="auto"/>
        <w:bottom w:val="none" w:sz="0" w:space="0" w:color="auto"/>
        <w:right w:val="none" w:sz="0" w:space="0" w:color="auto"/>
      </w:divBdr>
    </w:div>
    <w:div w:id="1304430769">
      <w:bodyDiv w:val="1"/>
      <w:marLeft w:val="0"/>
      <w:marRight w:val="0"/>
      <w:marTop w:val="0"/>
      <w:marBottom w:val="0"/>
      <w:divBdr>
        <w:top w:val="none" w:sz="0" w:space="0" w:color="auto"/>
        <w:left w:val="none" w:sz="0" w:space="0" w:color="auto"/>
        <w:bottom w:val="none" w:sz="0" w:space="0" w:color="auto"/>
        <w:right w:val="none" w:sz="0" w:space="0" w:color="auto"/>
      </w:divBdr>
    </w:div>
    <w:div w:id="1305358345">
      <w:bodyDiv w:val="1"/>
      <w:marLeft w:val="0"/>
      <w:marRight w:val="0"/>
      <w:marTop w:val="0"/>
      <w:marBottom w:val="0"/>
      <w:divBdr>
        <w:top w:val="none" w:sz="0" w:space="0" w:color="auto"/>
        <w:left w:val="none" w:sz="0" w:space="0" w:color="auto"/>
        <w:bottom w:val="none" w:sz="0" w:space="0" w:color="auto"/>
        <w:right w:val="none" w:sz="0" w:space="0" w:color="auto"/>
      </w:divBdr>
    </w:div>
    <w:div w:id="1309283441">
      <w:bodyDiv w:val="1"/>
      <w:marLeft w:val="0"/>
      <w:marRight w:val="0"/>
      <w:marTop w:val="0"/>
      <w:marBottom w:val="0"/>
      <w:divBdr>
        <w:top w:val="none" w:sz="0" w:space="0" w:color="auto"/>
        <w:left w:val="none" w:sz="0" w:space="0" w:color="auto"/>
        <w:bottom w:val="none" w:sz="0" w:space="0" w:color="auto"/>
        <w:right w:val="none" w:sz="0" w:space="0" w:color="auto"/>
      </w:divBdr>
    </w:div>
    <w:div w:id="1318998997">
      <w:bodyDiv w:val="1"/>
      <w:marLeft w:val="0"/>
      <w:marRight w:val="0"/>
      <w:marTop w:val="0"/>
      <w:marBottom w:val="0"/>
      <w:divBdr>
        <w:top w:val="none" w:sz="0" w:space="0" w:color="auto"/>
        <w:left w:val="none" w:sz="0" w:space="0" w:color="auto"/>
        <w:bottom w:val="none" w:sz="0" w:space="0" w:color="auto"/>
        <w:right w:val="none" w:sz="0" w:space="0" w:color="auto"/>
      </w:divBdr>
    </w:div>
    <w:div w:id="1327398631">
      <w:bodyDiv w:val="1"/>
      <w:marLeft w:val="0"/>
      <w:marRight w:val="0"/>
      <w:marTop w:val="0"/>
      <w:marBottom w:val="0"/>
      <w:divBdr>
        <w:top w:val="none" w:sz="0" w:space="0" w:color="auto"/>
        <w:left w:val="none" w:sz="0" w:space="0" w:color="auto"/>
        <w:bottom w:val="none" w:sz="0" w:space="0" w:color="auto"/>
        <w:right w:val="none" w:sz="0" w:space="0" w:color="auto"/>
      </w:divBdr>
    </w:div>
    <w:div w:id="1334988776">
      <w:bodyDiv w:val="1"/>
      <w:marLeft w:val="0"/>
      <w:marRight w:val="0"/>
      <w:marTop w:val="0"/>
      <w:marBottom w:val="0"/>
      <w:divBdr>
        <w:top w:val="none" w:sz="0" w:space="0" w:color="auto"/>
        <w:left w:val="none" w:sz="0" w:space="0" w:color="auto"/>
        <w:bottom w:val="none" w:sz="0" w:space="0" w:color="auto"/>
        <w:right w:val="none" w:sz="0" w:space="0" w:color="auto"/>
      </w:divBdr>
    </w:div>
    <w:div w:id="1338117210">
      <w:bodyDiv w:val="1"/>
      <w:marLeft w:val="0"/>
      <w:marRight w:val="0"/>
      <w:marTop w:val="0"/>
      <w:marBottom w:val="0"/>
      <w:divBdr>
        <w:top w:val="none" w:sz="0" w:space="0" w:color="auto"/>
        <w:left w:val="none" w:sz="0" w:space="0" w:color="auto"/>
        <w:bottom w:val="none" w:sz="0" w:space="0" w:color="auto"/>
        <w:right w:val="none" w:sz="0" w:space="0" w:color="auto"/>
      </w:divBdr>
    </w:div>
    <w:div w:id="1339456145">
      <w:bodyDiv w:val="1"/>
      <w:marLeft w:val="0"/>
      <w:marRight w:val="0"/>
      <w:marTop w:val="0"/>
      <w:marBottom w:val="0"/>
      <w:divBdr>
        <w:top w:val="none" w:sz="0" w:space="0" w:color="auto"/>
        <w:left w:val="none" w:sz="0" w:space="0" w:color="auto"/>
        <w:bottom w:val="none" w:sz="0" w:space="0" w:color="auto"/>
        <w:right w:val="none" w:sz="0" w:space="0" w:color="auto"/>
      </w:divBdr>
    </w:div>
    <w:div w:id="1345325568">
      <w:bodyDiv w:val="1"/>
      <w:marLeft w:val="0"/>
      <w:marRight w:val="0"/>
      <w:marTop w:val="0"/>
      <w:marBottom w:val="0"/>
      <w:divBdr>
        <w:top w:val="none" w:sz="0" w:space="0" w:color="auto"/>
        <w:left w:val="none" w:sz="0" w:space="0" w:color="auto"/>
        <w:bottom w:val="none" w:sz="0" w:space="0" w:color="auto"/>
        <w:right w:val="none" w:sz="0" w:space="0" w:color="auto"/>
      </w:divBdr>
    </w:div>
    <w:div w:id="1346665884">
      <w:bodyDiv w:val="1"/>
      <w:marLeft w:val="0"/>
      <w:marRight w:val="0"/>
      <w:marTop w:val="0"/>
      <w:marBottom w:val="0"/>
      <w:divBdr>
        <w:top w:val="none" w:sz="0" w:space="0" w:color="auto"/>
        <w:left w:val="none" w:sz="0" w:space="0" w:color="auto"/>
        <w:bottom w:val="none" w:sz="0" w:space="0" w:color="auto"/>
        <w:right w:val="none" w:sz="0" w:space="0" w:color="auto"/>
      </w:divBdr>
    </w:div>
    <w:div w:id="1353914804">
      <w:bodyDiv w:val="1"/>
      <w:marLeft w:val="0"/>
      <w:marRight w:val="0"/>
      <w:marTop w:val="0"/>
      <w:marBottom w:val="0"/>
      <w:divBdr>
        <w:top w:val="none" w:sz="0" w:space="0" w:color="auto"/>
        <w:left w:val="none" w:sz="0" w:space="0" w:color="auto"/>
        <w:bottom w:val="none" w:sz="0" w:space="0" w:color="auto"/>
        <w:right w:val="none" w:sz="0" w:space="0" w:color="auto"/>
      </w:divBdr>
    </w:div>
    <w:div w:id="1354841664">
      <w:bodyDiv w:val="1"/>
      <w:marLeft w:val="0"/>
      <w:marRight w:val="0"/>
      <w:marTop w:val="0"/>
      <w:marBottom w:val="0"/>
      <w:divBdr>
        <w:top w:val="none" w:sz="0" w:space="0" w:color="auto"/>
        <w:left w:val="none" w:sz="0" w:space="0" w:color="auto"/>
        <w:bottom w:val="none" w:sz="0" w:space="0" w:color="auto"/>
        <w:right w:val="none" w:sz="0" w:space="0" w:color="auto"/>
      </w:divBdr>
    </w:div>
    <w:div w:id="1355305250">
      <w:bodyDiv w:val="1"/>
      <w:marLeft w:val="0"/>
      <w:marRight w:val="0"/>
      <w:marTop w:val="0"/>
      <w:marBottom w:val="0"/>
      <w:divBdr>
        <w:top w:val="none" w:sz="0" w:space="0" w:color="auto"/>
        <w:left w:val="none" w:sz="0" w:space="0" w:color="auto"/>
        <w:bottom w:val="none" w:sz="0" w:space="0" w:color="auto"/>
        <w:right w:val="none" w:sz="0" w:space="0" w:color="auto"/>
      </w:divBdr>
    </w:div>
    <w:div w:id="1361319869">
      <w:bodyDiv w:val="1"/>
      <w:marLeft w:val="0"/>
      <w:marRight w:val="0"/>
      <w:marTop w:val="0"/>
      <w:marBottom w:val="0"/>
      <w:divBdr>
        <w:top w:val="none" w:sz="0" w:space="0" w:color="auto"/>
        <w:left w:val="none" w:sz="0" w:space="0" w:color="auto"/>
        <w:bottom w:val="none" w:sz="0" w:space="0" w:color="auto"/>
        <w:right w:val="none" w:sz="0" w:space="0" w:color="auto"/>
      </w:divBdr>
    </w:div>
    <w:div w:id="1362248188">
      <w:bodyDiv w:val="1"/>
      <w:marLeft w:val="0"/>
      <w:marRight w:val="0"/>
      <w:marTop w:val="0"/>
      <w:marBottom w:val="0"/>
      <w:divBdr>
        <w:top w:val="none" w:sz="0" w:space="0" w:color="auto"/>
        <w:left w:val="none" w:sz="0" w:space="0" w:color="auto"/>
        <w:bottom w:val="none" w:sz="0" w:space="0" w:color="auto"/>
        <w:right w:val="none" w:sz="0" w:space="0" w:color="auto"/>
      </w:divBdr>
    </w:div>
    <w:div w:id="1364599869">
      <w:bodyDiv w:val="1"/>
      <w:marLeft w:val="0"/>
      <w:marRight w:val="0"/>
      <w:marTop w:val="0"/>
      <w:marBottom w:val="0"/>
      <w:divBdr>
        <w:top w:val="none" w:sz="0" w:space="0" w:color="auto"/>
        <w:left w:val="none" w:sz="0" w:space="0" w:color="auto"/>
        <w:bottom w:val="none" w:sz="0" w:space="0" w:color="auto"/>
        <w:right w:val="none" w:sz="0" w:space="0" w:color="auto"/>
      </w:divBdr>
    </w:div>
    <w:div w:id="1367633928">
      <w:bodyDiv w:val="1"/>
      <w:marLeft w:val="0"/>
      <w:marRight w:val="0"/>
      <w:marTop w:val="0"/>
      <w:marBottom w:val="0"/>
      <w:divBdr>
        <w:top w:val="none" w:sz="0" w:space="0" w:color="auto"/>
        <w:left w:val="none" w:sz="0" w:space="0" w:color="auto"/>
        <w:bottom w:val="none" w:sz="0" w:space="0" w:color="auto"/>
        <w:right w:val="none" w:sz="0" w:space="0" w:color="auto"/>
      </w:divBdr>
    </w:div>
    <w:div w:id="1373262334">
      <w:bodyDiv w:val="1"/>
      <w:marLeft w:val="0"/>
      <w:marRight w:val="0"/>
      <w:marTop w:val="0"/>
      <w:marBottom w:val="0"/>
      <w:divBdr>
        <w:top w:val="none" w:sz="0" w:space="0" w:color="auto"/>
        <w:left w:val="none" w:sz="0" w:space="0" w:color="auto"/>
        <w:bottom w:val="none" w:sz="0" w:space="0" w:color="auto"/>
        <w:right w:val="none" w:sz="0" w:space="0" w:color="auto"/>
      </w:divBdr>
    </w:div>
    <w:div w:id="1376849745">
      <w:bodyDiv w:val="1"/>
      <w:marLeft w:val="0"/>
      <w:marRight w:val="0"/>
      <w:marTop w:val="0"/>
      <w:marBottom w:val="0"/>
      <w:divBdr>
        <w:top w:val="none" w:sz="0" w:space="0" w:color="auto"/>
        <w:left w:val="none" w:sz="0" w:space="0" w:color="auto"/>
        <w:bottom w:val="none" w:sz="0" w:space="0" w:color="auto"/>
        <w:right w:val="none" w:sz="0" w:space="0" w:color="auto"/>
      </w:divBdr>
    </w:div>
    <w:div w:id="1382099370">
      <w:bodyDiv w:val="1"/>
      <w:marLeft w:val="0"/>
      <w:marRight w:val="0"/>
      <w:marTop w:val="0"/>
      <w:marBottom w:val="0"/>
      <w:divBdr>
        <w:top w:val="none" w:sz="0" w:space="0" w:color="auto"/>
        <w:left w:val="none" w:sz="0" w:space="0" w:color="auto"/>
        <w:bottom w:val="none" w:sz="0" w:space="0" w:color="auto"/>
        <w:right w:val="none" w:sz="0" w:space="0" w:color="auto"/>
      </w:divBdr>
    </w:div>
    <w:div w:id="1384405076">
      <w:bodyDiv w:val="1"/>
      <w:marLeft w:val="0"/>
      <w:marRight w:val="0"/>
      <w:marTop w:val="0"/>
      <w:marBottom w:val="0"/>
      <w:divBdr>
        <w:top w:val="none" w:sz="0" w:space="0" w:color="auto"/>
        <w:left w:val="none" w:sz="0" w:space="0" w:color="auto"/>
        <w:bottom w:val="none" w:sz="0" w:space="0" w:color="auto"/>
        <w:right w:val="none" w:sz="0" w:space="0" w:color="auto"/>
      </w:divBdr>
    </w:div>
    <w:div w:id="1392387783">
      <w:bodyDiv w:val="1"/>
      <w:marLeft w:val="0"/>
      <w:marRight w:val="0"/>
      <w:marTop w:val="0"/>
      <w:marBottom w:val="0"/>
      <w:divBdr>
        <w:top w:val="none" w:sz="0" w:space="0" w:color="auto"/>
        <w:left w:val="none" w:sz="0" w:space="0" w:color="auto"/>
        <w:bottom w:val="none" w:sz="0" w:space="0" w:color="auto"/>
        <w:right w:val="none" w:sz="0" w:space="0" w:color="auto"/>
      </w:divBdr>
    </w:div>
    <w:div w:id="1398940172">
      <w:bodyDiv w:val="1"/>
      <w:marLeft w:val="0"/>
      <w:marRight w:val="0"/>
      <w:marTop w:val="0"/>
      <w:marBottom w:val="0"/>
      <w:divBdr>
        <w:top w:val="none" w:sz="0" w:space="0" w:color="auto"/>
        <w:left w:val="none" w:sz="0" w:space="0" w:color="auto"/>
        <w:bottom w:val="none" w:sz="0" w:space="0" w:color="auto"/>
        <w:right w:val="none" w:sz="0" w:space="0" w:color="auto"/>
      </w:divBdr>
    </w:div>
    <w:div w:id="1405031410">
      <w:bodyDiv w:val="1"/>
      <w:marLeft w:val="0"/>
      <w:marRight w:val="0"/>
      <w:marTop w:val="0"/>
      <w:marBottom w:val="0"/>
      <w:divBdr>
        <w:top w:val="none" w:sz="0" w:space="0" w:color="auto"/>
        <w:left w:val="none" w:sz="0" w:space="0" w:color="auto"/>
        <w:bottom w:val="none" w:sz="0" w:space="0" w:color="auto"/>
        <w:right w:val="none" w:sz="0" w:space="0" w:color="auto"/>
      </w:divBdr>
    </w:div>
    <w:div w:id="1411124931">
      <w:bodyDiv w:val="1"/>
      <w:marLeft w:val="0"/>
      <w:marRight w:val="0"/>
      <w:marTop w:val="0"/>
      <w:marBottom w:val="0"/>
      <w:divBdr>
        <w:top w:val="none" w:sz="0" w:space="0" w:color="auto"/>
        <w:left w:val="none" w:sz="0" w:space="0" w:color="auto"/>
        <w:bottom w:val="none" w:sz="0" w:space="0" w:color="auto"/>
        <w:right w:val="none" w:sz="0" w:space="0" w:color="auto"/>
      </w:divBdr>
    </w:div>
    <w:div w:id="1413233880">
      <w:bodyDiv w:val="1"/>
      <w:marLeft w:val="0"/>
      <w:marRight w:val="0"/>
      <w:marTop w:val="0"/>
      <w:marBottom w:val="0"/>
      <w:divBdr>
        <w:top w:val="none" w:sz="0" w:space="0" w:color="auto"/>
        <w:left w:val="none" w:sz="0" w:space="0" w:color="auto"/>
        <w:bottom w:val="none" w:sz="0" w:space="0" w:color="auto"/>
        <w:right w:val="none" w:sz="0" w:space="0" w:color="auto"/>
      </w:divBdr>
    </w:div>
    <w:div w:id="1431242515">
      <w:bodyDiv w:val="1"/>
      <w:marLeft w:val="0"/>
      <w:marRight w:val="0"/>
      <w:marTop w:val="0"/>
      <w:marBottom w:val="0"/>
      <w:divBdr>
        <w:top w:val="none" w:sz="0" w:space="0" w:color="auto"/>
        <w:left w:val="none" w:sz="0" w:space="0" w:color="auto"/>
        <w:bottom w:val="none" w:sz="0" w:space="0" w:color="auto"/>
        <w:right w:val="none" w:sz="0" w:space="0" w:color="auto"/>
      </w:divBdr>
    </w:div>
    <w:div w:id="1431388672">
      <w:bodyDiv w:val="1"/>
      <w:marLeft w:val="0"/>
      <w:marRight w:val="0"/>
      <w:marTop w:val="0"/>
      <w:marBottom w:val="0"/>
      <w:divBdr>
        <w:top w:val="none" w:sz="0" w:space="0" w:color="auto"/>
        <w:left w:val="none" w:sz="0" w:space="0" w:color="auto"/>
        <w:bottom w:val="none" w:sz="0" w:space="0" w:color="auto"/>
        <w:right w:val="none" w:sz="0" w:space="0" w:color="auto"/>
      </w:divBdr>
    </w:div>
    <w:div w:id="1436632889">
      <w:bodyDiv w:val="1"/>
      <w:marLeft w:val="0"/>
      <w:marRight w:val="0"/>
      <w:marTop w:val="0"/>
      <w:marBottom w:val="0"/>
      <w:divBdr>
        <w:top w:val="none" w:sz="0" w:space="0" w:color="auto"/>
        <w:left w:val="none" w:sz="0" w:space="0" w:color="auto"/>
        <w:bottom w:val="none" w:sz="0" w:space="0" w:color="auto"/>
        <w:right w:val="none" w:sz="0" w:space="0" w:color="auto"/>
      </w:divBdr>
    </w:div>
    <w:div w:id="1438673386">
      <w:bodyDiv w:val="1"/>
      <w:marLeft w:val="0"/>
      <w:marRight w:val="0"/>
      <w:marTop w:val="0"/>
      <w:marBottom w:val="0"/>
      <w:divBdr>
        <w:top w:val="none" w:sz="0" w:space="0" w:color="auto"/>
        <w:left w:val="none" w:sz="0" w:space="0" w:color="auto"/>
        <w:bottom w:val="none" w:sz="0" w:space="0" w:color="auto"/>
        <w:right w:val="none" w:sz="0" w:space="0" w:color="auto"/>
      </w:divBdr>
    </w:div>
    <w:div w:id="1440756873">
      <w:bodyDiv w:val="1"/>
      <w:marLeft w:val="0"/>
      <w:marRight w:val="0"/>
      <w:marTop w:val="0"/>
      <w:marBottom w:val="0"/>
      <w:divBdr>
        <w:top w:val="none" w:sz="0" w:space="0" w:color="auto"/>
        <w:left w:val="none" w:sz="0" w:space="0" w:color="auto"/>
        <w:bottom w:val="none" w:sz="0" w:space="0" w:color="auto"/>
        <w:right w:val="none" w:sz="0" w:space="0" w:color="auto"/>
      </w:divBdr>
    </w:div>
    <w:div w:id="1447850299">
      <w:bodyDiv w:val="1"/>
      <w:marLeft w:val="0"/>
      <w:marRight w:val="0"/>
      <w:marTop w:val="0"/>
      <w:marBottom w:val="0"/>
      <w:divBdr>
        <w:top w:val="none" w:sz="0" w:space="0" w:color="auto"/>
        <w:left w:val="none" w:sz="0" w:space="0" w:color="auto"/>
        <w:bottom w:val="none" w:sz="0" w:space="0" w:color="auto"/>
        <w:right w:val="none" w:sz="0" w:space="0" w:color="auto"/>
      </w:divBdr>
    </w:div>
    <w:div w:id="1452431782">
      <w:bodyDiv w:val="1"/>
      <w:marLeft w:val="0"/>
      <w:marRight w:val="0"/>
      <w:marTop w:val="0"/>
      <w:marBottom w:val="0"/>
      <w:divBdr>
        <w:top w:val="none" w:sz="0" w:space="0" w:color="auto"/>
        <w:left w:val="none" w:sz="0" w:space="0" w:color="auto"/>
        <w:bottom w:val="none" w:sz="0" w:space="0" w:color="auto"/>
        <w:right w:val="none" w:sz="0" w:space="0" w:color="auto"/>
      </w:divBdr>
    </w:div>
    <w:div w:id="1452552802">
      <w:bodyDiv w:val="1"/>
      <w:marLeft w:val="0"/>
      <w:marRight w:val="0"/>
      <w:marTop w:val="0"/>
      <w:marBottom w:val="0"/>
      <w:divBdr>
        <w:top w:val="none" w:sz="0" w:space="0" w:color="auto"/>
        <w:left w:val="none" w:sz="0" w:space="0" w:color="auto"/>
        <w:bottom w:val="none" w:sz="0" w:space="0" w:color="auto"/>
        <w:right w:val="none" w:sz="0" w:space="0" w:color="auto"/>
      </w:divBdr>
    </w:div>
    <w:div w:id="1454128077">
      <w:bodyDiv w:val="1"/>
      <w:marLeft w:val="0"/>
      <w:marRight w:val="0"/>
      <w:marTop w:val="0"/>
      <w:marBottom w:val="0"/>
      <w:divBdr>
        <w:top w:val="none" w:sz="0" w:space="0" w:color="auto"/>
        <w:left w:val="none" w:sz="0" w:space="0" w:color="auto"/>
        <w:bottom w:val="none" w:sz="0" w:space="0" w:color="auto"/>
        <w:right w:val="none" w:sz="0" w:space="0" w:color="auto"/>
      </w:divBdr>
    </w:div>
    <w:div w:id="1458643966">
      <w:bodyDiv w:val="1"/>
      <w:marLeft w:val="0"/>
      <w:marRight w:val="0"/>
      <w:marTop w:val="0"/>
      <w:marBottom w:val="0"/>
      <w:divBdr>
        <w:top w:val="none" w:sz="0" w:space="0" w:color="auto"/>
        <w:left w:val="none" w:sz="0" w:space="0" w:color="auto"/>
        <w:bottom w:val="none" w:sz="0" w:space="0" w:color="auto"/>
        <w:right w:val="none" w:sz="0" w:space="0" w:color="auto"/>
      </w:divBdr>
    </w:div>
    <w:div w:id="1461263086">
      <w:bodyDiv w:val="1"/>
      <w:marLeft w:val="0"/>
      <w:marRight w:val="0"/>
      <w:marTop w:val="0"/>
      <w:marBottom w:val="0"/>
      <w:divBdr>
        <w:top w:val="none" w:sz="0" w:space="0" w:color="auto"/>
        <w:left w:val="none" w:sz="0" w:space="0" w:color="auto"/>
        <w:bottom w:val="none" w:sz="0" w:space="0" w:color="auto"/>
        <w:right w:val="none" w:sz="0" w:space="0" w:color="auto"/>
      </w:divBdr>
    </w:div>
    <w:div w:id="1463038161">
      <w:bodyDiv w:val="1"/>
      <w:marLeft w:val="0"/>
      <w:marRight w:val="0"/>
      <w:marTop w:val="0"/>
      <w:marBottom w:val="0"/>
      <w:divBdr>
        <w:top w:val="none" w:sz="0" w:space="0" w:color="auto"/>
        <w:left w:val="none" w:sz="0" w:space="0" w:color="auto"/>
        <w:bottom w:val="none" w:sz="0" w:space="0" w:color="auto"/>
        <w:right w:val="none" w:sz="0" w:space="0" w:color="auto"/>
      </w:divBdr>
    </w:div>
    <w:div w:id="1463227198">
      <w:bodyDiv w:val="1"/>
      <w:marLeft w:val="0"/>
      <w:marRight w:val="0"/>
      <w:marTop w:val="0"/>
      <w:marBottom w:val="0"/>
      <w:divBdr>
        <w:top w:val="none" w:sz="0" w:space="0" w:color="auto"/>
        <w:left w:val="none" w:sz="0" w:space="0" w:color="auto"/>
        <w:bottom w:val="none" w:sz="0" w:space="0" w:color="auto"/>
        <w:right w:val="none" w:sz="0" w:space="0" w:color="auto"/>
      </w:divBdr>
    </w:div>
    <w:div w:id="1476295674">
      <w:bodyDiv w:val="1"/>
      <w:marLeft w:val="0"/>
      <w:marRight w:val="0"/>
      <w:marTop w:val="0"/>
      <w:marBottom w:val="0"/>
      <w:divBdr>
        <w:top w:val="none" w:sz="0" w:space="0" w:color="auto"/>
        <w:left w:val="none" w:sz="0" w:space="0" w:color="auto"/>
        <w:bottom w:val="none" w:sz="0" w:space="0" w:color="auto"/>
        <w:right w:val="none" w:sz="0" w:space="0" w:color="auto"/>
      </w:divBdr>
    </w:div>
    <w:div w:id="1476331418">
      <w:bodyDiv w:val="1"/>
      <w:marLeft w:val="0"/>
      <w:marRight w:val="0"/>
      <w:marTop w:val="0"/>
      <w:marBottom w:val="0"/>
      <w:divBdr>
        <w:top w:val="none" w:sz="0" w:space="0" w:color="auto"/>
        <w:left w:val="none" w:sz="0" w:space="0" w:color="auto"/>
        <w:bottom w:val="none" w:sz="0" w:space="0" w:color="auto"/>
        <w:right w:val="none" w:sz="0" w:space="0" w:color="auto"/>
      </w:divBdr>
    </w:div>
    <w:div w:id="1476873201">
      <w:bodyDiv w:val="1"/>
      <w:marLeft w:val="0"/>
      <w:marRight w:val="0"/>
      <w:marTop w:val="0"/>
      <w:marBottom w:val="0"/>
      <w:divBdr>
        <w:top w:val="none" w:sz="0" w:space="0" w:color="auto"/>
        <w:left w:val="none" w:sz="0" w:space="0" w:color="auto"/>
        <w:bottom w:val="none" w:sz="0" w:space="0" w:color="auto"/>
        <w:right w:val="none" w:sz="0" w:space="0" w:color="auto"/>
      </w:divBdr>
    </w:div>
    <w:div w:id="1477868805">
      <w:bodyDiv w:val="1"/>
      <w:marLeft w:val="0"/>
      <w:marRight w:val="0"/>
      <w:marTop w:val="0"/>
      <w:marBottom w:val="0"/>
      <w:divBdr>
        <w:top w:val="none" w:sz="0" w:space="0" w:color="auto"/>
        <w:left w:val="none" w:sz="0" w:space="0" w:color="auto"/>
        <w:bottom w:val="none" w:sz="0" w:space="0" w:color="auto"/>
        <w:right w:val="none" w:sz="0" w:space="0" w:color="auto"/>
      </w:divBdr>
    </w:div>
    <w:div w:id="1481725599">
      <w:bodyDiv w:val="1"/>
      <w:marLeft w:val="0"/>
      <w:marRight w:val="0"/>
      <w:marTop w:val="0"/>
      <w:marBottom w:val="0"/>
      <w:divBdr>
        <w:top w:val="none" w:sz="0" w:space="0" w:color="auto"/>
        <w:left w:val="none" w:sz="0" w:space="0" w:color="auto"/>
        <w:bottom w:val="none" w:sz="0" w:space="0" w:color="auto"/>
        <w:right w:val="none" w:sz="0" w:space="0" w:color="auto"/>
      </w:divBdr>
    </w:div>
    <w:div w:id="1482690909">
      <w:bodyDiv w:val="1"/>
      <w:marLeft w:val="0"/>
      <w:marRight w:val="0"/>
      <w:marTop w:val="0"/>
      <w:marBottom w:val="0"/>
      <w:divBdr>
        <w:top w:val="none" w:sz="0" w:space="0" w:color="auto"/>
        <w:left w:val="none" w:sz="0" w:space="0" w:color="auto"/>
        <w:bottom w:val="none" w:sz="0" w:space="0" w:color="auto"/>
        <w:right w:val="none" w:sz="0" w:space="0" w:color="auto"/>
      </w:divBdr>
    </w:div>
    <w:div w:id="1485657869">
      <w:bodyDiv w:val="1"/>
      <w:marLeft w:val="0"/>
      <w:marRight w:val="0"/>
      <w:marTop w:val="0"/>
      <w:marBottom w:val="0"/>
      <w:divBdr>
        <w:top w:val="none" w:sz="0" w:space="0" w:color="auto"/>
        <w:left w:val="none" w:sz="0" w:space="0" w:color="auto"/>
        <w:bottom w:val="none" w:sz="0" w:space="0" w:color="auto"/>
        <w:right w:val="none" w:sz="0" w:space="0" w:color="auto"/>
      </w:divBdr>
    </w:div>
    <w:div w:id="1485856667">
      <w:bodyDiv w:val="1"/>
      <w:marLeft w:val="0"/>
      <w:marRight w:val="0"/>
      <w:marTop w:val="0"/>
      <w:marBottom w:val="0"/>
      <w:divBdr>
        <w:top w:val="none" w:sz="0" w:space="0" w:color="auto"/>
        <w:left w:val="none" w:sz="0" w:space="0" w:color="auto"/>
        <w:bottom w:val="none" w:sz="0" w:space="0" w:color="auto"/>
        <w:right w:val="none" w:sz="0" w:space="0" w:color="auto"/>
      </w:divBdr>
    </w:div>
    <w:div w:id="1486237178">
      <w:bodyDiv w:val="1"/>
      <w:marLeft w:val="0"/>
      <w:marRight w:val="0"/>
      <w:marTop w:val="0"/>
      <w:marBottom w:val="0"/>
      <w:divBdr>
        <w:top w:val="none" w:sz="0" w:space="0" w:color="auto"/>
        <w:left w:val="none" w:sz="0" w:space="0" w:color="auto"/>
        <w:bottom w:val="none" w:sz="0" w:space="0" w:color="auto"/>
        <w:right w:val="none" w:sz="0" w:space="0" w:color="auto"/>
      </w:divBdr>
    </w:div>
    <w:div w:id="1507793625">
      <w:bodyDiv w:val="1"/>
      <w:marLeft w:val="0"/>
      <w:marRight w:val="0"/>
      <w:marTop w:val="0"/>
      <w:marBottom w:val="0"/>
      <w:divBdr>
        <w:top w:val="none" w:sz="0" w:space="0" w:color="auto"/>
        <w:left w:val="none" w:sz="0" w:space="0" w:color="auto"/>
        <w:bottom w:val="none" w:sz="0" w:space="0" w:color="auto"/>
        <w:right w:val="none" w:sz="0" w:space="0" w:color="auto"/>
      </w:divBdr>
    </w:div>
    <w:div w:id="1511992586">
      <w:bodyDiv w:val="1"/>
      <w:marLeft w:val="0"/>
      <w:marRight w:val="0"/>
      <w:marTop w:val="0"/>
      <w:marBottom w:val="0"/>
      <w:divBdr>
        <w:top w:val="none" w:sz="0" w:space="0" w:color="auto"/>
        <w:left w:val="none" w:sz="0" w:space="0" w:color="auto"/>
        <w:bottom w:val="none" w:sz="0" w:space="0" w:color="auto"/>
        <w:right w:val="none" w:sz="0" w:space="0" w:color="auto"/>
      </w:divBdr>
    </w:div>
    <w:div w:id="1512135622">
      <w:bodyDiv w:val="1"/>
      <w:marLeft w:val="0"/>
      <w:marRight w:val="0"/>
      <w:marTop w:val="0"/>
      <w:marBottom w:val="0"/>
      <w:divBdr>
        <w:top w:val="none" w:sz="0" w:space="0" w:color="auto"/>
        <w:left w:val="none" w:sz="0" w:space="0" w:color="auto"/>
        <w:bottom w:val="none" w:sz="0" w:space="0" w:color="auto"/>
        <w:right w:val="none" w:sz="0" w:space="0" w:color="auto"/>
      </w:divBdr>
    </w:div>
    <w:div w:id="1515651959">
      <w:bodyDiv w:val="1"/>
      <w:marLeft w:val="0"/>
      <w:marRight w:val="0"/>
      <w:marTop w:val="0"/>
      <w:marBottom w:val="0"/>
      <w:divBdr>
        <w:top w:val="none" w:sz="0" w:space="0" w:color="auto"/>
        <w:left w:val="none" w:sz="0" w:space="0" w:color="auto"/>
        <w:bottom w:val="none" w:sz="0" w:space="0" w:color="auto"/>
        <w:right w:val="none" w:sz="0" w:space="0" w:color="auto"/>
      </w:divBdr>
    </w:div>
    <w:div w:id="1517304336">
      <w:bodyDiv w:val="1"/>
      <w:marLeft w:val="0"/>
      <w:marRight w:val="0"/>
      <w:marTop w:val="0"/>
      <w:marBottom w:val="0"/>
      <w:divBdr>
        <w:top w:val="none" w:sz="0" w:space="0" w:color="auto"/>
        <w:left w:val="none" w:sz="0" w:space="0" w:color="auto"/>
        <w:bottom w:val="none" w:sz="0" w:space="0" w:color="auto"/>
        <w:right w:val="none" w:sz="0" w:space="0" w:color="auto"/>
      </w:divBdr>
    </w:div>
    <w:div w:id="1521972230">
      <w:bodyDiv w:val="1"/>
      <w:marLeft w:val="0"/>
      <w:marRight w:val="0"/>
      <w:marTop w:val="0"/>
      <w:marBottom w:val="0"/>
      <w:divBdr>
        <w:top w:val="none" w:sz="0" w:space="0" w:color="auto"/>
        <w:left w:val="none" w:sz="0" w:space="0" w:color="auto"/>
        <w:bottom w:val="none" w:sz="0" w:space="0" w:color="auto"/>
        <w:right w:val="none" w:sz="0" w:space="0" w:color="auto"/>
      </w:divBdr>
    </w:div>
    <w:div w:id="1522205117">
      <w:bodyDiv w:val="1"/>
      <w:marLeft w:val="0"/>
      <w:marRight w:val="0"/>
      <w:marTop w:val="0"/>
      <w:marBottom w:val="0"/>
      <w:divBdr>
        <w:top w:val="none" w:sz="0" w:space="0" w:color="auto"/>
        <w:left w:val="none" w:sz="0" w:space="0" w:color="auto"/>
        <w:bottom w:val="none" w:sz="0" w:space="0" w:color="auto"/>
        <w:right w:val="none" w:sz="0" w:space="0" w:color="auto"/>
      </w:divBdr>
    </w:div>
    <w:div w:id="1533573037">
      <w:bodyDiv w:val="1"/>
      <w:marLeft w:val="0"/>
      <w:marRight w:val="0"/>
      <w:marTop w:val="0"/>
      <w:marBottom w:val="0"/>
      <w:divBdr>
        <w:top w:val="none" w:sz="0" w:space="0" w:color="auto"/>
        <w:left w:val="none" w:sz="0" w:space="0" w:color="auto"/>
        <w:bottom w:val="none" w:sz="0" w:space="0" w:color="auto"/>
        <w:right w:val="none" w:sz="0" w:space="0" w:color="auto"/>
      </w:divBdr>
    </w:div>
    <w:div w:id="1534616498">
      <w:bodyDiv w:val="1"/>
      <w:marLeft w:val="0"/>
      <w:marRight w:val="0"/>
      <w:marTop w:val="0"/>
      <w:marBottom w:val="0"/>
      <w:divBdr>
        <w:top w:val="none" w:sz="0" w:space="0" w:color="auto"/>
        <w:left w:val="none" w:sz="0" w:space="0" w:color="auto"/>
        <w:bottom w:val="none" w:sz="0" w:space="0" w:color="auto"/>
        <w:right w:val="none" w:sz="0" w:space="0" w:color="auto"/>
      </w:divBdr>
    </w:div>
    <w:div w:id="1540781044">
      <w:bodyDiv w:val="1"/>
      <w:marLeft w:val="0"/>
      <w:marRight w:val="0"/>
      <w:marTop w:val="0"/>
      <w:marBottom w:val="0"/>
      <w:divBdr>
        <w:top w:val="none" w:sz="0" w:space="0" w:color="auto"/>
        <w:left w:val="none" w:sz="0" w:space="0" w:color="auto"/>
        <w:bottom w:val="none" w:sz="0" w:space="0" w:color="auto"/>
        <w:right w:val="none" w:sz="0" w:space="0" w:color="auto"/>
      </w:divBdr>
    </w:div>
    <w:div w:id="1542328845">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545213580">
      <w:bodyDiv w:val="1"/>
      <w:marLeft w:val="0"/>
      <w:marRight w:val="0"/>
      <w:marTop w:val="0"/>
      <w:marBottom w:val="0"/>
      <w:divBdr>
        <w:top w:val="none" w:sz="0" w:space="0" w:color="auto"/>
        <w:left w:val="none" w:sz="0" w:space="0" w:color="auto"/>
        <w:bottom w:val="none" w:sz="0" w:space="0" w:color="auto"/>
        <w:right w:val="none" w:sz="0" w:space="0" w:color="auto"/>
      </w:divBdr>
    </w:div>
    <w:div w:id="1555700256">
      <w:bodyDiv w:val="1"/>
      <w:marLeft w:val="0"/>
      <w:marRight w:val="0"/>
      <w:marTop w:val="0"/>
      <w:marBottom w:val="0"/>
      <w:divBdr>
        <w:top w:val="none" w:sz="0" w:space="0" w:color="auto"/>
        <w:left w:val="none" w:sz="0" w:space="0" w:color="auto"/>
        <w:bottom w:val="none" w:sz="0" w:space="0" w:color="auto"/>
        <w:right w:val="none" w:sz="0" w:space="0" w:color="auto"/>
      </w:divBdr>
    </w:div>
    <w:div w:id="1559320790">
      <w:bodyDiv w:val="1"/>
      <w:marLeft w:val="0"/>
      <w:marRight w:val="0"/>
      <w:marTop w:val="0"/>
      <w:marBottom w:val="0"/>
      <w:divBdr>
        <w:top w:val="none" w:sz="0" w:space="0" w:color="auto"/>
        <w:left w:val="none" w:sz="0" w:space="0" w:color="auto"/>
        <w:bottom w:val="none" w:sz="0" w:space="0" w:color="auto"/>
        <w:right w:val="none" w:sz="0" w:space="0" w:color="auto"/>
      </w:divBdr>
    </w:div>
    <w:div w:id="1565752588">
      <w:bodyDiv w:val="1"/>
      <w:marLeft w:val="0"/>
      <w:marRight w:val="0"/>
      <w:marTop w:val="0"/>
      <w:marBottom w:val="0"/>
      <w:divBdr>
        <w:top w:val="none" w:sz="0" w:space="0" w:color="auto"/>
        <w:left w:val="none" w:sz="0" w:space="0" w:color="auto"/>
        <w:bottom w:val="none" w:sz="0" w:space="0" w:color="auto"/>
        <w:right w:val="none" w:sz="0" w:space="0" w:color="auto"/>
      </w:divBdr>
    </w:div>
    <w:div w:id="1578638257">
      <w:bodyDiv w:val="1"/>
      <w:marLeft w:val="0"/>
      <w:marRight w:val="0"/>
      <w:marTop w:val="0"/>
      <w:marBottom w:val="0"/>
      <w:divBdr>
        <w:top w:val="none" w:sz="0" w:space="0" w:color="auto"/>
        <w:left w:val="none" w:sz="0" w:space="0" w:color="auto"/>
        <w:bottom w:val="none" w:sz="0" w:space="0" w:color="auto"/>
        <w:right w:val="none" w:sz="0" w:space="0" w:color="auto"/>
      </w:divBdr>
    </w:div>
    <w:div w:id="1580628858">
      <w:bodyDiv w:val="1"/>
      <w:marLeft w:val="0"/>
      <w:marRight w:val="0"/>
      <w:marTop w:val="0"/>
      <w:marBottom w:val="0"/>
      <w:divBdr>
        <w:top w:val="none" w:sz="0" w:space="0" w:color="auto"/>
        <w:left w:val="none" w:sz="0" w:space="0" w:color="auto"/>
        <w:bottom w:val="none" w:sz="0" w:space="0" w:color="auto"/>
        <w:right w:val="none" w:sz="0" w:space="0" w:color="auto"/>
      </w:divBdr>
    </w:div>
    <w:div w:id="1581672339">
      <w:bodyDiv w:val="1"/>
      <w:marLeft w:val="0"/>
      <w:marRight w:val="0"/>
      <w:marTop w:val="0"/>
      <w:marBottom w:val="0"/>
      <w:divBdr>
        <w:top w:val="none" w:sz="0" w:space="0" w:color="auto"/>
        <w:left w:val="none" w:sz="0" w:space="0" w:color="auto"/>
        <w:bottom w:val="none" w:sz="0" w:space="0" w:color="auto"/>
        <w:right w:val="none" w:sz="0" w:space="0" w:color="auto"/>
      </w:divBdr>
    </w:div>
    <w:div w:id="1588542632">
      <w:bodyDiv w:val="1"/>
      <w:marLeft w:val="0"/>
      <w:marRight w:val="0"/>
      <w:marTop w:val="0"/>
      <w:marBottom w:val="0"/>
      <w:divBdr>
        <w:top w:val="none" w:sz="0" w:space="0" w:color="auto"/>
        <w:left w:val="none" w:sz="0" w:space="0" w:color="auto"/>
        <w:bottom w:val="none" w:sz="0" w:space="0" w:color="auto"/>
        <w:right w:val="none" w:sz="0" w:space="0" w:color="auto"/>
      </w:divBdr>
    </w:div>
    <w:div w:id="1589341419">
      <w:bodyDiv w:val="1"/>
      <w:marLeft w:val="0"/>
      <w:marRight w:val="0"/>
      <w:marTop w:val="0"/>
      <w:marBottom w:val="0"/>
      <w:divBdr>
        <w:top w:val="none" w:sz="0" w:space="0" w:color="auto"/>
        <w:left w:val="none" w:sz="0" w:space="0" w:color="auto"/>
        <w:bottom w:val="none" w:sz="0" w:space="0" w:color="auto"/>
        <w:right w:val="none" w:sz="0" w:space="0" w:color="auto"/>
      </w:divBdr>
    </w:div>
    <w:div w:id="1591428873">
      <w:bodyDiv w:val="1"/>
      <w:marLeft w:val="0"/>
      <w:marRight w:val="0"/>
      <w:marTop w:val="0"/>
      <w:marBottom w:val="0"/>
      <w:divBdr>
        <w:top w:val="none" w:sz="0" w:space="0" w:color="auto"/>
        <w:left w:val="none" w:sz="0" w:space="0" w:color="auto"/>
        <w:bottom w:val="none" w:sz="0" w:space="0" w:color="auto"/>
        <w:right w:val="none" w:sz="0" w:space="0" w:color="auto"/>
      </w:divBdr>
    </w:div>
    <w:div w:id="1599869033">
      <w:bodyDiv w:val="1"/>
      <w:marLeft w:val="0"/>
      <w:marRight w:val="0"/>
      <w:marTop w:val="0"/>
      <w:marBottom w:val="0"/>
      <w:divBdr>
        <w:top w:val="none" w:sz="0" w:space="0" w:color="auto"/>
        <w:left w:val="none" w:sz="0" w:space="0" w:color="auto"/>
        <w:bottom w:val="none" w:sz="0" w:space="0" w:color="auto"/>
        <w:right w:val="none" w:sz="0" w:space="0" w:color="auto"/>
      </w:divBdr>
    </w:div>
    <w:div w:id="1609045817">
      <w:bodyDiv w:val="1"/>
      <w:marLeft w:val="0"/>
      <w:marRight w:val="0"/>
      <w:marTop w:val="0"/>
      <w:marBottom w:val="0"/>
      <w:divBdr>
        <w:top w:val="none" w:sz="0" w:space="0" w:color="auto"/>
        <w:left w:val="none" w:sz="0" w:space="0" w:color="auto"/>
        <w:bottom w:val="none" w:sz="0" w:space="0" w:color="auto"/>
        <w:right w:val="none" w:sz="0" w:space="0" w:color="auto"/>
      </w:divBdr>
    </w:div>
    <w:div w:id="1613123932">
      <w:bodyDiv w:val="1"/>
      <w:marLeft w:val="0"/>
      <w:marRight w:val="0"/>
      <w:marTop w:val="0"/>
      <w:marBottom w:val="0"/>
      <w:divBdr>
        <w:top w:val="none" w:sz="0" w:space="0" w:color="auto"/>
        <w:left w:val="none" w:sz="0" w:space="0" w:color="auto"/>
        <w:bottom w:val="none" w:sz="0" w:space="0" w:color="auto"/>
        <w:right w:val="none" w:sz="0" w:space="0" w:color="auto"/>
      </w:divBdr>
    </w:div>
    <w:div w:id="1616332301">
      <w:bodyDiv w:val="1"/>
      <w:marLeft w:val="0"/>
      <w:marRight w:val="0"/>
      <w:marTop w:val="0"/>
      <w:marBottom w:val="0"/>
      <w:divBdr>
        <w:top w:val="none" w:sz="0" w:space="0" w:color="auto"/>
        <w:left w:val="none" w:sz="0" w:space="0" w:color="auto"/>
        <w:bottom w:val="none" w:sz="0" w:space="0" w:color="auto"/>
        <w:right w:val="none" w:sz="0" w:space="0" w:color="auto"/>
      </w:divBdr>
    </w:div>
    <w:div w:id="1623413916">
      <w:bodyDiv w:val="1"/>
      <w:marLeft w:val="0"/>
      <w:marRight w:val="0"/>
      <w:marTop w:val="0"/>
      <w:marBottom w:val="0"/>
      <w:divBdr>
        <w:top w:val="none" w:sz="0" w:space="0" w:color="auto"/>
        <w:left w:val="none" w:sz="0" w:space="0" w:color="auto"/>
        <w:bottom w:val="none" w:sz="0" w:space="0" w:color="auto"/>
        <w:right w:val="none" w:sz="0" w:space="0" w:color="auto"/>
      </w:divBdr>
    </w:div>
    <w:div w:id="1647974460">
      <w:bodyDiv w:val="1"/>
      <w:marLeft w:val="0"/>
      <w:marRight w:val="0"/>
      <w:marTop w:val="0"/>
      <w:marBottom w:val="0"/>
      <w:divBdr>
        <w:top w:val="none" w:sz="0" w:space="0" w:color="auto"/>
        <w:left w:val="none" w:sz="0" w:space="0" w:color="auto"/>
        <w:bottom w:val="none" w:sz="0" w:space="0" w:color="auto"/>
        <w:right w:val="none" w:sz="0" w:space="0" w:color="auto"/>
      </w:divBdr>
    </w:div>
    <w:div w:id="1652515609">
      <w:bodyDiv w:val="1"/>
      <w:marLeft w:val="0"/>
      <w:marRight w:val="0"/>
      <w:marTop w:val="0"/>
      <w:marBottom w:val="0"/>
      <w:divBdr>
        <w:top w:val="none" w:sz="0" w:space="0" w:color="auto"/>
        <w:left w:val="none" w:sz="0" w:space="0" w:color="auto"/>
        <w:bottom w:val="none" w:sz="0" w:space="0" w:color="auto"/>
        <w:right w:val="none" w:sz="0" w:space="0" w:color="auto"/>
      </w:divBdr>
    </w:div>
    <w:div w:id="1656643246">
      <w:bodyDiv w:val="1"/>
      <w:marLeft w:val="0"/>
      <w:marRight w:val="0"/>
      <w:marTop w:val="0"/>
      <w:marBottom w:val="0"/>
      <w:divBdr>
        <w:top w:val="none" w:sz="0" w:space="0" w:color="auto"/>
        <w:left w:val="none" w:sz="0" w:space="0" w:color="auto"/>
        <w:bottom w:val="none" w:sz="0" w:space="0" w:color="auto"/>
        <w:right w:val="none" w:sz="0" w:space="0" w:color="auto"/>
      </w:divBdr>
    </w:div>
    <w:div w:id="1657950167">
      <w:bodyDiv w:val="1"/>
      <w:marLeft w:val="0"/>
      <w:marRight w:val="0"/>
      <w:marTop w:val="0"/>
      <w:marBottom w:val="0"/>
      <w:divBdr>
        <w:top w:val="none" w:sz="0" w:space="0" w:color="auto"/>
        <w:left w:val="none" w:sz="0" w:space="0" w:color="auto"/>
        <w:bottom w:val="none" w:sz="0" w:space="0" w:color="auto"/>
        <w:right w:val="none" w:sz="0" w:space="0" w:color="auto"/>
      </w:divBdr>
    </w:div>
    <w:div w:id="1658535643">
      <w:bodyDiv w:val="1"/>
      <w:marLeft w:val="0"/>
      <w:marRight w:val="0"/>
      <w:marTop w:val="0"/>
      <w:marBottom w:val="0"/>
      <w:divBdr>
        <w:top w:val="none" w:sz="0" w:space="0" w:color="auto"/>
        <w:left w:val="none" w:sz="0" w:space="0" w:color="auto"/>
        <w:bottom w:val="none" w:sz="0" w:space="0" w:color="auto"/>
        <w:right w:val="none" w:sz="0" w:space="0" w:color="auto"/>
      </w:divBdr>
    </w:div>
    <w:div w:id="1658874501">
      <w:bodyDiv w:val="1"/>
      <w:marLeft w:val="0"/>
      <w:marRight w:val="0"/>
      <w:marTop w:val="0"/>
      <w:marBottom w:val="0"/>
      <w:divBdr>
        <w:top w:val="none" w:sz="0" w:space="0" w:color="auto"/>
        <w:left w:val="none" w:sz="0" w:space="0" w:color="auto"/>
        <w:bottom w:val="none" w:sz="0" w:space="0" w:color="auto"/>
        <w:right w:val="none" w:sz="0" w:space="0" w:color="auto"/>
      </w:divBdr>
    </w:div>
    <w:div w:id="1661811932">
      <w:bodyDiv w:val="1"/>
      <w:marLeft w:val="0"/>
      <w:marRight w:val="0"/>
      <w:marTop w:val="0"/>
      <w:marBottom w:val="0"/>
      <w:divBdr>
        <w:top w:val="none" w:sz="0" w:space="0" w:color="auto"/>
        <w:left w:val="none" w:sz="0" w:space="0" w:color="auto"/>
        <w:bottom w:val="none" w:sz="0" w:space="0" w:color="auto"/>
        <w:right w:val="none" w:sz="0" w:space="0" w:color="auto"/>
      </w:divBdr>
    </w:div>
    <w:div w:id="1667634387">
      <w:bodyDiv w:val="1"/>
      <w:marLeft w:val="0"/>
      <w:marRight w:val="0"/>
      <w:marTop w:val="0"/>
      <w:marBottom w:val="0"/>
      <w:divBdr>
        <w:top w:val="none" w:sz="0" w:space="0" w:color="auto"/>
        <w:left w:val="none" w:sz="0" w:space="0" w:color="auto"/>
        <w:bottom w:val="none" w:sz="0" w:space="0" w:color="auto"/>
        <w:right w:val="none" w:sz="0" w:space="0" w:color="auto"/>
      </w:divBdr>
    </w:div>
    <w:div w:id="1668828928">
      <w:bodyDiv w:val="1"/>
      <w:marLeft w:val="0"/>
      <w:marRight w:val="0"/>
      <w:marTop w:val="0"/>
      <w:marBottom w:val="0"/>
      <w:divBdr>
        <w:top w:val="none" w:sz="0" w:space="0" w:color="auto"/>
        <w:left w:val="none" w:sz="0" w:space="0" w:color="auto"/>
        <w:bottom w:val="none" w:sz="0" w:space="0" w:color="auto"/>
        <w:right w:val="none" w:sz="0" w:space="0" w:color="auto"/>
      </w:divBdr>
    </w:div>
    <w:div w:id="1671447126">
      <w:bodyDiv w:val="1"/>
      <w:marLeft w:val="0"/>
      <w:marRight w:val="0"/>
      <w:marTop w:val="0"/>
      <w:marBottom w:val="0"/>
      <w:divBdr>
        <w:top w:val="none" w:sz="0" w:space="0" w:color="auto"/>
        <w:left w:val="none" w:sz="0" w:space="0" w:color="auto"/>
        <w:bottom w:val="none" w:sz="0" w:space="0" w:color="auto"/>
        <w:right w:val="none" w:sz="0" w:space="0" w:color="auto"/>
      </w:divBdr>
    </w:div>
    <w:div w:id="1674455551">
      <w:bodyDiv w:val="1"/>
      <w:marLeft w:val="0"/>
      <w:marRight w:val="0"/>
      <w:marTop w:val="0"/>
      <w:marBottom w:val="0"/>
      <w:divBdr>
        <w:top w:val="none" w:sz="0" w:space="0" w:color="auto"/>
        <w:left w:val="none" w:sz="0" w:space="0" w:color="auto"/>
        <w:bottom w:val="none" w:sz="0" w:space="0" w:color="auto"/>
        <w:right w:val="none" w:sz="0" w:space="0" w:color="auto"/>
      </w:divBdr>
    </w:div>
    <w:div w:id="1674725933">
      <w:bodyDiv w:val="1"/>
      <w:marLeft w:val="0"/>
      <w:marRight w:val="0"/>
      <w:marTop w:val="0"/>
      <w:marBottom w:val="0"/>
      <w:divBdr>
        <w:top w:val="none" w:sz="0" w:space="0" w:color="auto"/>
        <w:left w:val="none" w:sz="0" w:space="0" w:color="auto"/>
        <w:bottom w:val="none" w:sz="0" w:space="0" w:color="auto"/>
        <w:right w:val="none" w:sz="0" w:space="0" w:color="auto"/>
      </w:divBdr>
    </w:div>
    <w:div w:id="1678343694">
      <w:bodyDiv w:val="1"/>
      <w:marLeft w:val="0"/>
      <w:marRight w:val="0"/>
      <w:marTop w:val="0"/>
      <w:marBottom w:val="0"/>
      <w:divBdr>
        <w:top w:val="none" w:sz="0" w:space="0" w:color="auto"/>
        <w:left w:val="none" w:sz="0" w:space="0" w:color="auto"/>
        <w:bottom w:val="none" w:sz="0" w:space="0" w:color="auto"/>
        <w:right w:val="none" w:sz="0" w:space="0" w:color="auto"/>
      </w:divBdr>
    </w:div>
    <w:div w:id="1682001871">
      <w:bodyDiv w:val="1"/>
      <w:marLeft w:val="0"/>
      <w:marRight w:val="0"/>
      <w:marTop w:val="0"/>
      <w:marBottom w:val="0"/>
      <w:divBdr>
        <w:top w:val="none" w:sz="0" w:space="0" w:color="auto"/>
        <w:left w:val="none" w:sz="0" w:space="0" w:color="auto"/>
        <w:bottom w:val="none" w:sz="0" w:space="0" w:color="auto"/>
        <w:right w:val="none" w:sz="0" w:space="0" w:color="auto"/>
      </w:divBdr>
    </w:div>
    <w:div w:id="1683513384">
      <w:bodyDiv w:val="1"/>
      <w:marLeft w:val="0"/>
      <w:marRight w:val="0"/>
      <w:marTop w:val="0"/>
      <w:marBottom w:val="0"/>
      <w:divBdr>
        <w:top w:val="none" w:sz="0" w:space="0" w:color="auto"/>
        <w:left w:val="none" w:sz="0" w:space="0" w:color="auto"/>
        <w:bottom w:val="none" w:sz="0" w:space="0" w:color="auto"/>
        <w:right w:val="none" w:sz="0" w:space="0" w:color="auto"/>
      </w:divBdr>
    </w:div>
    <w:div w:id="1685665672">
      <w:bodyDiv w:val="1"/>
      <w:marLeft w:val="0"/>
      <w:marRight w:val="0"/>
      <w:marTop w:val="0"/>
      <w:marBottom w:val="0"/>
      <w:divBdr>
        <w:top w:val="none" w:sz="0" w:space="0" w:color="auto"/>
        <w:left w:val="none" w:sz="0" w:space="0" w:color="auto"/>
        <w:bottom w:val="none" w:sz="0" w:space="0" w:color="auto"/>
        <w:right w:val="none" w:sz="0" w:space="0" w:color="auto"/>
      </w:divBdr>
    </w:div>
    <w:div w:id="1687443311">
      <w:bodyDiv w:val="1"/>
      <w:marLeft w:val="0"/>
      <w:marRight w:val="0"/>
      <w:marTop w:val="0"/>
      <w:marBottom w:val="0"/>
      <w:divBdr>
        <w:top w:val="none" w:sz="0" w:space="0" w:color="auto"/>
        <w:left w:val="none" w:sz="0" w:space="0" w:color="auto"/>
        <w:bottom w:val="none" w:sz="0" w:space="0" w:color="auto"/>
        <w:right w:val="none" w:sz="0" w:space="0" w:color="auto"/>
      </w:divBdr>
    </w:div>
    <w:div w:id="1696420746">
      <w:bodyDiv w:val="1"/>
      <w:marLeft w:val="0"/>
      <w:marRight w:val="0"/>
      <w:marTop w:val="0"/>
      <w:marBottom w:val="0"/>
      <w:divBdr>
        <w:top w:val="none" w:sz="0" w:space="0" w:color="auto"/>
        <w:left w:val="none" w:sz="0" w:space="0" w:color="auto"/>
        <w:bottom w:val="none" w:sz="0" w:space="0" w:color="auto"/>
        <w:right w:val="none" w:sz="0" w:space="0" w:color="auto"/>
      </w:divBdr>
    </w:div>
    <w:div w:id="1700164549">
      <w:bodyDiv w:val="1"/>
      <w:marLeft w:val="0"/>
      <w:marRight w:val="0"/>
      <w:marTop w:val="0"/>
      <w:marBottom w:val="0"/>
      <w:divBdr>
        <w:top w:val="none" w:sz="0" w:space="0" w:color="auto"/>
        <w:left w:val="none" w:sz="0" w:space="0" w:color="auto"/>
        <w:bottom w:val="none" w:sz="0" w:space="0" w:color="auto"/>
        <w:right w:val="none" w:sz="0" w:space="0" w:color="auto"/>
      </w:divBdr>
    </w:div>
    <w:div w:id="1708216477">
      <w:bodyDiv w:val="1"/>
      <w:marLeft w:val="0"/>
      <w:marRight w:val="0"/>
      <w:marTop w:val="0"/>
      <w:marBottom w:val="0"/>
      <w:divBdr>
        <w:top w:val="none" w:sz="0" w:space="0" w:color="auto"/>
        <w:left w:val="none" w:sz="0" w:space="0" w:color="auto"/>
        <w:bottom w:val="none" w:sz="0" w:space="0" w:color="auto"/>
        <w:right w:val="none" w:sz="0" w:space="0" w:color="auto"/>
      </w:divBdr>
    </w:div>
    <w:div w:id="1721709911">
      <w:bodyDiv w:val="1"/>
      <w:marLeft w:val="0"/>
      <w:marRight w:val="0"/>
      <w:marTop w:val="0"/>
      <w:marBottom w:val="0"/>
      <w:divBdr>
        <w:top w:val="none" w:sz="0" w:space="0" w:color="auto"/>
        <w:left w:val="none" w:sz="0" w:space="0" w:color="auto"/>
        <w:bottom w:val="none" w:sz="0" w:space="0" w:color="auto"/>
        <w:right w:val="none" w:sz="0" w:space="0" w:color="auto"/>
      </w:divBdr>
    </w:div>
    <w:div w:id="1733769634">
      <w:bodyDiv w:val="1"/>
      <w:marLeft w:val="0"/>
      <w:marRight w:val="0"/>
      <w:marTop w:val="0"/>
      <w:marBottom w:val="0"/>
      <w:divBdr>
        <w:top w:val="none" w:sz="0" w:space="0" w:color="auto"/>
        <w:left w:val="none" w:sz="0" w:space="0" w:color="auto"/>
        <w:bottom w:val="none" w:sz="0" w:space="0" w:color="auto"/>
        <w:right w:val="none" w:sz="0" w:space="0" w:color="auto"/>
      </w:divBdr>
    </w:div>
    <w:div w:id="1734695867">
      <w:bodyDiv w:val="1"/>
      <w:marLeft w:val="0"/>
      <w:marRight w:val="0"/>
      <w:marTop w:val="0"/>
      <w:marBottom w:val="0"/>
      <w:divBdr>
        <w:top w:val="none" w:sz="0" w:space="0" w:color="auto"/>
        <w:left w:val="none" w:sz="0" w:space="0" w:color="auto"/>
        <w:bottom w:val="none" w:sz="0" w:space="0" w:color="auto"/>
        <w:right w:val="none" w:sz="0" w:space="0" w:color="auto"/>
      </w:divBdr>
    </w:div>
    <w:div w:id="1735348423">
      <w:bodyDiv w:val="1"/>
      <w:marLeft w:val="0"/>
      <w:marRight w:val="0"/>
      <w:marTop w:val="0"/>
      <w:marBottom w:val="0"/>
      <w:divBdr>
        <w:top w:val="none" w:sz="0" w:space="0" w:color="auto"/>
        <w:left w:val="none" w:sz="0" w:space="0" w:color="auto"/>
        <w:bottom w:val="none" w:sz="0" w:space="0" w:color="auto"/>
        <w:right w:val="none" w:sz="0" w:space="0" w:color="auto"/>
      </w:divBdr>
    </w:div>
    <w:div w:id="1745881599">
      <w:bodyDiv w:val="1"/>
      <w:marLeft w:val="0"/>
      <w:marRight w:val="0"/>
      <w:marTop w:val="0"/>
      <w:marBottom w:val="0"/>
      <w:divBdr>
        <w:top w:val="none" w:sz="0" w:space="0" w:color="auto"/>
        <w:left w:val="none" w:sz="0" w:space="0" w:color="auto"/>
        <w:bottom w:val="none" w:sz="0" w:space="0" w:color="auto"/>
        <w:right w:val="none" w:sz="0" w:space="0" w:color="auto"/>
      </w:divBdr>
    </w:div>
    <w:div w:id="1746760208">
      <w:bodyDiv w:val="1"/>
      <w:marLeft w:val="0"/>
      <w:marRight w:val="0"/>
      <w:marTop w:val="0"/>
      <w:marBottom w:val="0"/>
      <w:divBdr>
        <w:top w:val="none" w:sz="0" w:space="0" w:color="auto"/>
        <w:left w:val="none" w:sz="0" w:space="0" w:color="auto"/>
        <w:bottom w:val="none" w:sz="0" w:space="0" w:color="auto"/>
        <w:right w:val="none" w:sz="0" w:space="0" w:color="auto"/>
      </w:divBdr>
    </w:div>
    <w:div w:id="1748336215">
      <w:bodyDiv w:val="1"/>
      <w:marLeft w:val="0"/>
      <w:marRight w:val="0"/>
      <w:marTop w:val="0"/>
      <w:marBottom w:val="0"/>
      <w:divBdr>
        <w:top w:val="none" w:sz="0" w:space="0" w:color="auto"/>
        <w:left w:val="none" w:sz="0" w:space="0" w:color="auto"/>
        <w:bottom w:val="none" w:sz="0" w:space="0" w:color="auto"/>
        <w:right w:val="none" w:sz="0" w:space="0" w:color="auto"/>
      </w:divBdr>
    </w:div>
    <w:div w:id="1752268540">
      <w:bodyDiv w:val="1"/>
      <w:marLeft w:val="0"/>
      <w:marRight w:val="0"/>
      <w:marTop w:val="0"/>
      <w:marBottom w:val="0"/>
      <w:divBdr>
        <w:top w:val="none" w:sz="0" w:space="0" w:color="auto"/>
        <w:left w:val="none" w:sz="0" w:space="0" w:color="auto"/>
        <w:bottom w:val="none" w:sz="0" w:space="0" w:color="auto"/>
        <w:right w:val="none" w:sz="0" w:space="0" w:color="auto"/>
      </w:divBdr>
    </w:div>
    <w:div w:id="1752892851">
      <w:bodyDiv w:val="1"/>
      <w:marLeft w:val="0"/>
      <w:marRight w:val="0"/>
      <w:marTop w:val="0"/>
      <w:marBottom w:val="0"/>
      <w:divBdr>
        <w:top w:val="none" w:sz="0" w:space="0" w:color="auto"/>
        <w:left w:val="none" w:sz="0" w:space="0" w:color="auto"/>
        <w:bottom w:val="none" w:sz="0" w:space="0" w:color="auto"/>
        <w:right w:val="none" w:sz="0" w:space="0" w:color="auto"/>
      </w:divBdr>
    </w:div>
    <w:div w:id="1753165267">
      <w:bodyDiv w:val="1"/>
      <w:marLeft w:val="0"/>
      <w:marRight w:val="0"/>
      <w:marTop w:val="0"/>
      <w:marBottom w:val="0"/>
      <w:divBdr>
        <w:top w:val="none" w:sz="0" w:space="0" w:color="auto"/>
        <w:left w:val="none" w:sz="0" w:space="0" w:color="auto"/>
        <w:bottom w:val="none" w:sz="0" w:space="0" w:color="auto"/>
        <w:right w:val="none" w:sz="0" w:space="0" w:color="auto"/>
      </w:divBdr>
    </w:div>
    <w:div w:id="1758404381">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759982154">
      <w:bodyDiv w:val="1"/>
      <w:marLeft w:val="0"/>
      <w:marRight w:val="0"/>
      <w:marTop w:val="0"/>
      <w:marBottom w:val="0"/>
      <w:divBdr>
        <w:top w:val="none" w:sz="0" w:space="0" w:color="auto"/>
        <w:left w:val="none" w:sz="0" w:space="0" w:color="auto"/>
        <w:bottom w:val="none" w:sz="0" w:space="0" w:color="auto"/>
        <w:right w:val="none" w:sz="0" w:space="0" w:color="auto"/>
      </w:divBdr>
    </w:div>
    <w:div w:id="1763136444">
      <w:bodyDiv w:val="1"/>
      <w:marLeft w:val="0"/>
      <w:marRight w:val="0"/>
      <w:marTop w:val="0"/>
      <w:marBottom w:val="0"/>
      <w:divBdr>
        <w:top w:val="none" w:sz="0" w:space="0" w:color="auto"/>
        <w:left w:val="none" w:sz="0" w:space="0" w:color="auto"/>
        <w:bottom w:val="none" w:sz="0" w:space="0" w:color="auto"/>
        <w:right w:val="none" w:sz="0" w:space="0" w:color="auto"/>
      </w:divBdr>
    </w:div>
    <w:div w:id="1768698193">
      <w:bodyDiv w:val="1"/>
      <w:marLeft w:val="0"/>
      <w:marRight w:val="0"/>
      <w:marTop w:val="0"/>
      <w:marBottom w:val="0"/>
      <w:divBdr>
        <w:top w:val="none" w:sz="0" w:space="0" w:color="auto"/>
        <w:left w:val="none" w:sz="0" w:space="0" w:color="auto"/>
        <w:bottom w:val="none" w:sz="0" w:space="0" w:color="auto"/>
        <w:right w:val="none" w:sz="0" w:space="0" w:color="auto"/>
      </w:divBdr>
    </w:div>
    <w:div w:id="1771006758">
      <w:bodyDiv w:val="1"/>
      <w:marLeft w:val="0"/>
      <w:marRight w:val="0"/>
      <w:marTop w:val="0"/>
      <w:marBottom w:val="0"/>
      <w:divBdr>
        <w:top w:val="none" w:sz="0" w:space="0" w:color="auto"/>
        <w:left w:val="none" w:sz="0" w:space="0" w:color="auto"/>
        <w:bottom w:val="none" w:sz="0" w:space="0" w:color="auto"/>
        <w:right w:val="none" w:sz="0" w:space="0" w:color="auto"/>
      </w:divBdr>
    </w:div>
    <w:div w:id="1772387301">
      <w:bodyDiv w:val="1"/>
      <w:marLeft w:val="0"/>
      <w:marRight w:val="0"/>
      <w:marTop w:val="0"/>
      <w:marBottom w:val="0"/>
      <w:divBdr>
        <w:top w:val="none" w:sz="0" w:space="0" w:color="auto"/>
        <w:left w:val="none" w:sz="0" w:space="0" w:color="auto"/>
        <w:bottom w:val="none" w:sz="0" w:space="0" w:color="auto"/>
        <w:right w:val="none" w:sz="0" w:space="0" w:color="auto"/>
      </w:divBdr>
    </w:div>
    <w:div w:id="1777754569">
      <w:bodyDiv w:val="1"/>
      <w:marLeft w:val="0"/>
      <w:marRight w:val="0"/>
      <w:marTop w:val="0"/>
      <w:marBottom w:val="0"/>
      <w:divBdr>
        <w:top w:val="none" w:sz="0" w:space="0" w:color="auto"/>
        <w:left w:val="none" w:sz="0" w:space="0" w:color="auto"/>
        <w:bottom w:val="none" w:sz="0" w:space="0" w:color="auto"/>
        <w:right w:val="none" w:sz="0" w:space="0" w:color="auto"/>
      </w:divBdr>
    </w:div>
    <w:div w:id="1786584363">
      <w:bodyDiv w:val="1"/>
      <w:marLeft w:val="0"/>
      <w:marRight w:val="0"/>
      <w:marTop w:val="0"/>
      <w:marBottom w:val="0"/>
      <w:divBdr>
        <w:top w:val="none" w:sz="0" w:space="0" w:color="auto"/>
        <w:left w:val="none" w:sz="0" w:space="0" w:color="auto"/>
        <w:bottom w:val="none" w:sz="0" w:space="0" w:color="auto"/>
        <w:right w:val="none" w:sz="0" w:space="0" w:color="auto"/>
      </w:divBdr>
    </w:div>
    <w:div w:id="1790775872">
      <w:bodyDiv w:val="1"/>
      <w:marLeft w:val="0"/>
      <w:marRight w:val="0"/>
      <w:marTop w:val="0"/>
      <w:marBottom w:val="0"/>
      <w:divBdr>
        <w:top w:val="none" w:sz="0" w:space="0" w:color="auto"/>
        <w:left w:val="none" w:sz="0" w:space="0" w:color="auto"/>
        <w:bottom w:val="none" w:sz="0" w:space="0" w:color="auto"/>
        <w:right w:val="none" w:sz="0" w:space="0" w:color="auto"/>
      </w:divBdr>
    </w:div>
    <w:div w:id="1791045645">
      <w:bodyDiv w:val="1"/>
      <w:marLeft w:val="0"/>
      <w:marRight w:val="0"/>
      <w:marTop w:val="0"/>
      <w:marBottom w:val="0"/>
      <w:divBdr>
        <w:top w:val="none" w:sz="0" w:space="0" w:color="auto"/>
        <w:left w:val="none" w:sz="0" w:space="0" w:color="auto"/>
        <w:bottom w:val="none" w:sz="0" w:space="0" w:color="auto"/>
        <w:right w:val="none" w:sz="0" w:space="0" w:color="auto"/>
      </w:divBdr>
    </w:div>
    <w:div w:id="1796019634">
      <w:bodyDiv w:val="1"/>
      <w:marLeft w:val="0"/>
      <w:marRight w:val="0"/>
      <w:marTop w:val="0"/>
      <w:marBottom w:val="0"/>
      <w:divBdr>
        <w:top w:val="none" w:sz="0" w:space="0" w:color="auto"/>
        <w:left w:val="none" w:sz="0" w:space="0" w:color="auto"/>
        <w:bottom w:val="none" w:sz="0" w:space="0" w:color="auto"/>
        <w:right w:val="none" w:sz="0" w:space="0" w:color="auto"/>
      </w:divBdr>
    </w:div>
    <w:div w:id="1799643224">
      <w:bodyDiv w:val="1"/>
      <w:marLeft w:val="0"/>
      <w:marRight w:val="0"/>
      <w:marTop w:val="0"/>
      <w:marBottom w:val="0"/>
      <w:divBdr>
        <w:top w:val="none" w:sz="0" w:space="0" w:color="auto"/>
        <w:left w:val="none" w:sz="0" w:space="0" w:color="auto"/>
        <w:bottom w:val="none" w:sz="0" w:space="0" w:color="auto"/>
        <w:right w:val="none" w:sz="0" w:space="0" w:color="auto"/>
      </w:divBdr>
    </w:div>
    <w:div w:id="1809007623">
      <w:bodyDiv w:val="1"/>
      <w:marLeft w:val="0"/>
      <w:marRight w:val="0"/>
      <w:marTop w:val="0"/>
      <w:marBottom w:val="0"/>
      <w:divBdr>
        <w:top w:val="none" w:sz="0" w:space="0" w:color="auto"/>
        <w:left w:val="none" w:sz="0" w:space="0" w:color="auto"/>
        <w:bottom w:val="none" w:sz="0" w:space="0" w:color="auto"/>
        <w:right w:val="none" w:sz="0" w:space="0" w:color="auto"/>
      </w:divBdr>
    </w:div>
    <w:div w:id="1811167149">
      <w:bodyDiv w:val="1"/>
      <w:marLeft w:val="0"/>
      <w:marRight w:val="0"/>
      <w:marTop w:val="0"/>
      <w:marBottom w:val="0"/>
      <w:divBdr>
        <w:top w:val="none" w:sz="0" w:space="0" w:color="auto"/>
        <w:left w:val="none" w:sz="0" w:space="0" w:color="auto"/>
        <w:bottom w:val="none" w:sz="0" w:space="0" w:color="auto"/>
        <w:right w:val="none" w:sz="0" w:space="0" w:color="auto"/>
      </w:divBdr>
    </w:div>
    <w:div w:id="1811744154">
      <w:bodyDiv w:val="1"/>
      <w:marLeft w:val="0"/>
      <w:marRight w:val="0"/>
      <w:marTop w:val="0"/>
      <w:marBottom w:val="0"/>
      <w:divBdr>
        <w:top w:val="none" w:sz="0" w:space="0" w:color="auto"/>
        <w:left w:val="none" w:sz="0" w:space="0" w:color="auto"/>
        <w:bottom w:val="none" w:sz="0" w:space="0" w:color="auto"/>
        <w:right w:val="none" w:sz="0" w:space="0" w:color="auto"/>
      </w:divBdr>
    </w:div>
    <w:div w:id="1813981752">
      <w:bodyDiv w:val="1"/>
      <w:marLeft w:val="0"/>
      <w:marRight w:val="0"/>
      <w:marTop w:val="0"/>
      <w:marBottom w:val="0"/>
      <w:divBdr>
        <w:top w:val="none" w:sz="0" w:space="0" w:color="auto"/>
        <w:left w:val="none" w:sz="0" w:space="0" w:color="auto"/>
        <w:bottom w:val="none" w:sz="0" w:space="0" w:color="auto"/>
        <w:right w:val="none" w:sz="0" w:space="0" w:color="auto"/>
      </w:divBdr>
    </w:div>
    <w:div w:id="1818305293">
      <w:bodyDiv w:val="1"/>
      <w:marLeft w:val="0"/>
      <w:marRight w:val="0"/>
      <w:marTop w:val="0"/>
      <w:marBottom w:val="0"/>
      <w:divBdr>
        <w:top w:val="none" w:sz="0" w:space="0" w:color="auto"/>
        <w:left w:val="none" w:sz="0" w:space="0" w:color="auto"/>
        <w:bottom w:val="none" w:sz="0" w:space="0" w:color="auto"/>
        <w:right w:val="none" w:sz="0" w:space="0" w:color="auto"/>
      </w:divBdr>
    </w:div>
    <w:div w:id="1818494203">
      <w:bodyDiv w:val="1"/>
      <w:marLeft w:val="0"/>
      <w:marRight w:val="0"/>
      <w:marTop w:val="0"/>
      <w:marBottom w:val="0"/>
      <w:divBdr>
        <w:top w:val="none" w:sz="0" w:space="0" w:color="auto"/>
        <w:left w:val="none" w:sz="0" w:space="0" w:color="auto"/>
        <w:bottom w:val="none" w:sz="0" w:space="0" w:color="auto"/>
        <w:right w:val="none" w:sz="0" w:space="0" w:color="auto"/>
      </w:divBdr>
    </w:div>
    <w:div w:id="1831554208">
      <w:bodyDiv w:val="1"/>
      <w:marLeft w:val="0"/>
      <w:marRight w:val="0"/>
      <w:marTop w:val="0"/>
      <w:marBottom w:val="0"/>
      <w:divBdr>
        <w:top w:val="none" w:sz="0" w:space="0" w:color="auto"/>
        <w:left w:val="none" w:sz="0" w:space="0" w:color="auto"/>
        <w:bottom w:val="none" w:sz="0" w:space="0" w:color="auto"/>
        <w:right w:val="none" w:sz="0" w:space="0" w:color="auto"/>
      </w:divBdr>
    </w:div>
    <w:div w:id="1836609214">
      <w:bodyDiv w:val="1"/>
      <w:marLeft w:val="0"/>
      <w:marRight w:val="0"/>
      <w:marTop w:val="0"/>
      <w:marBottom w:val="0"/>
      <w:divBdr>
        <w:top w:val="none" w:sz="0" w:space="0" w:color="auto"/>
        <w:left w:val="none" w:sz="0" w:space="0" w:color="auto"/>
        <w:bottom w:val="none" w:sz="0" w:space="0" w:color="auto"/>
        <w:right w:val="none" w:sz="0" w:space="0" w:color="auto"/>
      </w:divBdr>
    </w:div>
    <w:div w:id="1838500693">
      <w:bodyDiv w:val="1"/>
      <w:marLeft w:val="0"/>
      <w:marRight w:val="0"/>
      <w:marTop w:val="0"/>
      <w:marBottom w:val="0"/>
      <w:divBdr>
        <w:top w:val="none" w:sz="0" w:space="0" w:color="auto"/>
        <w:left w:val="none" w:sz="0" w:space="0" w:color="auto"/>
        <w:bottom w:val="none" w:sz="0" w:space="0" w:color="auto"/>
        <w:right w:val="none" w:sz="0" w:space="0" w:color="auto"/>
      </w:divBdr>
    </w:div>
    <w:div w:id="1854030115">
      <w:bodyDiv w:val="1"/>
      <w:marLeft w:val="0"/>
      <w:marRight w:val="0"/>
      <w:marTop w:val="0"/>
      <w:marBottom w:val="0"/>
      <w:divBdr>
        <w:top w:val="none" w:sz="0" w:space="0" w:color="auto"/>
        <w:left w:val="none" w:sz="0" w:space="0" w:color="auto"/>
        <w:bottom w:val="none" w:sz="0" w:space="0" w:color="auto"/>
        <w:right w:val="none" w:sz="0" w:space="0" w:color="auto"/>
      </w:divBdr>
    </w:div>
    <w:div w:id="1854805389">
      <w:bodyDiv w:val="1"/>
      <w:marLeft w:val="0"/>
      <w:marRight w:val="0"/>
      <w:marTop w:val="0"/>
      <w:marBottom w:val="0"/>
      <w:divBdr>
        <w:top w:val="none" w:sz="0" w:space="0" w:color="auto"/>
        <w:left w:val="none" w:sz="0" w:space="0" w:color="auto"/>
        <w:bottom w:val="none" w:sz="0" w:space="0" w:color="auto"/>
        <w:right w:val="none" w:sz="0" w:space="0" w:color="auto"/>
      </w:divBdr>
    </w:div>
    <w:div w:id="1857961525">
      <w:bodyDiv w:val="1"/>
      <w:marLeft w:val="0"/>
      <w:marRight w:val="0"/>
      <w:marTop w:val="0"/>
      <w:marBottom w:val="0"/>
      <w:divBdr>
        <w:top w:val="none" w:sz="0" w:space="0" w:color="auto"/>
        <w:left w:val="none" w:sz="0" w:space="0" w:color="auto"/>
        <w:bottom w:val="none" w:sz="0" w:space="0" w:color="auto"/>
        <w:right w:val="none" w:sz="0" w:space="0" w:color="auto"/>
      </w:divBdr>
    </w:div>
    <w:div w:id="1861822108">
      <w:bodyDiv w:val="1"/>
      <w:marLeft w:val="0"/>
      <w:marRight w:val="0"/>
      <w:marTop w:val="0"/>
      <w:marBottom w:val="0"/>
      <w:divBdr>
        <w:top w:val="none" w:sz="0" w:space="0" w:color="auto"/>
        <w:left w:val="none" w:sz="0" w:space="0" w:color="auto"/>
        <w:bottom w:val="none" w:sz="0" w:space="0" w:color="auto"/>
        <w:right w:val="none" w:sz="0" w:space="0" w:color="auto"/>
      </w:divBdr>
    </w:div>
    <w:div w:id="1863008613">
      <w:bodyDiv w:val="1"/>
      <w:marLeft w:val="0"/>
      <w:marRight w:val="0"/>
      <w:marTop w:val="0"/>
      <w:marBottom w:val="0"/>
      <w:divBdr>
        <w:top w:val="none" w:sz="0" w:space="0" w:color="auto"/>
        <w:left w:val="none" w:sz="0" w:space="0" w:color="auto"/>
        <w:bottom w:val="none" w:sz="0" w:space="0" w:color="auto"/>
        <w:right w:val="none" w:sz="0" w:space="0" w:color="auto"/>
      </w:divBdr>
    </w:div>
    <w:div w:id="1863862461">
      <w:bodyDiv w:val="1"/>
      <w:marLeft w:val="0"/>
      <w:marRight w:val="0"/>
      <w:marTop w:val="0"/>
      <w:marBottom w:val="0"/>
      <w:divBdr>
        <w:top w:val="none" w:sz="0" w:space="0" w:color="auto"/>
        <w:left w:val="none" w:sz="0" w:space="0" w:color="auto"/>
        <w:bottom w:val="none" w:sz="0" w:space="0" w:color="auto"/>
        <w:right w:val="none" w:sz="0" w:space="0" w:color="auto"/>
      </w:divBdr>
    </w:div>
    <w:div w:id="1869751522">
      <w:bodyDiv w:val="1"/>
      <w:marLeft w:val="0"/>
      <w:marRight w:val="0"/>
      <w:marTop w:val="0"/>
      <w:marBottom w:val="0"/>
      <w:divBdr>
        <w:top w:val="none" w:sz="0" w:space="0" w:color="auto"/>
        <w:left w:val="none" w:sz="0" w:space="0" w:color="auto"/>
        <w:bottom w:val="none" w:sz="0" w:space="0" w:color="auto"/>
        <w:right w:val="none" w:sz="0" w:space="0" w:color="auto"/>
      </w:divBdr>
    </w:div>
    <w:div w:id="1872692270">
      <w:bodyDiv w:val="1"/>
      <w:marLeft w:val="0"/>
      <w:marRight w:val="0"/>
      <w:marTop w:val="0"/>
      <w:marBottom w:val="0"/>
      <w:divBdr>
        <w:top w:val="none" w:sz="0" w:space="0" w:color="auto"/>
        <w:left w:val="none" w:sz="0" w:space="0" w:color="auto"/>
        <w:bottom w:val="none" w:sz="0" w:space="0" w:color="auto"/>
        <w:right w:val="none" w:sz="0" w:space="0" w:color="auto"/>
      </w:divBdr>
    </w:div>
    <w:div w:id="1880822111">
      <w:bodyDiv w:val="1"/>
      <w:marLeft w:val="0"/>
      <w:marRight w:val="0"/>
      <w:marTop w:val="0"/>
      <w:marBottom w:val="0"/>
      <w:divBdr>
        <w:top w:val="none" w:sz="0" w:space="0" w:color="auto"/>
        <w:left w:val="none" w:sz="0" w:space="0" w:color="auto"/>
        <w:bottom w:val="none" w:sz="0" w:space="0" w:color="auto"/>
        <w:right w:val="none" w:sz="0" w:space="0" w:color="auto"/>
      </w:divBdr>
    </w:div>
    <w:div w:id="1887792727">
      <w:bodyDiv w:val="1"/>
      <w:marLeft w:val="0"/>
      <w:marRight w:val="0"/>
      <w:marTop w:val="0"/>
      <w:marBottom w:val="0"/>
      <w:divBdr>
        <w:top w:val="none" w:sz="0" w:space="0" w:color="auto"/>
        <w:left w:val="none" w:sz="0" w:space="0" w:color="auto"/>
        <w:bottom w:val="none" w:sz="0" w:space="0" w:color="auto"/>
        <w:right w:val="none" w:sz="0" w:space="0" w:color="auto"/>
      </w:divBdr>
    </w:div>
    <w:div w:id="1888301190">
      <w:bodyDiv w:val="1"/>
      <w:marLeft w:val="0"/>
      <w:marRight w:val="0"/>
      <w:marTop w:val="0"/>
      <w:marBottom w:val="0"/>
      <w:divBdr>
        <w:top w:val="none" w:sz="0" w:space="0" w:color="auto"/>
        <w:left w:val="none" w:sz="0" w:space="0" w:color="auto"/>
        <w:bottom w:val="none" w:sz="0" w:space="0" w:color="auto"/>
        <w:right w:val="none" w:sz="0" w:space="0" w:color="auto"/>
      </w:divBdr>
    </w:div>
    <w:div w:id="1888491759">
      <w:bodyDiv w:val="1"/>
      <w:marLeft w:val="0"/>
      <w:marRight w:val="0"/>
      <w:marTop w:val="0"/>
      <w:marBottom w:val="0"/>
      <w:divBdr>
        <w:top w:val="none" w:sz="0" w:space="0" w:color="auto"/>
        <w:left w:val="none" w:sz="0" w:space="0" w:color="auto"/>
        <w:bottom w:val="none" w:sz="0" w:space="0" w:color="auto"/>
        <w:right w:val="none" w:sz="0" w:space="0" w:color="auto"/>
      </w:divBdr>
    </w:div>
    <w:div w:id="1893686838">
      <w:bodyDiv w:val="1"/>
      <w:marLeft w:val="0"/>
      <w:marRight w:val="0"/>
      <w:marTop w:val="0"/>
      <w:marBottom w:val="0"/>
      <w:divBdr>
        <w:top w:val="none" w:sz="0" w:space="0" w:color="auto"/>
        <w:left w:val="none" w:sz="0" w:space="0" w:color="auto"/>
        <w:bottom w:val="none" w:sz="0" w:space="0" w:color="auto"/>
        <w:right w:val="none" w:sz="0" w:space="0" w:color="auto"/>
      </w:divBdr>
    </w:div>
    <w:div w:id="1893809011">
      <w:bodyDiv w:val="1"/>
      <w:marLeft w:val="0"/>
      <w:marRight w:val="0"/>
      <w:marTop w:val="0"/>
      <w:marBottom w:val="0"/>
      <w:divBdr>
        <w:top w:val="none" w:sz="0" w:space="0" w:color="auto"/>
        <w:left w:val="none" w:sz="0" w:space="0" w:color="auto"/>
        <w:bottom w:val="none" w:sz="0" w:space="0" w:color="auto"/>
        <w:right w:val="none" w:sz="0" w:space="0" w:color="auto"/>
      </w:divBdr>
    </w:div>
    <w:div w:id="1898861433">
      <w:bodyDiv w:val="1"/>
      <w:marLeft w:val="0"/>
      <w:marRight w:val="0"/>
      <w:marTop w:val="0"/>
      <w:marBottom w:val="0"/>
      <w:divBdr>
        <w:top w:val="none" w:sz="0" w:space="0" w:color="auto"/>
        <w:left w:val="none" w:sz="0" w:space="0" w:color="auto"/>
        <w:bottom w:val="none" w:sz="0" w:space="0" w:color="auto"/>
        <w:right w:val="none" w:sz="0" w:space="0" w:color="auto"/>
      </w:divBdr>
    </w:div>
    <w:div w:id="1900940798">
      <w:bodyDiv w:val="1"/>
      <w:marLeft w:val="0"/>
      <w:marRight w:val="0"/>
      <w:marTop w:val="0"/>
      <w:marBottom w:val="0"/>
      <w:divBdr>
        <w:top w:val="none" w:sz="0" w:space="0" w:color="auto"/>
        <w:left w:val="none" w:sz="0" w:space="0" w:color="auto"/>
        <w:bottom w:val="none" w:sz="0" w:space="0" w:color="auto"/>
        <w:right w:val="none" w:sz="0" w:space="0" w:color="auto"/>
      </w:divBdr>
    </w:div>
    <w:div w:id="1901356701">
      <w:bodyDiv w:val="1"/>
      <w:marLeft w:val="0"/>
      <w:marRight w:val="0"/>
      <w:marTop w:val="0"/>
      <w:marBottom w:val="0"/>
      <w:divBdr>
        <w:top w:val="none" w:sz="0" w:space="0" w:color="auto"/>
        <w:left w:val="none" w:sz="0" w:space="0" w:color="auto"/>
        <w:bottom w:val="none" w:sz="0" w:space="0" w:color="auto"/>
        <w:right w:val="none" w:sz="0" w:space="0" w:color="auto"/>
      </w:divBdr>
    </w:div>
    <w:div w:id="1904750196">
      <w:bodyDiv w:val="1"/>
      <w:marLeft w:val="0"/>
      <w:marRight w:val="0"/>
      <w:marTop w:val="0"/>
      <w:marBottom w:val="0"/>
      <w:divBdr>
        <w:top w:val="none" w:sz="0" w:space="0" w:color="auto"/>
        <w:left w:val="none" w:sz="0" w:space="0" w:color="auto"/>
        <w:bottom w:val="none" w:sz="0" w:space="0" w:color="auto"/>
        <w:right w:val="none" w:sz="0" w:space="0" w:color="auto"/>
      </w:divBdr>
    </w:div>
    <w:div w:id="1909685289">
      <w:bodyDiv w:val="1"/>
      <w:marLeft w:val="0"/>
      <w:marRight w:val="0"/>
      <w:marTop w:val="0"/>
      <w:marBottom w:val="0"/>
      <w:divBdr>
        <w:top w:val="none" w:sz="0" w:space="0" w:color="auto"/>
        <w:left w:val="none" w:sz="0" w:space="0" w:color="auto"/>
        <w:bottom w:val="none" w:sz="0" w:space="0" w:color="auto"/>
        <w:right w:val="none" w:sz="0" w:space="0" w:color="auto"/>
      </w:divBdr>
    </w:div>
    <w:div w:id="1915814284">
      <w:bodyDiv w:val="1"/>
      <w:marLeft w:val="0"/>
      <w:marRight w:val="0"/>
      <w:marTop w:val="0"/>
      <w:marBottom w:val="0"/>
      <w:divBdr>
        <w:top w:val="none" w:sz="0" w:space="0" w:color="auto"/>
        <w:left w:val="none" w:sz="0" w:space="0" w:color="auto"/>
        <w:bottom w:val="none" w:sz="0" w:space="0" w:color="auto"/>
        <w:right w:val="none" w:sz="0" w:space="0" w:color="auto"/>
      </w:divBdr>
    </w:div>
    <w:div w:id="1916430337">
      <w:bodyDiv w:val="1"/>
      <w:marLeft w:val="0"/>
      <w:marRight w:val="0"/>
      <w:marTop w:val="0"/>
      <w:marBottom w:val="0"/>
      <w:divBdr>
        <w:top w:val="none" w:sz="0" w:space="0" w:color="auto"/>
        <w:left w:val="none" w:sz="0" w:space="0" w:color="auto"/>
        <w:bottom w:val="none" w:sz="0" w:space="0" w:color="auto"/>
        <w:right w:val="none" w:sz="0" w:space="0" w:color="auto"/>
      </w:divBdr>
    </w:div>
    <w:div w:id="1916862498">
      <w:bodyDiv w:val="1"/>
      <w:marLeft w:val="0"/>
      <w:marRight w:val="0"/>
      <w:marTop w:val="0"/>
      <w:marBottom w:val="0"/>
      <w:divBdr>
        <w:top w:val="none" w:sz="0" w:space="0" w:color="auto"/>
        <w:left w:val="none" w:sz="0" w:space="0" w:color="auto"/>
        <w:bottom w:val="none" w:sz="0" w:space="0" w:color="auto"/>
        <w:right w:val="none" w:sz="0" w:space="0" w:color="auto"/>
      </w:divBdr>
    </w:div>
    <w:div w:id="1923758909">
      <w:bodyDiv w:val="1"/>
      <w:marLeft w:val="0"/>
      <w:marRight w:val="0"/>
      <w:marTop w:val="0"/>
      <w:marBottom w:val="0"/>
      <w:divBdr>
        <w:top w:val="none" w:sz="0" w:space="0" w:color="auto"/>
        <w:left w:val="none" w:sz="0" w:space="0" w:color="auto"/>
        <w:bottom w:val="none" w:sz="0" w:space="0" w:color="auto"/>
        <w:right w:val="none" w:sz="0" w:space="0" w:color="auto"/>
      </w:divBdr>
    </w:div>
    <w:div w:id="1926067444">
      <w:bodyDiv w:val="1"/>
      <w:marLeft w:val="0"/>
      <w:marRight w:val="0"/>
      <w:marTop w:val="0"/>
      <w:marBottom w:val="0"/>
      <w:divBdr>
        <w:top w:val="none" w:sz="0" w:space="0" w:color="auto"/>
        <w:left w:val="none" w:sz="0" w:space="0" w:color="auto"/>
        <w:bottom w:val="none" w:sz="0" w:space="0" w:color="auto"/>
        <w:right w:val="none" w:sz="0" w:space="0" w:color="auto"/>
      </w:divBdr>
    </w:div>
    <w:div w:id="1929732300">
      <w:bodyDiv w:val="1"/>
      <w:marLeft w:val="0"/>
      <w:marRight w:val="0"/>
      <w:marTop w:val="0"/>
      <w:marBottom w:val="0"/>
      <w:divBdr>
        <w:top w:val="none" w:sz="0" w:space="0" w:color="auto"/>
        <w:left w:val="none" w:sz="0" w:space="0" w:color="auto"/>
        <w:bottom w:val="none" w:sz="0" w:space="0" w:color="auto"/>
        <w:right w:val="none" w:sz="0" w:space="0" w:color="auto"/>
      </w:divBdr>
    </w:div>
    <w:div w:id="1930917772">
      <w:bodyDiv w:val="1"/>
      <w:marLeft w:val="0"/>
      <w:marRight w:val="0"/>
      <w:marTop w:val="0"/>
      <w:marBottom w:val="0"/>
      <w:divBdr>
        <w:top w:val="none" w:sz="0" w:space="0" w:color="auto"/>
        <w:left w:val="none" w:sz="0" w:space="0" w:color="auto"/>
        <w:bottom w:val="none" w:sz="0" w:space="0" w:color="auto"/>
        <w:right w:val="none" w:sz="0" w:space="0" w:color="auto"/>
      </w:divBdr>
    </w:div>
    <w:div w:id="1938248714">
      <w:bodyDiv w:val="1"/>
      <w:marLeft w:val="0"/>
      <w:marRight w:val="0"/>
      <w:marTop w:val="0"/>
      <w:marBottom w:val="0"/>
      <w:divBdr>
        <w:top w:val="none" w:sz="0" w:space="0" w:color="auto"/>
        <w:left w:val="none" w:sz="0" w:space="0" w:color="auto"/>
        <w:bottom w:val="none" w:sz="0" w:space="0" w:color="auto"/>
        <w:right w:val="none" w:sz="0" w:space="0" w:color="auto"/>
      </w:divBdr>
    </w:div>
    <w:div w:id="1941251342">
      <w:bodyDiv w:val="1"/>
      <w:marLeft w:val="0"/>
      <w:marRight w:val="0"/>
      <w:marTop w:val="0"/>
      <w:marBottom w:val="0"/>
      <w:divBdr>
        <w:top w:val="none" w:sz="0" w:space="0" w:color="auto"/>
        <w:left w:val="none" w:sz="0" w:space="0" w:color="auto"/>
        <w:bottom w:val="none" w:sz="0" w:space="0" w:color="auto"/>
        <w:right w:val="none" w:sz="0" w:space="0" w:color="auto"/>
      </w:divBdr>
    </w:div>
    <w:div w:id="1942058438">
      <w:bodyDiv w:val="1"/>
      <w:marLeft w:val="0"/>
      <w:marRight w:val="0"/>
      <w:marTop w:val="0"/>
      <w:marBottom w:val="0"/>
      <w:divBdr>
        <w:top w:val="none" w:sz="0" w:space="0" w:color="auto"/>
        <w:left w:val="none" w:sz="0" w:space="0" w:color="auto"/>
        <w:bottom w:val="none" w:sz="0" w:space="0" w:color="auto"/>
        <w:right w:val="none" w:sz="0" w:space="0" w:color="auto"/>
      </w:divBdr>
    </w:div>
    <w:div w:id="1943033505">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45456987">
      <w:bodyDiv w:val="1"/>
      <w:marLeft w:val="0"/>
      <w:marRight w:val="0"/>
      <w:marTop w:val="0"/>
      <w:marBottom w:val="0"/>
      <w:divBdr>
        <w:top w:val="none" w:sz="0" w:space="0" w:color="auto"/>
        <w:left w:val="none" w:sz="0" w:space="0" w:color="auto"/>
        <w:bottom w:val="none" w:sz="0" w:space="0" w:color="auto"/>
        <w:right w:val="none" w:sz="0" w:space="0" w:color="auto"/>
      </w:divBdr>
    </w:div>
    <w:div w:id="1953054783">
      <w:bodyDiv w:val="1"/>
      <w:marLeft w:val="0"/>
      <w:marRight w:val="0"/>
      <w:marTop w:val="0"/>
      <w:marBottom w:val="0"/>
      <w:divBdr>
        <w:top w:val="none" w:sz="0" w:space="0" w:color="auto"/>
        <w:left w:val="none" w:sz="0" w:space="0" w:color="auto"/>
        <w:bottom w:val="none" w:sz="0" w:space="0" w:color="auto"/>
        <w:right w:val="none" w:sz="0" w:space="0" w:color="auto"/>
      </w:divBdr>
    </w:div>
    <w:div w:id="1954970425">
      <w:bodyDiv w:val="1"/>
      <w:marLeft w:val="0"/>
      <w:marRight w:val="0"/>
      <w:marTop w:val="0"/>
      <w:marBottom w:val="0"/>
      <w:divBdr>
        <w:top w:val="none" w:sz="0" w:space="0" w:color="auto"/>
        <w:left w:val="none" w:sz="0" w:space="0" w:color="auto"/>
        <w:bottom w:val="none" w:sz="0" w:space="0" w:color="auto"/>
        <w:right w:val="none" w:sz="0" w:space="0" w:color="auto"/>
      </w:divBdr>
    </w:div>
    <w:div w:id="1957717451">
      <w:bodyDiv w:val="1"/>
      <w:marLeft w:val="0"/>
      <w:marRight w:val="0"/>
      <w:marTop w:val="0"/>
      <w:marBottom w:val="0"/>
      <w:divBdr>
        <w:top w:val="none" w:sz="0" w:space="0" w:color="auto"/>
        <w:left w:val="none" w:sz="0" w:space="0" w:color="auto"/>
        <w:bottom w:val="none" w:sz="0" w:space="0" w:color="auto"/>
        <w:right w:val="none" w:sz="0" w:space="0" w:color="auto"/>
      </w:divBdr>
    </w:div>
    <w:div w:id="1961063971">
      <w:bodyDiv w:val="1"/>
      <w:marLeft w:val="0"/>
      <w:marRight w:val="0"/>
      <w:marTop w:val="0"/>
      <w:marBottom w:val="0"/>
      <w:divBdr>
        <w:top w:val="none" w:sz="0" w:space="0" w:color="auto"/>
        <w:left w:val="none" w:sz="0" w:space="0" w:color="auto"/>
        <w:bottom w:val="none" w:sz="0" w:space="0" w:color="auto"/>
        <w:right w:val="none" w:sz="0" w:space="0" w:color="auto"/>
      </w:divBdr>
    </w:div>
    <w:div w:id="1962221471">
      <w:bodyDiv w:val="1"/>
      <w:marLeft w:val="0"/>
      <w:marRight w:val="0"/>
      <w:marTop w:val="0"/>
      <w:marBottom w:val="0"/>
      <w:divBdr>
        <w:top w:val="none" w:sz="0" w:space="0" w:color="auto"/>
        <w:left w:val="none" w:sz="0" w:space="0" w:color="auto"/>
        <w:bottom w:val="none" w:sz="0" w:space="0" w:color="auto"/>
        <w:right w:val="none" w:sz="0" w:space="0" w:color="auto"/>
      </w:divBdr>
    </w:div>
    <w:div w:id="1964798935">
      <w:bodyDiv w:val="1"/>
      <w:marLeft w:val="0"/>
      <w:marRight w:val="0"/>
      <w:marTop w:val="0"/>
      <w:marBottom w:val="0"/>
      <w:divBdr>
        <w:top w:val="none" w:sz="0" w:space="0" w:color="auto"/>
        <w:left w:val="none" w:sz="0" w:space="0" w:color="auto"/>
        <w:bottom w:val="none" w:sz="0" w:space="0" w:color="auto"/>
        <w:right w:val="none" w:sz="0" w:space="0" w:color="auto"/>
      </w:divBdr>
    </w:div>
    <w:div w:id="1969503502">
      <w:bodyDiv w:val="1"/>
      <w:marLeft w:val="0"/>
      <w:marRight w:val="0"/>
      <w:marTop w:val="0"/>
      <w:marBottom w:val="0"/>
      <w:divBdr>
        <w:top w:val="none" w:sz="0" w:space="0" w:color="auto"/>
        <w:left w:val="none" w:sz="0" w:space="0" w:color="auto"/>
        <w:bottom w:val="none" w:sz="0" w:space="0" w:color="auto"/>
        <w:right w:val="none" w:sz="0" w:space="0" w:color="auto"/>
      </w:divBdr>
    </w:div>
    <w:div w:id="1969966051">
      <w:bodyDiv w:val="1"/>
      <w:marLeft w:val="0"/>
      <w:marRight w:val="0"/>
      <w:marTop w:val="0"/>
      <w:marBottom w:val="0"/>
      <w:divBdr>
        <w:top w:val="none" w:sz="0" w:space="0" w:color="auto"/>
        <w:left w:val="none" w:sz="0" w:space="0" w:color="auto"/>
        <w:bottom w:val="none" w:sz="0" w:space="0" w:color="auto"/>
        <w:right w:val="none" w:sz="0" w:space="0" w:color="auto"/>
      </w:divBdr>
    </w:div>
    <w:div w:id="1974673886">
      <w:bodyDiv w:val="1"/>
      <w:marLeft w:val="0"/>
      <w:marRight w:val="0"/>
      <w:marTop w:val="0"/>
      <w:marBottom w:val="0"/>
      <w:divBdr>
        <w:top w:val="none" w:sz="0" w:space="0" w:color="auto"/>
        <w:left w:val="none" w:sz="0" w:space="0" w:color="auto"/>
        <w:bottom w:val="none" w:sz="0" w:space="0" w:color="auto"/>
        <w:right w:val="none" w:sz="0" w:space="0" w:color="auto"/>
      </w:divBdr>
    </w:div>
    <w:div w:id="1976833127">
      <w:bodyDiv w:val="1"/>
      <w:marLeft w:val="0"/>
      <w:marRight w:val="0"/>
      <w:marTop w:val="0"/>
      <w:marBottom w:val="0"/>
      <w:divBdr>
        <w:top w:val="none" w:sz="0" w:space="0" w:color="auto"/>
        <w:left w:val="none" w:sz="0" w:space="0" w:color="auto"/>
        <w:bottom w:val="none" w:sz="0" w:space="0" w:color="auto"/>
        <w:right w:val="none" w:sz="0" w:space="0" w:color="auto"/>
      </w:divBdr>
    </w:div>
    <w:div w:id="1978954522">
      <w:bodyDiv w:val="1"/>
      <w:marLeft w:val="0"/>
      <w:marRight w:val="0"/>
      <w:marTop w:val="0"/>
      <w:marBottom w:val="0"/>
      <w:divBdr>
        <w:top w:val="none" w:sz="0" w:space="0" w:color="auto"/>
        <w:left w:val="none" w:sz="0" w:space="0" w:color="auto"/>
        <w:bottom w:val="none" w:sz="0" w:space="0" w:color="auto"/>
        <w:right w:val="none" w:sz="0" w:space="0" w:color="auto"/>
      </w:divBdr>
    </w:div>
    <w:div w:id="1994916639">
      <w:bodyDiv w:val="1"/>
      <w:marLeft w:val="0"/>
      <w:marRight w:val="0"/>
      <w:marTop w:val="0"/>
      <w:marBottom w:val="0"/>
      <w:divBdr>
        <w:top w:val="none" w:sz="0" w:space="0" w:color="auto"/>
        <w:left w:val="none" w:sz="0" w:space="0" w:color="auto"/>
        <w:bottom w:val="none" w:sz="0" w:space="0" w:color="auto"/>
        <w:right w:val="none" w:sz="0" w:space="0" w:color="auto"/>
      </w:divBdr>
    </w:div>
    <w:div w:id="2001499383">
      <w:bodyDiv w:val="1"/>
      <w:marLeft w:val="0"/>
      <w:marRight w:val="0"/>
      <w:marTop w:val="0"/>
      <w:marBottom w:val="0"/>
      <w:divBdr>
        <w:top w:val="none" w:sz="0" w:space="0" w:color="auto"/>
        <w:left w:val="none" w:sz="0" w:space="0" w:color="auto"/>
        <w:bottom w:val="none" w:sz="0" w:space="0" w:color="auto"/>
        <w:right w:val="none" w:sz="0" w:space="0" w:color="auto"/>
      </w:divBdr>
    </w:div>
    <w:div w:id="2004819708">
      <w:bodyDiv w:val="1"/>
      <w:marLeft w:val="0"/>
      <w:marRight w:val="0"/>
      <w:marTop w:val="0"/>
      <w:marBottom w:val="0"/>
      <w:divBdr>
        <w:top w:val="none" w:sz="0" w:space="0" w:color="auto"/>
        <w:left w:val="none" w:sz="0" w:space="0" w:color="auto"/>
        <w:bottom w:val="none" w:sz="0" w:space="0" w:color="auto"/>
        <w:right w:val="none" w:sz="0" w:space="0" w:color="auto"/>
      </w:divBdr>
    </w:div>
    <w:div w:id="2010327348">
      <w:bodyDiv w:val="1"/>
      <w:marLeft w:val="0"/>
      <w:marRight w:val="0"/>
      <w:marTop w:val="0"/>
      <w:marBottom w:val="0"/>
      <w:divBdr>
        <w:top w:val="none" w:sz="0" w:space="0" w:color="auto"/>
        <w:left w:val="none" w:sz="0" w:space="0" w:color="auto"/>
        <w:bottom w:val="none" w:sz="0" w:space="0" w:color="auto"/>
        <w:right w:val="none" w:sz="0" w:space="0" w:color="auto"/>
      </w:divBdr>
    </w:div>
    <w:div w:id="2013872558">
      <w:bodyDiv w:val="1"/>
      <w:marLeft w:val="0"/>
      <w:marRight w:val="0"/>
      <w:marTop w:val="0"/>
      <w:marBottom w:val="0"/>
      <w:divBdr>
        <w:top w:val="none" w:sz="0" w:space="0" w:color="auto"/>
        <w:left w:val="none" w:sz="0" w:space="0" w:color="auto"/>
        <w:bottom w:val="none" w:sz="0" w:space="0" w:color="auto"/>
        <w:right w:val="none" w:sz="0" w:space="0" w:color="auto"/>
      </w:divBdr>
    </w:div>
    <w:div w:id="2013952958">
      <w:bodyDiv w:val="1"/>
      <w:marLeft w:val="0"/>
      <w:marRight w:val="0"/>
      <w:marTop w:val="0"/>
      <w:marBottom w:val="0"/>
      <w:divBdr>
        <w:top w:val="none" w:sz="0" w:space="0" w:color="auto"/>
        <w:left w:val="none" w:sz="0" w:space="0" w:color="auto"/>
        <w:bottom w:val="none" w:sz="0" w:space="0" w:color="auto"/>
        <w:right w:val="none" w:sz="0" w:space="0" w:color="auto"/>
      </w:divBdr>
    </w:div>
    <w:div w:id="2026860229">
      <w:bodyDiv w:val="1"/>
      <w:marLeft w:val="0"/>
      <w:marRight w:val="0"/>
      <w:marTop w:val="0"/>
      <w:marBottom w:val="0"/>
      <w:divBdr>
        <w:top w:val="none" w:sz="0" w:space="0" w:color="auto"/>
        <w:left w:val="none" w:sz="0" w:space="0" w:color="auto"/>
        <w:bottom w:val="none" w:sz="0" w:space="0" w:color="auto"/>
        <w:right w:val="none" w:sz="0" w:space="0" w:color="auto"/>
      </w:divBdr>
    </w:div>
    <w:div w:id="2026983061">
      <w:bodyDiv w:val="1"/>
      <w:marLeft w:val="0"/>
      <w:marRight w:val="0"/>
      <w:marTop w:val="0"/>
      <w:marBottom w:val="0"/>
      <w:divBdr>
        <w:top w:val="none" w:sz="0" w:space="0" w:color="auto"/>
        <w:left w:val="none" w:sz="0" w:space="0" w:color="auto"/>
        <w:bottom w:val="none" w:sz="0" w:space="0" w:color="auto"/>
        <w:right w:val="none" w:sz="0" w:space="0" w:color="auto"/>
      </w:divBdr>
    </w:div>
    <w:div w:id="2031104451">
      <w:bodyDiv w:val="1"/>
      <w:marLeft w:val="0"/>
      <w:marRight w:val="0"/>
      <w:marTop w:val="0"/>
      <w:marBottom w:val="0"/>
      <w:divBdr>
        <w:top w:val="none" w:sz="0" w:space="0" w:color="auto"/>
        <w:left w:val="none" w:sz="0" w:space="0" w:color="auto"/>
        <w:bottom w:val="none" w:sz="0" w:space="0" w:color="auto"/>
        <w:right w:val="none" w:sz="0" w:space="0" w:color="auto"/>
      </w:divBdr>
    </w:div>
    <w:div w:id="2037078358">
      <w:bodyDiv w:val="1"/>
      <w:marLeft w:val="0"/>
      <w:marRight w:val="0"/>
      <w:marTop w:val="0"/>
      <w:marBottom w:val="0"/>
      <w:divBdr>
        <w:top w:val="none" w:sz="0" w:space="0" w:color="auto"/>
        <w:left w:val="none" w:sz="0" w:space="0" w:color="auto"/>
        <w:bottom w:val="none" w:sz="0" w:space="0" w:color="auto"/>
        <w:right w:val="none" w:sz="0" w:space="0" w:color="auto"/>
      </w:divBdr>
    </w:div>
    <w:div w:id="2040812130">
      <w:bodyDiv w:val="1"/>
      <w:marLeft w:val="0"/>
      <w:marRight w:val="0"/>
      <w:marTop w:val="0"/>
      <w:marBottom w:val="0"/>
      <w:divBdr>
        <w:top w:val="none" w:sz="0" w:space="0" w:color="auto"/>
        <w:left w:val="none" w:sz="0" w:space="0" w:color="auto"/>
        <w:bottom w:val="none" w:sz="0" w:space="0" w:color="auto"/>
        <w:right w:val="none" w:sz="0" w:space="0" w:color="auto"/>
      </w:divBdr>
    </w:div>
    <w:div w:id="2045015134">
      <w:bodyDiv w:val="1"/>
      <w:marLeft w:val="0"/>
      <w:marRight w:val="0"/>
      <w:marTop w:val="0"/>
      <w:marBottom w:val="0"/>
      <w:divBdr>
        <w:top w:val="none" w:sz="0" w:space="0" w:color="auto"/>
        <w:left w:val="none" w:sz="0" w:space="0" w:color="auto"/>
        <w:bottom w:val="none" w:sz="0" w:space="0" w:color="auto"/>
        <w:right w:val="none" w:sz="0" w:space="0" w:color="auto"/>
      </w:divBdr>
    </w:div>
    <w:div w:id="2049450641">
      <w:bodyDiv w:val="1"/>
      <w:marLeft w:val="0"/>
      <w:marRight w:val="0"/>
      <w:marTop w:val="0"/>
      <w:marBottom w:val="0"/>
      <w:divBdr>
        <w:top w:val="none" w:sz="0" w:space="0" w:color="auto"/>
        <w:left w:val="none" w:sz="0" w:space="0" w:color="auto"/>
        <w:bottom w:val="none" w:sz="0" w:space="0" w:color="auto"/>
        <w:right w:val="none" w:sz="0" w:space="0" w:color="auto"/>
      </w:divBdr>
    </w:div>
    <w:div w:id="2058434086">
      <w:bodyDiv w:val="1"/>
      <w:marLeft w:val="0"/>
      <w:marRight w:val="0"/>
      <w:marTop w:val="0"/>
      <w:marBottom w:val="0"/>
      <w:divBdr>
        <w:top w:val="none" w:sz="0" w:space="0" w:color="auto"/>
        <w:left w:val="none" w:sz="0" w:space="0" w:color="auto"/>
        <w:bottom w:val="none" w:sz="0" w:space="0" w:color="auto"/>
        <w:right w:val="none" w:sz="0" w:space="0" w:color="auto"/>
      </w:divBdr>
    </w:div>
    <w:div w:id="2067217956">
      <w:bodyDiv w:val="1"/>
      <w:marLeft w:val="0"/>
      <w:marRight w:val="0"/>
      <w:marTop w:val="0"/>
      <w:marBottom w:val="0"/>
      <w:divBdr>
        <w:top w:val="none" w:sz="0" w:space="0" w:color="auto"/>
        <w:left w:val="none" w:sz="0" w:space="0" w:color="auto"/>
        <w:bottom w:val="none" w:sz="0" w:space="0" w:color="auto"/>
        <w:right w:val="none" w:sz="0" w:space="0" w:color="auto"/>
      </w:divBdr>
    </w:div>
    <w:div w:id="2069721947">
      <w:bodyDiv w:val="1"/>
      <w:marLeft w:val="0"/>
      <w:marRight w:val="0"/>
      <w:marTop w:val="0"/>
      <w:marBottom w:val="0"/>
      <w:divBdr>
        <w:top w:val="none" w:sz="0" w:space="0" w:color="auto"/>
        <w:left w:val="none" w:sz="0" w:space="0" w:color="auto"/>
        <w:bottom w:val="none" w:sz="0" w:space="0" w:color="auto"/>
        <w:right w:val="none" w:sz="0" w:space="0" w:color="auto"/>
      </w:divBdr>
    </w:div>
    <w:div w:id="2070179249">
      <w:bodyDiv w:val="1"/>
      <w:marLeft w:val="0"/>
      <w:marRight w:val="0"/>
      <w:marTop w:val="0"/>
      <w:marBottom w:val="0"/>
      <w:divBdr>
        <w:top w:val="none" w:sz="0" w:space="0" w:color="auto"/>
        <w:left w:val="none" w:sz="0" w:space="0" w:color="auto"/>
        <w:bottom w:val="none" w:sz="0" w:space="0" w:color="auto"/>
        <w:right w:val="none" w:sz="0" w:space="0" w:color="auto"/>
      </w:divBdr>
    </w:div>
    <w:div w:id="2083216896">
      <w:bodyDiv w:val="1"/>
      <w:marLeft w:val="0"/>
      <w:marRight w:val="0"/>
      <w:marTop w:val="0"/>
      <w:marBottom w:val="0"/>
      <w:divBdr>
        <w:top w:val="none" w:sz="0" w:space="0" w:color="auto"/>
        <w:left w:val="none" w:sz="0" w:space="0" w:color="auto"/>
        <w:bottom w:val="none" w:sz="0" w:space="0" w:color="auto"/>
        <w:right w:val="none" w:sz="0" w:space="0" w:color="auto"/>
      </w:divBdr>
    </w:div>
    <w:div w:id="2090540263">
      <w:bodyDiv w:val="1"/>
      <w:marLeft w:val="0"/>
      <w:marRight w:val="0"/>
      <w:marTop w:val="0"/>
      <w:marBottom w:val="0"/>
      <w:divBdr>
        <w:top w:val="none" w:sz="0" w:space="0" w:color="auto"/>
        <w:left w:val="none" w:sz="0" w:space="0" w:color="auto"/>
        <w:bottom w:val="none" w:sz="0" w:space="0" w:color="auto"/>
        <w:right w:val="none" w:sz="0" w:space="0" w:color="auto"/>
      </w:divBdr>
    </w:div>
    <w:div w:id="2092264924">
      <w:bodyDiv w:val="1"/>
      <w:marLeft w:val="0"/>
      <w:marRight w:val="0"/>
      <w:marTop w:val="0"/>
      <w:marBottom w:val="0"/>
      <w:divBdr>
        <w:top w:val="none" w:sz="0" w:space="0" w:color="auto"/>
        <w:left w:val="none" w:sz="0" w:space="0" w:color="auto"/>
        <w:bottom w:val="none" w:sz="0" w:space="0" w:color="auto"/>
        <w:right w:val="none" w:sz="0" w:space="0" w:color="auto"/>
      </w:divBdr>
    </w:div>
    <w:div w:id="2093354087">
      <w:bodyDiv w:val="1"/>
      <w:marLeft w:val="0"/>
      <w:marRight w:val="0"/>
      <w:marTop w:val="0"/>
      <w:marBottom w:val="0"/>
      <w:divBdr>
        <w:top w:val="none" w:sz="0" w:space="0" w:color="auto"/>
        <w:left w:val="none" w:sz="0" w:space="0" w:color="auto"/>
        <w:bottom w:val="none" w:sz="0" w:space="0" w:color="auto"/>
        <w:right w:val="none" w:sz="0" w:space="0" w:color="auto"/>
      </w:divBdr>
    </w:div>
    <w:div w:id="2094007913">
      <w:bodyDiv w:val="1"/>
      <w:marLeft w:val="0"/>
      <w:marRight w:val="0"/>
      <w:marTop w:val="0"/>
      <w:marBottom w:val="0"/>
      <w:divBdr>
        <w:top w:val="none" w:sz="0" w:space="0" w:color="auto"/>
        <w:left w:val="none" w:sz="0" w:space="0" w:color="auto"/>
        <w:bottom w:val="none" w:sz="0" w:space="0" w:color="auto"/>
        <w:right w:val="none" w:sz="0" w:space="0" w:color="auto"/>
      </w:divBdr>
    </w:div>
    <w:div w:id="2094423675">
      <w:bodyDiv w:val="1"/>
      <w:marLeft w:val="0"/>
      <w:marRight w:val="0"/>
      <w:marTop w:val="0"/>
      <w:marBottom w:val="0"/>
      <w:divBdr>
        <w:top w:val="none" w:sz="0" w:space="0" w:color="auto"/>
        <w:left w:val="none" w:sz="0" w:space="0" w:color="auto"/>
        <w:bottom w:val="none" w:sz="0" w:space="0" w:color="auto"/>
        <w:right w:val="none" w:sz="0" w:space="0" w:color="auto"/>
      </w:divBdr>
    </w:div>
    <w:div w:id="2095081060">
      <w:bodyDiv w:val="1"/>
      <w:marLeft w:val="0"/>
      <w:marRight w:val="0"/>
      <w:marTop w:val="0"/>
      <w:marBottom w:val="0"/>
      <w:divBdr>
        <w:top w:val="none" w:sz="0" w:space="0" w:color="auto"/>
        <w:left w:val="none" w:sz="0" w:space="0" w:color="auto"/>
        <w:bottom w:val="none" w:sz="0" w:space="0" w:color="auto"/>
        <w:right w:val="none" w:sz="0" w:space="0" w:color="auto"/>
      </w:divBdr>
    </w:div>
    <w:div w:id="2097943464">
      <w:bodyDiv w:val="1"/>
      <w:marLeft w:val="0"/>
      <w:marRight w:val="0"/>
      <w:marTop w:val="0"/>
      <w:marBottom w:val="0"/>
      <w:divBdr>
        <w:top w:val="none" w:sz="0" w:space="0" w:color="auto"/>
        <w:left w:val="none" w:sz="0" w:space="0" w:color="auto"/>
        <w:bottom w:val="none" w:sz="0" w:space="0" w:color="auto"/>
        <w:right w:val="none" w:sz="0" w:space="0" w:color="auto"/>
      </w:divBdr>
    </w:div>
    <w:div w:id="2100252882">
      <w:bodyDiv w:val="1"/>
      <w:marLeft w:val="0"/>
      <w:marRight w:val="0"/>
      <w:marTop w:val="0"/>
      <w:marBottom w:val="0"/>
      <w:divBdr>
        <w:top w:val="none" w:sz="0" w:space="0" w:color="auto"/>
        <w:left w:val="none" w:sz="0" w:space="0" w:color="auto"/>
        <w:bottom w:val="none" w:sz="0" w:space="0" w:color="auto"/>
        <w:right w:val="none" w:sz="0" w:space="0" w:color="auto"/>
      </w:divBdr>
    </w:div>
    <w:div w:id="2104715382">
      <w:bodyDiv w:val="1"/>
      <w:marLeft w:val="0"/>
      <w:marRight w:val="0"/>
      <w:marTop w:val="0"/>
      <w:marBottom w:val="0"/>
      <w:divBdr>
        <w:top w:val="none" w:sz="0" w:space="0" w:color="auto"/>
        <w:left w:val="none" w:sz="0" w:space="0" w:color="auto"/>
        <w:bottom w:val="none" w:sz="0" w:space="0" w:color="auto"/>
        <w:right w:val="none" w:sz="0" w:space="0" w:color="auto"/>
      </w:divBdr>
    </w:div>
    <w:div w:id="2107531809">
      <w:bodyDiv w:val="1"/>
      <w:marLeft w:val="0"/>
      <w:marRight w:val="0"/>
      <w:marTop w:val="0"/>
      <w:marBottom w:val="0"/>
      <w:divBdr>
        <w:top w:val="none" w:sz="0" w:space="0" w:color="auto"/>
        <w:left w:val="none" w:sz="0" w:space="0" w:color="auto"/>
        <w:bottom w:val="none" w:sz="0" w:space="0" w:color="auto"/>
        <w:right w:val="none" w:sz="0" w:space="0" w:color="auto"/>
      </w:divBdr>
    </w:div>
    <w:div w:id="2118013893">
      <w:bodyDiv w:val="1"/>
      <w:marLeft w:val="0"/>
      <w:marRight w:val="0"/>
      <w:marTop w:val="0"/>
      <w:marBottom w:val="0"/>
      <w:divBdr>
        <w:top w:val="none" w:sz="0" w:space="0" w:color="auto"/>
        <w:left w:val="none" w:sz="0" w:space="0" w:color="auto"/>
        <w:bottom w:val="none" w:sz="0" w:space="0" w:color="auto"/>
        <w:right w:val="none" w:sz="0" w:space="0" w:color="auto"/>
      </w:divBdr>
    </w:div>
    <w:div w:id="2118327685">
      <w:bodyDiv w:val="1"/>
      <w:marLeft w:val="0"/>
      <w:marRight w:val="0"/>
      <w:marTop w:val="0"/>
      <w:marBottom w:val="0"/>
      <w:divBdr>
        <w:top w:val="none" w:sz="0" w:space="0" w:color="auto"/>
        <w:left w:val="none" w:sz="0" w:space="0" w:color="auto"/>
        <w:bottom w:val="none" w:sz="0" w:space="0" w:color="auto"/>
        <w:right w:val="none" w:sz="0" w:space="0" w:color="auto"/>
      </w:divBdr>
    </w:div>
    <w:div w:id="2124765470">
      <w:bodyDiv w:val="1"/>
      <w:marLeft w:val="0"/>
      <w:marRight w:val="0"/>
      <w:marTop w:val="0"/>
      <w:marBottom w:val="0"/>
      <w:divBdr>
        <w:top w:val="none" w:sz="0" w:space="0" w:color="auto"/>
        <w:left w:val="none" w:sz="0" w:space="0" w:color="auto"/>
        <w:bottom w:val="none" w:sz="0" w:space="0" w:color="auto"/>
        <w:right w:val="none" w:sz="0" w:space="0" w:color="auto"/>
      </w:divBdr>
    </w:div>
    <w:div w:id="2128548554">
      <w:bodyDiv w:val="1"/>
      <w:marLeft w:val="0"/>
      <w:marRight w:val="0"/>
      <w:marTop w:val="0"/>
      <w:marBottom w:val="0"/>
      <w:divBdr>
        <w:top w:val="none" w:sz="0" w:space="0" w:color="auto"/>
        <w:left w:val="none" w:sz="0" w:space="0" w:color="auto"/>
        <w:bottom w:val="none" w:sz="0" w:space="0" w:color="auto"/>
        <w:right w:val="none" w:sz="0" w:space="0" w:color="auto"/>
      </w:divBdr>
    </w:div>
    <w:div w:id="2130121566">
      <w:bodyDiv w:val="1"/>
      <w:marLeft w:val="0"/>
      <w:marRight w:val="0"/>
      <w:marTop w:val="0"/>
      <w:marBottom w:val="0"/>
      <w:divBdr>
        <w:top w:val="none" w:sz="0" w:space="0" w:color="auto"/>
        <w:left w:val="none" w:sz="0" w:space="0" w:color="auto"/>
        <w:bottom w:val="none" w:sz="0" w:space="0" w:color="auto"/>
        <w:right w:val="none" w:sz="0" w:space="0" w:color="auto"/>
      </w:divBdr>
    </w:div>
    <w:div w:id="2131392278">
      <w:bodyDiv w:val="1"/>
      <w:marLeft w:val="0"/>
      <w:marRight w:val="0"/>
      <w:marTop w:val="0"/>
      <w:marBottom w:val="0"/>
      <w:divBdr>
        <w:top w:val="none" w:sz="0" w:space="0" w:color="auto"/>
        <w:left w:val="none" w:sz="0" w:space="0" w:color="auto"/>
        <w:bottom w:val="none" w:sz="0" w:space="0" w:color="auto"/>
        <w:right w:val="none" w:sz="0" w:space="0" w:color="auto"/>
      </w:divBdr>
    </w:div>
    <w:div w:id="2131624982">
      <w:bodyDiv w:val="1"/>
      <w:marLeft w:val="0"/>
      <w:marRight w:val="0"/>
      <w:marTop w:val="0"/>
      <w:marBottom w:val="0"/>
      <w:divBdr>
        <w:top w:val="none" w:sz="0" w:space="0" w:color="auto"/>
        <w:left w:val="none" w:sz="0" w:space="0" w:color="auto"/>
        <w:bottom w:val="none" w:sz="0" w:space="0" w:color="auto"/>
        <w:right w:val="none" w:sz="0" w:space="0" w:color="auto"/>
      </w:divBdr>
    </w:div>
    <w:div w:id="2135246422">
      <w:bodyDiv w:val="1"/>
      <w:marLeft w:val="0"/>
      <w:marRight w:val="0"/>
      <w:marTop w:val="0"/>
      <w:marBottom w:val="0"/>
      <w:divBdr>
        <w:top w:val="none" w:sz="0" w:space="0" w:color="auto"/>
        <w:left w:val="none" w:sz="0" w:space="0" w:color="auto"/>
        <w:bottom w:val="none" w:sz="0" w:space="0" w:color="auto"/>
        <w:right w:val="none" w:sz="0" w:space="0" w:color="auto"/>
      </w:divBdr>
    </w:div>
    <w:div w:id="2137486420">
      <w:bodyDiv w:val="1"/>
      <w:marLeft w:val="0"/>
      <w:marRight w:val="0"/>
      <w:marTop w:val="0"/>
      <w:marBottom w:val="0"/>
      <w:divBdr>
        <w:top w:val="none" w:sz="0" w:space="0" w:color="auto"/>
        <w:left w:val="none" w:sz="0" w:space="0" w:color="auto"/>
        <w:bottom w:val="none" w:sz="0" w:space="0" w:color="auto"/>
        <w:right w:val="none" w:sz="0" w:space="0" w:color="auto"/>
      </w:divBdr>
    </w:div>
    <w:div w:id="2144149803">
      <w:bodyDiv w:val="1"/>
      <w:marLeft w:val="0"/>
      <w:marRight w:val="0"/>
      <w:marTop w:val="0"/>
      <w:marBottom w:val="0"/>
      <w:divBdr>
        <w:top w:val="none" w:sz="0" w:space="0" w:color="auto"/>
        <w:left w:val="none" w:sz="0" w:space="0" w:color="auto"/>
        <w:bottom w:val="none" w:sz="0" w:space="0" w:color="auto"/>
        <w:right w:val="none" w:sz="0" w:space="0" w:color="auto"/>
      </w:divBdr>
    </w:div>
    <w:div w:id="2146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842a6b-9041-4169-b13b-b83ee9e3b460">
      <Terms xmlns="http://schemas.microsoft.com/office/infopath/2007/PartnerControls"/>
    </lcf76f155ced4ddcb4097134ff3c332f>
    <TaxCatchAll xmlns="5064cda1-32fd-48c5-adb4-033149c1c5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FABD7B0E8D2248A572BBF2224B5657" ma:contentTypeVersion="12" ma:contentTypeDescription="Crie um novo documento." ma:contentTypeScope="" ma:versionID="723e8cb1733831af338d77023151843e">
  <xsd:schema xmlns:xsd="http://www.w3.org/2001/XMLSchema" xmlns:xs="http://www.w3.org/2001/XMLSchema" xmlns:p="http://schemas.microsoft.com/office/2006/metadata/properties" xmlns:ns2="3c842a6b-9041-4169-b13b-b83ee9e3b460" xmlns:ns3="5064cda1-32fd-48c5-adb4-033149c1c5be" targetNamespace="http://schemas.microsoft.com/office/2006/metadata/properties" ma:root="true" ma:fieldsID="b3fa4402555cfbe433fe7629938eb3b7" ns2:_="" ns3:_="">
    <xsd:import namespace="3c842a6b-9041-4169-b13b-b83ee9e3b460"/>
    <xsd:import namespace="5064cda1-32fd-48c5-adb4-033149c1c5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42a6b-9041-4169-b13b-b83ee9e3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5835187a-a473-41ac-a4ea-1c7fdfdb56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4cda1-32fd-48c5-adb4-033149c1c5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61a673-ab65-403a-b153-bbc8d76a84c6}" ma:internalName="TaxCatchAll" ma:showField="CatchAllData" ma:web="5064cda1-32fd-48c5-adb4-033149c1c5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5BCEE-9D0D-421B-9E66-98237AB77A25}">
  <ds:schemaRefs>
    <ds:schemaRef ds:uri="http://schemas.microsoft.com/office/2006/metadata/properties"/>
    <ds:schemaRef ds:uri="http://schemas.microsoft.com/office/infopath/2007/PartnerControls"/>
    <ds:schemaRef ds:uri="3c842a6b-9041-4169-b13b-b83ee9e3b460"/>
    <ds:schemaRef ds:uri="5064cda1-32fd-48c5-adb4-033149c1c5be"/>
  </ds:schemaRefs>
</ds:datastoreItem>
</file>

<file path=customXml/itemProps2.xml><?xml version="1.0" encoding="utf-8"?>
<ds:datastoreItem xmlns:ds="http://schemas.openxmlformats.org/officeDocument/2006/customXml" ds:itemID="{C43F8246-0CD0-4290-A0F1-8AD62FF89524}">
  <ds:schemaRefs>
    <ds:schemaRef ds:uri="http://schemas.microsoft.com/sharepoint/v3/contenttype/forms"/>
  </ds:schemaRefs>
</ds:datastoreItem>
</file>

<file path=customXml/itemProps3.xml><?xml version="1.0" encoding="utf-8"?>
<ds:datastoreItem xmlns:ds="http://schemas.openxmlformats.org/officeDocument/2006/customXml" ds:itemID="{71F42EC1-3C20-4C93-8CA9-E1B0F7C1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42a6b-9041-4169-b13b-b83ee9e3b460"/>
    <ds:schemaRef ds:uri="5064cda1-32fd-48c5-adb4-033149c1c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2E7E4-B2B2-4A9C-9EB2-91A8265B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79</Pages>
  <Words>27137</Words>
  <Characters>153873</Characters>
  <Application>Microsoft Office Word</Application>
  <DocSecurity>0</DocSecurity>
  <Lines>6154</Lines>
  <Paragraphs>3694</Paragraphs>
  <ScaleCrop>false</ScaleCrop>
  <Company/>
  <LinksUpToDate>false</LinksUpToDate>
  <CharactersWithSpaces>177316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Rocha Vinhal</dc:creator>
  <cp:keywords/>
  <dc:description/>
  <cp:lastModifiedBy>Erica Rocha Vinhal</cp:lastModifiedBy>
  <cp:revision>28</cp:revision>
  <cp:lastPrinted>2023-03-17T14:04:00Z</cp:lastPrinted>
  <dcterms:created xsi:type="dcterms:W3CDTF">2023-03-21T17:18:00Z</dcterms:created>
  <dcterms:modified xsi:type="dcterms:W3CDTF">2023-04-12T18:30:00Z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2023-02-15T14:46:15Z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87c4b32b-99bb-47a2-a1cd-9b7ad581fdbc</vt:lpwstr>
  </property>
  <property fmtid="{D5CDD505-2E9C-101B-9397-08002B2CF9AE}" pid="8" name="MSIP_Label_defa4170-0d19-0005-0004-bc88714345d2_ActionId">
    <vt:lpwstr>858647c7-8980-4978-a3cf-132447f2f313</vt:lpwstr>
  </property>
  <property fmtid="{D5CDD505-2E9C-101B-9397-08002B2CF9AE}" pid="9" name="MSIP_Label_defa4170-0d19-0005-0004-bc88714345d2_ContentBits">
    <vt:lpwstr>0</vt:lpwstr>
  </property>
  <property fmtid="{D5CDD505-2E9C-101B-9397-08002B2CF9AE}" pid="10" name="ContentTypeId">
    <vt:lpwstr>0x010100AAFABD7B0E8D2248A572BBF2224B5657</vt:lpwstr>
  </property>
</Properties>
</file>