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BD4F96">
        <w:rPr>
          <w:rFonts w:ascii="Arial" w:hAnsi="Arial" w:cs="Arial"/>
          <w:b/>
          <w:bCs/>
          <w:color w:val="000080"/>
        </w:rPr>
        <w:t>9</w:t>
      </w:r>
      <w:r w:rsidR="00FA5ECB"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91763">
        <w:rPr>
          <w:rFonts w:ascii="Arial" w:hAnsi="Arial" w:cs="Arial"/>
          <w:b/>
          <w:bCs/>
          <w:color w:val="000080"/>
        </w:rPr>
        <w:t>1</w:t>
      </w:r>
      <w:r w:rsidR="00700221">
        <w:rPr>
          <w:rFonts w:ascii="Arial" w:hAnsi="Arial" w:cs="Arial"/>
          <w:b/>
          <w:bCs/>
          <w:color w:val="000080"/>
        </w:rPr>
        <w:t>1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A5ECB" w:rsidRPr="006E1EF0" w:rsidRDefault="00FA5ECB" w:rsidP="00FA5ECB">
      <w:pPr>
        <w:ind w:firstLine="1134"/>
        <w:jc w:val="both"/>
        <w:rPr>
          <w:rFonts w:ascii="Arial" w:hAnsi="Arial" w:cs="Arial"/>
        </w:rPr>
      </w:pPr>
      <w:r w:rsidRPr="006E1EF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E1EF0">
        <w:rPr>
          <w:rFonts w:ascii="Arial" w:hAnsi="Arial" w:cs="Arial"/>
        </w:rPr>
        <w:t>, no uso da competência que lhe foi delegada pelo art. 1º, inciso VI, da Portaria MME nº 281, de 29 de junho de 2016, tendo em vista o disposto no art. 4º do Decreto nº 8.874, de 11 de outubro de 2016, no art. 4º da Portaria MME nº 506, de 24 de outubro de 2016, e o que consta do Processo nº 48360.000189/2017-24, resolve:</w:t>
      </w:r>
    </w:p>
    <w:p w:rsidR="00FA5ECB" w:rsidRPr="006E1EF0" w:rsidRDefault="00FA5ECB" w:rsidP="00FA5ECB">
      <w:pPr>
        <w:ind w:firstLine="1134"/>
        <w:jc w:val="both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1º Aprovar, na forma do art. 2º, § 1º, inciso III, do Decreto nº 8.874, de 11 de outubro de 2016, como prioritário o Projeto de Transmissão de Energia Elétrica, de titularidade da empresa Canarana Transmissora de Energia S.A., inscrita no CNPJ/MF sob o nº 24.876.026/0001-66, para os fins do art. 2º da Lei nº 12.431, de 24 de junho de 2011, descrito no Anexo à presente Portaria.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2º A Canarana Transmissora de Energia S.A. e a Sociedade Controladora deverão: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 xml:space="preserve">I - </w:t>
      </w:r>
      <w:proofErr w:type="gramStart"/>
      <w:r w:rsidRPr="006E1EF0">
        <w:rPr>
          <w:rFonts w:ascii="Arial" w:hAnsi="Arial" w:cs="Arial"/>
        </w:rPr>
        <w:t>dar</w:t>
      </w:r>
      <w:proofErr w:type="gramEnd"/>
      <w:r w:rsidRPr="006E1EF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 xml:space="preserve">II - </w:t>
      </w:r>
      <w:proofErr w:type="gramStart"/>
      <w:r w:rsidRPr="006E1EF0">
        <w:rPr>
          <w:rFonts w:ascii="Arial" w:hAnsi="Arial" w:cs="Arial"/>
        </w:rPr>
        <w:t>manter</w:t>
      </w:r>
      <w:proofErr w:type="gramEnd"/>
      <w:r w:rsidRPr="006E1EF0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 xml:space="preserve">IV - </w:t>
      </w:r>
      <w:proofErr w:type="gramStart"/>
      <w:r w:rsidRPr="006E1EF0">
        <w:rPr>
          <w:rFonts w:ascii="Arial" w:hAnsi="Arial" w:cs="Arial"/>
        </w:rPr>
        <w:t>manter</w:t>
      </w:r>
      <w:proofErr w:type="gramEnd"/>
      <w:r w:rsidRPr="006E1EF0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 xml:space="preserve">V - </w:t>
      </w:r>
      <w:proofErr w:type="gramStart"/>
      <w:r w:rsidRPr="006E1EF0">
        <w:rPr>
          <w:rFonts w:ascii="Arial" w:hAnsi="Arial" w:cs="Arial"/>
        </w:rPr>
        <w:t>para</w:t>
      </w:r>
      <w:proofErr w:type="gramEnd"/>
      <w:r w:rsidRPr="006E1EF0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FA5ECB" w:rsidRPr="00FA5ECB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 xml:space="preserve">VI - </w:t>
      </w:r>
      <w:proofErr w:type="gramStart"/>
      <w:r w:rsidRPr="006E1EF0">
        <w:rPr>
          <w:rFonts w:ascii="Arial" w:hAnsi="Arial" w:cs="Arial"/>
        </w:rPr>
        <w:t>observar</w:t>
      </w:r>
      <w:proofErr w:type="gramEnd"/>
      <w:r w:rsidRPr="006E1EF0">
        <w:rPr>
          <w:rFonts w:ascii="Arial" w:hAnsi="Arial" w:cs="Arial"/>
        </w:rPr>
        <w:t xml:space="preserve"> as demais disposições constantes na Lei nº 12.431, de 2011, no Decreto nº 8.874, de 2016, na legislação e normas vigentes e supervenientes, sujeitando-se às penalidades legais, inclusive aquela prevista no art. 2º, § 5º, da referida Lei, a ser aplicada pela Secretaria da Receita Federal do Brasil.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3º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4º A Canarana Transmissora de Energia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5º Alterações técnicas ou de titularidade do Projeto de que trata esta Portaria, autorizadas pela ANEEL ou pelo Ministério de Minas e Energia, não ensejarão a publicação de nova Portaria de aprovação do projeto como prioritário, para os fins do art. 2º da Lei nº 12.431, de 2011.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6º O descumprimento das obrigações de que trata esta Portaria implicará na automática revogação da aprovação do Projeto como prioritário.</w:t>
      </w: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A5ECB" w:rsidRPr="006E1EF0" w:rsidRDefault="00FA5ECB" w:rsidP="00FA5EC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E1EF0">
        <w:rPr>
          <w:rFonts w:ascii="Arial" w:hAnsi="Arial" w:cs="Arial"/>
        </w:rPr>
        <w:t>Art. 7º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</w:t>
      </w:r>
      <w:r w:rsidR="00391763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FA5ECB" w:rsidRPr="006E1EF0" w:rsidTr="00EA6BC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6E1EF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A5ECB" w:rsidRPr="006E1EF0" w:rsidTr="00EA6BC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CNPJ      </w:t>
            </w:r>
          </w:p>
        </w:tc>
      </w:tr>
      <w:tr w:rsidR="00FA5ECB" w:rsidRPr="006E1EF0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  <w:i/>
              </w:rPr>
            </w:pPr>
            <w:r w:rsidRPr="006E1EF0">
              <w:rPr>
                <w:rFonts w:ascii="Arial" w:hAnsi="Arial" w:cs="Arial"/>
              </w:rPr>
              <w:t>Canarana Transmissora de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24.876.026/0001-66.</w:t>
            </w:r>
          </w:p>
        </w:tc>
      </w:tr>
      <w:tr w:rsidR="00FA5ECB" w:rsidRPr="006E1EF0" w:rsidTr="00EA6BC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Número</w:t>
            </w:r>
          </w:p>
        </w:tc>
      </w:tr>
      <w:tr w:rsidR="00FA5ECB" w:rsidRPr="006E1EF0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Avenida Presidente Vargas.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955.</w:t>
            </w:r>
          </w:p>
        </w:tc>
      </w:tr>
      <w:tr w:rsidR="00FA5ECB" w:rsidRPr="006E1EF0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CEP</w:t>
            </w:r>
          </w:p>
        </w:tc>
      </w:tr>
      <w:tr w:rsidR="00FA5ECB" w:rsidRPr="006E1EF0" w:rsidTr="00EA6BC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 14º Andar, Sala 1401 (Parte).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Centro.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20071-004.</w:t>
            </w:r>
          </w:p>
        </w:tc>
      </w:tr>
      <w:tr w:rsidR="00FA5ECB" w:rsidRPr="006E1EF0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Telefone</w:t>
            </w:r>
          </w:p>
        </w:tc>
      </w:tr>
      <w:tr w:rsidR="00FA5ECB" w:rsidRPr="006E1EF0" w:rsidTr="00EA6BC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RJ.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(21) 3153-7092.</w:t>
            </w:r>
          </w:p>
        </w:tc>
      </w:tr>
      <w:tr w:rsidR="00FA5ECB" w:rsidRPr="006E1EF0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Contrato de Concessão</w:t>
            </w:r>
          </w:p>
        </w:tc>
      </w:tr>
      <w:tr w:rsidR="00FA5ECB" w:rsidRPr="006E1EF0" w:rsidTr="00EA6BC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Contrato de Concessão nº 16/2016-ANEEL, celebrado em 25 de agosto de 2016.</w:t>
            </w:r>
          </w:p>
        </w:tc>
      </w:tr>
    </w:tbl>
    <w:p w:rsidR="00FA5ECB" w:rsidRPr="006E1EF0" w:rsidRDefault="00FA5ECB" w:rsidP="00FA5EC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FA5ECB" w:rsidRPr="006E1EF0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1EF0">
              <w:rPr>
                <w:rFonts w:ascii="Arial" w:hAnsi="Arial" w:cs="Arial"/>
              </w:rPr>
              <w:t xml:space="preserve">REPRESENTANTE(S) LEGAL(IS) DA EMPRESA </w:t>
            </w:r>
            <w:r w:rsidRPr="006E1EF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A5ECB" w:rsidRPr="006E1EF0" w:rsidTr="00EA6BCF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Nome: Ana Cláudia Alves da Costa.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CPF: 899.755.377-15.</w:t>
            </w:r>
          </w:p>
        </w:tc>
      </w:tr>
      <w:tr w:rsidR="00FA5ECB" w:rsidRPr="006E1EF0" w:rsidTr="00EA6BCF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Nome: Francisco Carlos Diniz.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CPF: 922.125.141-15.</w:t>
            </w:r>
          </w:p>
        </w:tc>
      </w:tr>
    </w:tbl>
    <w:p w:rsidR="00FA5ECB" w:rsidRPr="006E1EF0" w:rsidRDefault="00FA5ECB" w:rsidP="00FA5EC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FA5ECB" w:rsidRPr="006E1EF0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1EF0">
              <w:rPr>
                <w:rFonts w:ascii="Arial" w:hAnsi="Arial" w:cs="Arial"/>
              </w:rPr>
              <w:t xml:space="preserve">RELAÇÃO DOS ACIONISTAS DA EMPRESA TITULAR </w:t>
            </w:r>
            <w:r w:rsidRPr="006E1EF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A5ECB" w:rsidRPr="006E1EF0" w:rsidTr="00EA6BC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Participação (%)</w:t>
            </w:r>
          </w:p>
        </w:tc>
      </w:tr>
      <w:tr w:rsidR="00FA5ECB" w:rsidRPr="006E1EF0" w:rsidTr="00EA6BCF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6E1EF0">
              <w:rPr>
                <w:rFonts w:ascii="Arial" w:hAnsi="Arial" w:cs="Arial"/>
              </w:rPr>
              <w:t>State</w:t>
            </w:r>
            <w:proofErr w:type="spellEnd"/>
            <w:r w:rsidRPr="006E1EF0">
              <w:rPr>
                <w:rFonts w:ascii="Arial" w:hAnsi="Arial" w:cs="Arial"/>
              </w:rPr>
              <w:t xml:space="preserve"> Grid </w:t>
            </w:r>
            <w:proofErr w:type="spellStart"/>
            <w:r w:rsidRPr="006E1EF0">
              <w:rPr>
                <w:rFonts w:ascii="Arial" w:hAnsi="Arial" w:cs="Arial"/>
              </w:rPr>
              <w:t>Brazil</w:t>
            </w:r>
            <w:proofErr w:type="spellEnd"/>
            <w:r w:rsidRPr="006E1EF0">
              <w:rPr>
                <w:rFonts w:ascii="Arial" w:hAnsi="Arial" w:cs="Arial"/>
              </w:rPr>
              <w:t xml:space="preserve"> Holding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11.938.558/0001-39.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99,999995%.</w:t>
            </w:r>
          </w:p>
        </w:tc>
      </w:tr>
      <w:tr w:rsidR="00FA5ECB" w:rsidRPr="006E1EF0" w:rsidTr="00EA6BCF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6E1EF0">
              <w:rPr>
                <w:rFonts w:ascii="Arial" w:hAnsi="Arial" w:cs="Arial"/>
              </w:rPr>
              <w:t>International</w:t>
            </w:r>
            <w:proofErr w:type="spellEnd"/>
            <w:r w:rsidRPr="006E1EF0">
              <w:rPr>
                <w:rFonts w:ascii="Arial" w:hAnsi="Arial" w:cs="Arial"/>
              </w:rPr>
              <w:t xml:space="preserve"> Grid Holdings </w:t>
            </w:r>
            <w:proofErr w:type="spellStart"/>
            <w:r w:rsidRPr="006E1EF0">
              <w:rPr>
                <w:rFonts w:ascii="Arial" w:hAnsi="Arial" w:cs="Arial"/>
              </w:rPr>
              <w:t>Limited</w:t>
            </w:r>
            <w:proofErr w:type="spellEnd"/>
            <w:r w:rsidRPr="006E1EF0">
              <w:rPr>
                <w:rFonts w:ascii="Arial" w:hAnsi="Arial" w:cs="Arial"/>
              </w:rPr>
              <w:t>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11.823.391/0001-60.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0,000005%.</w:t>
            </w:r>
          </w:p>
        </w:tc>
      </w:tr>
    </w:tbl>
    <w:p w:rsidR="00FA5ECB" w:rsidRPr="006E1EF0" w:rsidRDefault="00FA5ECB" w:rsidP="00FA5EC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FA5ECB" w:rsidRPr="006E1EF0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1EF0">
              <w:rPr>
                <w:rFonts w:ascii="Arial" w:hAnsi="Arial" w:cs="Arial"/>
              </w:rPr>
              <w:t xml:space="preserve">PESSOA JURÍDICA CONTROLADORA DA EMPRESA </w:t>
            </w:r>
            <w:r w:rsidRPr="006E1EF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A5ECB" w:rsidRPr="006E1EF0" w:rsidTr="00EA6BC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CNPJ</w:t>
            </w:r>
          </w:p>
        </w:tc>
      </w:tr>
      <w:tr w:rsidR="00FA5ECB" w:rsidRPr="006E1EF0" w:rsidTr="00EA6BC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Não se aplica.</w:t>
            </w:r>
          </w:p>
        </w:tc>
      </w:tr>
    </w:tbl>
    <w:p w:rsidR="00FA5ECB" w:rsidRPr="006E1EF0" w:rsidRDefault="00FA5ECB" w:rsidP="00FA5EC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FA5ECB" w:rsidRPr="006E1EF0" w:rsidTr="00EA6BC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1EF0">
              <w:rPr>
                <w:rFonts w:ascii="Arial" w:hAnsi="Arial" w:cs="Arial"/>
              </w:rPr>
              <w:t>PROJETO</w:t>
            </w:r>
          </w:p>
        </w:tc>
      </w:tr>
      <w:tr w:rsidR="00FA5ECB" w:rsidRPr="006E1EF0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Denominação</w:t>
            </w:r>
          </w:p>
        </w:tc>
      </w:tr>
      <w:tr w:rsidR="00FA5ECB" w:rsidRPr="006E1EF0" w:rsidTr="00EA6BC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  <w:i/>
              </w:rPr>
            </w:pPr>
            <w:r w:rsidRPr="006E1EF0">
              <w:rPr>
                <w:rFonts w:ascii="Arial" w:hAnsi="Arial" w:cs="Arial"/>
              </w:rPr>
              <w:t>Lote O do Leilão nº 13/2015-ANEEL.</w:t>
            </w:r>
          </w:p>
        </w:tc>
      </w:tr>
      <w:tr w:rsidR="00FA5ECB" w:rsidRPr="006E1EF0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Descrição</w:t>
            </w:r>
          </w:p>
        </w:tc>
      </w:tr>
      <w:tr w:rsidR="00FA5ECB" w:rsidRPr="006E1EF0" w:rsidTr="00EA6BCF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EF0">
              <w:rPr>
                <w:rFonts w:ascii="Arial" w:hAnsi="Arial" w:cs="Arial"/>
                <w:sz w:val="24"/>
                <w:szCs w:val="24"/>
              </w:rPr>
              <w:t>Projeto de Transmissão de Energia Elétrica, relativo ao Lote O do Leilão n° 13/2015-ANEEL, compreendendo:</w:t>
            </w:r>
          </w:p>
          <w:p w:rsidR="00FA5ECB" w:rsidRPr="006E1EF0" w:rsidRDefault="00FA5ECB" w:rsidP="00EA6BC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I - Linha de Transmissão em 230 kV entre as Subestações Paranatinga e Canarana, em Circuito Simples, com extensão aproximada de duzentos e setenta e cinco quilômetros;</w:t>
            </w:r>
          </w:p>
          <w:p w:rsidR="00FA5ECB" w:rsidRPr="006E1EF0" w:rsidRDefault="00FA5ECB" w:rsidP="00EA6BC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II - Novo Pátio da Subestação Paranatinga, em 500/230 kV, 3 </w:t>
            </w:r>
            <w:proofErr w:type="gramStart"/>
            <w:r w:rsidRPr="006E1EF0">
              <w:rPr>
                <w:rFonts w:ascii="Arial" w:hAnsi="Arial" w:cs="Arial"/>
              </w:rPr>
              <w:t>x</w:t>
            </w:r>
            <w:proofErr w:type="gramEnd"/>
            <w:r w:rsidRPr="006E1EF0">
              <w:rPr>
                <w:rFonts w:ascii="Arial" w:hAnsi="Arial" w:cs="Arial"/>
              </w:rPr>
              <w:t xml:space="preserve"> 40 MVA mais Unidade Reserva;</w:t>
            </w:r>
          </w:p>
          <w:p w:rsidR="00FA5ECB" w:rsidRPr="006E1EF0" w:rsidRDefault="00FA5ECB" w:rsidP="00EA6BC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III - Subestação Canarana, em 230/138 kV, 3 </w:t>
            </w:r>
            <w:proofErr w:type="gramStart"/>
            <w:r w:rsidRPr="006E1EF0">
              <w:rPr>
                <w:rFonts w:ascii="Arial" w:hAnsi="Arial" w:cs="Arial"/>
              </w:rPr>
              <w:t>x</w:t>
            </w:r>
            <w:proofErr w:type="gramEnd"/>
            <w:r w:rsidRPr="006E1EF0">
              <w:rPr>
                <w:rFonts w:ascii="Arial" w:hAnsi="Arial" w:cs="Arial"/>
              </w:rPr>
              <w:t xml:space="preserve"> 40 MVA mais Unidade Reserva; e</w:t>
            </w:r>
          </w:p>
          <w:p w:rsidR="00FA5ECB" w:rsidRPr="006E1EF0" w:rsidRDefault="00FA5ECB" w:rsidP="00EA6BCF">
            <w:pPr>
              <w:jc w:val="both"/>
              <w:rPr>
                <w:rFonts w:ascii="Arial" w:hAnsi="Arial" w:cs="Arial"/>
                <w:i/>
              </w:rPr>
            </w:pPr>
            <w:r w:rsidRPr="006E1EF0">
              <w:rPr>
                <w:rFonts w:ascii="Arial" w:hAnsi="Arial" w:cs="Arial"/>
              </w:rPr>
              <w:t>IV - Equipamentos Compensação Reativa, Conexões de Unidades de Transformação, Entradas de Linha, Interligações de Barramentos,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FA5ECB" w:rsidRPr="006E1EF0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A5ECB" w:rsidRPr="006E1EF0" w:rsidTr="00EA6BC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  <w:i/>
              </w:rPr>
            </w:pPr>
            <w:r w:rsidRPr="006E1EF0">
              <w:rPr>
                <w:rFonts w:ascii="Arial" w:hAnsi="Arial" w:cs="Arial"/>
              </w:rPr>
              <w:t>Municípios de Paranatinga, Gaúcha do Norte, Campinápolis, Água Boa e Canarana, Estado de Mato Grosso.</w:t>
            </w:r>
          </w:p>
        </w:tc>
      </w:tr>
      <w:tr w:rsidR="00FA5ECB" w:rsidRPr="006E1EF0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center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ECB" w:rsidRPr="006E1EF0" w:rsidRDefault="00FA5ECB" w:rsidP="00EA6BCF">
            <w:pPr>
              <w:jc w:val="both"/>
              <w:rPr>
                <w:rFonts w:ascii="Arial" w:hAnsi="Arial" w:cs="Arial"/>
              </w:rPr>
            </w:pPr>
            <w:r w:rsidRPr="006E1EF0">
              <w:rPr>
                <w:rFonts w:ascii="Arial" w:hAnsi="Arial" w:cs="Arial"/>
              </w:rPr>
              <w:t xml:space="preserve"> </w:t>
            </w:r>
            <w:r w:rsidRPr="006E1EF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FA5ECB" w:rsidRPr="006E1EF0" w:rsidTr="00EA6BC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B" w:rsidRPr="006E1EF0" w:rsidRDefault="00FA5ECB" w:rsidP="00EA6BCF">
            <w:pPr>
              <w:rPr>
                <w:rFonts w:ascii="Arial" w:hAnsi="Arial" w:cs="Arial"/>
                <w:i/>
              </w:rPr>
            </w:pPr>
            <w:r w:rsidRPr="006E1EF0">
              <w:rPr>
                <w:rFonts w:ascii="Arial" w:hAnsi="Arial" w:cs="Arial"/>
              </w:rPr>
              <w:t>27 de junho de 2020.</w:t>
            </w:r>
          </w:p>
        </w:tc>
      </w:tr>
    </w:tbl>
    <w:p w:rsidR="00FA5ECB" w:rsidRPr="006E1EF0" w:rsidRDefault="00FA5ECB" w:rsidP="00FA5ECB">
      <w:pPr>
        <w:jc w:val="both"/>
        <w:rPr>
          <w:rFonts w:ascii="Arial" w:hAnsi="Arial" w:cs="Arial"/>
          <w:sz w:val="20"/>
          <w:szCs w:val="20"/>
        </w:rPr>
      </w:pPr>
    </w:p>
    <w:sectPr w:rsidR="00FA5ECB" w:rsidRPr="006E1EF0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FA5ECB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700221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A5EC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000000" w:rsidRDefault="00FA5E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FA5ECB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700221">
      <w:rPr>
        <w:rFonts w:ascii="Arial" w:hAnsi="Arial" w:cs="Arial"/>
      </w:rPr>
      <w:t>1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A5ECB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A5E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6D0D88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5A3-5F77-4824-9030-57B98A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2017-04-13T11:09:00Z</dcterms:created>
  <dcterms:modified xsi:type="dcterms:W3CDTF">2017-04-13T11:09:00Z</dcterms:modified>
</cp:coreProperties>
</file>