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4056E0">
        <w:rPr>
          <w:rFonts w:ascii="Arial" w:hAnsi="Arial" w:cs="Arial"/>
          <w:b/>
          <w:bCs/>
          <w:color w:val="000080"/>
        </w:rPr>
        <w:t>3</w:t>
      </w:r>
      <w:r w:rsidR="00A64579">
        <w:rPr>
          <w:rFonts w:ascii="Arial" w:hAnsi="Arial" w:cs="Arial"/>
          <w:b/>
          <w:bCs/>
          <w:color w:val="000080"/>
        </w:rPr>
        <w:t>4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A64579">
        <w:rPr>
          <w:rFonts w:ascii="Arial" w:hAnsi="Arial" w:cs="Arial"/>
          <w:b/>
          <w:bCs/>
          <w:color w:val="000080"/>
        </w:rPr>
        <w:t>20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64579" w:rsidRPr="00AD6777" w:rsidRDefault="00A64579" w:rsidP="00A64579">
      <w:pPr>
        <w:ind w:firstLine="1134"/>
        <w:jc w:val="both"/>
        <w:rPr>
          <w:rFonts w:ascii="Arial" w:hAnsi="Arial" w:cs="Arial"/>
        </w:rPr>
      </w:pPr>
      <w:r w:rsidRPr="00AD6777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AD6777">
        <w:rPr>
          <w:rFonts w:ascii="Arial" w:hAnsi="Arial" w:cs="Arial"/>
        </w:rPr>
        <w:t>, no uso da competência que lhe foi delegada pelo art. 1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>, inciso VI, da Portaria MME n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281, de 29 de junho de 2016, tendo em vista o disposto no art. 4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do Decreto n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8.874, de 11 de outubro de 2016, no art. 4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da Portaria MME n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506, de 24 de outubro de 2016, e o que consta do Processo n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48360.005999/2016-00, resolve:</w:t>
      </w:r>
    </w:p>
    <w:p w:rsidR="00A64579" w:rsidRPr="00AD6777" w:rsidRDefault="00A64579" w:rsidP="00A64579">
      <w:pPr>
        <w:ind w:firstLine="1134"/>
        <w:jc w:val="both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>Art. 1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Aprovar, na forma do art. 2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>, § 1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>, inciso III, do Decreto n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8.874, de 11 de outubro de 2016, como prioritário o Projeto de Transmissão de Energia Elétrica, de titularidade da empresa ETC - Empresa Transmissora Capixaba S.A., inscrita no CNPJ/MF sob o n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25.224.658/0001-08, para os fins do art. 2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da Lei n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12.431, de 24 de junho de 2011, descrito no Anexo à presente Portaria.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>Art. 2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A ETC - Empresa Transmissora Capixaba S.A. e a Sociedade Controladora deverão: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 xml:space="preserve">I - </w:t>
      </w:r>
      <w:proofErr w:type="gramStart"/>
      <w:r w:rsidRPr="00AD6777">
        <w:rPr>
          <w:rFonts w:ascii="Arial" w:hAnsi="Arial" w:cs="Arial"/>
        </w:rPr>
        <w:t>dar</w:t>
      </w:r>
      <w:proofErr w:type="gramEnd"/>
      <w:r w:rsidRPr="00AD6777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 xml:space="preserve">II - </w:t>
      </w:r>
      <w:proofErr w:type="gramStart"/>
      <w:r w:rsidRPr="00AD6777">
        <w:rPr>
          <w:rFonts w:ascii="Arial" w:hAnsi="Arial" w:cs="Arial"/>
        </w:rPr>
        <w:t>manter</w:t>
      </w:r>
      <w:proofErr w:type="gramEnd"/>
      <w:r w:rsidRPr="00AD6777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 xml:space="preserve">IV - </w:t>
      </w:r>
      <w:proofErr w:type="gramStart"/>
      <w:r w:rsidRPr="00AD6777">
        <w:rPr>
          <w:rFonts w:ascii="Arial" w:hAnsi="Arial" w:cs="Arial"/>
        </w:rPr>
        <w:t>manter</w:t>
      </w:r>
      <w:proofErr w:type="gramEnd"/>
      <w:r w:rsidRPr="00AD6777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 xml:space="preserve">V - </w:t>
      </w:r>
      <w:proofErr w:type="gramStart"/>
      <w:r w:rsidRPr="00AD6777">
        <w:rPr>
          <w:rFonts w:ascii="Arial" w:hAnsi="Arial" w:cs="Arial"/>
        </w:rPr>
        <w:t>para</w:t>
      </w:r>
      <w:proofErr w:type="gramEnd"/>
      <w:r w:rsidRPr="00AD6777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 xml:space="preserve">VI - </w:t>
      </w:r>
      <w:proofErr w:type="gramStart"/>
      <w:r w:rsidRPr="00AD6777">
        <w:rPr>
          <w:rFonts w:ascii="Arial" w:hAnsi="Arial" w:cs="Arial"/>
        </w:rPr>
        <w:t>observar</w:t>
      </w:r>
      <w:proofErr w:type="gramEnd"/>
      <w:r w:rsidRPr="00AD6777">
        <w:rPr>
          <w:rFonts w:ascii="Arial" w:hAnsi="Arial" w:cs="Arial"/>
        </w:rPr>
        <w:t xml:space="preserve"> as demais disposições constantes na Lei n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12.431, de 2011, no Decreto n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>, § 5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>, da referida Lei, a ser aplicada pela Secretaria da Receita Federal do Brasil.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>Art. 3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lastRenderedPageBreak/>
        <w:t>Art. 4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A ETC - Empresa Transmissora Capixaba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>Art. 5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da Lei n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12.431, de 2011.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>Art. 6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A64579" w:rsidRPr="00AD6777" w:rsidRDefault="00A64579" w:rsidP="00A64579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AD6777">
        <w:rPr>
          <w:rFonts w:ascii="Arial" w:hAnsi="Arial" w:cs="Arial"/>
        </w:rPr>
        <w:t>Art. 7</w:t>
      </w:r>
      <w:r w:rsidRPr="00AD6777">
        <w:rPr>
          <w:rFonts w:ascii="Arial" w:hAnsi="Arial" w:cs="Arial"/>
          <w:u w:val="single"/>
          <w:vertAlign w:val="superscript"/>
        </w:rPr>
        <w:t>o</w:t>
      </w:r>
      <w:r w:rsidRPr="00AD6777">
        <w:rPr>
          <w:rFonts w:ascii="Arial" w:hAnsi="Arial" w:cs="Arial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64579">
        <w:rPr>
          <w:rFonts w:ascii="Arial" w:hAnsi="Arial" w:cs="Arial"/>
          <w:color w:val="FF0000"/>
        </w:rPr>
        <w:t>2</w:t>
      </w:r>
      <w:r w:rsidR="00EF3EB9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A64579" w:rsidRDefault="00D758D0" w:rsidP="00D758D0">
      <w:pPr>
        <w:rPr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A64579" w:rsidRPr="00AD6777" w:rsidTr="00555B9A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AD6777">
              <w:rPr>
                <w:rFonts w:ascii="Arial" w:hAnsi="Arial" w:cs="Arial"/>
                <w:bCs/>
              </w:rPr>
              <w:t>TITULAR DO PROJETO</w:t>
            </w:r>
          </w:p>
        </w:tc>
      </w:tr>
      <w:tr w:rsidR="00A64579" w:rsidRPr="00AD6777" w:rsidTr="00555B9A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 xml:space="preserve">CNPJ      </w:t>
            </w:r>
          </w:p>
        </w:tc>
      </w:tr>
      <w:tr w:rsidR="00A64579" w:rsidRPr="00AD6777" w:rsidTr="00555B9A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  <w:i/>
              </w:rPr>
            </w:pPr>
            <w:r w:rsidRPr="00AD6777">
              <w:rPr>
                <w:rFonts w:ascii="Arial" w:hAnsi="Arial" w:cs="Arial"/>
              </w:rPr>
              <w:t>ETC - Empresa Transmissora Capixaba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25.224.658/0001-08</w:t>
            </w:r>
          </w:p>
        </w:tc>
      </w:tr>
      <w:tr w:rsidR="00A64579" w:rsidRPr="00AD6777" w:rsidTr="00555B9A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Número</w:t>
            </w:r>
          </w:p>
        </w:tc>
      </w:tr>
      <w:tr w:rsidR="00A64579" w:rsidRPr="00AD6777" w:rsidTr="00555B9A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Rua Gomes de Carvalho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1.996</w:t>
            </w:r>
          </w:p>
        </w:tc>
      </w:tr>
      <w:tr w:rsidR="00A64579" w:rsidRPr="00AD6777" w:rsidTr="00555B9A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CEP</w:t>
            </w:r>
          </w:p>
        </w:tc>
      </w:tr>
      <w:tr w:rsidR="00A64579" w:rsidRPr="00AD6777" w:rsidTr="00555B9A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 xml:space="preserve"> Conjunto 151, 15</w:t>
            </w:r>
            <w:r w:rsidRPr="00AD677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D6777">
              <w:rPr>
                <w:rFonts w:ascii="Arial" w:hAnsi="Arial" w:cs="Arial"/>
              </w:rPr>
              <w:t xml:space="preserve"> Andar, Sala Q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Vila Olímpia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04547-006</w:t>
            </w:r>
          </w:p>
        </w:tc>
      </w:tr>
      <w:tr w:rsidR="00A64579" w:rsidRPr="00AD6777" w:rsidTr="00555B9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Telefone</w:t>
            </w:r>
          </w:p>
        </w:tc>
      </w:tr>
      <w:tr w:rsidR="00A64579" w:rsidRPr="00AD6777" w:rsidTr="00555B9A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São Paulo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SP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(11) 4571-2535</w:t>
            </w:r>
          </w:p>
        </w:tc>
      </w:tr>
      <w:tr w:rsidR="00A64579" w:rsidRPr="00AD6777" w:rsidTr="00555B9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Contrato de Concessão</w:t>
            </w:r>
          </w:p>
        </w:tc>
      </w:tr>
      <w:tr w:rsidR="00A64579" w:rsidRPr="00AD6777" w:rsidTr="00555B9A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Contrato de Concessão n</w:t>
            </w:r>
            <w:r w:rsidRPr="00AD677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D6777">
              <w:rPr>
                <w:rFonts w:ascii="Arial" w:hAnsi="Arial" w:cs="Arial"/>
              </w:rPr>
              <w:t xml:space="preserve"> 20/2016-ANEEL, de 2 de setembro de 2016.</w:t>
            </w:r>
          </w:p>
        </w:tc>
      </w:tr>
    </w:tbl>
    <w:p w:rsidR="00A64579" w:rsidRPr="00AD6777" w:rsidRDefault="00A64579" w:rsidP="00A64579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A64579" w:rsidRPr="00AD6777" w:rsidTr="00555B9A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D6777">
              <w:rPr>
                <w:rFonts w:ascii="Arial" w:hAnsi="Arial" w:cs="Arial"/>
              </w:rPr>
              <w:t xml:space="preserve">REPRESENTANTE(S) LEGAL(IS) DA EMPRESA </w:t>
            </w:r>
            <w:r w:rsidRPr="00AD6777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A64579" w:rsidRPr="00AD6777" w:rsidTr="00555B9A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pStyle w:val="tabelatextoalinhadoesquerda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Nome: José Antônio Caseiro Vicente.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pStyle w:val="tabelatextoalinhadoesquerda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CPF: 039.403.098-26.</w:t>
            </w:r>
          </w:p>
        </w:tc>
      </w:tr>
      <w:tr w:rsidR="00A64579" w:rsidRPr="00AD6777" w:rsidTr="00555B9A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pStyle w:val="tabelatextoalinhadoesquerda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Nome: Carlos Manuel da Silva Graça.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pStyle w:val="tabelatextoalinhadoesquerda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CPF: 430.095.497-68.</w:t>
            </w:r>
          </w:p>
        </w:tc>
      </w:tr>
    </w:tbl>
    <w:p w:rsidR="00A64579" w:rsidRPr="00AD6777" w:rsidRDefault="00A64579" w:rsidP="00A64579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A64579" w:rsidRPr="00AD6777" w:rsidTr="00555B9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D6777">
              <w:rPr>
                <w:rFonts w:ascii="Arial" w:hAnsi="Arial" w:cs="Arial"/>
              </w:rPr>
              <w:t xml:space="preserve">RELAÇÃO DOS ACIONISTAS DA EMPRESA TITULAR </w:t>
            </w:r>
            <w:r w:rsidRPr="00AD6777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A64579" w:rsidRPr="00AD6777" w:rsidTr="00555B9A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Participação (%)</w:t>
            </w:r>
          </w:p>
        </w:tc>
      </w:tr>
      <w:tr w:rsidR="00A64579" w:rsidRPr="00AD6777" w:rsidTr="00555B9A">
        <w:trPr>
          <w:trHeight w:hRule="exact" w:val="30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4579" w:rsidRPr="00AD6777" w:rsidRDefault="00A64579" w:rsidP="00555B9A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AD6777">
              <w:rPr>
                <w:rFonts w:ascii="Arial" w:hAnsi="Arial" w:cs="Arial"/>
              </w:rPr>
              <w:t>Alupar</w:t>
            </w:r>
            <w:proofErr w:type="spellEnd"/>
            <w:r w:rsidRPr="00AD6777">
              <w:rPr>
                <w:rFonts w:ascii="Arial" w:hAnsi="Arial" w:cs="Arial"/>
              </w:rPr>
              <w:t xml:space="preserve"> Investimento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4579" w:rsidRPr="00AD6777" w:rsidRDefault="00A64579" w:rsidP="00555B9A">
            <w:pPr>
              <w:pStyle w:val="tabelatextoalinhadoesquerda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08.364.948/0001-38.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4579" w:rsidRPr="00AD6777" w:rsidRDefault="00A64579" w:rsidP="00555B9A">
            <w:pPr>
              <w:pStyle w:val="tabelatextoalinhadoesquerda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99,98%.</w:t>
            </w:r>
          </w:p>
        </w:tc>
      </w:tr>
      <w:tr w:rsidR="00A64579" w:rsidRPr="00AD6777" w:rsidTr="00555B9A">
        <w:trPr>
          <w:trHeight w:hRule="exact" w:val="26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79" w:rsidRPr="00AD6777" w:rsidRDefault="00A64579" w:rsidP="00555B9A">
            <w:pPr>
              <w:pStyle w:val="tabelatextoalinhadoesquerda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José Luiz de Godoy Pereira.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79" w:rsidRPr="00AD6777" w:rsidRDefault="00A64579" w:rsidP="00555B9A">
            <w:pPr>
              <w:pStyle w:val="tabelatextoalinhadoesquerda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086.823.468-00.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79" w:rsidRPr="00AD6777" w:rsidRDefault="00A64579" w:rsidP="00555B9A">
            <w:pPr>
              <w:pStyle w:val="tabelatextoalinhadoesquerda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0,02%.</w:t>
            </w:r>
          </w:p>
        </w:tc>
      </w:tr>
    </w:tbl>
    <w:p w:rsidR="00A64579" w:rsidRPr="00AD6777" w:rsidRDefault="00A64579" w:rsidP="00A64579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A64579" w:rsidRPr="00AD6777" w:rsidTr="00555B9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D6777">
              <w:rPr>
                <w:rFonts w:ascii="Arial" w:hAnsi="Arial" w:cs="Arial"/>
              </w:rPr>
              <w:t xml:space="preserve">PESSOA JURÍDICA CONTROLADORA DA EMPRESA </w:t>
            </w:r>
            <w:r w:rsidRPr="00AD6777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A64579" w:rsidRPr="00AD6777" w:rsidTr="00555B9A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CNPJ</w:t>
            </w:r>
          </w:p>
        </w:tc>
      </w:tr>
      <w:tr w:rsidR="00A64579" w:rsidRPr="00AD6777" w:rsidTr="00555B9A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79" w:rsidRPr="00AD6777" w:rsidRDefault="00A64579" w:rsidP="00555B9A">
            <w:pPr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79" w:rsidRPr="00AD6777" w:rsidRDefault="00A64579" w:rsidP="00555B9A">
            <w:pPr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Não se aplica.</w:t>
            </w:r>
          </w:p>
        </w:tc>
      </w:tr>
    </w:tbl>
    <w:p w:rsidR="00A64579" w:rsidRPr="00AD6777" w:rsidRDefault="00A64579" w:rsidP="00A64579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A64579" w:rsidRPr="00AD6777" w:rsidTr="00555B9A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D6777">
              <w:rPr>
                <w:rFonts w:ascii="Arial" w:hAnsi="Arial" w:cs="Arial"/>
              </w:rPr>
              <w:t>PROJETO</w:t>
            </w:r>
          </w:p>
        </w:tc>
      </w:tr>
      <w:tr w:rsidR="00A64579" w:rsidRPr="00AD6777" w:rsidTr="00555B9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Denominação</w:t>
            </w:r>
          </w:p>
        </w:tc>
      </w:tr>
      <w:tr w:rsidR="00A64579" w:rsidRPr="00AD6777" w:rsidTr="00555B9A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  <w:i/>
              </w:rPr>
            </w:pPr>
            <w:r w:rsidRPr="00AD6777">
              <w:rPr>
                <w:rFonts w:ascii="Arial" w:hAnsi="Arial" w:cs="Arial"/>
              </w:rPr>
              <w:t>Lote T do Leilão n</w:t>
            </w:r>
            <w:r w:rsidRPr="00AD677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D6777">
              <w:rPr>
                <w:rFonts w:ascii="Arial" w:hAnsi="Arial" w:cs="Arial"/>
              </w:rPr>
              <w:t xml:space="preserve"> 13/2015-ANEEL.</w:t>
            </w:r>
          </w:p>
        </w:tc>
      </w:tr>
      <w:tr w:rsidR="00A64579" w:rsidRPr="00AD6777" w:rsidTr="00555B9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Descrição</w:t>
            </w:r>
          </w:p>
        </w:tc>
      </w:tr>
      <w:tr w:rsidR="00A64579" w:rsidRPr="00AD6777" w:rsidTr="00555B9A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4579" w:rsidRPr="00A64579" w:rsidRDefault="00A64579" w:rsidP="00555B9A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64579">
              <w:rPr>
                <w:rFonts w:ascii="Arial" w:hAnsi="Arial" w:cs="Arial"/>
                <w:sz w:val="23"/>
                <w:szCs w:val="23"/>
              </w:rPr>
              <w:t>Projeto de Transmissão de Energia Elétrica, relativo ao Lote T do Leilão n</w:t>
            </w:r>
            <w:r w:rsidRPr="00A64579">
              <w:rPr>
                <w:rFonts w:ascii="Arial" w:hAnsi="Arial" w:cs="Arial"/>
                <w:sz w:val="23"/>
                <w:szCs w:val="23"/>
                <w:u w:val="single"/>
                <w:vertAlign w:val="superscript"/>
              </w:rPr>
              <w:t>o</w:t>
            </w:r>
            <w:r w:rsidRPr="00A64579">
              <w:rPr>
                <w:rFonts w:ascii="Arial" w:hAnsi="Arial" w:cs="Arial"/>
                <w:sz w:val="23"/>
                <w:szCs w:val="23"/>
              </w:rPr>
              <w:t xml:space="preserve"> 13/2015-ANEEL, compreendendo:</w:t>
            </w:r>
          </w:p>
          <w:p w:rsidR="00A64579" w:rsidRPr="00A64579" w:rsidRDefault="00A64579" w:rsidP="00555B9A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64579">
              <w:rPr>
                <w:rFonts w:ascii="Arial" w:hAnsi="Arial" w:cs="Arial"/>
                <w:sz w:val="23"/>
                <w:szCs w:val="23"/>
              </w:rPr>
              <w:t>I - Subestação Rio Novo do Sul 345/138-13,8 kV, (6+1R) x 133,33 MVA;</w:t>
            </w:r>
          </w:p>
          <w:p w:rsidR="00A64579" w:rsidRPr="00A64579" w:rsidRDefault="00A64579" w:rsidP="00555B9A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64579">
              <w:rPr>
                <w:rFonts w:ascii="Arial" w:hAnsi="Arial" w:cs="Arial"/>
                <w:sz w:val="23"/>
                <w:szCs w:val="23"/>
              </w:rPr>
              <w:t>II - 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apoio;</w:t>
            </w:r>
          </w:p>
          <w:p w:rsidR="00A64579" w:rsidRPr="00A64579" w:rsidRDefault="00A64579" w:rsidP="00555B9A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64579">
              <w:rPr>
                <w:rFonts w:ascii="Arial" w:hAnsi="Arial" w:cs="Arial"/>
                <w:sz w:val="23"/>
                <w:szCs w:val="23"/>
              </w:rPr>
              <w:t>III - Trechos de Linha de Transmissão em 345 kV, Circuito Simples, com extensão aproximada de dois quilômetros cada, compreendido entre o Ponto de Seccionamento da Linha de Transmissão em 345 kV Campos - Viana e a Subestação Rio Novo do Sul, as Entradas de Linha correspondentes na Subestação Rio Novo do Sul, e a aquisição dos equipamentos necessários às modificações, substituições e adequações nas Entradas de Linha das Subestações Campos e Viana; e</w:t>
            </w:r>
          </w:p>
          <w:p w:rsidR="00A64579" w:rsidRPr="00A64579" w:rsidRDefault="00A64579" w:rsidP="00555B9A">
            <w:pPr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r w:rsidRPr="00A64579">
              <w:rPr>
                <w:rFonts w:ascii="Arial" w:hAnsi="Arial" w:cs="Arial"/>
                <w:sz w:val="23"/>
                <w:szCs w:val="23"/>
              </w:rPr>
              <w:t>IV - Trechos de Linha de Transmissão em 345 kV, Circuito Simples, com extensão aproximada de dois quilômetros cada, compreendido entre o Ponto de Seccionamento da Linha de Transmissão em 345 kV Campos - Vitória e a Subestação Rio Novo do Sul, as Entradas de Linha correspondentes na Subestação Rio Novo do Sul, e a aquisição dos equipamentos necessários às modificações, substituições e adequações nas Entradas de Linha das Subestações Campos e Vitória.</w:t>
            </w:r>
          </w:p>
        </w:tc>
      </w:tr>
      <w:tr w:rsidR="00A64579" w:rsidRPr="00AD6777" w:rsidTr="00555B9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A64579" w:rsidRPr="00AD6777" w:rsidTr="00555B9A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  <w:i/>
              </w:rPr>
            </w:pPr>
            <w:r w:rsidRPr="00AD6777">
              <w:rPr>
                <w:rFonts w:ascii="Arial" w:hAnsi="Arial" w:cs="Arial"/>
              </w:rPr>
              <w:t>Município de Rio Novo do Sul, Estado do Espírito Santo.</w:t>
            </w:r>
          </w:p>
        </w:tc>
      </w:tr>
      <w:tr w:rsidR="00A64579" w:rsidRPr="00AD6777" w:rsidTr="00555B9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center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4579" w:rsidRPr="00AD6777" w:rsidRDefault="00A64579" w:rsidP="00555B9A">
            <w:pPr>
              <w:jc w:val="both"/>
              <w:rPr>
                <w:rFonts w:ascii="Arial" w:hAnsi="Arial" w:cs="Arial"/>
              </w:rPr>
            </w:pPr>
            <w:r w:rsidRPr="00AD6777">
              <w:rPr>
                <w:rFonts w:ascii="Arial" w:hAnsi="Arial" w:cs="Arial"/>
              </w:rPr>
              <w:t xml:space="preserve"> </w:t>
            </w:r>
            <w:r w:rsidRPr="00AD677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A64579" w:rsidRPr="00AD6777" w:rsidTr="00555B9A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79" w:rsidRPr="00AD6777" w:rsidRDefault="00A64579" w:rsidP="00555B9A">
            <w:pPr>
              <w:rPr>
                <w:rFonts w:ascii="Arial" w:hAnsi="Arial" w:cs="Arial"/>
                <w:i/>
              </w:rPr>
            </w:pPr>
            <w:r w:rsidRPr="00AD6777">
              <w:rPr>
                <w:rFonts w:ascii="Arial" w:hAnsi="Arial" w:cs="Arial"/>
              </w:rPr>
              <w:t>27 de junho de 2019.</w:t>
            </w:r>
          </w:p>
        </w:tc>
      </w:tr>
    </w:tbl>
    <w:p w:rsidR="004056E0" w:rsidRPr="00B079EE" w:rsidRDefault="004056E0" w:rsidP="00A6457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056E0" w:rsidRPr="00B079EE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</w:t>
    </w:r>
    <w:r w:rsidR="00A64579">
      <w:rPr>
        <w:rFonts w:ascii="Arial" w:hAnsi="Arial" w:cs="Arial"/>
      </w:rPr>
      <w:t>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64579">
      <w:rPr>
        <w:rFonts w:ascii="Arial" w:hAnsi="Arial" w:cs="Arial"/>
      </w:rPr>
      <w:t>20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6457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6457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</w:t>
    </w:r>
    <w:r w:rsidR="00A64579">
      <w:rPr>
        <w:rFonts w:ascii="Arial" w:hAnsi="Arial" w:cs="Arial"/>
      </w:rPr>
      <w:t>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64579">
      <w:rPr>
        <w:rFonts w:ascii="Arial" w:hAnsi="Arial" w:cs="Arial"/>
      </w:rPr>
      <w:t>20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64579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61"/>
    <o:shapelayout v:ext="edit">
      <o:idmap v:ext="edit" data="1"/>
    </o:shapelayout>
  </w:shapeDefaults>
  <w:decimalSymbol w:val=","/>
  <w:listSeparator w:val=";"/>
  <w14:docId w14:val="721ED4A7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9AF8-5859-409A-B8DE-471E38CE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2017-02-21T11:42:00Z</dcterms:created>
  <dcterms:modified xsi:type="dcterms:W3CDTF">2017-02-21T11:42:00Z</dcterms:modified>
</cp:coreProperties>
</file>